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7B097">
      <w:pPr>
        <w:snapToGrid w:val="0"/>
        <w:spacing w:line="360" w:lineRule="auto"/>
        <w:jc w:val="center"/>
        <w:outlineLvl w:val="0"/>
        <w:rPr>
          <w:rFonts w:ascii="仿宋" w:hAnsi="仿宋" w:eastAsia="仿宋" w:cs="仿宋"/>
          <w:b/>
          <w:sz w:val="40"/>
          <w:szCs w:val="40"/>
        </w:rPr>
      </w:pPr>
      <w:bookmarkStart w:id="0" w:name="_Toc227684378"/>
      <w:bookmarkStart w:id="1" w:name="_Toc229437482"/>
      <w:r>
        <w:rPr>
          <w:rFonts w:hint="eastAsia" w:ascii="仿宋" w:hAnsi="仿宋" w:eastAsia="仿宋" w:cs="仿宋"/>
          <w:b/>
          <w:sz w:val="40"/>
          <w:szCs w:val="40"/>
        </w:rPr>
        <w:t>采购需求</w:t>
      </w:r>
      <w:bookmarkEnd w:id="0"/>
      <w:bookmarkEnd w:id="1"/>
    </w:p>
    <w:p w14:paraId="169CDB79">
      <w:pPr>
        <w:snapToGrid w:val="0"/>
        <w:spacing w:line="360" w:lineRule="auto"/>
        <w:ind w:firstLine="482" w:firstLineChars="200"/>
        <w:rPr>
          <w:rFonts w:hint="eastAsia" w:ascii="仿宋" w:hAnsi="仿宋" w:eastAsia="仿宋" w:cs="仿宋"/>
          <w:b/>
          <w:sz w:val="24"/>
        </w:rPr>
      </w:pPr>
      <w:r>
        <w:rPr>
          <w:rFonts w:hint="eastAsia" w:ascii="仿宋" w:hAnsi="仿宋" w:eastAsia="仿宋" w:cs="仿宋"/>
          <w:b/>
          <w:sz w:val="24"/>
        </w:rPr>
        <w:t>一、采购标的</w:t>
      </w:r>
    </w:p>
    <w:p w14:paraId="6E21D988">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（一）采购标的（货物需求一览表或简要服务内容及数量）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939"/>
        <w:gridCol w:w="3086"/>
        <w:gridCol w:w="1175"/>
        <w:gridCol w:w="934"/>
        <w:gridCol w:w="1439"/>
      </w:tblGrid>
      <w:tr w14:paraId="3321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698" w:type="dxa"/>
            <w:tcBorders>
              <w:tl2br w:val="nil"/>
              <w:tr2bl w:val="nil"/>
            </w:tcBorders>
            <w:noWrap/>
            <w:vAlign w:val="center"/>
          </w:tcPr>
          <w:p w14:paraId="66D46D87">
            <w:pPr>
              <w:snapToGrid w:val="0"/>
              <w:spacing w:line="360" w:lineRule="auto"/>
              <w:jc w:val="center"/>
              <w:rPr>
                <w:rFonts w:hint="eastAsia" w:ascii="仿宋" w:hAnsi="仿宋" w:eastAsia="仿宋" w:cs="仿宋"/>
                <w:b/>
                <w:sz w:val="24"/>
              </w:rPr>
            </w:pPr>
            <w:r>
              <w:rPr>
                <w:rFonts w:hint="eastAsia" w:ascii="仿宋" w:hAnsi="仿宋" w:eastAsia="仿宋" w:cs="仿宋"/>
                <w:b/>
                <w:sz w:val="24"/>
              </w:rPr>
              <w:t>包号</w:t>
            </w:r>
          </w:p>
        </w:tc>
        <w:tc>
          <w:tcPr>
            <w:tcW w:w="939" w:type="dxa"/>
            <w:tcBorders>
              <w:tl2br w:val="nil"/>
              <w:tr2bl w:val="nil"/>
            </w:tcBorders>
            <w:vAlign w:val="center"/>
          </w:tcPr>
          <w:p w14:paraId="056C596B">
            <w:pPr>
              <w:snapToGrid w:val="0"/>
              <w:spacing w:line="360" w:lineRule="auto"/>
              <w:jc w:val="center"/>
              <w:rPr>
                <w:rFonts w:hint="eastAsia" w:ascii="仿宋" w:hAnsi="仿宋" w:eastAsia="仿宋" w:cs="仿宋"/>
                <w:b/>
                <w:sz w:val="24"/>
              </w:rPr>
            </w:pPr>
            <w:r>
              <w:rPr>
                <w:rFonts w:hint="eastAsia" w:ascii="仿宋" w:hAnsi="仿宋" w:eastAsia="仿宋" w:cs="仿宋"/>
                <w:b/>
                <w:sz w:val="24"/>
              </w:rPr>
              <w:t>品目号</w:t>
            </w:r>
          </w:p>
        </w:tc>
        <w:tc>
          <w:tcPr>
            <w:tcW w:w="3086" w:type="dxa"/>
            <w:tcBorders>
              <w:tl2br w:val="nil"/>
              <w:tr2bl w:val="nil"/>
            </w:tcBorders>
            <w:noWrap/>
            <w:vAlign w:val="center"/>
          </w:tcPr>
          <w:p w14:paraId="40B0B91B">
            <w:pPr>
              <w:snapToGrid w:val="0"/>
              <w:spacing w:line="360" w:lineRule="auto"/>
              <w:jc w:val="center"/>
              <w:rPr>
                <w:rFonts w:hint="eastAsia" w:ascii="仿宋" w:hAnsi="仿宋" w:eastAsia="仿宋" w:cs="仿宋"/>
                <w:b/>
                <w:sz w:val="24"/>
              </w:rPr>
            </w:pPr>
            <w:r>
              <w:rPr>
                <w:rFonts w:hint="eastAsia" w:ascii="仿宋" w:hAnsi="仿宋" w:eastAsia="仿宋" w:cs="仿宋"/>
                <w:b/>
                <w:sz w:val="24"/>
              </w:rPr>
              <w:t>标的名称</w:t>
            </w:r>
          </w:p>
        </w:tc>
        <w:tc>
          <w:tcPr>
            <w:tcW w:w="1175" w:type="dxa"/>
            <w:tcBorders>
              <w:tl2br w:val="nil"/>
              <w:tr2bl w:val="nil"/>
            </w:tcBorders>
            <w:noWrap/>
            <w:vAlign w:val="center"/>
          </w:tcPr>
          <w:p w14:paraId="4F6704F9">
            <w:pPr>
              <w:snapToGrid w:val="0"/>
              <w:spacing w:line="360" w:lineRule="auto"/>
              <w:jc w:val="center"/>
              <w:rPr>
                <w:rFonts w:hint="eastAsia" w:ascii="仿宋" w:hAnsi="仿宋" w:eastAsia="仿宋" w:cs="仿宋"/>
                <w:b/>
                <w:sz w:val="24"/>
              </w:rPr>
            </w:pPr>
            <w:r>
              <w:rPr>
                <w:rFonts w:hint="eastAsia" w:ascii="仿宋" w:hAnsi="仿宋" w:eastAsia="仿宋" w:cs="仿宋"/>
                <w:b/>
                <w:sz w:val="24"/>
              </w:rPr>
              <w:t>数量</w:t>
            </w:r>
          </w:p>
        </w:tc>
        <w:tc>
          <w:tcPr>
            <w:tcW w:w="934" w:type="dxa"/>
            <w:tcBorders>
              <w:tl2br w:val="nil"/>
              <w:tr2bl w:val="nil"/>
            </w:tcBorders>
            <w:vAlign w:val="center"/>
          </w:tcPr>
          <w:p w14:paraId="5312950D">
            <w:pPr>
              <w:snapToGrid w:val="0"/>
              <w:spacing w:line="360" w:lineRule="auto"/>
              <w:jc w:val="center"/>
              <w:rPr>
                <w:rFonts w:hint="eastAsia" w:ascii="仿宋" w:hAnsi="仿宋" w:eastAsia="仿宋" w:cs="仿宋"/>
                <w:b/>
                <w:sz w:val="24"/>
              </w:rPr>
            </w:pPr>
            <w:r>
              <w:rPr>
                <w:rFonts w:hint="eastAsia" w:ascii="仿宋" w:hAnsi="仿宋" w:eastAsia="仿宋" w:cs="仿宋"/>
                <w:b/>
                <w:sz w:val="24"/>
              </w:rPr>
              <w:t>单位</w:t>
            </w:r>
          </w:p>
        </w:tc>
        <w:tc>
          <w:tcPr>
            <w:tcW w:w="1439" w:type="dxa"/>
            <w:tcBorders>
              <w:tl2br w:val="nil"/>
              <w:tr2bl w:val="nil"/>
            </w:tcBorders>
            <w:vAlign w:val="center"/>
          </w:tcPr>
          <w:p w14:paraId="5F140FDD">
            <w:pPr>
              <w:snapToGrid w:val="0"/>
              <w:spacing w:line="360" w:lineRule="auto"/>
              <w:jc w:val="center"/>
              <w:rPr>
                <w:rFonts w:hint="eastAsia" w:ascii="仿宋" w:hAnsi="仿宋" w:eastAsia="仿宋" w:cs="仿宋"/>
                <w:b/>
                <w:sz w:val="24"/>
              </w:rPr>
            </w:pPr>
            <w:r>
              <w:rPr>
                <w:rFonts w:hint="eastAsia" w:ascii="仿宋" w:hAnsi="仿宋" w:eastAsia="仿宋" w:cs="仿宋"/>
                <w:b/>
                <w:kern w:val="0"/>
                <w:sz w:val="24"/>
              </w:rPr>
              <w:t>是否接受进口产品</w:t>
            </w:r>
          </w:p>
        </w:tc>
      </w:tr>
      <w:tr w14:paraId="6112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698" w:type="dxa"/>
            <w:tcBorders>
              <w:tl2br w:val="nil"/>
              <w:tr2bl w:val="nil"/>
            </w:tcBorders>
            <w:noWrap/>
            <w:vAlign w:val="center"/>
          </w:tcPr>
          <w:p w14:paraId="4EB3C9AA">
            <w:pPr>
              <w:snapToGrid w:val="0"/>
              <w:spacing w:line="360" w:lineRule="auto"/>
              <w:jc w:val="center"/>
              <w:rPr>
                <w:rFonts w:hint="eastAsia" w:ascii="仿宋" w:hAnsi="仿宋" w:eastAsia="仿宋" w:cs="仿宋"/>
                <w:bCs/>
                <w:sz w:val="24"/>
              </w:rPr>
            </w:pPr>
            <w:r>
              <w:rPr>
                <w:rFonts w:hint="eastAsia" w:ascii="仿宋" w:hAnsi="仿宋" w:eastAsia="仿宋" w:cs="仿宋"/>
                <w:bCs/>
                <w:sz w:val="24"/>
              </w:rPr>
              <w:t>1</w:t>
            </w:r>
          </w:p>
        </w:tc>
        <w:tc>
          <w:tcPr>
            <w:tcW w:w="939" w:type="dxa"/>
            <w:tcBorders>
              <w:tl2br w:val="nil"/>
              <w:tr2bl w:val="nil"/>
            </w:tcBorders>
            <w:vAlign w:val="center"/>
          </w:tcPr>
          <w:p w14:paraId="7C7480FD">
            <w:pPr>
              <w:snapToGrid w:val="0"/>
              <w:spacing w:line="360" w:lineRule="auto"/>
              <w:jc w:val="center"/>
              <w:rPr>
                <w:rFonts w:hint="eastAsia" w:ascii="仿宋" w:hAnsi="仿宋" w:eastAsia="仿宋" w:cs="仿宋"/>
                <w:kern w:val="0"/>
                <w:sz w:val="24"/>
                <w:lang w:bidi="ar"/>
              </w:rPr>
            </w:pPr>
            <w:r>
              <w:rPr>
                <w:rFonts w:hint="eastAsia" w:ascii="仿宋" w:hAnsi="仿宋" w:eastAsia="仿宋" w:cs="仿宋"/>
                <w:kern w:val="0"/>
                <w:sz w:val="24"/>
                <w:lang w:bidi="ar"/>
              </w:rPr>
              <w:t>1-1</w:t>
            </w:r>
          </w:p>
        </w:tc>
        <w:tc>
          <w:tcPr>
            <w:tcW w:w="3086" w:type="dxa"/>
            <w:tcBorders>
              <w:tl2br w:val="nil"/>
              <w:tr2bl w:val="nil"/>
            </w:tcBorders>
            <w:noWrap/>
            <w:vAlign w:val="center"/>
          </w:tcPr>
          <w:p w14:paraId="2DAACF37">
            <w:pPr>
              <w:widowControl/>
              <w:jc w:val="center"/>
              <w:rPr>
                <w:rFonts w:hint="eastAsia" w:ascii="仿宋" w:hAnsi="仿宋" w:eastAsia="仿宋" w:cs="宋体"/>
                <w:kern w:val="0"/>
                <w:sz w:val="24"/>
              </w:rPr>
            </w:pPr>
            <w:r>
              <w:rPr>
                <w:rFonts w:hint="eastAsia" w:ascii="仿宋" w:hAnsi="仿宋" w:eastAsia="仿宋" w:cs="宋体"/>
                <w:kern w:val="0"/>
                <w:sz w:val="24"/>
              </w:rPr>
              <w:t>核酸检测系统</w:t>
            </w:r>
          </w:p>
        </w:tc>
        <w:tc>
          <w:tcPr>
            <w:tcW w:w="1175" w:type="dxa"/>
            <w:tcBorders>
              <w:tl2br w:val="nil"/>
              <w:tr2bl w:val="nil"/>
            </w:tcBorders>
            <w:noWrap/>
            <w:vAlign w:val="center"/>
          </w:tcPr>
          <w:p w14:paraId="159144E1">
            <w:pPr>
              <w:widowControl/>
              <w:jc w:val="center"/>
              <w:rPr>
                <w:rFonts w:hint="eastAsia" w:ascii="仿宋" w:hAnsi="仿宋" w:eastAsia="仿宋" w:cs="宋体"/>
                <w:kern w:val="0"/>
                <w:sz w:val="24"/>
              </w:rPr>
            </w:pPr>
            <w:r>
              <w:rPr>
                <w:rFonts w:hint="eastAsia" w:ascii="仿宋" w:hAnsi="仿宋" w:eastAsia="仿宋" w:cs="宋体"/>
                <w:kern w:val="0"/>
                <w:sz w:val="24"/>
              </w:rPr>
              <w:t>2</w:t>
            </w:r>
          </w:p>
        </w:tc>
        <w:tc>
          <w:tcPr>
            <w:tcW w:w="934" w:type="dxa"/>
            <w:tcBorders>
              <w:tl2br w:val="nil"/>
              <w:tr2bl w:val="nil"/>
            </w:tcBorders>
            <w:vAlign w:val="center"/>
          </w:tcPr>
          <w:p w14:paraId="40C79723">
            <w:pPr>
              <w:widowControl/>
              <w:jc w:val="center"/>
              <w:rPr>
                <w:rFonts w:hint="eastAsia" w:ascii="仿宋" w:hAnsi="仿宋" w:eastAsia="仿宋" w:cs="宋体"/>
                <w:kern w:val="0"/>
                <w:sz w:val="24"/>
              </w:rPr>
            </w:pPr>
            <w:r>
              <w:rPr>
                <w:rFonts w:hint="eastAsia" w:ascii="仿宋" w:hAnsi="仿宋" w:eastAsia="仿宋" w:cs="宋体"/>
                <w:kern w:val="0"/>
                <w:sz w:val="24"/>
              </w:rPr>
              <w:t>台</w:t>
            </w:r>
          </w:p>
        </w:tc>
        <w:tc>
          <w:tcPr>
            <w:tcW w:w="1439" w:type="dxa"/>
            <w:tcBorders>
              <w:tl2br w:val="nil"/>
              <w:tr2bl w:val="nil"/>
            </w:tcBorders>
            <w:vAlign w:val="center"/>
          </w:tcPr>
          <w:p w14:paraId="2ECE27DF">
            <w:pPr>
              <w:snapToGrid w:val="0"/>
              <w:spacing w:line="360" w:lineRule="auto"/>
              <w:jc w:val="center"/>
              <w:rPr>
                <w:rFonts w:hint="eastAsia" w:ascii="仿宋" w:hAnsi="仿宋" w:eastAsia="仿宋" w:cs="仿宋"/>
                <w:kern w:val="0"/>
                <w:sz w:val="24"/>
                <w:lang w:bidi="ar"/>
              </w:rPr>
            </w:pPr>
            <w:r>
              <w:rPr>
                <w:rFonts w:hint="eastAsia" w:ascii="仿宋" w:hAnsi="仿宋" w:eastAsia="仿宋" w:cs="仿宋"/>
                <w:kern w:val="0"/>
                <w:sz w:val="24"/>
                <w:lang w:bidi="ar"/>
              </w:rPr>
              <w:t>否</w:t>
            </w:r>
          </w:p>
        </w:tc>
      </w:tr>
    </w:tbl>
    <w:p w14:paraId="79B108D2">
      <w:pPr>
        <w:snapToGrid w:val="0"/>
        <w:spacing w:line="360" w:lineRule="auto"/>
        <w:ind w:firstLine="482" w:firstLineChars="200"/>
        <w:rPr>
          <w:rFonts w:hint="eastAsia" w:ascii="仿宋" w:hAnsi="仿宋" w:eastAsia="仿宋" w:cs="仿宋"/>
          <w:b/>
          <w:bCs/>
          <w:sz w:val="24"/>
        </w:rPr>
      </w:pPr>
    </w:p>
    <w:p w14:paraId="5F2B563A">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（二）项目背景/项目概述（如有）</w:t>
      </w:r>
    </w:p>
    <w:p w14:paraId="335B9A4E">
      <w:pPr>
        <w:snapToGrid w:val="0"/>
        <w:spacing w:line="360" w:lineRule="auto"/>
        <w:ind w:firstLine="480" w:firstLineChars="200"/>
        <w:rPr>
          <w:rFonts w:hint="eastAsia" w:ascii="仿宋" w:hAnsi="仿宋" w:eastAsia="仿宋" w:cs="仿宋"/>
          <w:bCs/>
          <w:sz w:val="24"/>
        </w:rPr>
      </w:pPr>
      <w:r>
        <w:rPr>
          <w:rFonts w:hint="eastAsia" w:ascii="仿宋" w:hAnsi="仿宋" w:eastAsia="仿宋"/>
          <w:sz w:val="24"/>
        </w:rPr>
        <w:t>本次招标采购是为北京市红十字血液中心购置核酸检测系统，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1C6EAFF4">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二、商务要求</w:t>
      </w:r>
    </w:p>
    <w:p w14:paraId="35718F22">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（一）交付（实施）的时间（期限）和地点（范围）</w:t>
      </w:r>
    </w:p>
    <w:p w14:paraId="7B9BEF84">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1、交付时间：投标人负责办理运输和保险，将货物运抵现场。有关运输和保险的一切费用由投标人承担。合同签订后</w:t>
      </w:r>
      <w:r>
        <w:rPr>
          <w:rFonts w:hint="eastAsia" w:ascii="仿宋" w:hAnsi="仿宋" w:eastAsia="仿宋" w:cs="仿宋"/>
          <w:bCs/>
          <w:sz w:val="24"/>
          <w:lang w:val="en-US" w:eastAsia="zh-CN"/>
        </w:rPr>
        <w:t>15</w:t>
      </w:r>
      <w:r>
        <w:rPr>
          <w:rFonts w:hint="eastAsia" w:ascii="仿宋" w:hAnsi="仿宋" w:eastAsia="仿宋" w:cs="仿宋"/>
          <w:bCs/>
          <w:sz w:val="24"/>
        </w:rPr>
        <w:t>日内投标人将货物运输安装到采购人指定的地点。货物运抵采购人指定现场前的风险由投标人承担。</w:t>
      </w:r>
    </w:p>
    <w:p w14:paraId="39B7303B">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2、交付地点：北京市红十字血液中心（北京市海淀区北三环中路37号）。产品经采购人验收合格之前的毁损灭失风险由投标人承担。</w:t>
      </w:r>
    </w:p>
    <w:p w14:paraId="41D249E0">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（二）付款条件（进度和方式）</w:t>
      </w:r>
    </w:p>
    <w:p w14:paraId="7DDBDCB3">
      <w:pPr>
        <w:spacing w:line="360" w:lineRule="auto"/>
        <w:ind w:firstLine="480"/>
        <w:rPr>
          <w:rFonts w:hint="eastAsia" w:ascii="仿宋" w:hAnsi="仿宋" w:eastAsia="仿宋" w:cs="仿宋"/>
          <w:b/>
          <w:bCs/>
          <w:sz w:val="24"/>
        </w:rPr>
      </w:pPr>
      <w:r>
        <w:rPr>
          <w:rFonts w:hint="eastAsia" w:ascii="仿宋" w:hAnsi="仿宋" w:eastAsia="仿宋"/>
          <w:sz w:val="24"/>
        </w:rPr>
        <w:t>参照合同文本中的付款方式及进度执行。</w:t>
      </w:r>
    </w:p>
    <w:p w14:paraId="1F63F8B0">
      <w:pPr>
        <w:pStyle w:val="2"/>
        <w:rPr>
          <w:b/>
        </w:rPr>
      </w:pPr>
    </w:p>
    <w:p w14:paraId="27EC0782">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（三）包装和运输</w:t>
      </w:r>
    </w:p>
    <w:p w14:paraId="50678A83">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投标产品的包装应符合《关于印发〈商品包装政府采购需求标准（试行）〉、〈快递包装政府采购需求标准（试行）〉的通知》（财办库﹝2020﹞123号）的规定。</w:t>
      </w:r>
    </w:p>
    <w:p w14:paraId="27B84592">
      <w:pPr>
        <w:snapToGrid w:val="0"/>
        <w:spacing w:line="360" w:lineRule="auto"/>
        <w:ind w:firstLine="480" w:firstLineChars="200"/>
        <w:rPr>
          <w:rFonts w:hint="eastAsia" w:ascii="仿宋" w:hAnsi="仿宋" w:eastAsia="仿宋" w:cs="仿宋"/>
          <w:bCs/>
          <w:sz w:val="24"/>
        </w:rPr>
      </w:pPr>
    </w:p>
    <w:p w14:paraId="628A1E77">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（四）售后服务（质保期）</w:t>
      </w:r>
    </w:p>
    <w:p w14:paraId="73CD9CC8">
      <w:pPr>
        <w:pStyle w:val="2"/>
        <w:rPr>
          <w:rFonts w:hint="eastAsia" w:ascii="仿宋" w:hAnsi="仿宋" w:eastAsia="仿宋" w:cs="仿宋"/>
          <w:bCs/>
          <w:kern w:val="2"/>
          <w:sz w:val="24"/>
          <w:szCs w:val="24"/>
          <w:lang w:val="en-US" w:eastAsia="zh-CN" w:bidi="ar-SA"/>
        </w:rPr>
      </w:pPr>
      <w:r>
        <w:rPr>
          <w:rFonts w:hint="eastAsia" w:ascii="仿宋" w:hAnsi="仿宋" w:eastAsia="仿宋" w:cs="仿宋"/>
          <w:bCs/>
          <w:kern w:val="2"/>
          <w:sz w:val="24"/>
          <w:szCs w:val="24"/>
          <w:lang w:val="en-US" w:eastAsia="zh-CN" w:bidi="ar-SA"/>
        </w:rPr>
        <w:t>货物质保期72个月，自验收合格之日起计算。</w:t>
      </w:r>
    </w:p>
    <w:p w14:paraId="0A07C3C1">
      <w:pPr>
        <w:pStyle w:val="2"/>
        <w:rPr>
          <w:rFonts w:hint="eastAsia" w:ascii="仿宋" w:hAnsi="仿宋" w:eastAsia="仿宋" w:cs="仿宋"/>
          <w:bCs/>
          <w:kern w:val="2"/>
          <w:sz w:val="24"/>
          <w:szCs w:val="24"/>
          <w:lang w:val="en-US" w:eastAsia="zh-CN" w:bidi="ar-SA"/>
        </w:rPr>
      </w:pPr>
    </w:p>
    <w:p w14:paraId="7BCCC06A">
      <w:pPr>
        <w:pStyle w:val="2"/>
        <w:rPr>
          <w:rFonts w:hint="eastAsia" w:ascii="仿宋" w:hAnsi="仿宋" w:eastAsia="仿宋" w:cs="仿宋"/>
          <w:bCs/>
          <w:kern w:val="2"/>
          <w:sz w:val="24"/>
          <w:szCs w:val="24"/>
          <w:lang w:val="en-US" w:eastAsia="zh-CN" w:bidi="ar-SA"/>
        </w:rPr>
      </w:pPr>
    </w:p>
    <w:p w14:paraId="05C03BD6">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三、技术要求</w:t>
      </w:r>
    </w:p>
    <w:p w14:paraId="47DE94E6">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（一）基本要求</w:t>
      </w:r>
    </w:p>
    <w:p w14:paraId="7292E7F9">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1、采购标的需实现的功能或者目标</w:t>
      </w:r>
    </w:p>
    <w:p w14:paraId="583B4433">
      <w:pPr>
        <w:snapToGrid w:val="0"/>
        <w:spacing w:line="360" w:lineRule="auto"/>
        <w:ind w:firstLine="480" w:firstLineChars="200"/>
        <w:rPr>
          <w:rFonts w:hint="eastAsia" w:ascii="仿宋" w:hAnsi="仿宋" w:eastAsia="仿宋"/>
          <w:sz w:val="24"/>
        </w:rPr>
      </w:pPr>
      <w:r>
        <w:rPr>
          <w:rFonts w:hint="eastAsia" w:ascii="仿宋" w:hAnsi="仿宋" w:eastAsia="仿宋"/>
          <w:sz w:val="24"/>
        </w:rPr>
        <w:t>本次招标采购是为北京市红十字血液中心购置核酸检测系统，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5CFAB710">
      <w:pPr>
        <w:pStyle w:val="2"/>
      </w:pPr>
    </w:p>
    <w:p w14:paraId="05F7473B">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2、需执行的国家相关标准、行业标准、地方标准或者其他标准、规范</w:t>
      </w:r>
    </w:p>
    <w:p w14:paraId="38D4D56D">
      <w:pPr>
        <w:spacing w:line="360" w:lineRule="auto"/>
        <w:ind w:firstLine="480" w:firstLineChars="200"/>
        <w:rPr>
          <w:rFonts w:hint="eastAsia" w:ascii="仿宋" w:hAnsi="仿宋" w:eastAsia="仿宋"/>
          <w:kern w:val="0"/>
          <w:sz w:val="24"/>
        </w:rPr>
      </w:pPr>
      <w:r>
        <w:rPr>
          <w:rFonts w:hint="eastAsia" w:ascii="仿宋" w:hAnsi="仿宋" w:eastAsia="仿宋"/>
          <w:kern w:val="0"/>
          <w:sz w:val="24"/>
        </w:rPr>
        <w:t>★1.投标产品属于医疗器械的，应按原国家食品药品监督管理总局颁发的《医疗器械注册管理办法》，办理医疗器械注册证或者办理备案，投标人须提供医疗器械注册证复印件或备案凭证。</w:t>
      </w:r>
    </w:p>
    <w:p w14:paraId="6FA22401">
      <w:pPr>
        <w:spacing w:line="360" w:lineRule="auto"/>
        <w:ind w:firstLine="480" w:firstLineChars="200"/>
        <w:rPr>
          <w:rFonts w:hint="eastAsia" w:ascii="仿宋" w:hAnsi="仿宋" w:eastAsia="仿宋"/>
          <w:kern w:val="0"/>
          <w:sz w:val="24"/>
        </w:rPr>
      </w:pPr>
      <w:r>
        <w:rPr>
          <w:rFonts w:hint="eastAsia" w:ascii="仿宋" w:hAnsi="仿宋" w:eastAsia="仿宋"/>
          <w:kern w:val="0"/>
          <w:sz w:val="24"/>
        </w:rPr>
        <w:t>★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62E7CE59">
      <w:pPr>
        <w:spacing w:line="360" w:lineRule="auto"/>
        <w:ind w:firstLine="480" w:firstLineChars="200"/>
        <w:rPr>
          <w:rFonts w:hint="eastAsia" w:ascii="仿宋" w:hAnsi="仿宋" w:eastAsia="仿宋"/>
          <w:kern w:val="0"/>
          <w:sz w:val="24"/>
        </w:rPr>
      </w:pPr>
      <w:r>
        <w:rPr>
          <w:rFonts w:hint="eastAsia" w:ascii="仿宋" w:hAnsi="仿宋" w:eastAsia="仿宋"/>
          <w:kern w:val="0"/>
          <w:sz w:val="24"/>
        </w:rPr>
        <w:t>★3.投标产品属于辐射或射线类的设备或材料的，需提供投标人的辐射安全许可证复印件（不适用的情况除外）。投标产品属于压力容器的，投标人需要根据国家特种设备制造相关管理规定，提供投标产品制造商的特种设备制造许可证（压力容器）。</w:t>
      </w:r>
    </w:p>
    <w:p w14:paraId="3F98AD87">
      <w:pPr>
        <w:spacing w:line="360" w:lineRule="auto"/>
        <w:ind w:firstLine="480" w:firstLineChars="200"/>
        <w:rPr>
          <w:rFonts w:hint="eastAsia" w:ascii="仿宋" w:hAnsi="仿宋" w:eastAsia="仿宋"/>
          <w:kern w:val="0"/>
          <w:sz w:val="24"/>
        </w:rPr>
      </w:pPr>
      <w:r>
        <w:rPr>
          <w:rFonts w:hint="eastAsia" w:ascii="仿宋" w:hAnsi="仿宋" w:eastAsia="仿宋"/>
          <w:kern w:val="0"/>
          <w:sz w:val="24"/>
        </w:rPr>
        <w:t>★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08EC0682">
      <w:pPr>
        <w:pStyle w:val="7"/>
        <w:spacing w:before="156" w:beforeLines="50" w:line="360" w:lineRule="auto"/>
        <w:ind w:firstLine="480" w:firstLineChars="200"/>
        <w:rPr>
          <w:rFonts w:hint="eastAsia" w:ascii="仿宋" w:hAnsi="仿宋" w:eastAsia="仿宋"/>
          <w:b/>
          <w:szCs w:val="24"/>
        </w:rPr>
      </w:pPr>
      <w:r>
        <w:rPr>
          <w:rFonts w:hint="eastAsia" w:ascii="仿宋" w:hAnsi="仿宋" w:eastAsia="仿宋"/>
          <w:kern w:val="0"/>
        </w:rPr>
        <w:t>5．投标产品的包装应符合《财政部等三部门联合印发商品包装和快递包装政府采购需求标准（试行）》（财办库〔2020〕123号）的规定。</w:t>
      </w:r>
    </w:p>
    <w:p w14:paraId="35254289">
      <w:pPr>
        <w:pStyle w:val="2"/>
        <w:rPr>
          <w:rFonts w:hint="eastAsia" w:ascii="仿宋" w:hAnsi="仿宋" w:eastAsia="仿宋"/>
          <w:b/>
        </w:rPr>
      </w:pPr>
    </w:p>
    <w:p w14:paraId="590D67EE">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（二）服务内容及要求/货物技术要求</w:t>
      </w:r>
    </w:p>
    <w:p w14:paraId="57AA7121">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1、采购标的需满足的性能、材料、结构、外观、质量、安全、技术规格、物理特性等要求：</w:t>
      </w:r>
    </w:p>
    <w:p w14:paraId="47329C7C">
      <w:pPr>
        <w:snapToGrid w:val="0"/>
        <w:spacing w:line="360" w:lineRule="auto"/>
        <w:ind w:firstLine="482" w:firstLineChars="200"/>
        <w:jc w:val="center"/>
        <w:rPr>
          <w:rFonts w:hint="eastAsia" w:ascii="仿宋" w:hAnsi="仿宋" w:eastAsia="仿宋" w:cs="仿宋"/>
          <w:b/>
          <w:bCs/>
          <w:sz w:val="24"/>
        </w:rPr>
      </w:pPr>
      <w:r>
        <w:rPr>
          <w:rFonts w:ascii="仿宋" w:hAnsi="仿宋" w:eastAsia="仿宋" w:cs="仿宋"/>
          <w:b/>
          <w:bCs/>
          <w:sz w:val="24"/>
        </w:rPr>
        <w:t>第</w:t>
      </w:r>
      <w:r>
        <w:rPr>
          <w:rFonts w:hint="eastAsia" w:ascii="仿宋" w:hAnsi="仿宋" w:eastAsia="仿宋" w:cs="仿宋"/>
          <w:b/>
          <w:bCs/>
          <w:sz w:val="24"/>
        </w:rPr>
        <w:t xml:space="preserve">1包 </w:t>
      </w:r>
      <w:r>
        <w:rPr>
          <w:rFonts w:ascii="仿宋" w:hAnsi="仿宋" w:eastAsia="仿宋" w:cs="仿宋"/>
          <w:b/>
          <w:bCs/>
          <w:sz w:val="24"/>
        </w:rPr>
        <w:t>品目</w:t>
      </w:r>
      <w:r>
        <w:rPr>
          <w:rFonts w:hint="eastAsia" w:ascii="仿宋" w:hAnsi="仿宋" w:eastAsia="仿宋" w:cs="仿宋"/>
          <w:b/>
          <w:bCs/>
          <w:sz w:val="24"/>
        </w:rPr>
        <w:t>1-1核酸检测系统</w:t>
      </w:r>
    </w:p>
    <w:p w14:paraId="6BA6673B">
      <w:pPr>
        <w:snapToGrid w:val="0"/>
        <w:spacing w:line="360" w:lineRule="auto"/>
        <w:ind w:firstLine="482" w:firstLineChars="200"/>
        <w:jc w:val="center"/>
        <w:rPr>
          <w:rFonts w:hint="eastAsia" w:ascii="仿宋" w:hAnsi="仿宋" w:eastAsia="仿宋" w:cs="仿宋"/>
          <w:b/>
          <w:bCs/>
          <w:sz w:val="24"/>
        </w:rPr>
      </w:pPr>
      <w:r>
        <w:rPr>
          <w:rFonts w:hint="eastAsia" w:ascii="仿宋" w:hAnsi="仿宋" w:eastAsia="仿宋" w:cs="仿宋"/>
          <w:b/>
          <w:bCs/>
          <w:sz w:val="24"/>
        </w:rPr>
        <w:t>数量：2台</w:t>
      </w:r>
    </w:p>
    <w:p w14:paraId="026302FA">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一、每台技术参数</w:t>
      </w:r>
    </w:p>
    <w:p w14:paraId="235182C7">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★1、全自动核酸检测一体机，上样到扩增检测结束全自动完成。提供设备说明书或产品彩页等技术资料以证明相应内容。</w:t>
      </w:r>
    </w:p>
    <w:p w14:paraId="2D6B0404">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2、检测方法：PCR-荧光法。</w:t>
      </w:r>
    </w:p>
    <w:p w14:paraId="64E814BD">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★3、检测模式：支持单人份检测和6人份混样模式。两种模式可在同一检测板同轮次运行。提供设备说明书、试剂说明书等技术资料以证明相应内容。</w:t>
      </w:r>
    </w:p>
    <w:p w14:paraId="0F58B002">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4、检测通量（单套系统采用单检检测模式）：≥96测试/4h，并可实现连续多轮次上机检测。</w:t>
      </w:r>
    </w:p>
    <w:p w14:paraId="16D4B740">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5、加样模块</w:t>
      </w:r>
    </w:p>
    <w:p w14:paraId="21F3499E">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5.1、样本位数量：支持原始标本管直接上机，单套系统可一次性同时放置≥400个样本。</w:t>
      </w:r>
    </w:p>
    <w:p w14:paraId="37BE1372">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5.2、样本加样量：≥960μL/人份（单人份检测模式），≥160μL/人份（6人份混合检测模）。</w:t>
      </w:r>
    </w:p>
    <w:p w14:paraId="37C569B8">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5.3、加样通道≥8个，每个加样通道可独立控制，具有液面、凝块和气泡检测及报警功能。</w:t>
      </w:r>
    </w:p>
    <w:p w14:paraId="514D73A3">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5.4、加样精度：≤5%（移液体积10μL），≤2%（移液体积100μL），≤1.5%（移液体积1000μL）。</w:t>
      </w:r>
    </w:p>
    <w:p w14:paraId="1C151177">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▲5.5、加样系统使用带滤芯的一次性加样枪头，低位脱排方式弃去枪头。提供设备说明书以证明相应内容。</w:t>
      </w:r>
    </w:p>
    <w:p w14:paraId="26BA08CE">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6、提取模块</w:t>
      </w:r>
    </w:p>
    <w:p w14:paraId="2C80F1C2">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6.1、提取通道≥96，进行核酸提取。</w:t>
      </w:r>
    </w:p>
    <w:p w14:paraId="029CC361">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▲6.2</w:t>
      </w:r>
      <w:r>
        <w:rPr>
          <w:rFonts w:hint="eastAsia" w:ascii="仿宋" w:hAnsi="仿宋" w:eastAsia="仿宋" w:cs="仿宋"/>
          <w:color w:val="000000"/>
          <w:sz w:val="24"/>
          <w:lang w:eastAsia="zh-CN"/>
        </w:rPr>
        <w:t>、</w:t>
      </w:r>
      <w:r>
        <w:rPr>
          <w:rFonts w:hint="eastAsia" w:ascii="仿宋" w:hAnsi="仿宋" w:eastAsia="仿宋" w:cs="仿宋"/>
          <w:color w:val="000000"/>
          <w:sz w:val="24"/>
        </w:rPr>
        <w:t>提取方式：采用旋转式提取技术，磁棒为永磁铁（非电磁）核酸提取过程中无需空气吹打。提供设备说明书或试剂说明书等技术资料以证明相应内容。</w:t>
      </w:r>
    </w:p>
    <w:p w14:paraId="11236F87">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7、扩增模块</w:t>
      </w:r>
    </w:p>
    <w:p w14:paraId="67C09DFE">
      <w:pPr>
        <w:widowControl/>
        <w:spacing w:line="360" w:lineRule="auto"/>
        <w:ind w:firstLine="240" w:firstLineChars="100"/>
        <w:rPr>
          <w:rFonts w:hint="eastAsia" w:ascii="仿宋" w:hAnsi="仿宋" w:eastAsia="仿宋" w:cs="仿宋"/>
          <w:color w:val="000000"/>
          <w:sz w:val="24"/>
        </w:rPr>
      </w:pPr>
      <w:r>
        <w:rPr>
          <w:rFonts w:hint="eastAsia" w:ascii="仿宋" w:hAnsi="仿宋" w:eastAsia="仿宋" w:cs="仿宋"/>
          <w:color w:val="000000"/>
          <w:sz w:val="24"/>
        </w:rPr>
        <w:t>▲7.1、 PCR反应体系不含磁珠。提供设备说明书或试剂说明书等技术资料以证明相应内容。</w:t>
      </w:r>
    </w:p>
    <w:p w14:paraId="3726BD09">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7.2、全自动封膜机自动封膜，无需人工封膜；设备可实现自动转板，无需人工转移。</w:t>
      </w:r>
    </w:p>
    <w:p w14:paraId="0EC4CF61">
      <w:pPr>
        <w:widowControl/>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7.3、每批次扩增循环时间≤60min。</w:t>
      </w:r>
    </w:p>
    <w:p w14:paraId="19A1DE72">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7.4、升温速度：≤5℃/s。</w:t>
      </w:r>
    </w:p>
    <w:p w14:paraId="61E14D60">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8、</w:t>
      </w:r>
      <w:r>
        <w:rPr>
          <w:rFonts w:hint="eastAsia" w:ascii="仿宋" w:hAnsi="仿宋" w:eastAsia="仿宋" w:cs="仿宋"/>
          <w:sz w:val="24"/>
        </w:rPr>
        <w:t>检测模块，提供设备说明书或试剂说明书等技术资料以证明相应内容。</w:t>
      </w:r>
    </w:p>
    <w:p w14:paraId="27E5D3C1">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w:t>
      </w:r>
      <w:r>
        <w:rPr>
          <w:rFonts w:hint="eastAsia" w:ascii="仿宋" w:hAnsi="仿宋" w:eastAsia="仿宋" w:cs="仿宋"/>
          <w:sz w:val="24"/>
        </w:rPr>
        <w:t>8.1采用≥4色独立荧光检测通道，实现多靶标病原体同步鉴别检测；采用底部荧光扫描检测技术。</w:t>
      </w:r>
    </w:p>
    <w:p w14:paraId="5328E9C6">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▲8.2、检测灵敏度：HBV≤5 IU/mL；HCV≤10 IU/mL； HIV-1≤40 IU/mL； HIV-2≤15 IU/mL。</w:t>
      </w:r>
    </w:p>
    <w:p w14:paraId="5D5268D3">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8.3、梅毒螺旋体、EB病毒、人巨细胞病毒、戊型肝炎病毒等与检测系统均不存在交叉反应。</w:t>
      </w:r>
    </w:p>
    <w:p w14:paraId="7148EE2C">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8.4 明确待测样本中游离血红蛋白、甘油三酯、胆红素、EDTANa</w:t>
      </w:r>
      <w:r>
        <w:rPr>
          <w:rFonts w:hint="eastAsia" w:ascii="仿宋" w:hAnsi="仿宋" w:eastAsia="仿宋" w:cs="仿宋"/>
          <w:sz w:val="24"/>
          <w:vertAlign w:val="subscript"/>
        </w:rPr>
        <w:t>2</w:t>
      </w:r>
      <w:r>
        <w:rPr>
          <w:rFonts w:hint="eastAsia" w:ascii="仿宋" w:hAnsi="仿宋" w:eastAsia="仿宋" w:cs="仿宋"/>
          <w:sz w:val="24"/>
        </w:rPr>
        <w:t>、枸橼酸钠等常见干扰物质允许浓度范围。</w:t>
      </w:r>
    </w:p>
    <w:p w14:paraId="0EB8BDF0">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9、控制工作站</w:t>
      </w:r>
    </w:p>
    <w:p w14:paraId="1EB21861">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9.1、中文可视化操作软件，设备加样、提取、扩增检测全过程仅需1台控制工作站监控。</w:t>
      </w:r>
    </w:p>
    <w:p w14:paraId="62ADE1E7">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9.2、可查看检测结果的反应曲线。</w:t>
      </w:r>
    </w:p>
    <w:p w14:paraId="3B0CB20C">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9.3、具备分级密码管理功能。</w:t>
      </w:r>
    </w:p>
    <w:p w14:paraId="59371E08">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9.4、具备联机通讯接口，连接实验室信息系统，进行数据交换，中标商承担相关接口费用。</w:t>
      </w:r>
    </w:p>
    <w:p w14:paraId="1CF03149">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10、配套检测试剂，提供药监局审批的试剂说明书以证明相应内容。</w:t>
      </w:r>
    </w:p>
    <w:p w14:paraId="332CEB16">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w:t>
      </w:r>
      <w:r>
        <w:rPr>
          <w:rFonts w:hint="eastAsia" w:ascii="仿宋" w:hAnsi="仿宋" w:eastAsia="仿宋" w:cs="仿宋"/>
          <w:sz w:val="24"/>
        </w:rPr>
        <w:t>10.1、可提供具人血浆样本乙型肝炎病毒（HBV）、丙型肝炎病毒（HCV）和人类免疫缺陷病毒（HIV）（1+2型）的核酸筛查检测试剂，可在同一反应管内同时定性检测并区别样本中的HBV DNA、HCV RNA及HIV RNA。</w:t>
      </w:r>
    </w:p>
    <w:p w14:paraId="24904BA1">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▲10.2、核酸扩增检测试剂中分别包含阳性对照试剂I（HBV/HCV/HIV-1型）和阳性对照试剂II（HIV-2型）。</w:t>
      </w:r>
    </w:p>
    <w:p w14:paraId="6A93342B">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w:t>
      </w:r>
      <w:r>
        <w:rPr>
          <w:rFonts w:hint="eastAsia" w:ascii="仿宋" w:hAnsi="仿宋" w:eastAsia="仿宋" w:cs="仿宋"/>
          <w:color w:val="000000"/>
          <w:sz w:val="24"/>
        </w:rPr>
        <w:t>10.3、</w:t>
      </w:r>
      <w:r>
        <w:rPr>
          <w:rFonts w:hint="eastAsia" w:ascii="仿宋" w:hAnsi="仿宋" w:eastAsia="仿宋" w:cs="仿宋"/>
          <w:sz w:val="24"/>
        </w:rPr>
        <w:t xml:space="preserve">核酸扩增试剂中包含竞争性内标，用于全程监控核酸提取、扩增检测全过程。 </w:t>
      </w:r>
    </w:p>
    <w:p w14:paraId="1CB5932D">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▲10.4、配套试剂规格：96测试/套、192测试/套。</w:t>
      </w:r>
    </w:p>
    <w:p w14:paraId="17E48BEA">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★11、单台设备重量＜200kg。提供设备说明书或产品彩页等技术材料以证明相应内容。</w:t>
      </w:r>
    </w:p>
    <w:p w14:paraId="7BE6B728">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二、售后服务：</w:t>
      </w:r>
    </w:p>
    <w:p w14:paraId="7815092C">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1、投标人具有完善的服务体系，并能按项目技术要求供货、培训、使用、管理及相关服务。</w:t>
      </w:r>
    </w:p>
    <w:p w14:paraId="245A0DE4">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2、投标人或生产商能够提供本实验室全自动核酸检测设备使用过程中365天、7*24小时的技术服务。</w:t>
      </w:r>
    </w:p>
    <w:p w14:paraId="077E8728">
      <w:pPr>
        <w:spacing w:line="360" w:lineRule="auto"/>
        <w:ind w:firstLine="480" w:firstLineChars="200"/>
        <w:rPr>
          <w:rFonts w:hint="eastAsia" w:ascii="仿宋" w:hAnsi="仿宋" w:eastAsia="仿宋" w:cs="仿宋"/>
          <w:sz w:val="24"/>
        </w:rPr>
      </w:pPr>
      <w:r>
        <w:rPr>
          <w:rFonts w:hint="eastAsia" w:ascii="仿宋" w:hAnsi="仿宋" w:eastAsia="仿宋" w:cs="仿宋"/>
          <w:sz w:val="24"/>
        </w:rPr>
        <w:t>3、工程师≥2名，工程师响应时间≤2h，到达现场时间≤4h。</w:t>
      </w:r>
    </w:p>
    <w:p w14:paraId="03A7D282">
      <w:pPr>
        <w:spacing w:line="360" w:lineRule="auto"/>
        <w:ind w:firstLine="480" w:firstLineChars="200"/>
        <w:rPr>
          <w:rFonts w:hint="eastAsia" w:ascii="仿宋" w:hAnsi="仿宋" w:eastAsia="仿宋" w:cs="仿宋"/>
          <w:sz w:val="24"/>
        </w:rPr>
      </w:pPr>
      <w:r>
        <w:rPr>
          <w:rFonts w:hint="eastAsia" w:ascii="仿宋" w:hAnsi="仿宋" w:eastAsia="仿宋" w:cs="仿宋"/>
          <w:sz w:val="24"/>
        </w:rPr>
        <w:t>4、提供必要的全自动核酸设备使用过程中硬件和软件升级服务。</w:t>
      </w:r>
    </w:p>
    <w:p w14:paraId="58654DD9">
      <w:pPr>
        <w:spacing w:line="360" w:lineRule="auto"/>
        <w:ind w:firstLine="480" w:firstLineChars="200"/>
        <w:rPr>
          <w:rFonts w:hint="eastAsia" w:ascii="仿宋" w:hAnsi="仿宋" w:eastAsia="仿宋" w:cs="仿宋"/>
          <w:b/>
          <w:bCs/>
          <w:sz w:val="24"/>
        </w:rPr>
      </w:pPr>
      <w:r>
        <w:rPr>
          <w:rFonts w:hint="eastAsia" w:ascii="仿宋" w:hAnsi="仿宋" w:eastAsia="仿宋" w:cs="仿宋"/>
          <w:sz w:val="24"/>
          <w:lang w:val="en-US" w:eastAsia="zh-CN"/>
        </w:rPr>
        <w:t>5. 提供设备调试及移机服务。</w:t>
      </w:r>
      <w:r>
        <w:rPr>
          <w:rFonts w:ascii="仿宋" w:hAnsi="仿宋" w:eastAsia="仿宋" w:cs="仿宋"/>
          <w:b/>
          <w:bCs/>
          <w:sz w:val="24"/>
        </w:rPr>
        <w:br w:type="page"/>
      </w:r>
    </w:p>
    <w:p w14:paraId="5882AEC7">
      <w:pPr>
        <w:snapToGrid w:val="0"/>
        <w:spacing w:line="360" w:lineRule="auto"/>
        <w:ind w:firstLine="482" w:firstLineChars="200"/>
        <w:jc w:val="center"/>
        <w:rPr>
          <w:rFonts w:hint="eastAsia" w:ascii="仿宋" w:hAnsi="仿宋" w:eastAsia="仿宋" w:cs="仿宋"/>
          <w:b/>
          <w:bCs/>
          <w:sz w:val="24"/>
        </w:rPr>
      </w:pPr>
    </w:p>
    <w:p w14:paraId="3913EEC2">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2、采购标的需满足的服务标准、期限、效率等要求</w:t>
      </w:r>
    </w:p>
    <w:p w14:paraId="0BD968BC">
      <w:pPr>
        <w:snapToGrid w:val="0"/>
        <w:spacing w:line="360" w:lineRule="auto"/>
        <w:ind w:firstLine="400" w:firstLineChars="200"/>
        <w:rPr>
          <w:rFonts w:hint="eastAsia" w:ascii="仿宋" w:hAnsi="仿宋" w:eastAsia="仿宋" w:cs="仿宋"/>
          <w:bCs/>
          <w:sz w:val="24"/>
        </w:rPr>
      </w:pPr>
      <w:r>
        <w:rPr>
          <w:rFonts w:hint="eastAsia" w:ascii="Segoe UI" w:hAnsi="Segoe UI" w:cs="Segoe UI"/>
          <w:color w:val="FF0000"/>
          <w:kern w:val="0"/>
          <w:sz w:val="20"/>
          <w:szCs w:val="20"/>
          <w:shd w:val="clear" w:color="auto" w:fill="FFFFFF"/>
        </w:rPr>
        <w:t xml:space="preserve"> </w:t>
      </w:r>
      <w:r>
        <w:rPr>
          <w:rFonts w:hint="eastAsia" w:ascii="仿宋" w:hAnsi="仿宋" w:eastAsia="仿宋" w:cs="仿宋"/>
          <w:bCs/>
          <w:sz w:val="24"/>
        </w:rPr>
        <w:t>投标人须保证系统完全符合强制性的国家技术质量规范和合同规定的质量、规格、性能和技术规范等的要求。</w:t>
      </w:r>
    </w:p>
    <w:p w14:paraId="768AA7B4">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投标人须保证所提供产品经在质量保证期之内，并须对由于产品质量而发生的任何问题负责。</w:t>
      </w:r>
    </w:p>
    <w:p w14:paraId="580322BA">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根据采购人按检验标准自己检验结果或委托有资质的相关质检机构的检验结果，发现系统的数量、质量、规格与合同不符；或者在质量保证期内，证实系统存在缺陷，包括潜在的缺陷或使用不符合要求的部分等，采购人应尽快通知投标人。投标人在收到通知后 24 小时内应答并解决问题。</w:t>
      </w:r>
    </w:p>
    <w:p w14:paraId="060D5855">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如果投标人在收到通知后 24 小时内未应答或72小时内未解决问题，采购人可采取必要的补救措施，但由此引发的风险和费用将由投标人承担。</w:t>
      </w:r>
    </w:p>
    <w:p w14:paraId="655C1EDF">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投标人365×24小时响应质量问题通知；投标人接到通知后，必须在24小时内到达现场，一般问题24小时内给予解决、严重问题72小时内给予解决。因产品以外原因造成的问题投标人承诺在最快的时间内解决。</w:t>
      </w:r>
    </w:p>
    <w:p w14:paraId="4DCD8EBF">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 xml:space="preserve"> 在仪器使用前，当投标人产品相关技术指标发生变化时，应及时通知采购人。同时投标人应提供主要零配件及工时费价目表，并保证此价目表至少五年内有效。</w:t>
      </w:r>
    </w:p>
    <w:p w14:paraId="79B7B192">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投标人应为采购人提供实验室人员培训，确保实验人员操作符合要求，并能上岗操作。在仪器投入使用后，投标人应能满足采购人提出的培训要求。</w:t>
      </w:r>
    </w:p>
    <w:p w14:paraId="39506333">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保修期内投标人应免费为采购人提供每季度一次维护并出具维护报告，每12个月提供一次年度维护校准，并提供年度维护校准报告。</w:t>
      </w:r>
    </w:p>
    <w:p w14:paraId="46D3181C">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投标人应在投标文件中声明终身售后服务方式和能力。投标人提供产品保修期为五年。</w:t>
      </w:r>
    </w:p>
    <w:p w14:paraId="732ADD7B">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投标人应在投标文件中声明在不涉及硬件的情况下，优先免费为采购人提供升级软件。</w:t>
      </w:r>
    </w:p>
    <w:p w14:paraId="1F91CEE1"/>
    <w:p w14:paraId="785DDEC2">
      <w:pPr>
        <w:snapToGrid w:val="0"/>
        <w:spacing w:line="360" w:lineRule="auto"/>
        <w:ind w:firstLine="480" w:firstLineChars="200"/>
        <w:rPr>
          <w:rFonts w:hint="eastAsia" w:ascii="仿宋" w:hAnsi="仿宋" w:eastAsia="仿宋" w:cs="仿宋"/>
          <w:bCs/>
          <w:sz w:val="24"/>
        </w:rPr>
      </w:pPr>
    </w:p>
    <w:p w14:paraId="08213581">
      <w:pPr>
        <w:pStyle w:val="2"/>
        <w:spacing w:line="360" w:lineRule="auto"/>
        <w:ind w:firstLine="480" w:firstLineChars="200"/>
      </w:pPr>
    </w:p>
    <w:p w14:paraId="725BDB14">
      <w:pPr>
        <w:pStyle w:val="2"/>
        <w:rPr>
          <w:b/>
        </w:rPr>
      </w:pPr>
    </w:p>
    <w:p w14:paraId="6A575CA1">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3、为落实政府采购政策需满足的要求</w:t>
      </w:r>
    </w:p>
    <w:p w14:paraId="675E4A0D">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2882EB3A">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27C3DD9E">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0B64ECDA">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4C3CC007">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6BA93E75">
      <w:pPr>
        <w:snapToGrid w:val="0"/>
        <w:spacing w:line="360" w:lineRule="auto"/>
        <w:ind w:firstLine="480" w:firstLineChars="200"/>
        <w:rPr>
          <w:rFonts w:hint="eastAsia" w:ascii="仿宋" w:hAnsi="仿宋" w:eastAsia="仿宋" w:cs="仿宋"/>
          <w:bCs/>
          <w:sz w:val="24"/>
        </w:rPr>
      </w:pPr>
      <w:bookmarkStart w:id="2"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 w:name="OLE_LINK55"/>
      <w:bookmarkStart w:id="4" w:name="OLE_LINK56"/>
      <w:r>
        <w:rPr>
          <w:rFonts w:hint="eastAsia" w:ascii="仿宋" w:hAnsi="仿宋" w:eastAsia="仿宋" w:cs="仿宋"/>
          <w:b/>
          <w:bCs/>
          <w:sz w:val="24"/>
        </w:rPr>
        <w:t>投标人</w:t>
      </w:r>
      <w:bookmarkEnd w:id="3"/>
      <w:bookmarkEnd w:id="4"/>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
    </w:p>
    <w:p w14:paraId="21364359">
      <w:pPr>
        <w:pStyle w:val="2"/>
      </w:pPr>
    </w:p>
    <w:p w14:paraId="45285829">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4、采购标的的其他技术、服务等要求</w:t>
      </w:r>
    </w:p>
    <w:p w14:paraId="545140E9">
      <w:pPr>
        <w:spacing w:line="360" w:lineRule="auto"/>
        <w:ind w:firstLine="482" w:firstLineChars="200"/>
        <w:rPr>
          <w:rFonts w:hint="eastAsia" w:ascii="仿宋" w:hAnsi="仿宋" w:eastAsia="仿宋"/>
          <w:b/>
          <w:sz w:val="24"/>
        </w:rPr>
      </w:pPr>
      <w:r>
        <w:rPr>
          <w:rFonts w:hint="eastAsia" w:ascii="仿宋" w:hAnsi="仿宋" w:eastAsia="仿宋"/>
          <w:b/>
          <w:sz w:val="24"/>
        </w:rPr>
        <w:t>4.1 投标人需要提供投标产品技术支持资料（或证明材料），并需要同时加盖投标人公章。对于技术规格中标注“▲”号的技术参数，投标人须在投标文件中按照招标文件技术规格的要求提供技术应答的证明材料。对于投标人提供的投标文件技术应答未按本条款要求提供投标产品技术支持资料（或证明材料）的，或提供的投标产品技术支持资料（或证明材料）未按本条款要求加盖投标人公章的，评标委员会可不予承认，并可认为该技术应答不符合招标文件要求。由此产生的评标风险，由投标人承担。</w:t>
      </w:r>
    </w:p>
    <w:p w14:paraId="2F973526">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4.2投标人提供产品的设计、制作、工艺等，应不侵犯任何第三方的知识产权，代理销售的产品应具有合法有效的销售权，投标人不得擅自使用采购人的标志、技术、信息及其他资料，如因知识产权、代理销售权等纠纷引发的任何责任由投标人自行承担，采购人不承担任何责任。如因此给采购人造成损失的，投标人负责全额赔偿。保密方因签署或履行本合同而了解或接触到对方的商业秘密及其他保密资料或信息均应保守秘密，非经对方书面同意，任何一方不得向任何第三方泄露、给予或转让该保密信息。保密期限不以本合同期限为限，合同到期仍然要履行保密义务。</w:t>
      </w:r>
    </w:p>
    <w:p w14:paraId="622A2EAF">
      <w:pPr>
        <w:snapToGrid w:val="0"/>
        <w:spacing w:line="360" w:lineRule="auto"/>
        <w:ind w:firstLine="480" w:firstLineChars="200"/>
        <w:rPr>
          <w:rFonts w:hint="eastAsia" w:ascii="仿宋" w:hAnsi="仿宋" w:eastAsia="仿宋" w:cs="仿宋"/>
          <w:bCs/>
          <w:sz w:val="24"/>
        </w:rPr>
      </w:pPr>
    </w:p>
    <w:p w14:paraId="03A66C94">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5、需由投标人提供设计方案、解决方案或者组织方案的采购项目，应当说明采购标的的功能、应用场景、目标等基本要求</w:t>
      </w:r>
    </w:p>
    <w:p w14:paraId="5DE4790F">
      <w:p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无</w:t>
      </w:r>
    </w:p>
    <w:p w14:paraId="27ACC789">
      <w:pPr>
        <w:pStyle w:val="2"/>
        <w:rPr>
          <w:rFonts w:hint="eastAsia" w:ascii="仿宋" w:hAnsi="仿宋" w:eastAsia="仿宋"/>
        </w:rPr>
      </w:pPr>
    </w:p>
    <w:p w14:paraId="3602E70B">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（三）验收标准</w:t>
      </w:r>
    </w:p>
    <w:p w14:paraId="7C76DBF5">
      <w:pPr>
        <w:tabs>
          <w:tab w:val="left" w:pos="900"/>
        </w:tabs>
        <w:spacing w:before="156" w:beforeLines="50" w:line="360" w:lineRule="auto"/>
        <w:ind w:firstLine="480" w:firstLineChars="200"/>
        <w:rPr>
          <w:rFonts w:hint="eastAsia" w:ascii="仿宋" w:hAnsi="仿宋" w:eastAsia="仿宋"/>
          <w:sz w:val="24"/>
        </w:rPr>
      </w:pPr>
      <w:r>
        <w:rPr>
          <w:rFonts w:hint="eastAsia" w:ascii="仿宋" w:hAnsi="仿宋" w:eastAsia="仿宋"/>
          <w:sz w:val="24"/>
        </w:rPr>
        <w:t>在交货前，采购人应进行详细而全面的验收，并开具验收清单。但有关功能、性能等重要指标检验不应视为最终检验。</w:t>
      </w:r>
    </w:p>
    <w:p w14:paraId="0BA3106D">
      <w:pPr>
        <w:tabs>
          <w:tab w:val="left" w:pos="900"/>
        </w:tabs>
        <w:spacing w:before="156" w:beforeLines="50" w:line="360" w:lineRule="auto"/>
        <w:ind w:firstLine="480" w:firstLineChars="200"/>
        <w:rPr>
          <w:rFonts w:hint="eastAsia" w:ascii="仿宋" w:hAnsi="仿宋" w:eastAsia="仿宋"/>
          <w:sz w:val="24"/>
        </w:rPr>
      </w:pPr>
      <w:r>
        <w:rPr>
          <w:rFonts w:hint="eastAsia" w:ascii="仿宋" w:hAnsi="仿宋" w:eastAsia="仿宋"/>
          <w:sz w:val="24"/>
        </w:rPr>
        <w:t>在投标人将产品提交采购人进行验收之前，必须保证投标人本身已经对产品进行必要的检测。</w:t>
      </w:r>
    </w:p>
    <w:p w14:paraId="7B78CE46">
      <w:pPr>
        <w:tabs>
          <w:tab w:val="left" w:pos="900"/>
        </w:tabs>
        <w:spacing w:before="156" w:beforeLines="50" w:line="360" w:lineRule="auto"/>
        <w:ind w:firstLine="480" w:firstLineChars="200"/>
        <w:rPr>
          <w:rFonts w:hint="eastAsia" w:ascii="仿宋" w:hAnsi="仿宋" w:eastAsia="仿宋"/>
          <w:sz w:val="24"/>
        </w:rPr>
      </w:pPr>
      <w:r>
        <w:rPr>
          <w:rFonts w:hint="eastAsia" w:ascii="仿宋" w:hAnsi="仿宋" w:eastAsia="仿宋"/>
          <w:sz w:val="24"/>
        </w:rPr>
        <w:t xml:space="preserve"> 仪器交货后，投标人应负责仪器设备的安装、运行和性能确认，直至可以投入使用后移交采购人，并向采购人提供全部的确认数据和记录。</w:t>
      </w:r>
    </w:p>
    <w:p w14:paraId="13269A81">
      <w:pPr>
        <w:tabs>
          <w:tab w:val="left" w:pos="900"/>
        </w:tabs>
        <w:spacing w:before="156" w:beforeLines="50" w:line="360" w:lineRule="auto"/>
        <w:ind w:firstLine="480" w:firstLineChars="200"/>
        <w:rPr>
          <w:rFonts w:hint="eastAsia" w:ascii="仿宋" w:hAnsi="仿宋" w:eastAsia="仿宋"/>
          <w:sz w:val="24"/>
        </w:rPr>
      </w:pPr>
    </w:p>
    <w:p w14:paraId="6E2B59EB">
      <w:pPr>
        <w:numPr>
          <w:ilvl w:val="255"/>
          <w:numId w:val="0"/>
        </w:numPr>
        <w:snapToGrid w:val="0"/>
        <w:spacing w:line="360" w:lineRule="auto"/>
        <w:ind w:firstLine="480" w:firstLineChars="200"/>
        <w:rPr>
          <w:rFonts w:hint="eastAsia" w:ascii="仿宋" w:hAnsi="仿宋" w:eastAsia="仿宋" w:cs="仿宋"/>
          <w:bCs/>
          <w:sz w:val="24"/>
        </w:rPr>
      </w:pPr>
    </w:p>
    <w:p w14:paraId="60C742DA">
      <w:pPr>
        <w:pStyle w:val="2"/>
      </w:pPr>
    </w:p>
    <w:p w14:paraId="0F157DB6">
      <w:pPr>
        <w:numPr>
          <w:ilvl w:val="255"/>
          <w:numId w:val="0"/>
        </w:num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（四）其他要求</w:t>
      </w:r>
    </w:p>
    <w:p w14:paraId="5BC52100">
      <w:pPr>
        <w:numPr>
          <w:ilvl w:val="255"/>
          <w:numId w:val="0"/>
        </w:numPr>
        <w:snapToGrid w:val="0"/>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无</w:t>
      </w:r>
    </w:p>
    <w:p w14:paraId="12E9091E">
      <w:pPr>
        <w:numPr>
          <w:ilvl w:val="255"/>
          <w:numId w:val="0"/>
        </w:numPr>
        <w:snapToGrid w:val="0"/>
        <w:spacing w:line="360" w:lineRule="auto"/>
        <w:ind w:firstLine="480" w:firstLineChars="200"/>
        <w:rPr>
          <w:rFonts w:ascii="仿宋" w:hAnsi="仿宋" w:eastAsia="仿宋" w:cs="仿宋"/>
          <w:bCs/>
          <w:sz w:val="24"/>
        </w:rPr>
      </w:pP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B0DFD"/>
    <w:rsid w:val="13B21AD2"/>
    <w:rsid w:val="15B842CF"/>
    <w:rsid w:val="45151F83"/>
    <w:rsid w:val="499B530F"/>
    <w:rsid w:val="652F7039"/>
    <w:rsid w:val="7DB54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 w:type="paragraph" w:styleId="6">
    <w:name w:val="List Paragraph"/>
    <w:basedOn w:val="1"/>
    <w:qFormat/>
    <w:uiPriority w:val="34"/>
    <w:pPr>
      <w:ind w:firstLine="420" w:firstLineChars="200"/>
    </w:pPr>
    <w:rPr>
      <w:rFonts w:ascii="Calibri" w:hAnsi="Calibri"/>
      <w:szCs w:val="22"/>
    </w:rPr>
  </w:style>
  <w:style w:type="paragraph" w:customStyle="1" w:styleId="7">
    <w:name w:val="SOW正文"/>
    <w:basedOn w:val="1"/>
    <w:qFormat/>
    <w:uiPriority w:val="0"/>
    <w:pPr>
      <w:snapToGrid w:val="0"/>
      <w:spacing w:before="120" w:line="400" w:lineRule="exact"/>
      <w:ind w:firstLine="425"/>
    </w:pPr>
    <w:rPr>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4265</Words>
  <Characters>4419</Characters>
  <Lines>0</Lines>
  <Paragraphs>0</Paragraphs>
  <TotalTime>0</TotalTime>
  <ScaleCrop>false</ScaleCrop>
  <LinksUpToDate>false</LinksUpToDate>
  <CharactersWithSpaces>4433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2026-06-16T03:52:00Z</dcterms:created>
  <dc:creator>Lenovo</dc:creator>
  <cp:lastModifiedBy>侯…</cp:lastModifiedBy>
  <dcterms:modified xsi:type="dcterms:W3CDTF">2026-11-02T05:36:50Z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eyJoZGlkIjoiZjdhNDViMWNhMGIyNjZlYWRhYzg5MWEyZGM3NWJlMzMiLCJ1c2VySWQiOiI0Nzk1NTExODAifQ==</vt:lpwstr>
  </property>
  <property fmtid="{D5CDD505-2E9C-101B-9397-08002B2CF9AE}" pid="4" name="ICV">
    <vt:lpwstr>7B8B4E242EFC47D288153EE271CE976A_12</vt:lpwstr>
  </property>
</Properties>
</file>