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092D">
      <w:pPr>
        <w:pStyle w:val="4"/>
        <w:tabs>
          <w:tab w:val="left" w:pos="1630"/>
        </w:tabs>
        <w:spacing w:line="460" w:lineRule="exact"/>
        <w:ind w:left="8"/>
        <w:jc w:val="center"/>
        <w:rPr>
          <w:rFonts w:hint="eastAsia"/>
          <w:b/>
          <w:bCs/>
          <w:lang w:eastAsia="zh-CN"/>
        </w:rPr>
      </w:pPr>
      <w:r>
        <w:rPr>
          <w:rFonts w:hint="eastAsia"/>
          <w:b/>
          <w:bCs/>
          <w:lang w:val="en-US" w:eastAsia="zh-CN"/>
        </w:rPr>
        <w:t>01包</w:t>
      </w:r>
      <w:r>
        <w:rPr>
          <w:rFonts w:hint="eastAsia"/>
          <w:b/>
          <w:bCs/>
          <w:lang w:eastAsia="zh-CN"/>
        </w:rPr>
        <w:t>采购需求</w:t>
      </w:r>
    </w:p>
    <w:p w14:paraId="131BCA9C">
      <w:pPr>
        <w:rPr>
          <w:rFonts w:hint="eastAsia"/>
          <w:lang w:eastAsia="zh-CN"/>
        </w:rPr>
      </w:pPr>
    </w:p>
    <w:p w14:paraId="2C386C2F">
      <w:pPr>
        <w:pStyle w:val="7"/>
        <w:spacing w:before="1"/>
        <w:ind w:left="121"/>
        <w:rPr>
          <w:rFonts w:hint="eastAsia"/>
          <w:b/>
          <w:bCs/>
          <w:lang w:eastAsia="zh-CN"/>
        </w:rPr>
      </w:pPr>
      <w:r>
        <w:rPr>
          <w:rFonts w:hint="eastAsia"/>
          <w:b/>
          <w:bCs/>
          <w:lang w:eastAsia="zh-CN"/>
        </w:rPr>
        <w:t>一、采购标的</w:t>
      </w:r>
    </w:p>
    <w:p w14:paraId="0B9B12AE">
      <w:pPr>
        <w:pStyle w:val="15"/>
        <w:tabs>
          <w:tab w:val="left" w:pos="470"/>
          <w:tab w:val="left" w:pos="7040"/>
        </w:tabs>
        <w:spacing w:before="154" w:line="360" w:lineRule="auto"/>
        <w:ind w:left="121" w:right="1830" w:firstLine="269" w:firstLineChars="100"/>
        <w:rPr>
          <w:rFonts w:hint="eastAsia"/>
          <w:sz w:val="24"/>
          <w:lang w:eastAsia="zh-CN"/>
        </w:rPr>
      </w:pPr>
      <w:r>
        <w:rPr>
          <w:rFonts w:hint="eastAsia"/>
          <w:spacing w:val="-2"/>
          <w:w w:val="114"/>
          <w:sz w:val="24"/>
          <w:szCs w:val="24"/>
          <w:lang w:eastAsia="zh-CN"/>
        </w:rPr>
        <w:t>1.</w:t>
      </w:r>
      <w:r>
        <w:rPr>
          <w:rFonts w:hint="eastAsia"/>
          <w:sz w:val="24"/>
          <w:lang w:eastAsia="zh-CN"/>
        </w:rPr>
        <w:t>采购标的（货物需求一览表）</w:t>
      </w:r>
      <w:bookmarkStart w:id="108" w:name="_GoBack"/>
      <w:bookmarkEnd w:id="108"/>
    </w:p>
    <w:tbl>
      <w:tblPr>
        <w:tblStyle w:val="12"/>
        <w:tblW w:w="92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733"/>
      </w:tblGrid>
      <w:tr w14:paraId="50C7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vAlign w:val="center"/>
          </w:tcPr>
          <w:p w14:paraId="57285B40">
            <w:pPr>
              <w:pStyle w:val="16"/>
              <w:jc w:val="center"/>
              <w:rPr>
                <w:rFonts w:hint="eastAsia"/>
                <w:b/>
                <w:bCs/>
                <w:sz w:val="24"/>
                <w:szCs w:val="24"/>
                <w:lang w:eastAsia="zh-CN"/>
              </w:rPr>
            </w:pPr>
            <w:bookmarkStart w:id="0" w:name="RANGE!J9"/>
            <w:r>
              <w:rPr>
                <w:rFonts w:hint="eastAsia"/>
                <w:b/>
                <w:bCs/>
                <w:sz w:val="24"/>
                <w:szCs w:val="24"/>
                <w:lang w:eastAsia="zh-CN"/>
              </w:rPr>
              <w:t>包号</w:t>
            </w:r>
            <w:bookmarkEnd w:id="0"/>
          </w:p>
        </w:tc>
        <w:tc>
          <w:tcPr>
            <w:tcW w:w="1083" w:type="dxa"/>
            <w:tcBorders>
              <w:top w:val="single" w:color="000000" w:sz="4" w:space="0"/>
              <w:left w:val="single" w:color="000000" w:sz="4" w:space="0"/>
              <w:bottom w:val="single" w:color="000000" w:sz="4" w:space="0"/>
              <w:right w:val="single" w:color="000000" w:sz="4" w:space="0"/>
            </w:tcBorders>
            <w:vAlign w:val="center"/>
          </w:tcPr>
          <w:p w14:paraId="42418F60">
            <w:pPr>
              <w:pStyle w:val="16"/>
              <w:jc w:val="center"/>
              <w:rPr>
                <w:rFonts w:hint="eastAsia"/>
                <w:b/>
                <w:bCs/>
                <w:sz w:val="24"/>
                <w:szCs w:val="24"/>
                <w:lang w:eastAsia="zh-CN"/>
              </w:rPr>
            </w:pPr>
            <w:r>
              <w:rPr>
                <w:rFonts w:hint="eastAsia"/>
                <w:b/>
                <w:bCs/>
                <w:sz w:val="24"/>
                <w:szCs w:val="24"/>
                <w:lang w:eastAsia="zh-CN"/>
              </w:rPr>
              <w:t>品目号</w:t>
            </w:r>
          </w:p>
        </w:tc>
        <w:tc>
          <w:tcPr>
            <w:tcW w:w="2569" w:type="dxa"/>
            <w:tcBorders>
              <w:top w:val="single" w:color="000000" w:sz="4" w:space="0"/>
              <w:left w:val="single" w:color="000000" w:sz="4" w:space="0"/>
              <w:bottom w:val="single" w:color="000000" w:sz="4" w:space="0"/>
              <w:right w:val="single" w:color="000000" w:sz="4" w:space="0"/>
            </w:tcBorders>
            <w:vAlign w:val="center"/>
          </w:tcPr>
          <w:p w14:paraId="682629A5">
            <w:pPr>
              <w:pStyle w:val="16"/>
              <w:jc w:val="center"/>
              <w:rPr>
                <w:rFonts w:hint="eastAsia"/>
                <w:b/>
                <w:bCs/>
                <w:sz w:val="24"/>
                <w:szCs w:val="24"/>
                <w:lang w:eastAsia="zh-CN"/>
              </w:rPr>
            </w:pPr>
            <w:r>
              <w:rPr>
                <w:rFonts w:hint="eastAsia"/>
                <w:b/>
                <w:bCs/>
                <w:sz w:val="24"/>
                <w:szCs w:val="24"/>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vAlign w:val="center"/>
          </w:tcPr>
          <w:p w14:paraId="1B187BA1">
            <w:pPr>
              <w:pStyle w:val="16"/>
              <w:jc w:val="center"/>
              <w:rPr>
                <w:rFonts w:hint="eastAsia"/>
                <w:b/>
                <w:bCs/>
                <w:sz w:val="24"/>
                <w:szCs w:val="24"/>
              </w:rPr>
            </w:pPr>
            <w:r>
              <w:rPr>
                <w:rFonts w:hint="eastAsia"/>
                <w:b/>
                <w:bCs/>
                <w:sz w:val="24"/>
                <w:szCs w:val="24"/>
              </w:rPr>
              <w:t>数量</w:t>
            </w:r>
          </w:p>
          <w:p w14:paraId="154B9D6B">
            <w:pPr>
              <w:pStyle w:val="16"/>
              <w:jc w:val="center"/>
              <w:rPr>
                <w:rFonts w:hint="eastAsia"/>
                <w:b/>
                <w:bCs/>
                <w:sz w:val="24"/>
                <w:szCs w:val="24"/>
              </w:rPr>
            </w:pPr>
            <w:r>
              <w:rPr>
                <w:rFonts w:hint="eastAsia"/>
                <w:b/>
                <w:bCs/>
                <w:sz w:val="24"/>
                <w:szCs w:val="24"/>
              </w:rPr>
              <w:t>（台/套）</w:t>
            </w:r>
          </w:p>
        </w:tc>
        <w:tc>
          <w:tcPr>
            <w:tcW w:w="1733" w:type="dxa"/>
            <w:tcBorders>
              <w:top w:val="single" w:color="000000" w:sz="4" w:space="0"/>
              <w:left w:val="single" w:color="000000" w:sz="4" w:space="0"/>
              <w:bottom w:val="single" w:color="000000" w:sz="4" w:space="0"/>
              <w:right w:val="single" w:color="000000" w:sz="4" w:space="0"/>
            </w:tcBorders>
            <w:vAlign w:val="center"/>
          </w:tcPr>
          <w:p w14:paraId="10E2C1C1">
            <w:pPr>
              <w:pStyle w:val="16"/>
              <w:jc w:val="center"/>
              <w:rPr>
                <w:rFonts w:hint="eastAsia"/>
                <w:b/>
                <w:bCs/>
                <w:sz w:val="24"/>
                <w:szCs w:val="24"/>
                <w:lang w:eastAsia="zh-CN"/>
              </w:rPr>
            </w:pPr>
            <w:r>
              <w:rPr>
                <w:rFonts w:hint="eastAsia"/>
                <w:b/>
                <w:bCs/>
                <w:sz w:val="24"/>
                <w:szCs w:val="24"/>
                <w:lang w:eastAsia="zh-CN"/>
              </w:rPr>
              <w:t>是否允许采购进口产品</w:t>
            </w:r>
          </w:p>
        </w:tc>
        <w:tc>
          <w:tcPr>
            <w:tcW w:w="1733" w:type="dxa"/>
            <w:tcBorders>
              <w:top w:val="single" w:color="000000" w:sz="4" w:space="0"/>
              <w:left w:val="single" w:color="000000" w:sz="4" w:space="0"/>
              <w:bottom w:val="single" w:color="000000" w:sz="4" w:space="0"/>
              <w:right w:val="single" w:color="000000" w:sz="4" w:space="0"/>
            </w:tcBorders>
            <w:vAlign w:val="center"/>
          </w:tcPr>
          <w:p w14:paraId="662FBF36">
            <w:pPr>
              <w:pStyle w:val="16"/>
              <w:jc w:val="center"/>
              <w:rPr>
                <w:rFonts w:hint="eastAsia"/>
                <w:b/>
                <w:bCs/>
                <w:sz w:val="24"/>
                <w:szCs w:val="24"/>
                <w:lang w:eastAsia="zh-CN"/>
              </w:rPr>
            </w:pPr>
            <w:r>
              <w:rPr>
                <w:rFonts w:hint="eastAsia"/>
                <w:b/>
                <w:bCs/>
                <w:sz w:val="24"/>
                <w:szCs w:val="24"/>
                <w:lang w:eastAsia="zh-CN"/>
              </w:rPr>
              <w:t>质保期</w:t>
            </w:r>
          </w:p>
        </w:tc>
      </w:tr>
      <w:tr w14:paraId="2762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top w:val="single" w:color="000000" w:sz="4" w:space="0"/>
              <w:left w:val="single" w:color="000000" w:sz="4" w:space="0"/>
              <w:right w:val="single" w:color="000000" w:sz="4" w:space="0"/>
            </w:tcBorders>
            <w:vAlign w:val="center"/>
          </w:tcPr>
          <w:p w14:paraId="0AD4949C">
            <w:pPr>
              <w:pStyle w:val="16"/>
              <w:jc w:val="center"/>
              <w:rPr>
                <w:rFonts w:hint="eastAsia"/>
                <w:sz w:val="24"/>
                <w:szCs w:val="24"/>
                <w:lang w:eastAsia="zh-CN"/>
              </w:rPr>
            </w:pPr>
            <w:r>
              <w:rPr>
                <w:rFonts w:hint="eastAsia"/>
                <w:sz w:val="24"/>
                <w:szCs w:val="24"/>
                <w:lang w:eastAsia="zh-CN"/>
              </w:rPr>
              <w:t>1</w:t>
            </w:r>
          </w:p>
        </w:tc>
        <w:tc>
          <w:tcPr>
            <w:tcW w:w="1083" w:type="dxa"/>
            <w:tcBorders>
              <w:top w:val="single" w:color="000000" w:sz="4" w:space="0"/>
              <w:left w:val="single" w:color="000000" w:sz="4" w:space="0"/>
              <w:bottom w:val="single" w:color="000000" w:sz="4" w:space="0"/>
              <w:right w:val="single" w:color="000000" w:sz="4" w:space="0"/>
            </w:tcBorders>
            <w:vAlign w:val="center"/>
          </w:tcPr>
          <w:p w14:paraId="1855D9A6">
            <w:pPr>
              <w:widowControl/>
              <w:jc w:val="center"/>
              <w:textAlignment w:val="center"/>
              <w:rPr>
                <w:rFonts w:hint="eastAsia"/>
                <w:sz w:val="24"/>
                <w:szCs w:val="24"/>
                <w:lang w:eastAsia="zh-CN"/>
              </w:rPr>
            </w:pPr>
            <w:r>
              <w:rPr>
                <w:rFonts w:hint="eastAsia"/>
                <w:sz w:val="24"/>
                <w:szCs w:val="24"/>
                <w:lang w:eastAsia="zh-CN"/>
              </w:rPr>
              <w:t>1-1</w:t>
            </w:r>
          </w:p>
        </w:tc>
        <w:tc>
          <w:tcPr>
            <w:tcW w:w="2569" w:type="dxa"/>
            <w:tcBorders>
              <w:top w:val="single" w:color="000000" w:sz="4" w:space="0"/>
              <w:left w:val="single" w:color="000000" w:sz="4" w:space="0"/>
              <w:bottom w:val="single" w:color="000000" w:sz="4" w:space="0"/>
              <w:right w:val="single" w:color="000000" w:sz="4" w:space="0"/>
            </w:tcBorders>
            <w:vAlign w:val="center"/>
          </w:tcPr>
          <w:p w14:paraId="308B78E4">
            <w:pPr>
              <w:widowControl/>
              <w:jc w:val="center"/>
              <w:textAlignment w:val="center"/>
              <w:rPr>
                <w:rFonts w:hint="eastAsia"/>
                <w:sz w:val="24"/>
                <w:szCs w:val="24"/>
                <w:lang w:eastAsia="zh-CN"/>
              </w:rPr>
            </w:pPr>
            <w:r>
              <w:rPr>
                <w:rFonts w:hint="eastAsia"/>
                <w:color w:val="000000"/>
                <w:sz w:val="24"/>
                <w:szCs w:val="24"/>
                <w:lang w:eastAsia="zh-CN" w:bidi="ar"/>
              </w:rPr>
              <w:t>云桌面一体机</w:t>
            </w:r>
          </w:p>
        </w:tc>
        <w:tc>
          <w:tcPr>
            <w:tcW w:w="1293" w:type="dxa"/>
            <w:tcBorders>
              <w:top w:val="single" w:color="000000" w:sz="4" w:space="0"/>
              <w:left w:val="single" w:color="000000" w:sz="4" w:space="0"/>
              <w:bottom w:val="single" w:color="000000" w:sz="4" w:space="0"/>
              <w:right w:val="single" w:color="000000" w:sz="4" w:space="0"/>
            </w:tcBorders>
            <w:vAlign w:val="center"/>
          </w:tcPr>
          <w:p w14:paraId="71A99685">
            <w:pPr>
              <w:widowControl/>
              <w:jc w:val="center"/>
              <w:textAlignment w:val="center"/>
              <w:rPr>
                <w:rFonts w:hint="eastAsia"/>
                <w:sz w:val="24"/>
                <w:szCs w:val="24"/>
              </w:rPr>
            </w:pPr>
            <w:r>
              <w:rPr>
                <w:rFonts w:hint="eastAsia"/>
                <w:color w:val="000000"/>
                <w:sz w:val="24"/>
                <w:szCs w:val="24"/>
                <w:lang w:eastAsia="zh-CN" w:bidi="ar"/>
              </w:rPr>
              <w:t>3</w:t>
            </w:r>
          </w:p>
        </w:tc>
        <w:tc>
          <w:tcPr>
            <w:tcW w:w="1733" w:type="dxa"/>
            <w:tcBorders>
              <w:top w:val="single" w:color="000000" w:sz="4" w:space="0"/>
              <w:left w:val="single" w:color="000000" w:sz="4" w:space="0"/>
              <w:bottom w:val="single" w:color="000000" w:sz="4" w:space="0"/>
              <w:right w:val="single" w:color="000000" w:sz="4" w:space="0"/>
            </w:tcBorders>
            <w:vAlign w:val="center"/>
          </w:tcPr>
          <w:p w14:paraId="12006867">
            <w:pPr>
              <w:widowControl/>
              <w:jc w:val="center"/>
              <w:rPr>
                <w:rFonts w:hint="eastAsia"/>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34B1E31A">
            <w:pPr>
              <w:pStyle w:val="16"/>
              <w:jc w:val="center"/>
              <w:rPr>
                <w:rFonts w:hint="eastAsia"/>
                <w:sz w:val="24"/>
                <w:szCs w:val="24"/>
                <w:lang w:eastAsia="zh-CN"/>
              </w:rPr>
            </w:pPr>
            <w:r>
              <w:rPr>
                <w:rFonts w:hint="eastAsia"/>
                <w:sz w:val="24"/>
                <w:szCs w:val="24"/>
                <w:lang w:eastAsia="zh-CN"/>
              </w:rPr>
              <w:t>三年</w:t>
            </w:r>
          </w:p>
        </w:tc>
      </w:tr>
      <w:tr w14:paraId="2F00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trPr>
        <w:tc>
          <w:tcPr>
            <w:tcW w:w="823" w:type="dxa"/>
            <w:vMerge w:val="continue"/>
            <w:tcBorders>
              <w:left w:val="single" w:color="000000" w:sz="4" w:space="0"/>
              <w:right w:val="single" w:color="000000" w:sz="4" w:space="0"/>
            </w:tcBorders>
            <w:vAlign w:val="center"/>
          </w:tcPr>
          <w:p w14:paraId="7D31070B">
            <w:pPr>
              <w:pStyle w:val="16"/>
              <w:jc w:val="center"/>
              <w:rPr>
                <w:rFonts w:hint="eastAsia"/>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5CE824FC">
            <w:pPr>
              <w:widowControl/>
              <w:jc w:val="center"/>
              <w:textAlignment w:val="center"/>
              <w:rPr>
                <w:rFonts w:hint="eastAsia"/>
                <w:sz w:val="24"/>
                <w:szCs w:val="24"/>
                <w:lang w:eastAsia="zh-CN"/>
              </w:rPr>
            </w:pPr>
            <w:r>
              <w:rPr>
                <w:rFonts w:hint="eastAsia"/>
                <w:sz w:val="24"/>
                <w:szCs w:val="24"/>
                <w:lang w:eastAsia="zh-CN"/>
              </w:rPr>
              <w:t>1-2</w:t>
            </w:r>
          </w:p>
        </w:tc>
        <w:tc>
          <w:tcPr>
            <w:tcW w:w="2569" w:type="dxa"/>
            <w:tcBorders>
              <w:top w:val="single" w:color="000000" w:sz="4" w:space="0"/>
              <w:left w:val="single" w:color="000000" w:sz="4" w:space="0"/>
              <w:bottom w:val="single" w:color="000000" w:sz="4" w:space="0"/>
              <w:right w:val="single" w:color="000000" w:sz="4" w:space="0"/>
            </w:tcBorders>
            <w:vAlign w:val="center"/>
          </w:tcPr>
          <w:p w14:paraId="50DFB847">
            <w:pPr>
              <w:widowControl/>
              <w:jc w:val="center"/>
              <w:textAlignment w:val="center"/>
              <w:rPr>
                <w:rFonts w:hint="eastAsia"/>
                <w:sz w:val="24"/>
                <w:szCs w:val="24"/>
                <w:lang w:eastAsia="zh-CN"/>
              </w:rPr>
            </w:pPr>
            <w:r>
              <w:rPr>
                <w:rFonts w:hint="eastAsia"/>
                <w:color w:val="000000"/>
                <w:sz w:val="24"/>
                <w:szCs w:val="24"/>
                <w:lang w:eastAsia="zh-CN" w:bidi="ar"/>
              </w:rPr>
              <w:t>集中存储扩容</w:t>
            </w:r>
          </w:p>
        </w:tc>
        <w:tc>
          <w:tcPr>
            <w:tcW w:w="1293" w:type="dxa"/>
            <w:tcBorders>
              <w:top w:val="single" w:color="000000" w:sz="4" w:space="0"/>
              <w:left w:val="single" w:color="000000" w:sz="4" w:space="0"/>
              <w:bottom w:val="single" w:color="000000" w:sz="4" w:space="0"/>
              <w:right w:val="single" w:color="000000" w:sz="4" w:space="0"/>
            </w:tcBorders>
            <w:vAlign w:val="center"/>
          </w:tcPr>
          <w:p w14:paraId="31AD68BD">
            <w:pPr>
              <w:widowControl/>
              <w:jc w:val="center"/>
              <w:textAlignment w:val="center"/>
              <w:rPr>
                <w:rFonts w:hint="eastAsia"/>
                <w:sz w:val="24"/>
                <w:szCs w:val="24"/>
              </w:rPr>
            </w:pPr>
            <w:r>
              <w:rPr>
                <w:rFonts w:hint="eastAsia"/>
                <w:color w:val="000000"/>
                <w:sz w:val="24"/>
                <w:szCs w:val="24"/>
                <w:lang w:eastAsia="zh-CN" w:bidi="ar"/>
              </w:rPr>
              <w:t>2</w:t>
            </w:r>
          </w:p>
        </w:tc>
        <w:tc>
          <w:tcPr>
            <w:tcW w:w="1733" w:type="dxa"/>
            <w:tcBorders>
              <w:top w:val="single" w:color="000000" w:sz="4" w:space="0"/>
              <w:left w:val="single" w:color="000000" w:sz="4" w:space="0"/>
              <w:bottom w:val="single" w:color="000000" w:sz="4" w:space="0"/>
              <w:right w:val="single" w:color="000000" w:sz="4" w:space="0"/>
            </w:tcBorders>
            <w:vAlign w:val="center"/>
          </w:tcPr>
          <w:p w14:paraId="6497F88B">
            <w:pPr>
              <w:widowControl/>
              <w:jc w:val="center"/>
              <w:rPr>
                <w:rFonts w:hint="eastAsia"/>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3526DD30">
            <w:pPr>
              <w:jc w:val="center"/>
              <w:rPr>
                <w:rFonts w:hint="eastAsia"/>
                <w:sz w:val="24"/>
                <w:szCs w:val="24"/>
                <w:lang w:eastAsia="zh-CN"/>
              </w:rPr>
            </w:pPr>
            <w:r>
              <w:rPr>
                <w:rFonts w:hint="eastAsia"/>
                <w:sz w:val="24"/>
                <w:szCs w:val="24"/>
                <w:lang w:eastAsia="zh-CN"/>
              </w:rPr>
              <w:t>三年</w:t>
            </w:r>
          </w:p>
        </w:tc>
      </w:tr>
      <w:tr w14:paraId="7759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vAlign w:val="center"/>
          </w:tcPr>
          <w:p w14:paraId="3BC1ED0D">
            <w:pPr>
              <w:pStyle w:val="16"/>
              <w:jc w:val="center"/>
              <w:rPr>
                <w:rFonts w:hint="eastAsia"/>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9AFD920">
            <w:pPr>
              <w:widowControl/>
              <w:jc w:val="center"/>
              <w:textAlignment w:val="center"/>
              <w:rPr>
                <w:rFonts w:hint="eastAsia"/>
                <w:sz w:val="24"/>
                <w:szCs w:val="24"/>
                <w:lang w:eastAsia="zh-CN"/>
              </w:rPr>
            </w:pPr>
            <w:r>
              <w:rPr>
                <w:rFonts w:hint="eastAsia"/>
                <w:sz w:val="24"/>
                <w:szCs w:val="24"/>
                <w:lang w:eastAsia="zh-CN"/>
              </w:rPr>
              <w:t>1-3</w:t>
            </w:r>
          </w:p>
        </w:tc>
        <w:tc>
          <w:tcPr>
            <w:tcW w:w="2569" w:type="dxa"/>
            <w:tcBorders>
              <w:top w:val="single" w:color="000000" w:sz="4" w:space="0"/>
              <w:left w:val="single" w:color="000000" w:sz="4" w:space="0"/>
              <w:bottom w:val="single" w:color="000000" w:sz="4" w:space="0"/>
              <w:right w:val="single" w:color="000000" w:sz="4" w:space="0"/>
            </w:tcBorders>
            <w:vAlign w:val="center"/>
          </w:tcPr>
          <w:p w14:paraId="0A296C75">
            <w:pPr>
              <w:widowControl/>
              <w:jc w:val="center"/>
              <w:textAlignment w:val="center"/>
              <w:rPr>
                <w:rFonts w:hint="eastAsia"/>
                <w:sz w:val="24"/>
                <w:szCs w:val="24"/>
                <w:lang w:eastAsia="zh-CN"/>
              </w:rPr>
            </w:pPr>
            <w:r>
              <w:rPr>
                <w:rFonts w:hint="eastAsia"/>
                <w:color w:val="000000"/>
                <w:sz w:val="24"/>
                <w:szCs w:val="24"/>
                <w:lang w:eastAsia="zh-CN" w:bidi="ar"/>
              </w:rPr>
              <w:t>备份一体机</w:t>
            </w:r>
          </w:p>
        </w:tc>
        <w:tc>
          <w:tcPr>
            <w:tcW w:w="1293" w:type="dxa"/>
            <w:tcBorders>
              <w:top w:val="single" w:color="000000" w:sz="4" w:space="0"/>
              <w:left w:val="single" w:color="000000" w:sz="4" w:space="0"/>
              <w:bottom w:val="single" w:color="000000" w:sz="4" w:space="0"/>
              <w:right w:val="single" w:color="000000" w:sz="4" w:space="0"/>
            </w:tcBorders>
            <w:vAlign w:val="center"/>
          </w:tcPr>
          <w:p w14:paraId="72327115">
            <w:pPr>
              <w:widowControl/>
              <w:jc w:val="center"/>
              <w:textAlignment w:val="center"/>
              <w:rPr>
                <w:rFonts w:hint="eastAsia"/>
                <w:sz w:val="24"/>
                <w:szCs w:val="24"/>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142935C2">
            <w:pPr>
              <w:widowControl/>
              <w:jc w:val="center"/>
              <w:rPr>
                <w:rFonts w:hint="eastAsia"/>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0C000203">
            <w:pPr>
              <w:jc w:val="center"/>
              <w:rPr>
                <w:rFonts w:hint="eastAsia"/>
                <w:sz w:val="24"/>
                <w:szCs w:val="24"/>
                <w:lang w:eastAsia="zh-CN"/>
              </w:rPr>
            </w:pPr>
            <w:r>
              <w:rPr>
                <w:rFonts w:hint="eastAsia"/>
                <w:sz w:val="24"/>
                <w:szCs w:val="24"/>
                <w:lang w:eastAsia="zh-CN"/>
              </w:rPr>
              <w:t>三年</w:t>
            </w:r>
          </w:p>
        </w:tc>
      </w:tr>
      <w:tr w14:paraId="657D5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vAlign w:val="center"/>
          </w:tcPr>
          <w:p w14:paraId="4CE0D9AB">
            <w:pPr>
              <w:pStyle w:val="16"/>
              <w:jc w:val="center"/>
              <w:rPr>
                <w:rFonts w:hint="eastAsia"/>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90B510E">
            <w:pPr>
              <w:widowControl/>
              <w:jc w:val="center"/>
              <w:textAlignment w:val="center"/>
              <w:rPr>
                <w:rFonts w:hint="eastAsia"/>
                <w:sz w:val="24"/>
                <w:szCs w:val="24"/>
                <w:lang w:eastAsia="zh-CN"/>
              </w:rPr>
            </w:pPr>
            <w:r>
              <w:rPr>
                <w:rFonts w:hint="eastAsia"/>
                <w:color w:val="000000"/>
                <w:sz w:val="24"/>
                <w:szCs w:val="24"/>
                <w:lang w:eastAsia="zh-CN" w:bidi="ar"/>
              </w:rPr>
              <w:t>1-4</w:t>
            </w:r>
          </w:p>
        </w:tc>
        <w:tc>
          <w:tcPr>
            <w:tcW w:w="2569" w:type="dxa"/>
            <w:tcBorders>
              <w:top w:val="single" w:color="000000" w:sz="4" w:space="0"/>
              <w:left w:val="single" w:color="000000" w:sz="4" w:space="0"/>
              <w:bottom w:val="single" w:color="000000" w:sz="4" w:space="0"/>
              <w:right w:val="single" w:color="000000" w:sz="4" w:space="0"/>
            </w:tcBorders>
            <w:vAlign w:val="center"/>
          </w:tcPr>
          <w:p w14:paraId="7231816A">
            <w:pPr>
              <w:widowControl/>
              <w:jc w:val="center"/>
              <w:textAlignment w:val="center"/>
              <w:rPr>
                <w:rFonts w:hint="eastAsia"/>
                <w:sz w:val="24"/>
                <w:szCs w:val="24"/>
              </w:rPr>
            </w:pPr>
            <w:r>
              <w:rPr>
                <w:rFonts w:hint="eastAsia"/>
                <w:color w:val="000000"/>
                <w:sz w:val="24"/>
                <w:szCs w:val="24"/>
                <w:lang w:eastAsia="zh-CN" w:bidi="ar"/>
              </w:rPr>
              <w:t>数据备份管理系统</w:t>
            </w:r>
          </w:p>
        </w:tc>
        <w:tc>
          <w:tcPr>
            <w:tcW w:w="1293" w:type="dxa"/>
            <w:tcBorders>
              <w:top w:val="single" w:color="000000" w:sz="4" w:space="0"/>
              <w:left w:val="single" w:color="000000" w:sz="4" w:space="0"/>
              <w:bottom w:val="single" w:color="000000" w:sz="4" w:space="0"/>
              <w:right w:val="single" w:color="000000" w:sz="4" w:space="0"/>
            </w:tcBorders>
            <w:vAlign w:val="center"/>
          </w:tcPr>
          <w:p w14:paraId="703EBEF5">
            <w:pPr>
              <w:widowControl/>
              <w:jc w:val="center"/>
              <w:textAlignment w:val="center"/>
              <w:rPr>
                <w:rFonts w:hint="eastAsia"/>
                <w:sz w:val="24"/>
                <w:szCs w:val="24"/>
                <w:lang w:eastAsia="zh-CN"/>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3230BC29">
            <w:pPr>
              <w:widowControl/>
              <w:jc w:val="center"/>
              <w:rPr>
                <w:rFonts w:hint="eastAsia"/>
                <w:sz w:val="24"/>
                <w:szCs w:val="24"/>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12AF2DD0">
            <w:pPr>
              <w:jc w:val="center"/>
              <w:rPr>
                <w:rFonts w:hint="eastAsia"/>
                <w:sz w:val="24"/>
                <w:szCs w:val="24"/>
                <w:lang w:eastAsia="zh-CN"/>
              </w:rPr>
            </w:pPr>
            <w:r>
              <w:rPr>
                <w:rFonts w:hint="eastAsia"/>
                <w:sz w:val="24"/>
                <w:szCs w:val="24"/>
                <w:lang w:eastAsia="zh-CN"/>
              </w:rPr>
              <w:t>三年</w:t>
            </w:r>
          </w:p>
        </w:tc>
      </w:tr>
    </w:tbl>
    <w:p w14:paraId="13BB5CB1">
      <w:pPr>
        <w:pStyle w:val="17"/>
        <w:tabs>
          <w:tab w:val="left" w:pos="1197"/>
        </w:tabs>
        <w:spacing w:before="0" w:line="360" w:lineRule="auto"/>
        <w:ind w:left="0" w:right="233" w:firstLine="0"/>
        <w:jc w:val="both"/>
        <w:rPr>
          <w:rFonts w:hint="eastAsia"/>
          <w:b/>
          <w:bCs/>
          <w:sz w:val="24"/>
          <w:lang w:eastAsia="zh-CN"/>
        </w:rPr>
      </w:pPr>
      <w:r>
        <w:rPr>
          <w:rFonts w:hint="eastAsia"/>
          <w:b/>
          <w:bCs/>
          <w:sz w:val="24"/>
          <w:lang w:eastAsia="zh-CN"/>
        </w:rPr>
        <w:t>二、商务要求</w:t>
      </w:r>
    </w:p>
    <w:p w14:paraId="15DFA302">
      <w:pPr>
        <w:pStyle w:val="17"/>
        <w:tabs>
          <w:tab w:val="left" w:pos="1197"/>
        </w:tabs>
        <w:spacing w:before="0" w:line="360" w:lineRule="auto"/>
        <w:ind w:left="0" w:right="233" w:firstLine="0"/>
        <w:jc w:val="both"/>
        <w:rPr>
          <w:rFonts w:hint="eastAsia"/>
          <w:b/>
          <w:bCs/>
          <w:sz w:val="24"/>
          <w:szCs w:val="24"/>
          <w:lang w:eastAsia="zh-CN"/>
        </w:rPr>
      </w:pPr>
      <w:r>
        <w:rPr>
          <w:rFonts w:hint="eastAsia"/>
          <w:b/>
          <w:bCs/>
          <w:sz w:val="24"/>
          <w:szCs w:val="24"/>
          <w:lang w:eastAsia="zh-CN"/>
        </w:rPr>
        <w:t>1.交货时间和地点：</w:t>
      </w:r>
    </w:p>
    <w:p w14:paraId="3F7D39C0">
      <w:pPr>
        <w:pStyle w:val="17"/>
        <w:tabs>
          <w:tab w:val="left" w:pos="1197"/>
        </w:tabs>
        <w:spacing w:before="0" w:line="360" w:lineRule="auto"/>
        <w:ind w:left="0" w:right="233" w:firstLine="482" w:firstLineChars="200"/>
        <w:jc w:val="both"/>
        <w:rPr>
          <w:rFonts w:hint="eastAsia"/>
          <w:sz w:val="24"/>
          <w:szCs w:val="24"/>
          <w:lang w:eastAsia="zh-CN"/>
        </w:rPr>
      </w:pPr>
      <w:bookmarkStart w:id="1" w:name="_Toc24278"/>
      <w:bookmarkStart w:id="2" w:name="_Toc23382"/>
      <w:bookmarkStart w:id="3" w:name="_Toc256196753"/>
      <w:bookmarkStart w:id="4" w:name="_Toc8925"/>
      <w:bookmarkStart w:id="5" w:name="_Toc14802"/>
      <w:r>
        <w:rPr>
          <w:b/>
          <w:bCs/>
          <w:color w:val="000000" w:themeColor="text1"/>
          <w:sz w:val="24"/>
          <w:szCs w:val="24"/>
          <w:lang w:eastAsia="zh-CN"/>
          <w14:textFill>
            <w14:solidFill>
              <w14:schemeClr w14:val="tx1"/>
            </w14:solidFill>
          </w14:textFill>
        </w:rPr>
        <w:t>★</w:t>
      </w:r>
      <w:r>
        <w:rPr>
          <w:rFonts w:hint="eastAsia"/>
          <w:sz w:val="24"/>
          <w:szCs w:val="24"/>
          <w:lang w:eastAsia="zh-CN"/>
        </w:rPr>
        <w:t>1.1 交货时间：</w:t>
      </w:r>
      <w:bookmarkEnd w:id="1"/>
      <w:bookmarkEnd w:id="2"/>
      <w:bookmarkEnd w:id="3"/>
      <w:bookmarkEnd w:id="4"/>
      <w:bookmarkEnd w:id="5"/>
      <w:r>
        <w:rPr>
          <w:rFonts w:hint="eastAsia"/>
          <w:sz w:val="24"/>
          <w:szCs w:val="24"/>
          <w:lang w:eastAsia="zh-CN"/>
        </w:rPr>
        <w:t>合同签订后30个自然日</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1D532A">
      <w:pPr>
        <w:pStyle w:val="17"/>
        <w:tabs>
          <w:tab w:val="left" w:pos="1197"/>
        </w:tabs>
        <w:spacing w:before="0" w:line="360" w:lineRule="auto"/>
        <w:ind w:left="0" w:right="233" w:firstLine="480" w:firstLineChars="200"/>
        <w:jc w:val="both"/>
        <w:rPr>
          <w:rFonts w:hint="eastAsia"/>
          <w:sz w:val="24"/>
          <w:szCs w:val="24"/>
          <w:lang w:eastAsia="zh-CN"/>
        </w:rPr>
      </w:pPr>
      <w:bookmarkStart w:id="6" w:name="_Toc6107"/>
      <w:bookmarkStart w:id="7" w:name="_Toc30936"/>
      <w:bookmarkStart w:id="8" w:name="_Toc19535"/>
      <w:bookmarkStart w:id="9" w:name="_Toc194115436"/>
      <w:bookmarkStart w:id="10" w:name="_Toc8853"/>
      <w:r>
        <w:rPr>
          <w:rFonts w:hint="eastAsia"/>
          <w:sz w:val="24"/>
          <w:szCs w:val="24"/>
          <w:lang w:eastAsia="zh-CN"/>
        </w:rPr>
        <w:t>1.2 交货地点：</w:t>
      </w:r>
      <w:bookmarkEnd w:id="6"/>
      <w:bookmarkEnd w:id="7"/>
      <w:bookmarkEnd w:id="8"/>
      <w:bookmarkEnd w:id="9"/>
      <w:bookmarkEnd w:id="10"/>
      <w:r>
        <w:rPr>
          <w:rFonts w:hint="eastAsia"/>
          <w:sz w:val="24"/>
          <w:szCs w:val="24"/>
          <w:lang w:eastAsia="zh-CN"/>
        </w:rPr>
        <w:t>采购人指定地点。</w:t>
      </w:r>
    </w:p>
    <w:p w14:paraId="7A0C58FB">
      <w:pPr>
        <w:pStyle w:val="17"/>
        <w:tabs>
          <w:tab w:val="left" w:pos="1197"/>
        </w:tabs>
        <w:spacing w:before="0" w:line="360" w:lineRule="auto"/>
        <w:ind w:left="0" w:right="233" w:firstLine="0"/>
        <w:jc w:val="both"/>
        <w:rPr>
          <w:rFonts w:hint="eastAsia"/>
          <w:sz w:val="24"/>
          <w:szCs w:val="24"/>
          <w:lang w:eastAsia="zh-CN"/>
        </w:rPr>
      </w:pPr>
      <w:r>
        <w:rPr>
          <w:rFonts w:hint="eastAsia"/>
          <w:b/>
          <w:bCs/>
          <w:sz w:val="24"/>
          <w:szCs w:val="24"/>
          <w:lang w:eastAsia="zh-CN"/>
        </w:rPr>
        <w:t>2.付款条件（进度和方式）</w:t>
      </w:r>
      <w:r>
        <w:rPr>
          <w:rFonts w:hint="eastAsia"/>
          <w:sz w:val="24"/>
          <w:szCs w:val="24"/>
          <w:lang w:eastAsia="zh-CN"/>
        </w:rPr>
        <w:t>：</w:t>
      </w:r>
    </w:p>
    <w:p w14:paraId="46BE9682">
      <w:pPr>
        <w:pStyle w:val="17"/>
        <w:tabs>
          <w:tab w:val="left" w:pos="1197"/>
        </w:tabs>
        <w:spacing w:before="0" w:line="360" w:lineRule="auto"/>
        <w:ind w:right="233"/>
        <w:jc w:val="both"/>
        <w:rPr>
          <w:rFonts w:hint="eastAsia"/>
          <w:sz w:val="24"/>
          <w:szCs w:val="24"/>
          <w:lang w:eastAsia="zh-CN"/>
        </w:rPr>
      </w:pPr>
      <w:r>
        <w:rPr>
          <w:rFonts w:hint="eastAsia"/>
          <w:sz w:val="24"/>
          <w:szCs w:val="24"/>
          <w:lang w:eastAsia="zh-CN"/>
        </w:rPr>
        <w:t>详见“拟签订的合同文本”。</w:t>
      </w:r>
    </w:p>
    <w:p w14:paraId="18A0E6B3">
      <w:pPr>
        <w:pStyle w:val="17"/>
        <w:tabs>
          <w:tab w:val="left" w:pos="1197"/>
        </w:tabs>
        <w:spacing w:before="0" w:line="360" w:lineRule="auto"/>
        <w:ind w:left="0" w:right="233" w:firstLine="0"/>
        <w:jc w:val="both"/>
        <w:rPr>
          <w:rFonts w:hint="eastAsia"/>
          <w:b/>
          <w:bCs/>
          <w:sz w:val="24"/>
          <w:szCs w:val="24"/>
          <w:lang w:eastAsia="zh-CN"/>
        </w:rPr>
      </w:pPr>
      <w:r>
        <w:rPr>
          <w:rFonts w:hint="eastAsia"/>
          <w:b/>
          <w:bCs/>
          <w:sz w:val="24"/>
          <w:szCs w:val="24"/>
          <w:lang w:eastAsia="zh-CN"/>
        </w:rPr>
        <w:t>3.包装和运输（如适用，须满足《关于印发〈商品包装政府采购需求标准（试行）〉、〈快递包装政府采购需求标准（试行）〉的通知》（财办库﹝2020﹞123号））</w:t>
      </w:r>
    </w:p>
    <w:p w14:paraId="6FBF22F6">
      <w:pPr>
        <w:pStyle w:val="17"/>
        <w:tabs>
          <w:tab w:val="left" w:pos="1197"/>
        </w:tabs>
        <w:spacing w:before="0" w:line="360" w:lineRule="auto"/>
        <w:ind w:left="0" w:right="233" w:firstLine="0"/>
        <w:jc w:val="both"/>
        <w:rPr>
          <w:rFonts w:hint="eastAsia"/>
          <w:b/>
          <w:bCs/>
          <w:sz w:val="24"/>
          <w:szCs w:val="24"/>
          <w:lang w:eastAsia="zh-CN"/>
        </w:rPr>
      </w:pPr>
      <w:r>
        <w:rPr>
          <w:b/>
          <w:bCs/>
          <w:color w:val="000000" w:themeColor="text1"/>
          <w:sz w:val="24"/>
          <w:szCs w:val="24"/>
          <w:lang w:eastAsia="zh-CN"/>
          <w14:textFill>
            <w14:solidFill>
              <w14:schemeClr w14:val="tx1"/>
            </w14:solidFill>
          </w14:textFill>
        </w:rPr>
        <w:t>★</w:t>
      </w:r>
      <w:r>
        <w:rPr>
          <w:rFonts w:hint="eastAsia"/>
          <w:b/>
          <w:bCs/>
          <w:sz w:val="24"/>
          <w:szCs w:val="24"/>
          <w:lang w:eastAsia="zh-CN"/>
        </w:rPr>
        <w:t>4.质保服务：</w:t>
      </w:r>
    </w:p>
    <w:p w14:paraId="12AD3194">
      <w:pPr>
        <w:spacing w:line="360" w:lineRule="auto"/>
        <w:contextualSpacing/>
        <w:rPr>
          <w:rFonts w:hint="eastAsia"/>
          <w:sz w:val="24"/>
          <w:szCs w:val="24"/>
          <w:lang w:eastAsia="zh-CN"/>
        </w:rPr>
      </w:pPr>
      <w:r>
        <w:rPr>
          <w:rFonts w:hint="eastAsia"/>
          <w:sz w:val="24"/>
          <w:szCs w:val="24"/>
          <w:lang w:eastAsia="zh-CN"/>
        </w:rPr>
        <w:t>4.1提供至少三年7X24质保、技术支持服务。投标人须提供针对本项目的原厂授权书及原厂售后服务承诺函。</w:t>
      </w:r>
    </w:p>
    <w:p w14:paraId="1953B822">
      <w:pPr>
        <w:spacing w:line="360" w:lineRule="auto"/>
        <w:contextualSpacing/>
        <w:rPr>
          <w:rFonts w:hint="eastAsia"/>
          <w:sz w:val="24"/>
          <w:szCs w:val="24"/>
          <w:lang w:eastAsia="zh-CN"/>
        </w:rPr>
      </w:pPr>
      <w:r>
        <w:rPr>
          <w:rFonts w:hint="eastAsia"/>
          <w:sz w:val="24"/>
          <w:szCs w:val="24"/>
          <w:lang w:eastAsia="zh-CN"/>
        </w:rPr>
        <w:t>4.2质保期满后，采购方如需续保，续保费用不得高于此次中标价的5%，投标人须提供承诺函。</w:t>
      </w:r>
    </w:p>
    <w:p w14:paraId="3BCBC120">
      <w:pPr>
        <w:spacing w:line="360" w:lineRule="auto"/>
        <w:contextualSpacing/>
        <w:rPr>
          <w:rFonts w:hint="eastAsia"/>
          <w:b/>
          <w:bCs/>
          <w:sz w:val="24"/>
          <w:szCs w:val="24"/>
          <w:lang w:eastAsia="zh-CN"/>
        </w:rPr>
      </w:pPr>
      <w:r>
        <w:rPr>
          <w:rFonts w:hint="eastAsia"/>
          <w:b/>
          <w:bCs/>
          <w:sz w:val="24"/>
          <w:szCs w:val="24"/>
          <w:lang w:eastAsia="zh-CN"/>
        </w:rPr>
        <w:t>三、技术要求</w:t>
      </w:r>
    </w:p>
    <w:p w14:paraId="12BCBB20">
      <w:pPr>
        <w:spacing w:line="360" w:lineRule="auto"/>
        <w:ind w:firstLine="241" w:firstLineChars="100"/>
        <w:contextualSpacing/>
        <w:rPr>
          <w:rFonts w:hint="eastAsia"/>
          <w:b/>
          <w:bCs/>
          <w:sz w:val="24"/>
          <w:szCs w:val="24"/>
          <w:lang w:eastAsia="zh-CN"/>
        </w:rPr>
      </w:pPr>
      <w:r>
        <w:rPr>
          <w:rFonts w:hint="eastAsia"/>
          <w:b/>
          <w:bCs/>
          <w:sz w:val="24"/>
          <w:szCs w:val="24"/>
          <w:lang w:eastAsia="zh-CN"/>
        </w:rPr>
        <w:t>1. 基本要求</w:t>
      </w:r>
    </w:p>
    <w:p w14:paraId="6D636D93">
      <w:pPr>
        <w:spacing w:line="360" w:lineRule="auto"/>
        <w:ind w:firstLine="241" w:firstLineChars="100"/>
        <w:contextualSpacing/>
        <w:rPr>
          <w:rFonts w:hint="eastAsia"/>
          <w:b/>
          <w:bCs/>
          <w:sz w:val="24"/>
          <w:szCs w:val="24"/>
          <w:lang w:eastAsia="zh-CN"/>
        </w:rPr>
      </w:pPr>
      <w:r>
        <w:rPr>
          <w:rFonts w:hint="eastAsia"/>
          <w:b/>
          <w:bCs/>
          <w:sz w:val="24"/>
          <w:szCs w:val="24"/>
          <w:lang w:eastAsia="zh-CN"/>
        </w:rPr>
        <w:t>1.1 采购标的需实现的功能或者目标</w:t>
      </w:r>
    </w:p>
    <w:p w14:paraId="1A6F8E06">
      <w:pPr>
        <w:adjustRightInd w:val="0"/>
        <w:spacing w:line="360" w:lineRule="auto"/>
        <w:ind w:firstLine="480" w:firstLineChars="200"/>
        <w:rPr>
          <w:rFonts w:hint="eastAsia"/>
          <w:sz w:val="24"/>
          <w:szCs w:val="24"/>
          <w:lang w:eastAsia="zh-CN"/>
        </w:rPr>
      </w:pPr>
      <w:r>
        <w:rPr>
          <w:rFonts w:hint="eastAsia"/>
          <w:sz w:val="24"/>
          <w:szCs w:val="24"/>
          <w:lang w:eastAsia="zh-CN"/>
        </w:rPr>
        <w:t>本次招标采购是为</w:t>
      </w:r>
      <w:r>
        <w:rPr>
          <w:rFonts w:hint="eastAsia"/>
          <w:kern w:val="2"/>
          <w:sz w:val="24"/>
          <w:szCs w:val="24"/>
          <w:lang w:eastAsia="zh-CN"/>
        </w:rPr>
        <w:t>首都医科大学附属北京天坛医院多模态临床医生应用系统及线上线下一体化便民服务系统建设提供存储及备份设备</w:t>
      </w:r>
      <w:r>
        <w:rPr>
          <w:rFonts w:hint="eastAsia"/>
          <w:sz w:val="24"/>
          <w:szCs w:val="24"/>
          <w:lang w:eastAsia="zh-CN"/>
        </w:rPr>
        <w:t>，供应商应根据招标文件所提出的技术规格和服务要求，综合考虑所投货物的适用性，选择具有最佳性能价格比的货物前来投标。以先进的技术、优良的服务和优惠的价格，充分显示自己的竞争实力。</w:t>
      </w:r>
    </w:p>
    <w:p w14:paraId="44A84C21">
      <w:pPr>
        <w:spacing w:line="360" w:lineRule="auto"/>
        <w:ind w:firstLine="241" w:firstLineChars="100"/>
        <w:contextualSpacing/>
        <w:rPr>
          <w:rFonts w:hint="eastAsia"/>
          <w:sz w:val="24"/>
          <w:szCs w:val="24"/>
          <w:lang w:eastAsia="zh-CN"/>
        </w:rPr>
      </w:pPr>
      <w:r>
        <w:rPr>
          <w:rFonts w:hint="eastAsia"/>
          <w:b/>
          <w:bCs/>
          <w:sz w:val="24"/>
          <w:szCs w:val="24"/>
          <w:lang w:eastAsia="zh-CN"/>
        </w:rPr>
        <w:t>1.2 需执行的国家相关标准、行业标准、地方标准或者其他标准、规范</w:t>
      </w:r>
    </w:p>
    <w:p w14:paraId="077D6090">
      <w:pPr>
        <w:autoSpaceDE/>
        <w:autoSpaceDN/>
        <w:spacing w:line="360" w:lineRule="auto"/>
        <w:ind w:left="240" w:leftChars="109" w:firstLine="240" w:firstLineChars="100"/>
        <w:rPr>
          <w:rFonts w:hint="eastAsia"/>
          <w:sz w:val="24"/>
          <w:szCs w:val="24"/>
          <w:lang w:eastAsia="zh-CN"/>
        </w:rPr>
      </w:pPr>
      <w:r>
        <w:rPr>
          <w:rFonts w:hint="eastAsia"/>
          <w:sz w:val="24"/>
          <w:szCs w:val="24"/>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FEE2E3B">
      <w:pPr>
        <w:spacing w:before="120" w:beforeLines="50" w:line="360" w:lineRule="auto"/>
        <w:ind w:firstLine="241" w:firstLineChars="100"/>
        <w:contextualSpacing/>
        <w:rPr>
          <w:rFonts w:hint="eastAsia"/>
          <w:b/>
          <w:bCs/>
          <w:sz w:val="24"/>
          <w:szCs w:val="24"/>
          <w:lang w:eastAsia="zh-CN"/>
        </w:rPr>
      </w:pPr>
      <w:r>
        <w:rPr>
          <w:rFonts w:hint="eastAsia"/>
          <w:b/>
          <w:bCs/>
          <w:sz w:val="24"/>
          <w:szCs w:val="24"/>
          <w:lang w:eastAsia="zh-CN"/>
        </w:rPr>
        <w:t>2.服务内容及要求/货物技术要求</w:t>
      </w:r>
    </w:p>
    <w:p w14:paraId="1F7076EF">
      <w:pPr>
        <w:widowControl/>
        <w:spacing w:line="360" w:lineRule="auto"/>
        <w:ind w:left="-1" w:firstLine="241" w:firstLineChars="100"/>
        <w:contextualSpacing/>
        <w:rPr>
          <w:rFonts w:hint="eastAsia"/>
          <w:b/>
          <w:bCs/>
          <w:sz w:val="24"/>
          <w:szCs w:val="24"/>
          <w:lang w:eastAsia="zh-CN"/>
        </w:rPr>
      </w:pPr>
      <w:r>
        <w:rPr>
          <w:rFonts w:hint="eastAsia"/>
          <w:b/>
          <w:bCs/>
          <w:sz w:val="24"/>
          <w:szCs w:val="24"/>
          <w:lang w:eastAsia="zh-CN"/>
        </w:rPr>
        <w:t>2.1 采购标的需满足的性能、材料、结构、外观、质量、安全、技术规格、物理特性等要求；</w:t>
      </w:r>
    </w:p>
    <w:p w14:paraId="388F7F13">
      <w:pPr>
        <w:pStyle w:val="6"/>
        <w:spacing w:before="0"/>
        <w:jc w:val="left"/>
        <w:rPr>
          <w:rFonts w:hint="eastAsia"/>
        </w:rPr>
      </w:pPr>
      <w:r>
        <w:rPr>
          <w:rFonts w:hint="eastAsia"/>
          <w:b/>
          <w:bCs/>
          <w:color w:val="000000" w:themeColor="text1"/>
          <w:sz w:val="24"/>
          <w:szCs w:val="24"/>
          <w:lang w:eastAsia="zh-CN"/>
          <w14:textFill>
            <w14:solidFill>
              <w14:schemeClr w14:val="tx1"/>
            </w14:solidFill>
          </w14:textFill>
        </w:rPr>
        <w:t>品目1-1：</w:t>
      </w:r>
      <w:r>
        <w:rPr>
          <w:rFonts w:hint="eastAsia"/>
          <w:b/>
          <w:bCs/>
          <w:color w:val="000000" w:themeColor="text1"/>
          <w:sz w:val="24"/>
          <w:szCs w:val="24"/>
          <w14:textFill>
            <w14:solidFill>
              <w14:schemeClr w14:val="tx1"/>
            </w14:solidFill>
          </w14:textFill>
        </w:rPr>
        <w:t>云桌面一体机</w:t>
      </w:r>
    </w:p>
    <w:tbl>
      <w:tblPr>
        <w:tblStyle w:val="12"/>
        <w:tblW w:w="52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825"/>
        <w:gridCol w:w="1210"/>
        <w:gridCol w:w="6559"/>
        <w:gridCol w:w="945"/>
      </w:tblGrid>
      <w:tr w14:paraId="56AD3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Header/>
          <w:jc w:val="center"/>
        </w:trPr>
        <w:tc>
          <w:tcPr>
            <w:tcW w:w="318" w:type="pct"/>
            <w:shd w:val="clear" w:color="auto" w:fill="D8D8D8"/>
            <w:noWrap/>
            <w:vAlign w:val="center"/>
          </w:tcPr>
          <w:p w14:paraId="740AC3FB">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405" w:type="pct"/>
            <w:shd w:val="clear" w:color="auto" w:fill="D8D8D8"/>
            <w:noWrap/>
            <w:vAlign w:val="center"/>
          </w:tcPr>
          <w:p w14:paraId="5C0D6A58">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重要性</w:t>
            </w:r>
          </w:p>
        </w:tc>
        <w:tc>
          <w:tcPr>
            <w:tcW w:w="594" w:type="pct"/>
            <w:shd w:val="clear" w:color="auto" w:fill="D8D8D8"/>
            <w:noWrap/>
            <w:vAlign w:val="center"/>
          </w:tcPr>
          <w:p w14:paraId="09B59D0B">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指标项</w:t>
            </w:r>
          </w:p>
        </w:tc>
        <w:tc>
          <w:tcPr>
            <w:tcW w:w="3219" w:type="pct"/>
            <w:shd w:val="clear" w:color="auto" w:fill="D8D8D8"/>
            <w:vAlign w:val="center"/>
          </w:tcPr>
          <w:p w14:paraId="17567821">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指标要求说明</w:t>
            </w:r>
          </w:p>
        </w:tc>
        <w:tc>
          <w:tcPr>
            <w:tcW w:w="461" w:type="pct"/>
            <w:shd w:val="clear" w:color="auto" w:fill="D8D8D8"/>
            <w:noWrap/>
            <w:vAlign w:val="center"/>
          </w:tcPr>
          <w:p w14:paraId="6B4B4840">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证明材</w:t>
            </w:r>
          </w:p>
          <w:p w14:paraId="421FBD48">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料要求</w:t>
            </w:r>
          </w:p>
        </w:tc>
      </w:tr>
      <w:tr w14:paraId="4B55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5000" w:type="pct"/>
            <w:gridSpan w:val="5"/>
            <w:noWrap/>
            <w:vAlign w:val="center"/>
          </w:tcPr>
          <w:p w14:paraId="4EAC841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基本要求</w:t>
            </w:r>
          </w:p>
        </w:tc>
      </w:tr>
      <w:tr w14:paraId="66618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2A8EE2B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405" w:type="pct"/>
            <w:noWrap/>
            <w:vAlign w:val="center"/>
          </w:tcPr>
          <w:p w14:paraId="469BCF1C">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594" w:type="pct"/>
            <w:noWrap/>
            <w:vAlign w:val="center"/>
          </w:tcPr>
          <w:p w14:paraId="6265361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云桌面一体机配置要求</w:t>
            </w:r>
          </w:p>
        </w:tc>
        <w:tc>
          <w:tcPr>
            <w:tcW w:w="3219" w:type="pct"/>
            <w:vAlign w:val="center"/>
          </w:tcPr>
          <w:p w14:paraId="5FD91726">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云桌面一体机设备≥3套。单套云桌面一体机配置要求为： 物理CPU≥2颗（单CPU核数≥16、主频≥2.8Ghz）、内存≥256GB DDR5、千兆电口≥4个、万兆光口≥2个（含2个万兆多模光模块）、冗余双电源、盘位数≥12个、实配系统盘≥2块480GB SSD硬盘、1.92T SSD缓存盘≥2块、8T的SATA数据盘≥4块,配置对应的虚拟存储及虚拟化软件授权，确保一体机能够开机即用。</w:t>
            </w:r>
          </w:p>
        </w:tc>
        <w:tc>
          <w:tcPr>
            <w:tcW w:w="461" w:type="pct"/>
            <w:noWrap/>
            <w:vAlign w:val="center"/>
          </w:tcPr>
          <w:p w14:paraId="265A043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否</w:t>
            </w:r>
          </w:p>
        </w:tc>
      </w:tr>
      <w:tr w14:paraId="4E2F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4672D83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405" w:type="pct"/>
            <w:noWrap/>
            <w:vAlign w:val="center"/>
          </w:tcPr>
          <w:p w14:paraId="3EDE64EA">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594" w:type="pct"/>
            <w:noWrap/>
            <w:vAlign w:val="center"/>
          </w:tcPr>
          <w:p w14:paraId="74D24D2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授权配置要求</w:t>
            </w:r>
          </w:p>
        </w:tc>
        <w:tc>
          <w:tcPr>
            <w:tcW w:w="3219" w:type="pct"/>
          </w:tcPr>
          <w:p w14:paraId="42E6E3CE">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VDI用户授权≥50个，支持发布≥5种桌面资源（专有桌面、还原桌面、池化桌面、共享桌面、远程应用），满足不同场景的应用需求。支持和现有零信任系统客户端单点登录。</w:t>
            </w:r>
          </w:p>
        </w:tc>
        <w:tc>
          <w:tcPr>
            <w:tcW w:w="461" w:type="pct"/>
            <w:noWrap/>
            <w:vAlign w:val="center"/>
          </w:tcPr>
          <w:p w14:paraId="2EBE1B7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否</w:t>
            </w:r>
          </w:p>
        </w:tc>
      </w:tr>
      <w:tr w14:paraId="200B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172A063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405" w:type="pct"/>
            <w:noWrap/>
            <w:vAlign w:val="center"/>
          </w:tcPr>
          <w:p w14:paraId="423DBB3B">
            <w:pPr>
              <w:jc w:val="center"/>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rPr>
              <w:t>#</w:t>
            </w:r>
          </w:p>
        </w:tc>
        <w:tc>
          <w:tcPr>
            <w:tcW w:w="594" w:type="pct"/>
            <w:noWrap/>
            <w:vAlign w:val="center"/>
          </w:tcPr>
          <w:p w14:paraId="5544B04E">
            <w:pPr>
              <w:widowControl/>
              <w:jc w:val="center"/>
              <w:rPr>
                <w:rFonts w:hint="eastAsia" w:asciiTheme="majorEastAsia" w:hAnsiTheme="majorEastAsia" w:eastAsiaTheme="majorEastAsia" w:cstheme="majorEastAsia"/>
                <w:sz w:val="24"/>
                <w:szCs w:val="24"/>
                <w:lang w:eastAsia="zh-Hans"/>
              </w:rPr>
            </w:pPr>
            <w:r>
              <w:rPr>
                <w:rFonts w:hint="eastAsia" w:asciiTheme="majorEastAsia" w:hAnsiTheme="majorEastAsia" w:eastAsiaTheme="majorEastAsia" w:cstheme="majorEastAsia"/>
                <w:sz w:val="24"/>
                <w:szCs w:val="24"/>
                <w:lang w:eastAsia="zh-Hans"/>
              </w:rPr>
              <w:t>虚拟化功能</w:t>
            </w:r>
          </w:p>
          <w:p w14:paraId="472C936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Hans"/>
              </w:rPr>
              <w:t>要求</w:t>
            </w:r>
          </w:p>
        </w:tc>
        <w:tc>
          <w:tcPr>
            <w:tcW w:w="3219" w:type="pct"/>
            <w:vAlign w:val="center"/>
          </w:tcPr>
          <w:p w14:paraId="14209671">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虚拟化平台需支持平滑滚动升级，支持群集不停机情况下的节点逐台升级，升级时将自动迁移虚拟机至其他主机，不影响业务运行。虚拟化平台非内核级更新支持业务不中断热升级，升级过程无需重启主机。（提供产品功能截图或检测报告并加盖投标人公章）</w:t>
            </w:r>
          </w:p>
        </w:tc>
        <w:tc>
          <w:tcPr>
            <w:tcW w:w="461" w:type="pct"/>
            <w:noWrap/>
            <w:vAlign w:val="center"/>
          </w:tcPr>
          <w:p w14:paraId="4138185C">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r w14:paraId="75B4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6EA7ABC9">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405" w:type="pct"/>
            <w:noWrap/>
            <w:vAlign w:val="center"/>
          </w:tcPr>
          <w:p w14:paraId="31763023">
            <w:pPr>
              <w:jc w:val="center"/>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rPr>
              <w:t>#</w:t>
            </w:r>
          </w:p>
        </w:tc>
        <w:tc>
          <w:tcPr>
            <w:tcW w:w="594" w:type="pct"/>
            <w:noWrap/>
            <w:vAlign w:val="center"/>
          </w:tcPr>
          <w:p w14:paraId="1E217AC5">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支持特性</w:t>
            </w:r>
          </w:p>
        </w:tc>
        <w:tc>
          <w:tcPr>
            <w:tcW w:w="3219" w:type="pct"/>
            <w:vAlign w:val="center"/>
          </w:tcPr>
          <w:p w14:paraId="056F990F">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支持针对使用频率较高的软件做加速。（提供产品功能截图或检测报告并加盖投标人公章）</w:t>
            </w:r>
          </w:p>
        </w:tc>
        <w:tc>
          <w:tcPr>
            <w:tcW w:w="461" w:type="pct"/>
            <w:noWrap/>
            <w:vAlign w:val="center"/>
          </w:tcPr>
          <w:p w14:paraId="254F7E7C">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r w14:paraId="74D5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1CCB20BC">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405" w:type="pct"/>
            <w:noWrap/>
            <w:vAlign w:val="center"/>
          </w:tcPr>
          <w:p w14:paraId="37B391C2">
            <w:pPr>
              <w:jc w:val="center"/>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rPr>
              <w:t>#</w:t>
            </w:r>
          </w:p>
        </w:tc>
        <w:tc>
          <w:tcPr>
            <w:tcW w:w="594" w:type="pct"/>
            <w:noWrap/>
            <w:vAlign w:val="center"/>
          </w:tcPr>
          <w:p w14:paraId="7EEB818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支持特性</w:t>
            </w:r>
          </w:p>
        </w:tc>
        <w:tc>
          <w:tcPr>
            <w:tcW w:w="3219" w:type="pct"/>
            <w:vAlign w:val="center"/>
          </w:tcPr>
          <w:p w14:paraId="2BD65318">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虚拟桌面需支持双屏，支持双屏和单屏切换。（提供产品功能截图或检测报告并加盖投标人公章）</w:t>
            </w:r>
          </w:p>
        </w:tc>
        <w:tc>
          <w:tcPr>
            <w:tcW w:w="461" w:type="pct"/>
            <w:noWrap/>
            <w:vAlign w:val="center"/>
          </w:tcPr>
          <w:p w14:paraId="583E9B3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r w14:paraId="10EF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2D17CAB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405" w:type="pct"/>
            <w:noWrap/>
            <w:vAlign w:val="center"/>
          </w:tcPr>
          <w:p w14:paraId="04C9D7EF">
            <w:pPr>
              <w:jc w:val="center"/>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rPr>
              <w:t>#</w:t>
            </w:r>
          </w:p>
        </w:tc>
        <w:tc>
          <w:tcPr>
            <w:tcW w:w="594" w:type="pct"/>
            <w:noWrap/>
            <w:vAlign w:val="center"/>
          </w:tcPr>
          <w:p w14:paraId="4E6D976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平台管理运维</w:t>
            </w:r>
          </w:p>
        </w:tc>
        <w:tc>
          <w:tcPr>
            <w:tcW w:w="3219" w:type="pct"/>
            <w:vAlign w:val="center"/>
          </w:tcPr>
          <w:p w14:paraId="5D574C39">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运维平台需支持虚拟机、主机、虚拟化集群、应用程序资源监控与故障分析功能，能够基于对象进行健康状态评分，分析资源使用情况，如CPU、内存、磁盘IO等，云桌面虚拟机能够支持应用进程、服务运行状态、外设连接等使用情况分析并能够支持常见的Windows、统信UOS、麒麟KylinOS操作系统。（提供产品功能截图或检测报告并加盖公章）</w:t>
            </w:r>
          </w:p>
        </w:tc>
        <w:tc>
          <w:tcPr>
            <w:tcW w:w="461" w:type="pct"/>
            <w:noWrap/>
            <w:vAlign w:val="center"/>
          </w:tcPr>
          <w:p w14:paraId="79140AC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r w14:paraId="1A89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531301E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405" w:type="pct"/>
            <w:noWrap/>
            <w:vAlign w:val="center"/>
          </w:tcPr>
          <w:p w14:paraId="1B3C69FD">
            <w:pPr>
              <w:jc w:val="center"/>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rPr>
              <w:t>#</w:t>
            </w:r>
          </w:p>
        </w:tc>
        <w:tc>
          <w:tcPr>
            <w:tcW w:w="594" w:type="pct"/>
            <w:noWrap/>
            <w:vAlign w:val="center"/>
          </w:tcPr>
          <w:p w14:paraId="77BAC06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平台管理运维</w:t>
            </w:r>
          </w:p>
        </w:tc>
        <w:tc>
          <w:tcPr>
            <w:tcW w:w="3219" w:type="pct"/>
            <w:vAlign w:val="center"/>
          </w:tcPr>
          <w:p w14:paraId="52756500">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管理平台支持量化每个虚拟机/节点/集群的资源占用和调度情况，出现异常情况时给出处置建议。（提供产品功能截图或检测报告并加盖公章）</w:t>
            </w:r>
          </w:p>
        </w:tc>
        <w:tc>
          <w:tcPr>
            <w:tcW w:w="461" w:type="pct"/>
            <w:noWrap/>
            <w:vAlign w:val="center"/>
          </w:tcPr>
          <w:p w14:paraId="7CB0827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r w14:paraId="12E8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1D8CF6E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405" w:type="pct"/>
            <w:noWrap/>
            <w:vAlign w:val="center"/>
          </w:tcPr>
          <w:p w14:paraId="43E9D317">
            <w:pPr>
              <w:jc w:val="center"/>
              <w:rPr>
                <w:rFonts w:hint="eastAsia" w:asciiTheme="majorEastAsia" w:hAnsiTheme="majorEastAsia" w:eastAsiaTheme="majorEastAsia" w:cstheme="majorEastAsia"/>
                <w:sz w:val="24"/>
                <w:szCs w:val="24"/>
                <w:lang w:bidi="ar"/>
              </w:rPr>
            </w:pPr>
          </w:p>
        </w:tc>
        <w:tc>
          <w:tcPr>
            <w:tcW w:w="594" w:type="pct"/>
            <w:noWrap/>
            <w:vAlign w:val="center"/>
          </w:tcPr>
          <w:p w14:paraId="7C53EFE5">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平台管理运维</w:t>
            </w:r>
          </w:p>
        </w:tc>
        <w:tc>
          <w:tcPr>
            <w:tcW w:w="3219" w:type="pct"/>
            <w:vAlign w:val="center"/>
          </w:tcPr>
          <w:p w14:paraId="3B271C87">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运维平台应可持续性检测并发现虚拟机、主机、集群相关的软硬件问题，支持结合智能诊断库，进行自动化问题诊断，可直接在平台上以图文形式直接展示问题分析说明、问题举证分析、问题处置建议。</w:t>
            </w:r>
          </w:p>
        </w:tc>
        <w:tc>
          <w:tcPr>
            <w:tcW w:w="461" w:type="pct"/>
            <w:noWrap/>
            <w:vAlign w:val="center"/>
          </w:tcPr>
          <w:p w14:paraId="667E35F1">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否</w:t>
            </w:r>
          </w:p>
        </w:tc>
      </w:tr>
      <w:tr w14:paraId="0C60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7351F44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405" w:type="pct"/>
            <w:noWrap/>
            <w:vAlign w:val="center"/>
          </w:tcPr>
          <w:p w14:paraId="2A155269">
            <w:pPr>
              <w:jc w:val="center"/>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rPr>
              <w:t>#</w:t>
            </w:r>
          </w:p>
        </w:tc>
        <w:tc>
          <w:tcPr>
            <w:tcW w:w="594" w:type="pct"/>
            <w:noWrap/>
            <w:vAlign w:val="center"/>
          </w:tcPr>
          <w:p w14:paraId="0F07615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安全性要求</w:t>
            </w:r>
          </w:p>
        </w:tc>
        <w:tc>
          <w:tcPr>
            <w:tcW w:w="3219" w:type="pct"/>
            <w:vAlign w:val="center"/>
          </w:tcPr>
          <w:p w14:paraId="292DD5E4">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支持管控终端设备与云桌面之间的剪切板复制功能，支持控制剪切板双向拷贝、终端到云桌面的单向传输、云桌面到终端的单向传输控制等，同时支持限制传输数据的类型。（提供产品功能截图或检测报告并加盖公章）</w:t>
            </w:r>
          </w:p>
        </w:tc>
        <w:tc>
          <w:tcPr>
            <w:tcW w:w="461" w:type="pct"/>
            <w:noWrap/>
            <w:vAlign w:val="center"/>
          </w:tcPr>
          <w:p w14:paraId="5E7367C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r w14:paraId="276DC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71C7341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405" w:type="pct"/>
            <w:noWrap/>
            <w:vAlign w:val="center"/>
          </w:tcPr>
          <w:p w14:paraId="0225959F">
            <w:pPr>
              <w:jc w:val="center"/>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rPr>
              <w:t>#</w:t>
            </w:r>
          </w:p>
        </w:tc>
        <w:tc>
          <w:tcPr>
            <w:tcW w:w="594" w:type="pct"/>
            <w:noWrap/>
            <w:vAlign w:val="center"/>
          </w:tcPr>
          <w:p w14:paraId="76E9AAA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安全性要求</w:t>
            </w:r>
          </w:p>
        </w:tc>
        <w:tc>
          <w:tcPr>
            <w:tcW w:w="3219" w:type="pct"/>
            <w:vAlign w:val="center"/>
          </w:tcPr>
          <w:p w14:paraId="7D43F9B1">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支持配置基于用户、用户组、虚拟机、IP地址、IP组之间的ACL访问隔离控制；同时支持联动用户的接入位置、接入设备自动实现桌面云虚拟机访问目标业务系统的南北向访问控制。（提供产品功能截图或检测报告并加盖公章）</w:t>
            </w:r>
          </w:p>
        </w:tc>
        <w:tc>
          <w:tcPr>
            <w:tcW w:w="461" w:type="pct"/>
            <w:noWrap/>
            <w:vAlign w:val="center"/>
          </w:tcPr>
          <w:p w14:paraId="33CF013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r w14:paraId="26C6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318" w:type="pct"/>
            <w:noWrap/>
            <w:vAlign w:val="center"/>
          </w:tcPr>
          <w:p w14:paraId="3A2F91B9">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405" w:type="pct"/>
            <w:noWrap/>
            <w:vAlign w:val="center"/>
          </w:tcPr>
          <w:p w14:paraId="4DF6266C">
            <w:pPr>
              <w:jc w:val="center"/>
              <w:rPr>
                <w:rFonts w:hint="eastAsia" w:asciiTheme="majorEastAsia" w:hAnsiTheme="majorEastAsia" w:eastAsiaTheme="majorEastAsia" w:cstheme="majorEastAsia"/>
                <w:sz w:val="24"/>
                <w:szCs w:val="24"/>
              </w:rPr>
            </w:pPr>
          </w:p>
        </w:tc>
        <w:tc>
          <w:tcPr>
            <w:tcW w:w="594" w:type="pct"/>
            <w:noWrap/>
            <w:vAlign w:val="center"/>
          </w:tcPr>
          <w:p w14:paraId="772CCA4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安全开发能力</w:t>
            </w:r>
          </w:p>
        </w:tc>
        <w:tc>
          <w:tcPr>
            <w:tcW w:w="3219" w:type="pct"/>
            <w:vAlign w:val="center"/>
          </w:tcPr>
          <w:p w14:paraId="0C583BB1">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要求产品厂商提供《CCRC 信息安全服务-软件开发服务资质》资质证书。（提供有效证书扫描件并加盖投标人公章）</w:t>
            </w:r>
          </w:p>
        </w:tc>
        <w:tc>
          <w:tcPr>
            <w:tcW w:w="461" w:type="pct"/>
            <w:noWrap/>
            <w:vAlign w:val="center"/>
          </w:tcPr>
          <w:p w14:paraId="2FF6B691">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是</w:t>
            </w:r>
          </w:p>
        </w:tc>
      </w:tr>
    </w:tbl>
    <w:p w14:paraId="2B2F1801">
      <w:pPr>
        <w:rPr>
          <w:rFonts w:hint="eastAsia"/>
          <w:b/>
          <w:bCs/>
          <w:color w:val="000000" w:themeColor="text1"/>
          <w14:textFill>
            <w14:solidFill>
              <w14:schemeClr w14:val="tx1"/>
            </w14:solidFill>
          </w14:textFill>
        </w:rPr>
      </w:pPr>
    </w:p>
    <w:p w14:paraId="48B8A4CC">
      <w:pPr>
        <w:rPr>
          <w:rFonts w:hint="eastAsia"/>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品目1-2：</w:t>
      </w:r>
      <w:r>
        <w:rPr>
          <w:b/>
          <w:bCs/>
          <w:color w:val="000000" w:themeColor="text1"/>
          <w:sz w:val="24"/>
          <w:szCs w:val="24"/>
          <w:lang w:eastAsia="zh-CN"/>
          <w14:textFill>
            <w14:solidFill>
              <w14:schemeClr w14:val="tx1"/>
            </w14:solidFill>
          </w14:textFill>
        </w:rPr>
        <w:t>集中存储</w:t>
      </w:r>
      <w:r>
        <w:rPr>
          <w:rFonts w:hint="eastAsia"/>
          <w:b/>
          <w:bCs/>
          <w:color w:val="000000" w:themeColor="text1"/>
          <w:sz w:val="24"/>
          <w:szCs w:val="24"/>
          <w:lang w:eastAsia="zh-CN"/>
          <w14:textFill>
            <w14:solidFill>
              <w14:schemeClr w14:val="tx1"/>
            </w14:solidFill>
          </w14:textFill>
        </w:rPr>
        <w:t>扩容</w:t>
      </w:r>
      <w:r>
        <w:rPr>
          <w:b/>
          <w:bCs/>
          <w:color w:val="000000" w:themeColor="text1"/>
          <w:sz w:val="24"/>
          <w:szCs w:val="24"/>
          <w:lang w:eastAsia="zh-CN"/>
          <w14:textFill>
            <w14:solidFill>
              <w14:schemeClr w14:val="tx1"/>
            </w14:solidFill>
          </w14:textFill>
        </w:rPr>
        <w:t>硬盘</w:t>
      </w:r>
    </w:p>
    <w:tbl>
      <w:tblPr>
        <w:tblStyle w:val="12"/>
        <w:tblW w:w="5260"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43"/>
        <w:gridCol w:w="1183"/>
        <w:gridCol w:w="5712"/>
        <w:gridCol w:w="1148"/>
      </w:tblGrid>
      <w:tr w14:paraId="788C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6" w:type="pct"/>
            <w:shd w:val="clear" w:color="auto" w:fill="A6A6A6"/>
          </w:tcPr>
          <w:p w14:paraId="6E96F60E">
            <w:pPr>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663" w:type="pct"/>
            <w:shd w:val="clear" w:color="auto" w:fill="A6A6A6"/>
          </w:tcPr>
          <w:p w14:paraId="306A7005">
            <w:pPr>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指标项</w:t>
            </w:r>
          </w:p>
        </w:tc>
        <w:tc>
          <w:tcPr>
            <w:tcW w:w="584" w:type="pct"/>
            <w:shd w:val="clear" w:color="auto" w:fill="A6A6A6"/>
          </w:tcPr>
          <w:p w14:paraId="7E585019">
            <w:pPr>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重要性</w:t>
            </w:r>
          </w:p>
        </w:tc>
        <w:tc>
          <w:tcPr>
            <w:tcW w:w="2820" w:type="pct"/>
            <w:shd w:val="clear" w:color="auto" w:fill="A6A6A6"/>
          </w:tcPr>
          <w:p w14:paraId="1D05B895">
            <w:pPr>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指标要求</w:t>
            </w:r>
          </w:p>
        </w:tc>
        <w:tc>
          <w:tcPr>
            <w:tcW w:w="567" w:type="pct"/>
            <w:shd w:val="clear" w:color="auto" w:fill="A6A6A6"/>
          </w:tcPr>
          <w:p w14:paraId="7F86FC60">
            <w:pPr>
              <w:jc w:val="center"/>
              <w:rPr>
                <w:rFonts w:hint="eastAsia"/>
                <w:b/>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证明材料要求</w:t>
            </w:r>
          </w:p>
        </w:tc>
      </w:tr>
      <w:tr w14:paraId="2DA5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6" w:type="pct"/>
          </w:tcPr>
          <w:p w14:paraId="4F136296">
            <w:pPr>
              <w:numPr>
                <w:ilvl w:val="0"/>
                <w:numId w:val="1"/>
              </w:numPr>
              <w:jc w:val="center"/>
              <w:rPr>
                <w:rFonts w:hint="eastAsia"/>
                <w:color w:val="000000" w:themeColor="text1"/>
                <w:sz w:val="24"/>
                <w:szCs w:val="24"/>
                <w14:textFill>
                  <w14:solidFill>
                    <w14:schemeClr w14:val="tx1"/>
                  </w14:solidFill>
                </w14:textFill>
              </w:rPr>
            </w:pPr>
          </w:p>
        </w:tc>
        <w:tc>
          <w:tcPr>
            <w:tcW w:w="663" w:type="pct"/>
            <w:vAlign w:val="center"/>
          </w:tcPr>
          <w:p w14:paraId="35B9FF91">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基本要求</w:t>
            </w:r>
          </w:p>
        </w:tc>
        <w:tc>
          <w:tcPr>
            <w:tcW w:w="584" w:type="pct"/>
          </w:tcPr>
          <w:p w14:paraId="3B8E26CE">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820" w:type="pct"/>
            <w:vAlign w:val="center"/>
          </w:tcPr>
          <w:p w14:paraId="57739177">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与医院现有HIS核心存储（长虹 G700）兼容，与现有存储空间形成统一的存储池。</w:t>
            </w:r>
          </w:p>
        </w:tc>
        <w:tc>
          <w:tcPr>
            <w:tcW w:w="567" w:type="pct"/>
          </w:tcPr>
          <w:p w14:paraId="07A059E6">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w:t>
            </w:r>
          </w:p>
        </w:tc>
      </w:tr>
      <w:tr w14:paraId="60BA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6" w:type="pct"/>
          </w:tcPr>
          <w:p w14:paraId="442A222D">
            <w:pPr>
              <w:numPr>
                <w:ilvl w:val="0"/>
                <w:numId w:val="1"/>
              </w:numPr>
              <w:jc w:val="center"/>
              <w:rPr>
                <w:rFonts w:hint="eastAsia"/>
                <w:color w:val="000000" w:themeColor="text1"/>
                <w:sz w:val="24"/>
                <w:szCs w:val="24"/>
                <w14:textFill>
                  <w14:solidFill>
                    <w14:schemeClr w14:val="tx1"/>
                  </w14:solidFill>
                </w14:textFill>
              </w:rPr>
            </w:pPr>
          </w:p>
        </w:tc>
        <w:tc>
          <w:tcPr>
            <w:tcW w:w="663" w:type="pct"/>
            <w:vAlign w:val="center"/>
          </w:tcPr>
          <w:p w14:paraId="1F6E0213">
            <w:pPr>
              <w:jc w:val="cente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硬盘</w:t>
            </w:r>
            <w:r>
              <w:rPr>
                <w:rFonts w:hint="eastAsia"/>
                <w:color w:val="000000" w:themeColor="text1"/>
                <w:sz w:val="24"/>
                <w:szCs w:val="24"/>
                <w:lang w:eastAsia="zh-CN"/>
                <w14:textFill>
                  <w14:solidFill>
                    <w14:schemeClr w14:val="tx1"/>
                  </w14:solidFill>
                </w14:textFill>
              </w:rPr>
              <w:t>指标</w:t>
            </w:r>
          </w:p>
        </w:tc>
        <w:tc>
          <w:tcPr>
            <w:tcW w:w="584" w:type="pct"/>
          </w:tcPr>
          <w:p w14:paraId="5A5251B1">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820" w:type="pct"/>
            <w:vAlign w:val="center"/>
          </w:tcPr>
          <w:p w14:paraId="2314D562">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≥单盘容量15.3TB </w:t>
            </w:r>
            <w:r>
              <w:rPr>
                <w:rFonts w:hint="eastAsia"/>
                <w:color w:val="000000" w:themeColor="text1"/>
                <w:sz w:val="24"/>
                <w:szCs w:val="24"/>
                <w:lang w:eastAsia="zh-CN"/>
                <w14:textFill>
                  <w14:solidFill>
                    <w14:schemeClr w14:val="tx1"/>
                  </w14:solidFill>
                </w14:textFill>
              </w:rPr>
              <w:t xml:space="preserve">2.5英寸 </w:t>
            </w:r>
            <w:r>
              <w:rPr>
                <w:rFonts w:hint="eastAsia"/>
                <w:color w:val="000000" w:themeColor="text1"/>
                <w:sz w:val="24"/>
                <w:szCs w:val="24"/>
                <w14:textFill>
                  <w14:solidFill>
                    <w14:schemeClr w14:val="tx1"/>
                  </w14:solidFill>
                </w14:textFill>
              </w:rPr>
              <w:t>NVMe SSD</w:t>
            </w:r>
          </w:p>
        </w:tc>
        <w:tc>
          <w:tcPr>
            <w:tcW w:w="567" w:type="pct"/>
          </w:tcPr>
          <w:p w14:paraId="714AE185">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w:t>
            </w:r>
          </w:p>
        </w:tc>
      </w:tr>
      <w:tr w14:paraId="790B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6" w:type="pct"/>
          </w:tcPr>
          <w:p w14:paraId="754FD3AE">
            <w:pPr>
              <w:numPr>
                <w:ilvl w:val="0"/>
                <w:numId w:val="1"/>
              </w:numPr>
              <w:jc w:val="center"/>
              <w:rPr>
                <w:rFonts w:hint="eastAsia"/>
                <w:color w:val="000000" w:themeColor="text1"/>
                <w:sz w:val="24"/>
                <w:szCs w:val="24"/>
                <w14:textFill>
                  <w14:solidFill>
                    <w14:schemeClr w14:val="tx1"/>
                  </w14:solidFill>
                </w14:textFill>
              </w:rPr>
            </w:pPr>
          </w:p>
        </w:tc>
        <w:tc>
          <w:tcPr>
            <w:tcW w:w="663" w:type="pct"/>
            <w:vAlign w:val="center"/>
          </w:tcPr>
          <w:p w14:paraId="1278AF8D">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硬盘数量</w:t>
            </w:r>
          </w:p>
        </w:tc>
        <w:tc>
          <w:tcPr>
            <w:tcW w:w="584" w:type="pct"/>
          </w:tcPr>
          <w:p w14:paraId="3AF378EF">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820" w:type="pct"/>
            <w:vAlign w:val="center"/>
          </w:tcPr>
          <w:p w14:paraId="297331F5">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≥2套（</w:t>
            </w:r>
            <w:r>
              <w:rPr>
                <w:color w:val="000000" w:themeColor="text1"/>
                <w:sz w:val="24"/>
                <w:szCs w:val="24"/>
                <w:lang w:eastAsia="zh-CN"/>
                <w14:textFill>
                  <w14:solidFill>
                    <w14:schemeClr w14:val="tx1"/>
                  </w14:solidFill>
                </w14:textFill>
              </w:rPr>
              <w:t>双活存储</w:t>
            </w:r>
            <w:r>
              <w:rPr>
                <w:rFonts w:hint="eastAsia"/>
                <w:color w:val="000000" w:themeColor="text1"/>
                <w:sz w:val="24"/>
                <w:szCs w:val="24"/>
                <w:lang w:eastAsia="zh-CN"/>
                <w14:textFill>
                  <w14:solidFill>
                    <w14:schemeClr w14:val="tx1"/>
                  </w14:solidFill>
                </w14:textFill>
              </w:rPr>
              <w:t>，每套存储扩容1套硬盘包，每套硬盘包包含硬盘2块）</w:t>
            </w:r>
          </w:p>
        </w:tc>
        <w:tc>
          <w:tcPr>
            <w:tcW w:w="567" w:type="pct"/>
          </w:tcPr>
          <w:p w14:paraId="43504245">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r w14:paraId="5095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6" w:type="pct"/>
          </w:tcPr>
          <w:p w14:paraId="3C267BB4">
            <w:pPr>
              <w:numPr>
                <w:ilvl w:val="0"/>
                <w:numId w:val="1"/>
              </w:numPr>
              <w:jc w:val="center"/>
              <w:rPr>
                <w:rFonts w:hint="eastAsia"/>
                <w:color w:val="000000" w:themeColor="text1"/>
                <w:sz w:val="24"/>
                <w:szCs w:val="24"/>
                <w14:textFill>
                  <w14:solidFill>
                    <w14:schemeClr w14:val="tx1"/>
                  </w14:solidFill>
                </w14:textFill>
              </w:rPr>
            </w:pPr>
          </w:p>
        </w:tc>
        <w:tc>
          <w:tcPr>
            <w:tcW w:w="663" w:type="pct"/>
            <w:vAlign w:val="center"/>
          </w:tcPr>
          <w:p w14:paraId="2B648647">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软件许可</w:t>
            </w:r>
          </w:p>
        </w:tc>
        <w:tc>
          <w:tcPr>
            <w:tcW w:w="584" w:type="pct"/>
          </w:tcPr>
          <w:p w14:paraId="4A801C1F">
            <w:pPr>
              <w:jc w:val="center"/>
              <w:rPr>
                <w:rFonts w:hint="eastAsia"/>
                <w:color w:val="000000" w:themeColor="text1"/>
                <w:sz w:val="24"/>
                <w:szCs w:val="24"/>
                <w14:textFill>
                  <w14:solidFill>
                    <w14:schemeClr w14:val="tx1"/>
                  </w14:solidFill>
                </w14:textFill>
              </w:rPr>
            </w:pPr>
          </w:p>
        </w:tc>
        <w:tc>
          <w:tcPr>
            <w:tcW w:w="2820" w:type="pct"/>
            <w:vAlign w:val="center"/>
          </w:tcPr>
          <w:p w14:paraId="2FC3B24C">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确保与原有存储系统所配功能兼容，需详细说明所包含的功能许可内容。</w:t>
            </w:r>
          </w:p>
        </w:tc>
        <w:tc>
          <w:tcPr>
            <w:tcW w:w="567" w:type="pct"/>
          </w:tcPr>
          <w:p w14:paraId="019BC9B5">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r w14:paraId="5D6B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6" w:type="pct"/>
          </w:tcPr>
          <w:p w14:paraId="1DB7F694">
            <w:pPr>
              <w:numPr>
                <w:ilvl w:val="0"/>
                <w:numId w:val="1"/>
              </w:numPr>
              <w:jc w:val="center"/>
              <w:rPr>
                <w:rFonts w:hint="eastAsia"/>
                <w:color w:val="000000" w:themeColor="text1"/>
                <w:sz w:val="24"/>
                <w:szCs w:val="24"/>
                <w14:textFill>
                  <w14:solidFill>
                    <w14:schemeClr w14:val="tx1"/>
                  </w14:solidFill>
                </w14:textFill>
              </w:rPr>
            </w:pPr>
          </w:p>
        </w:tc>
        <w:tc>
          <w:tcPr>
            <w:tcW w:w="663" w:type="pct"/>
            <w:vAlign w:val="center"/>
          </w:tcPr>
          <w:p w14:paraId="357B43D0">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实施服务</w:t>
            </w:r>
          </w:p>
        </w:tc>
        <w:tc>
          <w:tcPr>
            <w:tcW w:w="584" w:type="pct"/>
          </w:tcPr>
          <w:p w14:paraId="54E5574E">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820" w:type="pct"/>
            <w:vAlign w:val="center"/>
          </w:tcPr>
          <w:p w14:paraId="7D5335E1">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此次采购的SSD盘需平均分配到现有环境中，双活部署。</w:t>
            </w:r>
          </w:p>
          <w:p w14:paraId="7C47042D">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安装实施服务过程中确保HIS应用系统不停机。</w:t>
            </w:r>
          </w:p>
        </w:tc>
        <w:tc>
          <w:tcPr>
            <w:tcW w:w="567" w:type="pct"/>
          </w:tcPr>
          <w:p w14:paraId="4B7833E6">
            <w:pPr>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w:t>
            </w:r>
          </w:p>
        </w:tc>
      </w:tr>
    </w:tbl>
    <w:p w14:paraId="0DAFA87D">
      <w:pPr>
        <w:pStyle w:val="5"/>
        <w:spacing w:line="360" w:lineRule="auto"/>
        <w:ind w:left="0"/>
        <w:rPr>
          <w:rFonts w:hint="eastAsia"/>
          <w:b/>
          <w:bCs/>
          <w:color w:val="000000" w:themeColor="text1"/>
          <w:lang w:eastAsia="zh-CN"/>
          <w14:textFill>
            <w14:solidFill>
              <w14:schemeClr w14:val="tx1"/>
            </w14:solidFill>
          </w14:textFill>
        </w:rPr>
      </w:pPr>
    </w:p>
    <w:p w14:paraId="26DF6DE5">
      <w:pPr>
        <w:pStyle w:val="5"/>
        <w:spacing w:line="360" w:lineRule="auto"/>
        <w:ind w:left="0"/>
        <w:rPr>
          <w:rFonts w:ascii="Times New Roman" w:hAnsi="Times New Roman" w:cs="Times New Roman"/>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品目1-3：备份一体机、品目1-4：数据备份管理系统</w:t>
      </w:r>
    </w:p>
    <w:tbl>
      <w:tblPr>
        <w:tblStyle w:val="13"/>
        <w:tblW w:w="9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043"/>
        <w:gridCol w:w="725"/>
        <w:gridCol w:w="6435"/>
        <w:gridCol w:w="1148"/>
      </w:tblGrid>
      <w:tr w14:paraId="7E73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0" w:type="auto"/>
          </w:tcPr>
          <w:p w14:paraId="6487C3A7">
            <w:pP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t>序号</w:t>
            </w:r>
          </w:p>
        </w:tc>
        <w:tc>
          <w:tcPr>
            <w:tcW w:w="0" w:type="auto"/>
          </w:tcPr>
          <w:p w14:paraId="4769D939">
            <w:pPr>
              <w:jc w:val="cente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t>指标项</w:t>
            </w:r>
          </w:p>
        </w:tc>
        <w:tc>
          <w:tcPr>
            <w:tcW w:w="0" w:type="auto"/>
          </w:tcPr>
          <w:p w14:paraId="42BF4DB4">
            <w:pPr>
              <w:jc w:val="center"/>
              <w:rPr>
                <w:rFonts w:hint="eastAsia" w:asciiTheme="majorEastAsia" w:hAnsiTheme="majorEastAsia" w:eastAsiaTheme="majorEastAsia" w:cstheme="majorEastAsia"/>
                <w:b/>
                <w:bCs/>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t>重要</w:t>
            </w:r>
            <w:r>
              <w:rPr>
                <w:rFonts w:hint="eastAsia" w:asciiTheme="majorEastAsia" w:hAnsiTheme="majorEastAsia" w:eastAsiaTheme="majorEastAsia" w:cstheme="majorEastAsia"/>
                <w:b/>
                <w:bCs/>
                <w:color w:val="000000" w:themeColor="text1"/>
                <w:kern w:val="2"/>
                <w:sz w:val="24"/>
                <w:szCs w:val="24"/>
                <w:lang w:eastAsia="zh-CN"/>
                <w14:textFill>
                  <w14:solidFill>
                    <w14:schemeClr w14:val="tx1"/>
                  </w14:solidFill>
                </w14:textFill>
              </w:rPr>
              <w:t>性</w:t>
            </w:r>
          </w:p>
        </w:tc>
        <w:tc>
          <w:tcPr>
            <w:tcW w:w="6435" w:type="dxa"/>
          </w:tcPr>
          <w:p w14:paraId="4014BEBE">
            <w:pPr>
              <w:ind w:firstLine="482"/>
              <w:jc w:val="cente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t>参数</w:t>
            </w:r>
          </w:p>
        </w:tc>
        <w:tc>
          <w:tcPr>
            <w:tcW w:w="1148" w:type="dxa"/>
          </w:tcPr>
          <w:p w14:paraId="76E65C62">
            <w:pP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t>证明材料要求</w:t>
            </w:r>
          </w:p>
        </w:tc>
      </w:tr>
      <w:tr w14:paraId="7441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0" w:type="auto"/>
          </w:tcPr>
          <w:p w14:paraId="1D1BEC55">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w:t>
            </w:r>
          </w:p>
        </w:tc>
        <w:tc>
          <w:tcPr>
            <w:tcW w:w="0" w:type="auto"/>
          </w:tcPr>
          <w:p w14:paraId="53463964">
            <w:pPr>
              <w:jc w:val="cente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数据备份管理系统硬件要求</w:t>
            </w:r>
          </w:p>
        </w:tc>
        <w:tc>
          <w:tcPr>
            <w:tcW w:w="0" w:type="auto"/>
          </w:tcPr>
          <w:p w14:paraId="48149A3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u w:color="000000"/>
                <w14:textFill>
                  <w14:solidFill>
                    <w14:schemeClr w14:val="tx1"/>
                  </w14:solidFill>
                </w14:textFill>
              </w:rPr>
              <w:t>★</w:t>
            </w:r>
          </w:p>
        </w:tc>
        <w:tc>
          <w:tcPr>
            <w:tcW w:w="6435" w:type="dxa"/>
          </w:tcPr>
          <w:p w14:paraId="596D884C">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1.数据备份管理系统硬件要求：</w:t>
            </w:r>
          </w:p>
          <w:p w14:paraId="5A12B4A8">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≥2U机架高度，≥2颗国产X86架构CPU（单颗CPU单核主频≥2.5GHz、单核核心数≥16），≥128GB ECC DDR4内存，≥2块480GB SSD系统硬盘，≥12块2.4 TB SAS企业级数据硬盘，≥2个1Gbps以太网主机接口，≥2个10Gb 以太网主机接口（光口），热插拔冗余电源1+1，硬件满足信创要求，软件支持信创操作系统，系统架构支持分布式扩展；（需配置信创操作系统，投标人需提供“中国信息安全测评中心的安全可靠测评CPU和操作系统截图”）</w:t>
            </w:r>
          </w:p>
        </w:tc>
        <w:tc>
          <w:tcPr>
            <w:tcW w:w="1148" w:type="dxa"/>
          </w:tcPr>
          <w:p w14:paraId="1AA98433">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41DA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0" w:type="auto"/>
          </w:tcPr>
          <w:p w14:paraId="0918E803">
            <w:pPr>
              <w:ind w:firstLine="240" w:firstLineChars="100"/>
              <w:jc w:val="center"/>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2</w:t>
            </w:r>
          </w:p>
        </w:tc>
        <w:tc>
          <w:tcPr>
            <w:tcW w:w="0" w:type="auto"/>
          </w:tcPr>
          <w:p w14:paraId="1B896E91">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备份一体机</w:t>
            </w:r>
          </w:p>
        </w:tc>
        <w:tc>
          <w:tcPr>
            <w:tcW w:w="0" w:type="auto"/>
          </w:tcPr>
          <w:p w14:paraId="0263825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u w:color="000000"/>
                <w14:textFill>
                  <w14:solidFill>
                    <w14:schemeClr w14:val="tx1"/>
                  </w14:solidFill>
                </w14:textFill>
              </w:rPr>
              <w:t>★</w:t>
            </w:r>
          </w:p>
        </w:tc>
        <w:tc>
          <w:tcPr>
            <w:tcW w:w="6435" w:type="dxa"/>
          </w:tcPr>
          <w:p w14:paraId="3E8C69B9">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2.备份一体机硬件要求：</w:t>
            </w:r>
          </w:p>
          <w:p w14:paraId="2BC0AC70">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≥2U机架高度，≥2颗国产X86架构CPU（单颗CPU单核主频≥2.5GHz、单核核心数≥16），≥128GB ECC DDR4内存，≥2块480GB SSD硬盘，≥12块12TB企业级 7.2K SATA 硬盘，≥2个1Gbps以太网主机接口，≥6个10Gb 以太网主机接口（光口），热插拔冗余电源1+1，硬件满足信创要求，软件支持信创操作系统，系统架构支持分布式扩展；（需配置信创操作系统，投标人需提供“中国信息安全测评中心的安全可靠测评CPU和操作系统截图”）</w:t>
            </w:r>
          </w:p>
          <w:p w14:paraId="19A40115">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授权：提供≥20TB  Windos/Linux整机实时备份可用容量授权，提供≥120TB 备份系统可用容量授权（不区分备份内容）。</w:t>
            </w:r>
          </w:p>
        </w:tc>
        <w:tc>
          <w:tcPr>
            <w:tcW w:w="1148" w:type="dxa"/>
          </w:tcPr>
          <w:p w14:paraId="43CA458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1756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592C8C">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3</w:t>
            </w:r>
          </w:p>
        </w:tc>
        <w:tc>
          <w:tcPr>
            <w:tcW w:w="0" w:type="auto"/>
          </w:tcPr>
          <w:p w14:paraId="270EEBE6">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备份策略</w:t>
            </w:r>
          </w:p>
        </w:tc>
        <w:tc>
          <w:tcPr>
            <w:tcW w:w="0" w:type="auto"/>
          </w:tcPr>
          <w:p w14:paraId="027CA5C2">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p>
        </w:tc>
        <w:tc>
          <w:tcPr>
            <w:tcW w:w="6435" w:type="dxa"/>
          </w:tcPr>
          <w:p w14:paraId="02EFB6BB">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备份系统支持针对单个备份任务独立设置数据保留策略（如保留期限或最近保留份数），无需依赖存储池级别的过期策略实现备份清理。</w:t>
            </w:r>
          </w:p>
        </w:tc>
        <w:tc>
          <w:tcPr>
            <w:tcW w:w="1148" w:type="dxa"/>
          </w:tcPr>
          <w:p w14:paraId="4141E0B4">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5B85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73C80C">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4</w:t>
            </w:r>
          </w:p>
        </w:tc>
        <w:tc>
          <w:tcPr>
            <w:tcW w:w="0" w:type="auto"/>
          </w:tcPr>
          <w:p w14:paraId="54CE5DA2">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基本要求</w:t>
            </w:r>
          </w:p>
        </w:tc>
        <w:tc>
          <w:tcPr>
            <w:tcW w:w="0" w:type="auto"/>
          </w:tcPr>
          <w:p w14:paraId="0BEAF190">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p>
        </w:tc>
        <w:tc>
          <w:tcPr>
            <w:tcW w:w="6435" w:type="dxa"/>
          </w:tcPr>
          <w:p w14:paraId="4F41CF65">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系统保护对象支持信创（软硬件）架构主机、虚拟机和云主机，支持基于I/O级别实时记录磁盘I/O变化，可对整机、磁盘和分区做数据保护。备份系统保护对象支持主流信创（软硬件）架构主机、虚拟机和云主机的数据备份，单个备份作业支持断点续传。</w:t>
            </w:r>
          </w:p>
        </w:tc>
        <w:tc>
          <w:tcPr>
            <w:tcW w:w="1148" w:type="dxa"/>
          </w:tcPr>
          <w:p w14:paraId="2ABE245E">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6815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BBA4F2">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5</w:t>
            </w:r>
          </w:p>
        </w:tc>
        <w:tc>
          <w:tcPr>
            <w:tcW w:w="0" w:type="auto"/>
          </w:tcPr>
          <w:p w14:paraId="62B3BB0B">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坏块预警</w:t>
            </w:r>
          </w:p>
        </w:tc>
        <w:tc>
          <w:tcPr>
            <w:tcW w:w="0" w:type="auto"/>
          </w:tcPr>
          <w:p w14:paraId="241B7AC0">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4D40E4DA">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提供数据库备份过程中的坏块检测预警功能，发现坏块时以邮件形式通知指定邮箱。（提供与坏块检测预警功能截图加盖原厂公章）</w:t>
            </w:r>
          </w:p>
        </w:tc>
        <w:tc>
          <w:tcPr>
            <w:tcW w:w="1148" w:type="dxa"/>
          </w:tcPr>
          <w:p w14:paraId="4D985583">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6888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F7A915">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6</w:t>
            </w:r>
          </w:p>
        </w:tc>
        <w:tc>
          <w:tcPr>
            <w:tcW w:w="0" w:type="auto"/>
          </w:tcPr>
          <w:p w14:paraId="131E4740">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数据库兼容性</w:t>
            </w:r>
          </w:p>
        </w:tc>
        <w:tc>
          <w:tcPr>
            <w:tcW w:w="0" w:type="auto"/>
          </w:tcPr>
          <w:p w14:paraId="0BA013B5">
            <w:pPr>
              <w:ind w:firstLine="482"/>
              <w:jc w:val="cente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pPr>
          </w:p>
        </w:tc>
        <w:tc>
          <w:tcPr>
            <w:tcW w:w="6435" w:type="dxa"/>
          </w:tcPr>
          <w:p w14:paraId="1720B5BD">
            <w:pP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提供SQL Server、达梦、Oracle、人大金仓、MySQL、南大通用、MariaDB、OceanBase、DB2、GaussDB、PostgreSQL、TiDB、TDSQL 、SAP HANA等主流数据库的接口级备份与恢复功能（非整机），备份任务采用图形化向导式完成，实现单表级数据恢复。</w:t>
            </w:r>
          </w:p>
        </w:tc>
        <w:tc>
          <w:tcPr>
            <w:tcW w:w="1148" w:type="dxa"/>
          </w:tcPr>
          <w:p w14:paraId="5CE8C2DD">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447E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0D2A96">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7</w:t>
            </w:r>
          </w:p>
        </w:tc>
        <w:tc>
          <w:tcPr>
            <w:tcW w:w="0" w:type="auto"/>
          </w:tcPr>
          <w:p w14:paraId="0C279BBB">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平台功能</w:t>
            </w:r>
          </w:p>
        </w:tc>
        <w:tc>
          <w:tcPr>
            <w:tcW w:w="0" w:type="auto"/>
          </w:tcPr>
          <w:p w14:paraId="668E033D">
            <w:pPr>
              <w:ind w:firstLine="482"/>
              <w:jc w:val="center"/>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pPr>
          </w:p>
        </w:tc>
        <w:tc>
          <w:tcPr>
            <w:tcW w:w="6435" w:type="dxa"/>
          </w:tcPr>
          <w:p w14:paraId="711F1EBD">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备份一体机与数据备份管理系统通过一个界面综合管理，管理功能深度融合，登陆支持双因子认证，通过综合管理平台统一管理客户端的安装、更新、卸载，要求提供自身安全防护能力。</w:t>
            </w:r>
          </w:p>
        </w:tc>
        <w:tc>
          <w:tcPr>
            <w:tcW w:w="1148" w:type="dxa"/>
          </w:tcPr>
          <w:p w14:paraId="51EB21DC">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787E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F15EF6">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8</w:t>
            </w:r>
          </w:p>
        </w:tc>
        <w:tc>
          <w:tcPr>
            <w:tcW w:w="0" w:type="auto"/>
          </w:tcPr>
          <w:p w14:paraId="79D4D1A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一致性</w:t>
            </w:r>
          </w:p>
        </w:tc>
        <w:tc>
          <w:tcPr>
            <w:tcW w:w="0" w:type="auto"/>
          </w:tcPr>
          <w:p w14:paraId="747C5FD7">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6275A953">
            <w:pPr>
              <w:pStyle w:val="18"/>
              <w:ind w:left="0"/>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要求配置全局一致性技术，对于同一业务的多台服务器，在任意时刻，保持数据捕获的一致性，任意的演练、接管、回退等动作均同步进行，以保证该业务系统的全局可控。（须提供同一业务多台服务器的一致性组策略配置功能截图证明，并加盖原厂公章）</w:t>
            </w:r>
          </w:p>
        </w:tc>
        <w:tc>
          <w:tcPr>
            <w:tcW w:w="1148" w:type="dxa"/>
          </w:tcPr>
          <w:p w14:paraId="56EDB67C">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5A33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A7D55F">
            <w:pPr>
              <w:ind w:firstLine="240" w:firstLineChars="100"/>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9</w:t>
            </w:r>
          </w:p>
        </w:tc>
        <w:tc>
          <w:tcPr>
            <w:tcW w:w="0" w:type="auto"/>
          </w:tcPr>
          <w:p w14:paraId="26B16AE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容灾网络管理</w:t>
            </w:r>
          </w:p>
        </w:tc>
        <w:tc>
          <w:tcPr>
            <w:tcW w:w="0" w:type="auto"/>
          </w:tcPr>
          <w:p w14:paraId="7F5F5ED5">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08C60AB1">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内嵌接管和验证网络，用于备份数据验证、容灾接管；两种网络设置在不改变生产网络配置的情况下，不能与生产网络产生冲突。（提供该功能全部实现过程截图证明文件，并加盖原厂公章）</w:t>
            </w:r>
          </w:p>
        </w:tc>
        <w:tc>
          <w:tcPr>
            <w:tcW w:w="1148" w:type="dxa"/>
          </w:tcPr>
          <w:p w14:paraId="3094DEC6">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42EB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7092BE">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10</w:t>
            </w:r>
          </w:p>
        </w:tc>
        <w:tc>
          <w:tcPr>
            <w:tcW w:w="0" w:type="auto"/>
          </w:tcPr>
          <w:p w14:paraId="11BA869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接管资源自适应</w:t>
            </w:r>
          </w:p>
        </w:tc>
        <w:tc>
          <w:tcPr>
            <w:tcW w:w="0" w:type="auto"/>
          </w:tcPr>
          <w:p w14:paraId="3BCA73EC">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60CE047E">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配置接管资源自适应功能，支持基于操作系统、数据库和应用的全局业务接管，自动匹配、自动从接管资源池适配接管资源，无需对CPU、内存、磁盘、网络等进行任何定义和配置。（须提供系统软件详细的应急接管过程截图证明，并加盖原厂公章）</w:t>
            </w:r>
          </w:p>
        </w:tc>
        <w:tc>
          <w:tcPr>
            <w:tcW w:w="1148" w:type="dxa"/>
          </w:tcPr>
          <w:p w14:paraId="5A8F34DB">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5F73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CBCC7D">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11</w:t>
            </w:r>
          </w:p>
        </w:tc>
        <w:tc>
          <w:tcPr>
            <w:tcW w:w="0" w:type="auto"/>
          </w:tcPr>
          <w:p w14:paraId="7970BFDB">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HA热备架构</w:t>
            </w:r>
          </w:p>
        </w:tc>
        <w:tc>
          <w:tcPr>
            <w:tcW w:w="0" w:type="auto"/>
          </w:tcPr>
          <w:p w14:paraId="757D3CB3">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608EA0E0">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支持在任意的X86物理机、虚拟机和云主机之间实现HA热备架构，并可实现自动和手动一键业务系统切换，可灵活设置自动切换规则，触发切换计划包括：检测生产机的服务、网络链路、网络端口等，判断当前系统运行情况，界面可设置检测网络、端口检测、异常检测周期及次数</w:t>
            </w:r>
          </w:p>
        </w:tc>
        <w:tc>
          <w:tcPr>
            <w:tcW w:w="1148" w:type="dxa"/>
          </w:tcPr>
          <w:p w14:paraId="5ABEA955">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4FEE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D2BE1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12</w:t>
            </w:r>
          </w:p>
        </w:tc>
        <w:tc>
          <w:tcPr>
            <w:tcW w:w="0" w:type="auto"/>
          </w:tcPr>
          <w:p w14:paraId="78D3DD2F">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虚拟化兼容性</w:t>
            </w:r>
          </w:p>
        </w:tc>
        <w:tc>
          <w:tcPr>
            <w:tcW w:w="0" w:type="auto"/>
          </w:tcPr>
          <w:p w14:paraId="72D949EF">
            <w:pPr>
              <w:ind w:firstLine="482"/>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p>
        </w:tc>
        <w:tc>
          <w:tcPr>
            <w:tcW w:w="6435" w:type="dxa"/>
          </w:tcPr>
          <w:p w14:paraId="14F64B64">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支持VMware、Hyper-V、SmartX等主流虚拟化无代理备份功能，对于虚拟机备份直接恢复单个文件，无需恢复整个虚拟机。</w:t>
            </w:r>
          </w:p>
        </w:tc>
        <w:tc>
          <w:tcPr>
            <w:tcW w:w="1148" w:type="dxa"/>
          </w:tcPr>
          <w:p w14:paraId="47B6EEA7">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7E83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E94ED7">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13</w:t>
            </w:r>
          </w:p>
        </w:tc>
        <w:tc>
          <w:tcPr>
            <w:tcW w:w="0" w:type="auto"/>
          </w:tcPr>
          <w:p w14:paraId="1C823538">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带宽控制</w:t>
            </w:r>
          </w:p>
        </w:tc>
        <w:tc>
          <w:tcPr>
            <w:tcW w:w="0" w:type="auto"/>
          </w:tcPr>
          <w:p w14:paraId="4A407824">
            <w:pPr>
              <w:ind w:firstLine="482"/>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p>
        </w:tc>
        <w:tc>
          <w:tcPr>
            <w:tcW w:w="6435" w:type="dxa"/>
          </w:tcPr>
          <w:p w14:paraId="264DCBE8">
            <w:pPr>
              <w:pStyle w:val="19"/>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支持基于保护对象的限速功能，要求配置基于备份数据流的带宽及数据流控制功能，避免过大数据流下对网络带宽的过度使用，影响生产业务；</w:t>
            </w:r>
          </w:p>
        </w:tc>
        <w:tc>
          <w:tcPr>
            <w:tcW w:w="1148" w:type="dxa"/>
          </w:tcPr>
          <w:p w14:paraId="11943A0F">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6851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78F863">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14</w:t>
            </w:r>
          </w:p>
        </w:tc>
        <w:tc>
          <w:tcPr>
            <w:tcW w:w="0" w:type="auto"/>
          </w:tcPr>
          <w:p w14:paraId="43DDA663">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挂载恢复</w:t>
            </w:r>
          </w:p>
        </w:tc>
        <w:tc>
          <w:tcPr>
            <w:tcW w:w="0" w:type="auto"/>
          </w:tcPr>
          <w:p w14:paraId="2944F530">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557F0861">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虚拟化无代理备份支持数据挂载功能（如整机、磁盘、目录）等多种方式，挂载至任意目标操作系统，挂载后的数据目录可读可写。（提供该功能全部实现过程截图证明文件）</w:t>
            </w:r>
          </w:p>
        </w:tc>
        <w:tc>
          <w:tcPr>
            <w:tcW w:w="1148" w:type="dxa"/>
          </w:tcPr>
          <w:p w14:paraId="05715832">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5020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A44A672">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15</w:t>
            </w:r>
          </w:p>
        </w:tc>
        <w:tc>
          <w:tcPr>
            <w:tcW w:w="0" w:type="auto"/>
          </w:tcPr>
          <w:p w14:paraId="06B2267B">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容灾异构支持性</w:t>
            </w:r>
          </w:p>
        </w:tc>
        <w:tc>
          <w:tcPr>
            <w:tcW w:w="0" w:type="auto"/>
          </w:tcPr>
          <w:p w14:paraId="7B7ADF99">
            <w:pPr>
              <w:ind w:firstLine="482"/>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p>
        </w:tc>
        <w:tc>
          <w:tcPr>
            <w:tcW w:w="6435" w:type="dxa"/>
          </w:tcPr>
          <w:p w14:paraId="33E0E326">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备份管理系统支持计算节点在异构CPU环境下启动保护的资源，计算节点与存储节点可部署于不同物理机，实现计算与存储资源松耦合。</w:t>
            </w:r>
          </w:p>
        </w:tc>
        <w:tc>
          <w:tcPr>
            <w:tcW w:w="1148" w:type="dxa"/>
          </w:tcPr>
          <w:p w14:paraId="5576F84D">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5F91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5F5C84">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16</w:t>
            </w:r>
          </w:p>
        </w:tc>
        <w:tc>
          <w:tcPr>
            <w:tcW w:w="0" w:type="auto"/>
          </w:tcPr>
          <w:p w14:paraId="1E6CF4D8">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数据库异构</w:t>
            </w:r>
          </w:p>
        </w:tc>
        <w:tc>
          <w:tcPr>
            <w:tcW w:w="0" w:type="auto"/>
          </w:tcPr>
          <w:p w14:paraId="54F9C17C">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0C8082AC">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支持异构数据库的实时复制，在源端数据库修改表结构、增加表等，自动将新增结构变化同步到目标端数据库。</w:t>
            </w:r>
          </w:p>
        </w:tc>
        <w:tc>
          <w:tcPr>
            <w:tcW w:w="1148" w:type="dxa"/>
          </w:tcPr>
          <w:p w14:paraId="3921C50B">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2B32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67C618">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17</w:t>
            </w:r>
          </w:p>
        </w:tc>
        <w:tc>
          <w:tcPr>
            <w:tcW w:w="0" w:type="auto"/>
          </w:tcPr>
          <w:p w14:paraId="14275DA3">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独立APP运维</w:t>
            </w:r>
          </w:p>
        </w:tc>
        <w:tc>
          <w:tcPr>
            <w:tcW w:w="0" w:type="auto"/>
          </w:tcPr>
          <w:p w14:paraId="454004AA">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43FFCE6A">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移动端独立APP程序，通过APP可随时查看容灾系统运行报告，详细展示系统和业务潜在的风险和运行状态，显示备份任务数据最新时间点动态；出现保护中断、容量告警、违规操作等安全事件时，发送通知到手机端APP，提供≥5个管理员授权。（在电子版投标文件中，提供软件功能清晰录屏视频）</w:t>
            </w:r>
          </w:p>
        </w:tc>
        <w:tc>
          <w:tcPr>
            <w:tcW w:w="1148" w:type="dxa"/>
          </w:tcPr>
          <w:p w14:paraId="479E9E7C">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18AE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572C0A">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18</w:t>
            </w:r>
          </w:p>
        </w:tc>
        <w:tc>
          <w:tcPr>
            <w:tcW w:w="0" w:type="auto"/>
          </w:tcPr>
          <w:p w14:paraId="00416031">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数据校验</w:t>
            </w:r>
          </w:p>
        </w:tc>
        <w:tc>
          <w:tcPr>
            <w:tcW w:w="0" w:type="auto"/>
          </w:tcPr>
          <w:p w14:paraId="6713E222">
            <w:pPr>
              <w:ind w:firstLine="482"/>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p>
        </w:tc>
        <w:tc>
          <w:tcPr>
            <w:tcW w:w="6435" w:type="dxa"/>
          </w:tcPr>
          <w:p w14:paraId="00D72440">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支持备份数据自动校验功能，校验备份数据与源数据保持一致，保证备份数据的完整性。</w:t>
            </w:r>
          </w:p>
        </w:tc>
        <w:tc>
          <w:tcPr>
            <w:tcW w:w="1148" w:type="dxa"/>
          </w:tcPr>
          <w:p w14:paraId="58964A58">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142F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C9C81F">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19</w:t>
            </w:r>
          </w:p>
        </w:tc>
        <w:tc>
          <w:tcPr>
            <w:tcW w:w="0" w:type="auto"/>
          </w:tcPr>
          <w:p w14:paraId="570EFA4B">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加密与重删</w:t>
            </w:r>
          </w:p>
        </w:tc>
        <w:tc>
          <w:tcPr>
            <w:tcW w:w="0" w:type="auto"/>
          </w:tcPr>
          <w:p w14:paraId="74A4EF73">
            <w:pPr>
              <w:ind w:firstLine="482"/>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p>
        </w:tc>
        <w:tc>
          <w:tcPr>
            <w:tcW w:w="6435" w:type="dxa"/>
          </w:tcPr>
          <w:p w14:paraId="768317AB">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支持在传输过程中采用国密算法加密功能；</w:t>
            </w:r>
          </w:p>
          <w:p w14:paraId="1E2FF5EE">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支持本地数据压缩和重复数据删除功能；支持异地远程复制功能，支持持续复制及定时复制功能。</w:t>
            </w:r>
          </w:p>
        </w:tc>
        <w:tc>
          <w:tcPr>
            <w:tcW w:w="1148" w:type="dxa"/>
          </w:tcPr>
          <w:p w14:paraId="30FA7A36">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否</w:t>
            </w:r>
          </w:p>
        </w:tc>
      </w:tr>
      <w:tr w14:paraId="440F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AED783">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20</w:t>
            </w:r>
          </w:p>
        </w:tc>
        <w:tc>
          <w:tcPr>
            <w:tcW w:w="0" w:type="auto"/>
          </w:tcPr>
          <w:p w14:paraId="158EA019">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资源占用</w:t>
            </w:r>
          </w:p>
        </w:tc>
        <w:tc>
          <w:tcPr>
            <w:tcW w:w="0" w:type="auto"/>
          </w:tcPr>
          <w:p w14:paraId="1BA09AF4">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7B653B22">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虚拟机启用CDP数据保护策略功能后，保护程序的资源占用率≤1%（提供具有CNAS资格的第三方实验室出具的检测报告）</w:t>
            </w:r>
          </w:p>
        </w:tc>
        <w:tc>
          <w:tcPr>
            <w:tcW w:w="1148" w:type="dxa"/>
          </w:tcPr>
          <w:p w14:paraId="759A85E7">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0494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2497B8">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21</w:t>
            </w:r>
          </w:p>
        </w:tc>
        <w:tc>
          <w:tcPr>
            <w:tcW w:w="0" w:type="auto"/>
          </w:tcPr>
          <w:p w14:paraId="63DD36AC">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业务灾后重建</w:t>
            </w:r>
          </w:p>
        </w:tc>
        <w:tc>
          <w:tcPr>
            <w:tcW w:w="0" w:type="auto"/>
          </w:tcPr>
          <w:p w14:paraId="3887539B">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3A9F2319">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备份管理系统在不预先部署操作系统、应用和数据库的环境下，进行多个时间点的灾难恢复重建操作，时间均≤10分钟（提供具有CNAS资格的第三方实验室出具的检测报告）</w:t>
            </w:r>
          </w:p>
        </w:tc>
        <w:tc>
          <w:tcPr>
            <w:tcW w:w="1148" w:type="dxa"/>
          </w:tcPr>
          <w:p w14:paraId="06123BFE">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r w14:paraId="43D0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208241">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22</w:t>
            </w:r>
          </w:p>
        </w:tc>
        <w:tc>
          <w:tcPr>
            <w:tcW w:w="0" w:type="auto"/>
          </w:tcPr>
          <w:p w14:paraId="4531D546">
            <w:pPr>
              <w:jc w:val="center"/>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平台兼容性</w:t>
            </w:r>
          </w:p>
        </w:tc>
        <w:tc>
          <w:tcPr>
            <w:tcW w:w="0" w:type="auto"/>
          </w:tcPr>
          <w:p w14:paraId="23CFBA38">
            <w:pPr>
              <w:ind w:firstLine="240" w:firstLineChars="100"/>
              <w:jc w:val="both"/>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w:t>
            </w:r>
          </w:p>
        </w:tc>
        <w:tc>
          <w:tcPr>
            <w:tcW w:w="6435" w:type="dxa"/>
          </w:tcPr>
          <w:p w14:paraId="7327BD5F">
            <w:pP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在不影响原有备份系统正常运行的情况下，支持和院内现有灾备系统（</w:t>
            </w:r>
            <w:r>
              <w:rPr>
                <w:rFonts w:asciiTheme="majorEastAsia" w:hAnsiTheme="majorEastAsia" w:eastAsiaTheme="majorEastAsia" w:cstheme="majorEastAsia"/>
                <w:color w:val="000000" w:themeColor="text1"/>
                <w:kern w:val="2"/>
                <w:sz w:val="24"/>
                <w:szCs w:val="24"/>
                <w:lang w:eastAsia="zh-CN"/>
                <w14:textFill>
                  <w14:solidFill>
                    <w14:schemeClr w14:val="tx1"/>
                  </w14:solidFill>
                </w14:textFill>
              </w:rPr>
              <w:t>Datapp-AOB2000</w:t>
            </w: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w:t>
            </w:r>
            <w:r>
              <w:rPr>
                <w:rFonts w:asciiTheme="majorEastAsia" w:hAnsiTheme="majorEastAsia" w:eastAsiaTheme="majorEastAsia" w:cstheme="majorEastAsia"/>
                <w:color w:val="000000" w:themeColor="text1"/>
                <w:kern w:val="2"/>
                <w:sz w:val="24"/>
                <w:szCs w:val="24"/>
                <w:lang w:eastAsia="zh-CN"/>
                <w14:textFill>
                  <w14:solidFill>
                    <w14:schemeClr w14:val="tx1"/>
                  </w14:solidFill>
                </w14:textFill>
              </w:rPr>
              <w:t>DatApp-NBP2144</w:t>
            </w:r>
            <w:r>
              <w:rPr>
                <w:rFonts w:hint="eastAsia" w:asciiTheme="majorEastAsia" w:hAnsiTheme="majorEastAsia" w:eastAsiaTheme="majorEastAsia" w:cstheme="majorEastAsia"/>
                <w:color w:val="000000" w:themeColor="text1"/>
                <w:kern w:val="2"/>
                <w:sz w:val="24"/>
                <w:szCs w:val="24"/>
                <w:lang w:eastAsia="zh-CN"/>
                <w14:textFill>
                  <w14:solidFill>
                    <w14:schemeClr w14:val="tx1"/>
                  </w14:solidFill>
                </w14:textFill>
              </w:rPr>
              <w:t>）节点扩容，形成集中监控管理架构，实现对灾备存储预测，指标监控等灾备系统资源的统一管理。</w:t>
            </w:r>
          </w:p>
        </w:tc>
        <w:tc>
          <w:tcPr>
            <w:tcW w:w="1148" w:type="dxa"/>
          </w:tcPr>
          <w:p w14:paraId="5698ED35">
            <w:pPr>
              <w:ind w:firstLine="240" w:firstLineChars="100"/>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14:textFill>
                  <w14:solidFill>
                    <w14:schemeClr w14:val="tx1"/>
                  </w14:solidFill>
                </w14:textFill>
              </w:rPr>
              <w:t>是</w:t>
            </w:r>
          </w:p>
        </w:tc>
      </w:tr>
    </w:tbl>
    <w:p w14:paraId="3F86417F">
      <w:pPr>
        <w:widowControl/>
        <w:adjustRightInd w:val="0"/>
        <w:snapToGrid w:val="0"/>
        <w:spacing w:before="120" w:beforeLines="50" w:line="360" w:lineRule="auto"/>
        <w:rPr>
          <w:rFonts w:hint="eastAsia"/>
          <w:b/>
          <w:bCs/>
          <w:sz w:val="24"/>
          <w:szCs w:val="24"/>
          <w:lang w:eastAsia="zh-CN"/>
        </w:rPr>
      </w:pPr>
      <w:r>
        <w:rPr>
          <w:rFonts w:hint="eastAsia"/>
          <w:b/>
          <w:bCs/>
          <w:sz w:val="24"/>
          <w:szCs w:val="24"/>
          <w:lang w:eastAsia="zh-CN"/>
        </w:rPr>
        <w:t>2.2 采购标的需满足的服务标准、期限、效率等要求；</w:t>
      </w:r>
    </w:p>
    <w:p w14:paraId="1C8B6E58">
      <w:pPr>
        <w:tabs>
          <w:tab w:val="left" w:pos="900"/>
        </w:tabs>
        <w:autoSpaceDE/>
        <w:autoSpaceDN/>
        <w:spacing w:line="360" w:lineRule="auto"/>
        <w:rPr>
          <w:rFonts w:hint="eastAsia"/>
          <w:sz w:val="24"/>
          <w:szCs w:val="24"/>
          <w:lang w:eastAsia="zh-CN"/>
        </w:rPr>
      </w:pPr>
      <w:r>
        <w:rPr>
          <w:rFonts w:hint="eastAsia"/>
          <w:sz w:val="24"/>
          <w:szCs w:val="24"/>
          <w:lang w:eastAsia="zh-CN"/>
        </w:rPr>
        <w:t>（1）采购标的需满足的服务标准、效率要求</w:t>
      </w:r>
    </w:p>
    <w:p w14:paraId="2C14EB34">
      <w:pPr>
        <w:spacing w:before="50" w:line="360" w:lineRule="auto"/>
        <w:ind w:firstLine="480" w:firstLineChars="200"/>
        <w:rPr>
          <w:rFonts w:hint="eastAsia"/>
          <w:sz w:val="24"/>
          <w:szCs w:val="24"/>
          <w:lang w:eastAsia="zh-CN"/>
        </w:rPr>
      </w:pPr>
      <w:r>
        <w:rPr>
          <w:rFonts w:hint="eastAsia"/>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98FFD70">
      <w:pPr>
        <w:spacing w:before="50" w:line="360" w:lineRule="auto"/>
        <w:ind w:firstLine="480" w:firstLineChars="200"/>
        <w:rPr>
          <w:rFonts w:hint="eastAsia"/>
          <w:sz w:val="24"/>
          <w:szCs w:val="24"/>
          <w:lang w:eastAsia="zh-CN"/>
        </w:rPr>
      </w:pPr>
      <w:r>
        <w:rPr>
          <w:rFonts w:hint="eastAsia"/>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3FA7978">
      <w:pPr>
        <w:spacing w:before="50" w:line="360" w:lineRule="auto"/>
        <w:ind w:firstLine="480" w:firstLineChars="200"/>
        <w:rPr>
          <w:rFonts w:hint="eastAsia"/>
          <w:sz w:val="24"/>
          <w:szCs w:val="24"/>
          <w:lang w:eastAsia="zh-CN"/>
        </w:rPr>
      </w:pPr>
      <w:r>
        <w:rPr>
          <w:rFonts w:hint="eastAsia"/>
          <w:sz w:val="24"/>
          <w:szCs w:val="24"/>
          <w:lang w:eastAsia="zh-CN"/>
        </w:rPr>
        <w:t>3.供应商应有能力做好售后服务工作和提供技术保障。供应商或投标产品制造商应设有专业的售后服务维修机构，有充足的零件储备和能力相当的技术服务人员。</w:t>
      </w:r>
    </w:p>
    <w:p w14:paraId="1B12CAE3">
      <w:pPr>
        <w:spacing w:before="50" w:line="360" w:lineRule="auto"/>
        <w:ind w:firstLine="480" w:firstLineChars="200"/>
        <w:rPr>
          <w:rFonts w:hint="eastAsia"/>
          <w:sz w:val="24"/>
          <w:szCs w:val="24"/>
          <w:lang w:eastAsia="zh-CN"/>
        </w:rPr>
      </w:pPr>
      <w:r>
        <w:rPr>
          <w:rFonts w:hint="eastAsia"/>
          <w:sz w:val="24"/>
          <w:szCs w:val="24"/>
          <w:lang w:eastAsia="zh-CN"/>
        </w:rPr>
        <w:t>4.应提供原厂维修配件明细表及报价单(如提供公开信息渠道可查询到的，可免提供，但须注明查询方法及来源)。</w:t>
      </w:r>
    </w:p>
    <w:p w14:paraId="3AFE1539">
      <w:pPr>
        <w:pStyle w:val="9"/>
        <w:spacing w:before="50" w:line="360" w:lineRule="auto"/>
        <w:ind w:firstLine="480" w:firstLineChars="200"/>
        <w:rPr>
          <w:rFonts w:hint="eastAsia" w:hAnsi="宋体" w:cs="宋体"/>
          <w:szCs w:val="24"/>
          <w:lang w:eastAsia="zh-CN"/>
        </w:rPr>
      </w:pPr>
      <w:r>
        <w:rPr>
          <w:rFonts w:hint="eastAsia" w:hAnsi="宋体" w:cs="宋体"/>
          <w:szCs w:val="24"/>
          <w:lang w:eastAsia="zh-CN"/>
        </w:rPr>
        <w:t>5.供应商应负责投标货物质量保证期内的免费维修和配件供应，供应商售后服务维修机构应备有所购货物及时维修所需的关键零部件。</w:t>
      </w:r>
    </w:p>
    <w:p w14:paraId="4080EC5F">
      <w:pPr>
        <w:pStyle w:val="9"/>
        <w:spacing w:before="50" w:line="360" w:lineRule="auto"/>
        <w:ind w:firstLine="480" w:firstLineChars="200"/>
        <w:rPr>
          <w:rFonts w:hint="eastAsia" w:hAnsi="宋体" w:cs="宋体"/>
          <w:szCs w:val="24"/>
          <w:lang w:eastAsia="zh-CN"/>
        </w:rPr>
      </w:pPr>
      <w:r>
        <w:rPr>
          <w:rFonts w:hint="eastAsia" w:hAnsi="宋体" w:cs="宋体"/>
          <w:szCs w:val="24"/>
          <w:lang w:eastAsia="zh-CN"/>
        </w:rPr>
        <w:t>6.供应商应保证在质量保证期内提供投标货物专用的软件和相应数据库资料的免费升级服务。（如果有）</w:t>
      </w:r>
    </w:p>
    <w:p w14:paraId="2CF8C8FC">
      <w:pPr>
        <w:pStyle w:val="9"/>
        <w:spacing w:before="50" w:line="360" w:lineRule="auto"/>
        <w:ind w:firstLine="480" w:firstLineChars="200"/>
        <w:rPr>
          <w:rFonts w:hint="eastAsia" w:hAnsi="宋体" w:cs="宋体"/>
          <w:szCs w:val="24"/>
          <w:lang w:eastAsia="zh-CN"/>
        </w:rPr>
      </w:pPr>
      <w:r>
        <w:rPr>
          <w:rFonts w:hint="eastAsia" w:hAnsi="宋体" w:cs="宋体"/>
          <w:szCs w:val="24"/>
          <w:lang w:eastAsia="zh-CN"/>
        </w:rPr>
        <w:t>7.在合同执行期和质量保证期内，供应商应保证在收到要求提供维修服务的通知后及时给予反馈并派合格的技术人员赴现场提供免费服务解决问题。如不能按采购人要求的时间予以修复，供应商应保证免费提供同类备用设备，供采购人使用。</w:t>
      </w:r>
    </w:p>
    <w:p w14:paraId="5F434888">
      <w:pPr>
        <w:pStyle w:val="9"/>
        <w:spacing w:before="50" w:line="360" w:lineRule="auto"/>
        <w:ind w:firstLine="480" w:firstLineChars="200"/>
        <w:rPr>
          <w:rFonts w:hint="eastAsia" w:hAnsi="宋体" w:cs="宋体"/>
          <w:szCs w:val="24"/>
          <w:lang w:eastAsia="zh-CN"/>
        </w:rPr>
      </w:pPr>
      <w:r>
        <w:rPr>
          <w:rFonts w:hint="eastAsia" w:hAnsi="宋体" w:cs="宋体"/>
          <w:szCs w:val="24"/>
          <w:lang w:eastAsia="zh-CN"/>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3427335">
      <w:pPr>
        <w:pStyle w:val="9"/>
        <w:spacing w:before="50" w:line="360" w:lineRule="auto"/>
        <w:ind w:firstLine="480" w:firstLineChars="200"/>
        <w:rPr>
          <w:rFonts w:hint="eastAsia" w:hAnsi="宋体" w:cs="宋体"/>
          <w:szCs w:val="24"/>
          <w:lang w:eastAsia="zh-CN"/>
        </w:rPr>
      </w:pPr>
      <w:r>
        <w:rPr>
          <w:rFonts w:hint="eastAsia" w:hAnsi="宋体" w:cs="宋体"/>
          <w:szCs w:val="24"/>
          <w:lang w:eastAsia="zh-CN"/>
        </w:rPr>
        <w:t>9.货物运输符合相关国际惯例，运达所产生的费用由供应商负责。运输途中的货物破损及损失风险由供应商承担，供应商承担运费。</w:t>
      </w:r>
    </w:p>
    <w:p w14:paraId="174A7E04">
      <w:pPr>
        <w:pStyle w:val="9"/>
        <w:spacing w:before="50" w:line="360" w:lineRule="auto"/>
        <w:ind w:firstLine="480" w:firstLineChars="200"/>
        <w:rPr>
          <w:rFonts w:hint="eastAsia" w:hAnsi="宋体" w:cs="宋体"/>
          <w:szCs w:val="24"/>
          <w:lang w:eastAsia="zh-CN"/>
        </w:rPr>
      </w:pPr>
      <w:r>
        <w:rPr>
          <w:rFonts w:hint="eastAsia" w:hAnsi="宋体" w:cs="宋体"/>
          <w:szCs w:val="24"/>
          <w:lang w:eastAsia="zh-CN"/>
        </w:rPr>
        <w:t>（2）采购标的需满足的服务期限要求</w:t>
      </w:r>
    </w:p>
    <w:p w14:paraId="1FD1170D">
      <w:pPr>
        <w:pStyle w:val="9"/>
        <w:spacing w:line="360" w:lineRule="auto"/>
        <w:ind w:firstLine="480" w:firstLineChars="200"/>
        <w:rPr>
          <w:rFonts w:hint="eastAsia" w:hAnsi="宋体" w:cs="宋体"/>
          <w:b/>
          <w:bCs/>
          <w:szCs w:val="24"/>
          <w:lang w:eastAsia="zh-CN"/>
        </w:rPr>
      </w:pPr>
      <w:r>
        <w:rPr>
          <w:rFonts w:hint="eastAsia" w:hAnsi="宋体" w:cs="宋体"/>
          <w:szCs w:val="24"/>
          <w:lang w:eastAsia="zh-CN"/>
        </w:rPr>
        <w:t>1. 质量保证期（保修期）及服务要求：详见本章“采购需求中商务要求4.质保服务”。</w:t>
      </w:r>
    </w:p>
    <w:p w14:paraId="336E1F05">
      <w:pPr>
        <w:tabs>
          <w:tab w:val="left" w:pos="900"/>
        </w:tabs>
        <w:spacing w:before="120" w:beforeLines="50" w:line="360" w:lineRule="auto"/>
        <w:ind w:firstLine="482" w:firstLineChars="200"/>
        <w:rPr>
          <w:rFonts w:hint="eastAsia"/>
          <w:b/>
          <w:bCs/>
          <w:sz w:val="24"/>
          <w:szCs w:val="24"/>
          <w:lang w:eastAsia="zh-CN"/>
        </w:rPr>
      </w:pPr>
      <w:r>
        <w:rPr>
          <w:rFonts w:hint="eastAsia"/>
          <w:b/>
          <w:bCs/>
          <w:sz w:val="24"/>
          <w:szCs w:val="24"/>
          <w:lang w:eastAsia="zh-CN"/>
        </w:rPr>
        <w:t>2.3为落实政府采购政策需满足的要求；</w:t>
      </w:r>
    </w:p>
    <w:p w14:paraId="22A8DFBB">
      <w:pPr>
        <w:tabs>
          <w:tab w:val="left" w:pos="900"/>
        </w:tabs>
        <w:spacing w:line="360" w:lineRule="auto"/>
        <w:ind w:firstLine="480" w:firstLineChars="200"/>
        <w:rPr>
          <w:rFonts w:hint="eastAsia"/>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9BC567">
      <w:pPr>
        <w:tabs>
          <w:tab w:val="left" w:pos="900"/>
        </w:tabs>
        <w:spacing w:line="360" w:lineRule="auto"/>
        <w:ind w:firstLine="480" w:firstLineChars="200"/>
        <w:rPr>
          <w:rFonts w:hint="eastAsia"/>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49F0CA4C">
      <w:pPr>
        <w:tabs>
          <w:tab w:val="left" w:pos="900"/>
        </w:tabs>
        <w:spacing w:line="360" w:lineRule="auto"/>
        <w:ind w:firstLine="480" w:firstLineChars="200"/>
        <w:rPr>
          <w:rFonts w:hint="eastAsia"/>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58DA332">
      <w:pPr>
        <w:autoSpaceDE/>
        <w:autoSpaceDN/>
        <w:spacing w:line="360" w:lineRule="auto"/>
        <w:ind w:firstLine="480" w:firstLineChars="200"/>
        <w:rPr>
          <w:rFonts w:hint="eastAsia"/>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15BA89FC">
      <w:pPr>
        <w:autoSpaceDE/>
        <w:autoSpaceDN/>
        <w:spacing w:before="20" w:line="360" w:lineRule="auto"/>
        <w:ind w:firstLine="480" w:firstLineChars="200"/>
        <w:rPr>
          <w:rFonts w:hint="eastAsia"/>
          <w:b/>
          <w:bCs/>
          <w:sz w:val="24"/>
          <w:szCs w:val="24"/>
          <w:lang w:eastAsia="zh-CN"/>
        </w:rPr>
      </w:pPr>
      <w:r>
        <w:rPr>
          <w:rFonts w:hint="eastAsia"/>
          <w:sz w:val="24"/>
          <w:szCs w:val="24"/>
          <w:lang w:eastAsia="zh-CN"/>
        </w:rPr>
        <w:t>5）实施本国产品标准及相关政策：依据《</w:t>
      </w:r>
      <w:r>
        <w:rPr>
          <w:rFonts w:hint="eastAsia"/>
          <w:color w:val="000000"/>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color w:val="000000"/>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304C53B4">
      <w:pPr>
        <w:autoSpaceDE/>
        <w:autoSpaceDN/>
        <w:spacing w:before="20" w:line="360" w:lineRule="auto"/>
        <w:ind w:firstLine="482" w:firstLineChars="200"/>
        <w:rPr>
          <w:rFonts w:hint="eastAsia"/>
          <w:b/>
          <w:bCs/>
          <w:sz w:val="24"/>
          <w:szCs w:val="24"/>
          <w:lang w:eastAsia="zh-CN"/>
        </w:rPr>
      </w:pPr>
      <w:r>
        <w:rPr>
          <w:rFonts w:hint="eastAsia"/>
          <w:b/>
          <w:bCs/>
          <w:sz w:val="24"/>
          <w:szCs w:val="24"/>
          <w:lang w:eastAsia="zh-CN"/>
        </w:rPr>
        <w:t>2.4采购标的的其他技术、服务等要求；</w:t>
      </w:r>
    </w:p>
    <w:p w14:paraId="7B33DAFB">
      <w:pPr>
        <w:tabs>
          <w:tab w:val="left" w:pos="900"/>
        </w:tabs>
        <w:spacing w:line="360" w:lineRule="auto"/>
        <w:ind w:firstLine="482" w:firstLineChars="200"/>
        <w:rPr>
          <w:rFonts w:hint="eastAsia"/>
          <w:b/>
          <w:bCs/>
          <w:iCs/>
          <w:sz w:val="24"/>
          <w:szCs w:val="24"/>
          <w:lang w:eastAsia="zh-CN"/>
        </w:rPr>
      </w:pPr>
      <w:bookmarkStart w:id="11" w:name="_Toc7340"/>
      <w:r>
        <w:rPr>
          <w:rFonts w:hint="eastAsia"/>
          <w:b/>
          <w:bCs/>
          <w:sz w:val="24"/>
          <w:szCs w:val="24"/>
          <w:lang w:eastAsia="zh-CN"/>
        </w:rPr>
        <w:t>（1）对于技术规格中标注“★”号的技术参数代表实质性指标，不满足该指标项将直接导致投标被拒绝。</w:t>
      </w:r>
    </w:p>
    <w:p w14:paraId="0F64D10A">
      <w:pPr>
        <w:tabs>
          <w:tab w:val="left" w:pos="900"/>
        </w:tabs>
        <w:spacing w:line="360" w:lineRule="auto"/>
        <w:ind w:firstLine="482" w:firstLineChars="200"/>
        <w:rPr>
          <w:rFonts w:hint="eastAsia"/>
          <w:b/>
          <w:bCs/>
          <w:sz w:val="24"/>
          <w:szCs w:val="24"/>
          <w:lang w:eastAsia="zh-CN"/>
        </w:rPr>
      </w:pPr>
      <w:r>
        <w:rPr>
          <w:rFonts w:hint="eastAsia"/>
          <w:b/>
          <w:bCs/>
          <w:sz w:val="24"/>
          <w:szCs w:val="24"/>
          <w:lang w:eastAsia="zh-CN"/>
        </w:rPr>
        <w:t>（2）须在投标文件中提供所投设备油印彩页并加盖公章。</w:t>
      </w:r>
    </w:p>
    <w:p w14:paraId="29B417DE">
      <w:pPr>
        <w:tabs>
          <w:tab w:val="left" w:pos="900"/>
        </w:tabs>
        <w:spacing w:line="360" w:lineRule="auto"/>
        <w:ind w:firstLine="482" w:firstLineChars="200"/>
        <w:rPr>
          <w:rFonts w:hint="eastAsia"/>
          <w:b/>
          <w:bCs/>
          <w:iCs/>
          <w:sz w:val="24"/>
          <w:szCs w:val="24"/>
          <w:lang w:eastAsia="zh-CN"/>
        </w:rPr>
      </w:pPr>
      <w:r>
        <w:rPr>
          <w:rFonts w:hint="eastAsia"/>
          <w:b/>
          <w:bCs/>
          <w:sz w:val="24"/>
          <w:szCs w:val="24"/>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b/>
          <w:bCs/>
          <w:iCs/>
          <w:sz w:val="24"/>
          <w:szCs w:val="24"/>
          <w:lang w:eastAsia="zh-CN"/>
        </w:rPr>
        <w:t xml:space="preserve">。 </w:t>
      </w:r>
    </w:p>
    <w:p w14:paraId="7D047211">
      <w:pPr>
        <w:tabs>
          <w:tab w:val="left" w:pos="900"/>
        </w:tabs>
        <w:spacing w:line="360" w:lineRule="auto"/>
        <w:ind w:firstLine="482" w:firstLineChars="200"/>
        <w:rPr>
          <w:rFonts w:hint="eastAsia"/>
          <w:b/>
          <w:bCs/>
          <w:iCs/>
          <w:sz w:val="24"/>
          <w:szCs w:val="24"/>
          <w:lang w:eastAsia="zh-CN"/>
        </w:rPr>
      </w:pPr>
      <w:r>
        <w:rPr>
          <w:rFonts w:hint="eastAsia"/>
          <w:b/>
          <w:bCs/>
          <w:sz w:val="24"/>
          <w:szCs w:val="24"/>
          <w:lang w:eastAsia="zh-CN"/>
        </w:rPr>
        <w:t>（4）</w:t>
      </w:r>
      <w:r>
        <w:rPr>
          <w:rFonts w:hint="eastAsia"/>
          <w:b/>
          <w:bCs/>
          <w:iCs/>
          <w:sz w:val="24"/>
          <w:szCs w:val="24"/>
          <w:lang w:eastAsia="zh-CN"/>
        </w:rPr>
        <w:t xml:space="preserve">投标人所提供的部件之间及设备之间的连线或接插件均视为设备内部部件，应包含在相应的配置中。 </w:t>
      </w:r>
    </w:p>
    <w:p w14:paraId="2E98EEE3">
      <w:pPr>
        <w:tabs>
          <w:tab w:val="left" w:pos="900"/>
        </w:tabs>
        <w:spacing w:line="360" w:lineRule="auto"/>
        <w:ind w:firstLine="482" w:firstLineChars="200"/>
        <w:rPr>
          <w:rFonts w:hint="eastAsia"/>
          <w:b/>
          <w:bCs/>
          <w:iCs/>
          <w:sz w:val="24"/>
          <w:szCs w:val="24"/>
          <w:lang w:eastAsia="zh-CN"/>
        </w:rPr>
      </w:pPr>
      <w:r>
        <w:rPr>
          <w:rFonts w:hint="eastAsia"/>
          <w:b/>
          <w:bCs/>
          <w:sz w:val="24"/>
          <w:szCs w:val="24"/>
          <w:lang w:eastAsia="zh-CN"/>
        </w:rPr>
        <w:t>（5）</w:t>
      </w:r>
      <w:r>
        <w:rPr>
          <w:rFonts w:hint="eastAsia"/>
          <w:b/>
          <w:bCs/>
          <w:iCs/>
          <w:sz w:val="24"/>
          <w:szCs w:val="24"/>
          <w:lang w:eastAsia="zh-CN"/>
        </w:rPr>
        <w:t>工作条件：</w:t>
      </w:r>
    </w:p>
    <w:p w14:paraId="3C1145EB">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 xml:space="preserve">除了在技术规格中另有规定外，投标人提供的一切仪器、设备和系统，应符合下列条件： </w:t>
      </w:r>
    </w:p>
    <w:p w14:paraId="7DB41ED6">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 xml:space="preserve">1）仪器设备的插头要符合中国电工标准。如不符合，则应提供适合仪器插头的插座，必须要有接地。 </w:t>
      </w:r>
    </w:p>
    <w:p w14:paraId="020FE91D">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2）如果仪器设备需特殊的工作条件（如：水、电源、磁场强度、特殊温度、湿度、震动强度等），投标人应在有关投标文件中加以说明。</w:t>
      </w:r>
    </w:p>
    <w:p w14:paraId="376EAA45">
      <w:pPr>
        <w:tabs>
          <w:tab w:val="left" w:pos="900"/>
        </w:tabs>
        <w:spacing w:line="360" w:lineRule="auto"/>
        <w:ind w:firstLine="482" w:firstLineChars="200"/>
        <w:rPr>
          <w:rFonts w:hint="eastAsia"/>
          <w:b/>
          <w:bCs/>
          <w:iCs/>
          <w:sz w:val="24"/>
          <w:szCs w:val="24"/>
          <w:lang w:eastAsia="zh-CN"/>
        </w:rPr>
      </w:pPr>
      <w:r>
        <w:rPr>
          <w:rFonts w:hint="eastAsia"/>
          <w:b/>
          <w:bCs/>
          <w:iCs/>
          <w:sz w:val="24"/>
          <w:szCs w:val="24"/>
          <w:lang w:eastAsia="zh-CN"/>
        </w:rPr>
        <w:t>（6）培训要求：</w:t>
      </w:r>
    </w:p>
    <w:p w14:paraId="2B86DD68">
      <w:pPr>
        <w:tabs>
          <w:tab w:val="left" w:pos="900"/>
        </w:tabs>
        <w:spacing w:line="360" w:lineRule="auto"/>
        <w:ind w:firstLine="480" w:firstLineChars="200"/>
        <w:rPr>
          <w:rFonts w:hint="eastAsia"/>
          <w:iCs/>
          <w:color w:val="FF0000"/>
          <w:sz w:val="24"/>
          <w:szCs w:val="24"/>
          <w:lang w:eastAsia="zh-CN"/>
        </w:rPr>
      </w:pPr>
      <w:r>
        <w:rPr>
          <w:rFonts w:hint="eastAsia"/>
          <w:iCs/>
          <w:sz w:val="24"/>
          <w:szCs w:val="24"/>
          <w:lang w:eastAsia="zh-CN"/>
        </w:rPr>
        <w:t xml:space="preserve">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6FE89C12">
      <w:pPr>
        <w:tabs>
          <w:tab w:val="left" w:pos="900"/>
        </w:tabs>
        <w:spacing w:line="360" w:lineRule="auto"/>
        <w:ind w:firstLine="442" w:firstLineChars="200"/>
        <w:rPr>
          <w:rFonts w:hint="eastAsia"/>
          <w:b/>
          <w:bCs/>
          <w:iCs/>
          <w:sz w:val="24"/>
          <w:szCs w:val="24"/>
          <w:lang w:eastAsia="zh-CN"/>
        </w:rPr>
      </w:pPr>
      <w:r>
        <w:rPr>
          <w:b/>
          <w:bCs/>
          <w:color w:val="000000" w:themeColor="text1"/>
          <w:lang w:eastAsia="zh-CN"/>
          <w14:textFill>
            <w14:solidFill>
              <w14:schemeClr w14:val="tx1"/>
            </w14:solidFill>
          </w14:textFill>
        </w:rPr>
        <w:t>★</w:t>
      </w:r>
      <w:r>
        <w:rPr>
          <w:rFonts w:hint="eastAsia"/>
          <w:b/>
          <w:bCs/>
          <w:iCs/>
          <w:sz w:val="24"/>
          <w:szCs w:val="24"/>
          <w:lang w:eastAsia="zh-CN"/>
        </w:rPr>
        <w:t>（7）核心产品标后测试要求（软件功能）</w:t>
      </w:r>
    </w:p>
    <w:p w14:paraId="49B84EB5">
      <w:pPr>
        <w:autoSpaceDE/>
        <w:autoSpaceDN/>
        <w:spacing w:line="360" w:lineRule="auto"/>
        <w:ind w:firstLine="480" w:firstLineChars="200"/>
        <w:outlineLvl w:val="3"/>
        <w:rPr>
          <w:rFonts w:hint="eastAsia"/>
          <w:iCs/>
          <w:sz w:val="24"/>
          <w:szCs w:val="24"/>
          <w:lang w:eastAsia="zh-CN"/>
        </w:rPr>
      </w:pPr>
      <w:r>
        <w:rPr>
          <w:rFonts w:hint="eastAsia"/>
          <w:iCs/>
          <w:sz w:val="24"/>
          <w:szCs w:val="24"/>
          <w:lang w:eastAsia="zh-CN"/>
        </w:rPr>
        <w:t>1）测试核心原则</w:t>
      </w:r>
    </w:p>
    <w:p w14:paraId="3EB04C72">
      <w:pPr>
        <w:widowControl/>
        <w:numPr>
          <w:ilvl w:val="0"/>
          <w:numId w:val="2"/>
        </w:numPr>
        <w:autoSpaceDE/>
        <w:autoSpaceDN/>
        <w:spacing w:line="360" w:lineRule="auto"/>
        <w:rPr>
          <w:rFonts w:hint="eastAsia"/>
          <w:iCs/>
          <w:sz w:val="24"/>
          <w:szCs w:val="24"/>
          <w:lang w:eastAsia="zh-CN"/>
        </w:rPr>
      </w:pPr>
      <w:r>
        <w:rPr>
          <w:rFonts w:hint="eastAsia"/>
          <w:iCs/>
          <w:sz w:val="24"/>
          <w:szCs w:val="24"/>
          <w:lang w:eastAsia="zh-CN"/>
        </w:rPr>
        <w:t>测试组织与参与</w:t>
      </w:r>
      <w:r>
        <w:rPr>
          <w:rFonts w:hint="eastAsia"/>
          <w:iCs/>
          <w:sz w:val="24"/>
          <w:szCs w:val="24"/>
          <w:lang w:eastAsia="zh-CN"/>
        </w:rPr>
        <w:br w:type="textWrapping"/>
      </w:r>
      <w:r>
        <w:rPr>
          <w:rFonts w:hint="eastAsia"/>
          <w:iCs/>
          <w:sz w:val="24"/>
          <w:szCs w:val="24"/>
          <w:lang w:eastAsia="zh-CN"/>
        </w:rPr>
        <w:t>标后测试工作由采购人牵头组织，中标人全程配合实施。双方应共同组建测试小组，明确测试流程、测试环境配置及测试用例设计要求。</w:t>
      </w:r>
    </w:p>
    <w:p w14:paraId="0C719153">
      <w:pPr>
        <w:widowControl/>
        <w:numPr>
          <w:ilvl w:val="0"/>
          <w:numId w:val="2"/>
        </w:numPr>
        <w:autoSpaceDE/>
        <w:autoSpaceDN/>
        <w:spacing w:line="360" w:lineRule="auto"/>
        <w:rPr>
          <w:rFonts w:hint="eastAsia"/>
          <w:iCs/>
          <w:sz w:val="24"/>
          <w:szCs w:val="24"/>
          <w:lang w:eastAsia="zh-CN"/>
        </w:rPr>
      </w:pPr>
      <w:r>
        <w:rPr>
          <w:rFonts w:hint="eastAsia"/>
          <w:iCs/>
          <w:sz w:val="24"/>
          <w:szCs w:val="24"/>
          <w:lang w:eastAsia="zh-CN"/>
        </w:rPr>
        <w:t>测试依据与标准</w:t>
      </w:r>
      <w:r>
        <w:rPr>
          <w:rFonts w:hint="eastAsia"/>
          <w:iCs/>
          <w:sz w:val="24"/>
          <w:szCs w:val="24"/>
          <w:lang w:eastAsia="zh-CN"/>
        </w:rPr>
        <w:br w:type="textWrapping"/>
      </w:r>
      <w:r>
        <w:rPr>
          <w:rFonts w:hint="eastAsia"/>
          <w:iCs/>
          <w:sz w:val="24"/>
          <w:szCs w:val="24"/>
          <w:lang w:eastAsia="zh-CN"/>
        </w:rPr>
        <w:t>测试内容及指标必须严格遵循本项目招标文件规定的技术参数、功能需求及验收标准。测试结果需满足“合格”及以上等级要求。</w:t>
      </w:r>
    </w:p>
    <w:p w14:paraId="7BE0E3CE">
      <w:pPr>
        <w:widowControl/>
        <w:numPr>
          <w:ilvl w:val="0"/>
          <w:numId w:val="2"/>
        </w:numPr>
        <w:autoSpaceDE/>
        <w:autoSpaceDN/>
        <w:spacing w:line="360" w:lineRule="auto"/>
        <w:rPr>
          <w:rFonts w:hint="eastAsia"/>
          <w:iCs/>
          <w:sz w:val="24"/>
          <w:szCs w:val="24"/>
          <w:lang w:eastAsia="zh-CN"/>
        </w:rPr>
      </w:pPr>
      <w:r>
        <w:rPr>
          <w:rFonts w:hint="eastAsia"/>
          <w:iCs/>
          <w:sz w:val="24"/>
          <w:szCs w:val="24"/>
          <w:lang w:eastAsia="zh-CN"/>
        </w:rPr>
        <w:t>测试时间节点</w:t>
      </w:r>
      <w:r>
        <w:rPr>
          <w:rFonts w:hint="eastAsia"/>
          <w:iCs/>
          <w:sz w:val="24"/>
          <w:szCs w:val="24"/>
          <w:lang w:eastAsia="zh-CN"/>
        </w:rPr>
        <w:br w:type="textWrapping"/>
      </w:r>
      <w:r>
        <w:rPr>
          <w:rFonts w:hint="eastAsia"/>
          <w:iCs/>
          <w:sz w:val="24"/>
          <w:szCs w:val="24"/>
          <w:lang w:eastAsia="zh-CN"/>
        </w:rPr>
        <w:t>测试工作应在中标结果公示期满之日起3个工作日内启动，自启动之日起7个工作日内完成全部测试任务，并出具经双方共同确认的正式《标后测试报告》。</w:t>
      </w:r>
    </w:p>
    <w:p w14:paraId="7D90610D">
      <w:pPr>
        <w:widowControl/>
        <w:numPr>
          <w:ilvl w:val="0"/>
          <w:numId w:val="2"/>
        </w:numPr>
        <w:autoSpaceDE/>
        <w:autoSpaceDN/>
        <w:spacing w:line="360" w:lineRule="auto"/>
        <w:rPr>
          <w:rFonts w:hint="eastAsia"/>
          <w:iCs/>
          <w:sz w:val="24"/>
          <w:szCs w:val="24"/>
          <w:lang w:eastAsia="zh-CN"/>
        </w:rPr>
      </w:pPr>
      <w:r>
        <w:rPr>
          <w:rFonts w:hint="eastAsia"/>
          <w:iCs/>
          <w:sz w:val="24"/>
          <w:szCs w:val="24"/>
          <w:lang w:eastAsia="zh-CN"/>
        </w:rPr>
        <w:t>问题整改与处理机制</w:t>
      </w:r>
      <w:r>
        <w:rPr>
          <w:rFonts w:hint="eastAsia"/>
          <w:iCs/>
          <w:sz w:val="24"/>
          <w:szCs w:val="24"/>
          <w:lang w:eastAsia="zh-CN"/>
        </w:rPr>
        <w:br w:type="textWrapping"/>
      </w:r>
      <w:r>
        <w:rPr>
          <w:rFonts w:hint="eastAsia"/>
          <w:iCs/>
          <w:sz w:val="24"/>
          <w:szCs w:val="24"/>
          <w:lang w:eastAsia="zh-CN"/>
        </w:rPr>
        <w:t>测试过程中若发现不符合项，中标人须在采购人指定的整改期限内完成整改并提交复测申请。</w:t>
      </w:r>
      <w:r>
        <w:rPr>
          <w:rFonts w:hint="eastAsia"/>
          <w:iCs/>
          <w:sz w:val="24"/>
          <w:szCs w:val="24"/>
          <w:lang w:eastAsia="zh-CN"/>
        </w:rPr>
        <w:br w:type="textWrapping"/>
      </w:r>
      <w:r>
        <w:rPr>
          <w:rFonts w:hint="eastAsia"/>
          <w:iCs/>
          <w:sz w:val="24"/>
          <w:szCs w:val="24"/>
          <w:lang w:eastAsia="zh-CN"/>
        </w:rPr>
        <w:t>若整改后复测仍不合格，或中标人逾期未完成整改的，视为中标人违约。采购人有权根据相关法律法规，取消其中标资格；同时，按规定启动备选中标人遴选程序（或重新组织采购），由此产生的全部损失由原中标人承担。</w:t>
      </w:r>
    </w:p>
    <w:p w14:paraId="26E81C4C">
      <w:pPr>
        <w:autoSpaceDE/>
        <w:autoSpaceDN/>
        <w:spacing w:line="360" w:lineRule="auto"/>
        <w:ind w:firstLine="480" w:firstLineChars="200"/>
        <w:outlineLvl w:val="3"/>
        <w:rPr>
          <w:rFonts w:hint="eastAsia"/>
          <w:iCs/>
          <w:sz w:val="24"/>
          <w:szCs w:val="24"/>
          <w:lang w:eastAsia="zh-CN"/>
        </w:rPr>
      </w:pPr>
      <w:r>
        <w:rPr>
          <w:rFonts w:hint="eastAsia"/>
          <w:iCs/>
          <w:sz w:val="24"/>
          <w:szCs w:val="24"/>
          <w:lang w:eastAsia="zh-CN"/>
        </w:rPr>
        <w:t>2）测试范围及内容：核心产品系统软件主要功能测试</w:t>
      </w:r>
    </w:p>
    <w:p w14:paraId="31924ABB">
      <w:pPr>
        <w:widowControl/>
        <w:autoSpaceDE/>
        <w:autoSpaceDN/>
        <w:spacing w:line="360" w:lineRule="auto"/>
        <w:ind w:left="720"/>
        <w:rPr>
          <w:rFonts w:hint="eastAsia"/>
          <w:iCs/>
          <w:sz w:val="24"/>
          <w:szCs w:val="24"/>
          <w:lang w:eastAsia="zh-CN"/>
        </w:rPr>
      </w:pPr>
      <w:r>
        <w:rPr>
          <w:rFonts w:hint="eastAsia"/>
          <w:iCs/>
          <w:sz w:val="24"/>
          <w:szCs w:val="24"/>
          <w:lang w:eastAsia="zh-CN"/>
        </w:rPr>
        <w:t>（详见招标文件/核心产品/参数要求中系统软件主要功能。即：★号及#号条款中涉及的部分内容）</w:t>
      </w:r>
    </w:p>
    <w:p w14:paraId="5449A779">
      <w:pPr>
        <w:autoSpaceDE/>
        <w:autoSpaceDN/>
        <w:spacing w:line="360" w:lineRule="auto"/>
        <w:ind w:firstLine="480" w:firstLineChars="200"/>
        <w:outlineLvl w:val="3"/>
        <w:rPr>
          <w:rFonts w:hint="eastAsia"/>
          <w:iCs/>
          <w:sz w:val="24"/>
          <w:szCs w:val="24"/>
          <w:lang w:eastAsia="zh-CN"/>
        </w:rPr>
      </w:pPr>
      <w:r>
        <w:rPr>
          <w:rFonts w:hint="eastAsia"/>
          <w:iCs/>
          <w:sz w:val="24"/>
          <w:szCs w:val="24"/>
          <w:lang w:eastAsia="zh-CN"/>
        </w:rPr>
        <w:t>3）测试报告与整改要求</w:t>
      </w:r>
    </w:p>
    <w:p w14:paraId="28AAA7FF">
      <w:pPr>
        <w:widowControl/>
        <w:numPr>
          <w:ilvl w:val="0"/>
          <w:numId w:val="3"/>
        </w:numPr>
        <w:autoSpaceDE/>
        <w:autoSpaceDN/>
        <w:spacing w:line="360" w:lineRule="auto"/>
        <w:rPr>
          <w:rFonts w:hint="eastAsia"/>
          <w:iCs/>
          <w:sz w:val="24"/>
          <w:szCs w:val="24"/>
          <w:lang w:eastAsia="zh-CN"/>
        </w:rPr>
      </w:pPr>
      <w:r>
        <w:rPr>
          <w:rFonts w:hint="eastAsia"/>
          <w:iCs/>
          <w:sz w:val="24"/>
          <w:szCs w:val="24"/>
          <w:lang w:eastAsia="zh-CN"/>
        </w:rPr>
        <w:t>测试完成后，中标人需向采购人提交详细的测试报告，内容应包括测试项、测试方法、测试数据及测试结果等。</w:t>
      </w:r>
    </w:p>
    <w:p w14:paraId="35FBAFB7">
      <w:pPr>
        <w:widowControl/>
        <w:numPr>
          <w:ilvl w:val="0"/>
          <w:numId w:val="3"/>
        </w:numPr>
        <w:autoSpaceDE/>
        <w:autoSpaceDN/>
        <w:spacing w:line="360" w:lineRule="auto"/>
        <w:rPr>
          <w:rFonts w:hint="eastAsia"/>
          <w:iCs/>
          <w:sz w:val="24"/>
          <w:szCs w:val="24"/>
          <w:lang w:eastAsia="zh-CN"/>
        </w:rPr>
      </w:pPr>
      <w:r>
        <w:rPr>
          <w:rFonts w:hint="eastAsia"/>
          <w:iCs/>
          <w:sz w:val="24"/>
          <w:szCs w:val="24"/>
          <w:lang w:eastAsia="zh-CN"/>
        </w:rPr>
        <w:t>采购人对测试结果进行审核，针对未达标项出具整改清单，中标人需在收到整改清单之日起3个工作日内完成整改并提交复测申请。</w:t>
      </w:r>
    </w:p>
    <w:p w14:paraId="1390BD4D">
      <w:pPr>
        <w:widowControl/>
        <w:numPr>
          <w:ilvl w:val="0"/>
          <w:numId w:val="3"/>
        </w:numPr>
        <w:autoSpaceDE/>
        <w:autoSpaceDN/>
        <w:spacing w:line="360" w:lineRule="auto"/>
        <w:rPr>
          <w:rFonts w:hint="eastAsia"/>
          <w:iCs/>
          <w:sz w:val="24"/>
          <w:szCs w:val="24"/>
          <w:lang w:eastAsia="zh-CN"/>
        </w:rPr>
      </w:pPr>
      <w:r>
        <w:rPr>
          <w:rFonts w:hint="eastAsia"/>
          <w:iCs/>
          <w:sz w:val="24"/>
          <w:szCs w:val="24"/>
          <w:lang w:eastAsia="zh-CN"/>
        </w:rPr>
        <w:t>最终测试报告需经采购人与中标人双方签字确认，作为项目验收的核心依据之一。</w:t>
      </w:r>
    </w:p>
    <w:p w14:paraId="32BAE0D4">
      <w:pPr>
        <w:tabs>
          <w:tab w:val="left" w:pos="900"/>
        </w:tabs>
        <w:spacing w:line="360" w:lineRule="auto"/>
        <w:ind w:firstLine="482" w:firstLineChars="200"/>
        <w:rPr>
          <w:rFonts w:hint="eastAsia"/>
          <w:b/>
          <w:bCs/>
          <w:iCs/>
          <w:sz w:val="24"/>
          <w:szCs w:val="24"/>
          <w:lang w:eastAsia="zh-CN"/>
        </w:rPr>
      </w:pPr>
      <w:r>
        <w:rPr>
          <w:rFonts w:hint="eastAsia"/>
          <w:b/>
          <w:bCs/>
          <w:iCs/>
          <w:sz w:val="24"/>
          <w:szCs w:val="24"/>
          <w:lang w:eastAsia="zh-CN"/>
        </w:rPr>
        <w:t>（8）中标候选人顺延规则</w:t>
      </w:r>
    </w:p>
    <w:p w14:paraId="46500526">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1）顺延触发条件</w:t>
      </w:r>
    </w:p>
    <w:p w14:paraId="06E25E5F">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第一中标候选人标后测试结果被判定为“不合格”；</w:t>
      </w:r>
    </w:p>
    <w:p w14:paraId="354B14A4">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第一中标候选人因自身原因放弃中标资格，且未完成标后测试或标后测试未通过；</w:t>
      </w:r>
    </w:p>
    <w:p w14:paraId="1C639EEA">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第一中标候选人因存在违规违纪行为被取消中标资格，且标后测试未通过。</w:t>
      </w:r>
    </w:p>
    <w:p w14:paraId="34D4277D">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2）顺延流程</w:t>
      </w:r>
    </w:p>
    <w:p w14:paraId="49FBADE4">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采购人按照评标委员会出具的中标候选人排名顺序，依次通知下一位中标候选人进入标后测试环节，测试要求与第一中标候选人完全一致。</w:t>
      </w:r>
    </w:p>
    <w:p w14:paraId="574AE89B">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若下一位中标候选人标后测试合格，直接确定为中标人；若测试仍不合格，按排名顺序依次顺延，直至选出测试合格的中标候选人。</w:t>
      </w:r>
    </w:p>
    <w:p w14:paraId="6FCA67E9">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若所有中标候选人标后测试均不合格，采购人有权重新组织招标或终止本次采购活动，并向相关监管部门履行报备手续。</w:t>
      </w:r>
    </w:p>
    <w:p w14:paraId="43013B2C">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3）其他说明</w:t>
      </w:r>
    </w:p>
    <w:p w14:paraId="2147E59F">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中标候选人顺延过程中，采购人需保持测试标准一致，不得擅自提高或降低测试要求。</w:t>
      </w:r>
    </w:p>
    <w:p w14:paraId="5E40C80C">
      <w:pPr>
        <w:tabs>
          <w:tab w:val="left" w:pos="900"/>
        </w:tabs>
        <w:spacing w:line="360" w:lineRule="auto"/>
        <w:ind w:firstLine="480" w:firstLineChars="200"/>
        <w:rPr>
          <w:rFonts w:hint="eastAsia"/>
          <w:iCs/>
          <w:sz w:val="24"/>
          <w:szCs w:val="24"/>
          <w:lang w:eastAsia="zh-CN"/>
        </w:rPr>
      </w:pPr>
      <w:r>
        <w:rPr>
          <w:rFonts w:hint="eastAsia"/>
          <w:iCs/>
          <w:sz w:val="24"/>
          <w:szCs w:val="24"/>
          <w:lang w:eastAsia="zh-CN"/>
        </w:rPr>
        <w:t>各中标候选人的标后测试周期均为7个工作日（含整改时间），逾期未完成测试的，视为自动放弃中标资格。</w:t>
      </w:r>
    </w:p>
    <w:p w14:paraId="7647528B">
      <w:pPr>
        <w:tabs>
          <w:tab w:val="left" w:pos="900"/>
        </w:tabs>
        <w:spacing w:before="120" w:beforeLines="50" w:line="360" w:lineRule="auto"/>
        <w:ind w:firstLine="482" w:firstLineChars="200"/>
        <w:rPr>
          <w:rFonts w:hint="eastAsia"/>
          <w:b/>
          <w:sz w:val="24"/>
          <w:szCs w:val="24"/>
          <w:lang w:eastAsia="zh-CN"/>
        </w:rPr>
      </w:pPr>
      <w:r>
        <w:rPr>
          <w:rFonts w:hint="eastAsia"/>
          <w:b/>
          <w:sz w:val="24"/>
          <w:szCs w:val="24"/>
          <w:lang w:eastAsia="zh-CN"/>
        </w:rPr>
        <w:t>3.采购标的的验收标准</w:t>
      </w:r>
    </w:p>
    <w:p w14:paraId="293684B3">
      <w:pPr>
        <w:autoSpaceDE/>
        <w:autoSpaceDN/>
        <w:spacing w:line="360" w:lineRule="auto"/>
        <w:ind w:firstLine="480" w:firstLineChars="200"/>
        <w:rPr>
          <w:rFonts w:hint="eastAsia"/>
          <w:bCs/>
          <w:sz w:val="24"/>
          <w:szCs w:val="21"/>
          <w:lang w:eastAsia="zh-CN"/>
        </w:rPr>
      </w:pPr>
      <w:r>
        <w:rPr>
          <w:rFonts w:hint="eastAsia"/>
          <w:bCs/>
          <w:sz w:val="24"/>
          <w:szCs w:val="21"/>
          <w:lang w:eastAsia="zh-CN"/>
        </w:rPr>
        <w:t>3.1、采购标的的验收标准</w:t>
      </w:r>
    </w:p>
    <w:p w14:paraId="2B8D9794">
      <w:pPr>
        <w:autoSpaceDE/>
        <w:autoSpaceDN/>
        <w:spacing w:line="360" w:lineRule="auto"/>
        <w:ind w:firstLine="480" w:firstLineChars="200"/>
        <w:rPr>
          <w:rFonts w:hint="eastAsia"/>
          <w:sz w:val="24"/>
          <w:szCs w:val="24"/>
          <w:lang w:eastAsia="zh-CN"/>
        </w:rPr>
      </w:pPr>
      <w:r>
        <w:rPr>
          <w:rFonts w:hint="eastAsia"/>
          <w:sz w:val="24"/>
          <w:szCs w:val="24"/>
          <w:lang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1FCC65B">
      <w:pPr>
        <w:autoSpaceDE/>
        <w:autoSpaceDN/>
        <w:spacing w:line="360" w:lineRule="auto"/>
        <w:ind w:firstLine="480" w:firstLineChars="200"/>
        <w:rPr>
          <w:rFonts w:hint="eastAsia"/>
          <w:sz w:val="24"/>
          <w:szCs w:val="24"/>
          <w:lang w:eastAsia="zh-CN"/>
        </w:rPr>
      </w:pPr>
      <w:r>
        <w:rPr>
          <w:rFonts w:hint="eastAsia"/>
          <w:sz w:val="24"/>
          <w:szCs w:val="24"/>
          <w:lang w:eastAsia="zh-CN"/>
        </w:rPr>
        <w:t xml:space="preserve">（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095276BD">
      <w:pPr>
        <w:autoSpaceDE/>
        <w:autoSpaceDN/>
        <w:adjustRightInd w:val="0"/>
        <w:spacing w:line="360" w:lineRule="auto"/>
        <w:jc w:val="center"/>
        <w:textAlignment w:val="baseline"/>
        <w:outlineLvl w:val="0"/>
        <w:rPr>
          <w:rFonts w:hint="eastAsia"/>
          <w:sz w:val="24"/>
          <w:szCs w:val="24"/>
          <w:lang w:eastAsia="zh-CN"/>
        </w:rPr>
      </w:pPr>
      <w:bookmarkStart w:id="12" w:name="_Toc24181"/>
      <w:r>
        <w:rPr>
          <w:rFonts w:hint="eastAsia"/>
          <w:sz w:val="24"/>
          <w:szCs w:val="24"/>
          <w:lang w:eastAsia="zh-CN"/>
        </w:rPr>
        <w:t xml:space="preserve">  </w:t>
      </w:r>
      <w:bookmarkStart w:id="13" w:name="_Toc27956"/>
      <w:bookmarkStart w:id="14" w:name="_Toc13153"/>
      <w:r>
        <w:rPr>
          <w:rFonts w:hint="eastAsia"/>
          <w:sz w:val="24"/>
          <w:szCs w:val="24"/>
          <w:lang w:eastAsia="zh-CN"/>
        </w:rPr>
        <w:t>（3）投标人应负责使所供计量仪器通过计量部门的验收，并承担相关费用（包括运</w:t>
      </w:r>
      <w:bookmarkEnd w:id="13"/>
      <w:bookmarkEnd w:id="14"/>
    </w:p>
    <w:p w14:paraId="3BA1F6DE">
      <w:pPr>
        <w:autoSpaceDE/>
        <w:autoSpaceDN/>
        <w:adjustRightInd w:val="0"/>
        <w:spacing w:line="360" w:lineRule="auto"/>
        <w:jc w:val="both"/>
        <w:textAlignment w:val="baseline"/>
        <w:outlineLvl w:val="0"/>
        <w:rPr>
          <w:rFonts w:hint="eastAsia"/>
          <w:sz w:val="24"/>
          <w:szCs w:val="24"/>
          <w:lang w:eastAsia="zh-CN"/>
        </w:rPr>
        <w:sectPr>
          <w:pgSz w:w="11910" w:h="16840"/>
          <w:pgMar w:top="1100" w:right="920" w:bottom="1080" w:left="1580" w:header="879" w:footer="892" w:gutter="0"/>
          <w:cols w:space="720" w:num="1"/>
        </w:sectPr>
      </w:pPr>
      <w:bookmarkStart w:id="15" w:name="_Toc14815"/>
      <w:bookmarkStart w:id="16" w:name="_Toc14846"/>
      <w:r>
        <w:rPr>
          <w:rFonts w:hint="eastAsia"/>
          <w:sz w:val="24"/>
          <w:szCs w:val="24"/>
          <w:lang w:eastAsia="zh-CN"/>
        </w:rPr>
        <w:t>费）。若</w:t>
      </w:r>
      <w:bookmarkEnd w:id="12"/>
      <w:bookmarkStart w:id="17" w:name="_Toc14175"/>
      <w:r>
        <w:rPr>
          <w:rFonts w:hint="eastAsia"/>
          <w:sz w:val="24"/>
          <w:szCs w:val="24"/>
          <w:lang w:eastAsia="zh-CN"/>
        </w:rPr>
        <w:t>需要，应在检测期间提供备用仪器，以便不影响采购人的使用。</w:t>
      </w:r>
      <w:bookmarkEnd w:id="15"/>
      <w:bookmarkEnd w:id="16"/>
      <w:bookmarkEnd w:id="17"/>
    </w:p>
    <w:p w14:paraId="37FC718C">
      <w:pPr>
        <w:pStyle w:val="4"/>
        <w:tabs>
          <w:tab w:val="left" w:pos="1630"/>
        </w:tabs>
        <w:spacing w:line="460" w:lineRule="exact"/>
        <w:ind w:left="8"/>
        <w:jc w:val="center"/>
        <w:rPr>
          <w:rFonts w:hint="eastAsia"/>
          <w:b/>
          <w:bCs/>
        </w:rPr>
      </w:pPr>
      <w:r>
        <w:rPr>
          <w:rFonts w:hint="eastAsia"/>
          <w:b/>
          <w:bCs/>
          <w:lang w:val="en-US" w:eastAsia="zh-CN"/>
        </w:rPr>
        <w:t>02包</w:t>
      </w:r>
      <w:r>
        <w:rPr>
          <w:rFonts w:hint="eastAsia"/>
          <w:b/>
          <w:bCs/>
        </w:rPr>
        <w:t>采购需求</w:t>
      </w:r>
    </w:p>
    <w:p w14:paraId="6A9CCFCA">
      <w:pPr>
        <w:rPr>
          <w:rFonts w:hint="eastAsia"/>
        </w:rPr>
      </w:pPr>
    </w:p>
    <w:p w14:paraId="1CDC609C">
      <w:pPr>
        <w:pStyle w:val="7"/>
        <w:spacing w:before="1"/>
        <w:ind w:left="121"/>
        <w:rPr>
          <w:rFonts w:hint="eastAsia"/>
          <w:b/>
          <w:bCs/>
        </w:rPr>
      </w:pPr>
      <w:r>
        <w:rPr>
          <w:rFonts w:hint="eastAsia"/>
          <w:b/>
          <w:bCs/>
        </w:rPr>
        <w:t>一、采购标的</w:t>
      </w:r>
    </w:p>
    <w:p w14:paraId="4D730D8C">
      <w:pPr>
        <w:pStyle w:val="15"/>
        <w:tabs>
          <w:tab w:val="left" w:pos="470"/>
          <w:tab w:val="left" w:pos="7040"/>
        </w:tabs>
        <w:spacing w:before="154" w:line="360" w:lineRule="auto"/>
        <w:ind w:left="121" w:right="1830" w:firstLine="269" w:firstLineChars="100"/>
        <w:rPr>
          <w:rFonts w:hint="eastAsia"/>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12"/>
        <w:tblW w:w="92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733"/>
      </w:tblGrid>
      <w:tr w14:paraId="6634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vAlign w:val="center"/>
          </w:tcPr>
          <w:p w14:paraId="51DB9BA2">
            <w:pPr>
              <w:pStyle w:val="16"/>
              <w:jc w:val="center"/>
              <w:rPr>
                <w:rFonts w:hint="eastAsia"/>
                <w:b/>
                <w:bCs/>
                <w:sz w:val="24"/>
                <w:szCs w:val="24"/>
                <w:lang w:eastAsia="zh-CN"/>
              </w:rPr>
            </w:pPr>
            <w:r>
              <w:rPr>
                <w:rFonts w:hint="eastAsia"/>
                <w:b/>
                <w:bCs/>
                <w:sz w:val="24"/>
                <w:szCs w:val="24"/>
                <w:lang w:eastAsia="zh-CN"/>
              </w:rPr>
              <w:t>包号</w:t>
            </w:r>
          </w:p>
        </w:tc>
        <w:tc>
          <w:tcPr>
            <w:tcW w:w="1083" w:type="dxa"/>
            <w:tcBorders>
              <w:top w:val="single" w:color="000000" w:sz="4" w:space="0"/>
              <w:left w:val="single" w:color="000000" w:sz="4" w:space="0"/>
              <w:bottom w:val="single" w:color="000000" w:sz="4" w:space="0"/>
              <w:right w:val="single" w:color="000000" w:sz="4" w:space="0"/>
            </w:tcBorders>
            <w:vAlign w:val="center"/>
          </w:tcPr>
          <w:p w14:paraId="70EE85A4">
            <w:pPr>
              <w:pStyle w:val="16"/>
              <w:jc w:val="center"/>
              <w:rPr>
                <w:rFonts w:hint="eastAsia"/>
                <w:b/>
                <w:bCs/>
                <w:sz w:val="24"/>
                <w:szCs w:val="24"/>
                <w:lang w:eastAsia="zh-CN"/>
              </w:rPr>
            </w:pPr>
            <w:r>
              <w:rPr>
                <w:rFonts w:hint="eastAsia"/>
                <w:b/>
                <w:bCs/>
                <w:sz w:val="24"/>
                <w:szCs w:val="24"/>
                <w:lang w:eastAsia="zh-CN"/>
              </w:rPr>
              <w:t>品目号</w:t>
            </w:r>
          </w:p>
        </w:tc>
        <w:tc>
          <w:tcPr>
            <w:tcW w:w="2569" w:type="dxa"/>
            <w:tcBorders>
              <w:top w:val="single" w:color="000000" w:sz="4" w:space="0"/>
              <w:left w:val="single" w:color="000000" w:sz="4" w:space="0"/>
              <w:bottom w:val="single" w:color="000000" w:sz="4" w:space="0"/>
              <w:right w:val="single" w:color="000000" w:sz="4" w:space="0"/>
            </w:tcBorders>
            <w:vAlign w:val="center"/>
          </w:tcPr>
          <w:p w14:paraId="0989E515">
            <w:pPr>
              <w:pStyle w:val="16"/>
              <w:jc w:val="center"/>
              <w:rPr>
                <w:rFonts w:hint="eastAsia"/>
                <w:b/>
                <w:bCs/>
                <w:sz w:val="24"/>
                <w:szCs w:val="24"/>
                <w:lang w:eastAsia="zh-CN"/>
              </w:rPr>
            </w:pPr>
            <w:r>
              <w:rPr>
                <w:rFonts w:hint="eastAsia"/>
                <w:b/>
                <w:bCs/>
                <w:sz w:val="24"/>
                <w:szCs w:val="24"/>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vAlign w:val="center"/>
          </w:tcPr>
          <w:p w14:paraId="0A261DE4">
            <w:pPr>
              <w:pStyle w:val="16"/>
              <w:jc w:val="center"/>
              <w:rPr>
                <w:rFonts w:hint="eastAsia"/>
                <w:b/>
                <w:bCs/>
                <w:sz w:val="24"/>
                <w:szCs w:val="24"/>
              </w:rPr>
            </w:pPr>
            <w:r>
              <w:rPr>
                <w:rFonts w:hint="eastAsia"/>
                <w:b/>
                <w:bCs/>
                <w:sz w:val="24"/>
                <w:szCs w:val="24"/>
              </w:rPr>
              <w:t>数量</w:t>
            </w:r>
          </w:p>
          <w:p w14:paraId="73555D56">
            <w:pPr>
              <w:pStyle w:val="16"/>
              <w:jc w:val="center"/>
              <w:rPr>
                <w:rFonts w:hint="eastAsia"/>
                <w:b/>
                <w:bCs/>
                <w:sz w:val="24"/>
                <w:szCs w:val="24"/>
              </w:rPr>
            </w:pPr>
            <w:r>
              <w:rPr>
                <w:rFonts w:hint="eastAsia"/>
                <w:b/>
                <w:bCs/>
                <w:sz w:val="24"/>
                <w:szCs w:val="24"/>
              </w:rPr>
              <w:t>（台/套）</w:t>
            </w:r>
          </w:p>
        </w:tc>
        <w:tc>
          <w:tcPr>
            <w:tcW w:w="1733" w:type="dxa"/>
            <w:tcBorders>
              <w:top w:val="single" w:color="000000" w:sz="4" w:space="0"/>
              <w:left w:val="single" w:color="000000" w:sz="4" w:space="0"/>
              <w:bottom w:val="single" w:color="000000" w:sz="4" w:space="0"/>
              <w:right w:val="single" w:color="000000" w:sz="4" w:space="0"/>
            </w:tcBorders>
            <w:vAlign w:val="center"/>
          </w:tcPr>
          <w:p w14:paraId="2CEA9E36">
            <w:pPr>
              <w:pStyle w:val="16"/>
              <w:jc w:val="center"/>
              <w:rPr>
                <w:rFonts w:hint="eastAsia"/>
                <w:b/>
                <w:bCs/>
                <w:sz w:val="24"/>
                <w:szCs w:val="24"/>
                <w:lang w:eastAsia="zh-CN"/>
              </w:rPr>
            </w:pPr>
            <w:r>
              <w:rPr>
                <w:rFonts w:hint="eastAsia"/>
                <w:b/>
                <w:bCs/>
                <w:sz w:val="24"/>
                <w:szCs w:val="24"/>
                <w:lang w:eastAsia="zh-CN"/>
              </w:rPr>
              <w:t>是否允许采购进口产品</w:t>
            </w:r>
          </w:p>
        </w:tc>
        <w:tc>
          <w:tcPr>
            <w:tcW w:w="1733" w:type="dxa"/>
            <w:tcBorders>
              <w:top w:val="single" w:color="000000" w:sz="4" w:space="0"/>
              <w:left w:val="single" w:color="000000" w:sz="4" w:space="0"/>
              <w:bottom w:val="single" w:color="000000" w:sz="4" w:space="0"/>
              <w:right w:val="single" w:color="000000" w:sz="4" w:space="0"/>
            </w:tcBorders>
            <w:vAlign w:val="center"/>
          </w:tcPr>
          <w:p w14:paraId="3FC43BBC">
            <w:pPr>
              <w:pStyle w:val="16"/>
              <w:jc w:val="center"/>
              <w:rPr>
                <w:rFonts w:hint="eastAsia"/>
                <w:b/>
                <w:bCs/>
                <w:sz w:val="24"/>
                <w:szCs w:val="24"/>
                <w:lang w:eastAsia="zh-CN"/>
              </w:rPr>
            </w:pPr>
            <w:r>
              <w:rPr>
                <w:rFonts w:hint="eastAsia"/>
                <w:b/>
                <w:bCs/>
                <w:sz w:val="24"/>
                <w:szCs w:val="24"/>
                <w:lang w:eastAsia="zh-CN"/>
              </w:rPr>
              <w:t>质保期</w:t>
            </w:r>
          </w:p>
        </w:tc>
      </w:tr>
      <w:tr w14:paraId="033D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top w:val="single" w:color="000000" w:sz="4" w:space="0"/>
              <w:left w:val="single" w:color="000000" w:sz="4" w:space="0"/>
              <w:right w:val="single" w:color="000000" w:sz="4" w:space="0"/>
            </w:tcBorders>
            <w:vAlign w:val="center"/>
          </w:tcPr>
          <w:p w14:paraId="03148D32">
            <w:pPr>
              <w:pStyle w:val="16"/>
              <w:jc w:val="center"/>
              <w:rPr>
                <w:rFonts w:hint="eastAsia"/>
                <w:sz w:val="24"/>
                <w:szCs w:val="24"/>
                <w:lang w:eastAsia="zh-CN"/>
              </w:rPr>
            </w:pPr>
            <w:r>
              <w:rPr>
                <w:rFonts w:hint="eastAsia"/>
                <w:sz w:val="24"/>
                <w:szCs w:val="24"/>
                <w:lang w:eastAsia="zh-CN"/>
              </w:rPr>
              <w:t>2</w:t>
            </w:r>
          </w:p>
        </w:tc>
        <w:tc>
          <w:tcPr>
            <w:tcW w:w="1083" w:type="dxa"/>
            <w:tcBorders>
              <w:top w:val="single" w:color="000000" w:sz="4" w:space="0"/>
              <w:left w:val="single" w:color="000000" w:sz="4" w:space="0"/>
              <w:bottom w:val="single" w:color="000000" w:sz="4" w:space="0"/>
              <w:right w:val="single" w:color="000000" w:sz="4" w:space="0"/>
            </w:tcBorders>
            <w:vAlign w:val="center"/>
          </w:tcPr>
          <w:p w14:paraId="46796DDD">
            <w:pPr>
              <w:widowControl/>
              <w:jc w:val="center"/>
              <w:textAlignment w:val="center"/>
              <w:rPr>
                <w:rFonts w:hint="eastAsia"/>
                <w:sz w:val="24"/>
                <w:szCs w:val="24"/>
                <w:lang w:eastAsia="zh-CN"/>
              </w:rPr>
            </w:pPr>
            <w:r>
              <w:rPr>
                <w:rFonts w:hint="eastAsia"/>
                <w:sz w:val="24"/>
                <w:szCs w:val="24"/>
                <w:lang w:eastAsia="zh-CN"/>
              </w:rPr>
              <w:t>2-1</w:t>
            </w:r>
          </w:p>
        </w:tc>
        <w:tc>
          <w:tcPr>
            <w:tcW w:w="2569" w:type="dxa"/>
            <w:tcBorders>
              <w:top w:val="single" w:color="000000" w:sz="4" w:space="0"/>
              <w:left w:val="single" w:color="000000" w:sz="4" w:space="0"/>
              <w:bottom w:val="single" w:color="000000" w:sz="4" w:space="0"/>
              <w:right w:val="single" w:color="000000" w:sz="4" w:space="0"/>
            </w:tcBorders>
            <w:vAlign w:val="bottom"/>
          </w:tcPr>
          <w:p w14:paraId="3B7881B1">
            <w:pPr>
              <w:widowControl/>
              <w:jc w:val="center"/>
              <w:textAlignment w:val="bottom"/>
              <w:rPr>
                <w:rFonts w:hint="eastAsia"/>
                <w:sz w:val="24"/>
                <w:szCs w:val="24"/>
                <w:lang w:eastAsia="zh-CN"/>
              </w:rPr>
            </w:pPr>
            <w:r>
              <w:rPr>
                <w:rFonts w:hint="eastAsia"/>
                <w:color w:val="000000"/>
                <w:sz w:val="24"/>
                <w:szCs w:val="24"/>
                <w:lang w:eastAsia="zh-CN" w:bidi="ar"/>
              </w:rPr>
              <w:t>多模态临床医生应用系统</w:t>
            </w:r>
          </w:p>
        </w:tc>
        <w:tc>
          <w:tcPr>
            <w:tcW w:w="1293" w:type="dxa"/>
            <w:tcBorders>
              <w:top w:val="single" w:color="000000" w:sz="4" w:space="0"/>
              <w:left w:val="single" w:color="000000" w:sz="4" w:space="0"/>
              <w:bottom w:val="single" w:color="000000" w:sz="4" w:space="0"/>
              <w:right w:val="single" w:color="000000" w:sz="4" w:space="0"/>
            </w:tcBorders>
            <w:vAlign w:val="center"/>
          </w:tcPr>
          <w:p w14:paraId="19143BF2">
            <w:pPr>
              <w:widowControl/>
              <w:jc w:val="center"/>
              <w:textAlignment w:val="center"/>
              <w:rPr>
                <w:rFonts w:hint="eastAsia"/>
                <w:sz w:val="24"/>
                <w:szCs w:val="24"/>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384C61D2">
            <w:pPr>
              <w:widowControl/>
              <w:jc w:val="center"/>
              <w:rPr>
                <w:rFonts w:hint="eastAsia"/>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655183E3">
            <w:pPr>
              <w:pStyle w:val="16"/>
              <w:jc w:val="center"/>
              <w:rPr>
                <w:rFonts w:hint="eastAsia"/>
                <w:sz w:val="24"/>
                <w:szCs w:val="24"/>
                <w:lang w:eastAsia="zh-CN"/>
              </w:rPr>
            </w:pPr>
            <w:r>
              <w:rPr>
                <w:rFonts w:hint="eastAsia"/>
                <w:sz w:val="24"/>
                <w:szCs w:val="24"/>
                <w:lang w:eastAsia="zh-CN"/>
              </w:rPr>
              <w:t>三年</w:t>
            </w:r>
          </w:p>
        </w:tc>
      </w:tr>
      <w:tr w14:paraId="6BA71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trPr>
        <w:tc>
          <w:tcPr>
            <w:tcW w:w="823" w:type="dxa"/>
            <w:vMerge w:val="continue"/>
            <w:tcBorders>
              <w:left w:val="single" w:color="000000" w:sz="4" w:space="0"/>
              <w:right w:val="single" w:color="000000" w:sz="4" w:space="0"/>
            </w:tcBorders>
            <w:vAlign w:val="center"/>
          </w:tcPr>
          <w:p w14:paraId="6AE63F2F">
            <w:pPr>
              <w:pStyle w:val="16"/>
              <w:jc w:val="center"/>
              <w:rPr>
                <w:rFonts w:hint="eastAsia"/>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E12D0D6">
            <w:pPr>
              <w:widowControl/>
              <w:jc w:val="center"/>
              <w:textAlignment w:val="center"/>
              <w:rPr>
                <w:rFonts w:hint="eastAsia"/>
                <w:sz w:val="24"/>
                <w:szCs w:val="24"/>
                <w:lang w:eastAsia="zh-CN"/>
              </w:rPr>
            </w:pPr>
            <w:r>
              <w:rPr>
                <w:rFonts w:hint="eastAsia"/>
                <w:sz w:val="24"/>
                <w:szCs w:val="24"/>
                <w:lang w:eastAsia="zh-CN"/>
              </w:rPr>
              <w:t>2-2</w:t>
            </w:r>
          </w:p>
        </w:tc>
        <w:tc>
          <w:tcPr>
            <w:tcW w:w="2569" w:type="dxa"/>
            <w:tcBorders>
              <w:top w:val="single" w:color="000000" w:sz="4" w:space="0"/>
              <w:left w:val="single" w:color="000000" w:sz="4" w:space="0"/>
              <w:bottom w:val="single" w:color="000000" w:sz="4" w:space="0"/>
              <w:right w:val="single" w:color="000000" w:sz="4" w:space="0"/>
            </w:tcBorders>
            <w:vAlign w:val="bottom"/>
          </w:tcPr>
          <w:p w14:paraId="52E2555E">
            <w:pPr>
              <w:widowControl/>
              <w:jc w:val="center"/>
              <w:textAlignment w:val="bottom"/>
              <w:rPr>
                <w:rFonts w:hint="eastAsia"/>
                <w:sz w:val="24"/>
                <w:szCs w:val="24"/>
                <w:lang w:eastAsia="zh-CN"/>
              </w:rPr>
            </w:pPr>
            <w:r>
              <w:rPr>
                <w:rFonts w:hint="eastAsia"/>
                <w:color w:val="000000"/>
                <w:sz w:val="24"/>
                <w:szCs w:val="24"/>
                <w:lang w:eastAsia="zh-CN" w:bidi="ar"/>
              </w:rPr>
              <w:t>线上线下一体化便民服务系统</w:t>
            </w:r>
          </w:p>
        </w:tc>
        <w:tc>
          <w:tcPr>
            <w:tcW w:w="1293" w:type="dxa"/>
            <w:tcBorders>
              <w:top w:val="single" w:color="000000" w:sz="4" w:space="0"/>
              <w:left w:val="single" w:color="000000" w:sz="4" w:space="0"/>
              <w:bottom w:val="single" w:color="000000" w:sz="4" w:space="0"/>
              <w:right w:val="single" w:color="000000" w:sz="4" w:space="0"/>
            </w:tcBorders>
            <w:vAlign w:val="center"/>
          </w:tcPr>
          <w:p w14:paraId="4FF1D6C2">
            <w:pPr>
              <w:widowControl/>
              <w:jc w:val="center"/>
              <w:textAlignment w:val="center"/>
              <w:rPr>
                <w:rFonts w:hint="eastAsia"/>
                <w:sz w:val="24"/>
                <w:szCs w:val="24"/>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0BC8A1A1">
            <w:pPr>
              <w:widowControl/>
              <w:jc w:val="center"/>
              <w:rPr>
                <w:rFonts w:hint="eastAsia"/>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2AED461A">
            <w:pPr>
              <w:jc w:val="center"/>
              <w:rPr>
                <w:rFonts w:hint="eastAsia"/>
                <w:sz w:val="24"/>
                <w:szCs w:val="24"/>
                <w:lang w:eastAsia="zh-CN"/>
              </w:rPr>
            </w:pPr>
            <w:r>
              <w:rPr>
                <w:rFonts w:hint="eastAsia"/>
                <w:sz w:val="24"/>
                <w:szCs w:val="24"/>
                <w:lang w:eastAsia="zh-CN"/>
              </w:rPr>
              <w:t>三年</w:t>
            </w:r>
          </w:p>
        </w:tc>
      </w:tr>
      <w:tr w14:paraId="6BDBE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vAlign w:val="center"/>
          </w:tcPr>
          <w:p w14:paraId="04567FAA">
            <w:pPr>
              <w:pStyle w:val="16"/>
              <w:jc w:val="center"/>
              <w:rPr>
                <w:rFonts w:hint="eastAsia"/>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056C5B07">
            <w:pPr>
              <w:widowControl/>
              <w:jc w:val="center"/>
              <w:textAlignment w:val="center"/>
              <w:rPr>
                <w:rFonts w:hint="eastAsia"/>
                <w:sz w:val="24"/>
                <w:szCs w:val="24"/>
                <w:lang w:eastAsia="zh-CN"/>
              </w:rPr>
            </w:pPr>
            <w:r>
              <w:rPr>
                <w:rFonts w:hint="eastAsia"/>
                <w:sz w:val="24"/>
                <w:szCs w:val="24"/>
                <w:lang w:eastAsia="zh-CN"/>
              </w:rPr>
              <w:t>2-3</w:t>
            </w:r>
          </w:p>
        </w:tc>
        <w:tc>
          <w:tcPr>
            <w:tcW w:w="2569" w:type="dxa"/>
            <w:tcBorders>
              <w:top w:val="single" w:color="000000" w:sz="4" w:space="0"/>
              <w:left w:val="single" w:color="000000" w:sz="4" w:space="0"/>
              <w:bottom w:val="single" w:color="000000" w:sz="4" w:space="0"/>
              <w:right w:val="single" w:color="000000" w:sz="4" w:space="0"/>
            </w:tcBorders>
            <w:vAlign w:val="bottom"/>
          </w:tcPr>
          <w:p w14:paraId="28ECCCD9">
            <w:pPr>
              <w:widowControl/>
              <w:jc w:val="center"/>
              <w:textAlignment w:val="bottom"/>
              <w:rPr>
                <w:rFonts w:hint="eastAsia"/>
                <w:sz w:val="24"/>
                <w:szCs w:val="24"/>
                <w:lang w:eastAsia="zh-CN"/>
              </w:rPr>
            </w:pPr>
            <w:r>
              <w:rPr>
                <w:rFonts w:hint="eastAsia"/>
                <w:color w:val="000000"/>
                <w:sz w:val="24"/>
                <w:szCs w:val="24"/>
                <w:lang w:eastAsia="zh-CN" w:bidi="ar"/>
              </w:rPr>
              <w:t>应用软件开发</w:t>
            </w:r>
          </w:p>
        </w:tc>
        <w:tc>
          <w:tcPr>
            <w:tcW w:w="1293" w:type="dxa"/>
            <w:tcBorders>
              <w:top w:val="single" w:color="000000" w:sz="4" w:space="0"/>
              <w:left w:val="single" w:color="000000" w:sz="4" w:space="0"/>
              <w:bottom w:val="single" w:color="000000" w:sz="4" w:space="0"/>
              <w:right w:val="single" w:color="000000" w:sz="4" w:space="0"/>
            </w:tcBorders>
            <w:vAlign w:val="center"/>
          </w:tcPr>
          <w:p w14:paraId="1F7B683E">
            <w:pPr>
              <w:widowControl/>
              <w:jc w:val="center"/>
              <w:textAlignment w:val="center"/>
              <w:rPr>
                <w:rFonts w:hint="eastAsia"/>
                <w:sz w:val="24"/>
                <w:szCs w:val="24"/>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5C5AC9F8">
            <w:pPr>
              <w:widowControl/>
              <w:jc w:val="center"/>
              <w:rPr>
                <w:rFonts w:hint="eastAsia"/>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220318D2">
            <w:pPr>
              <w:jc w:val="center"/>
              <w:rPr>
                <w:rFonts w:hint="eastAsia"/>
                <w:sz w:val="24"/>
                <w:szCs w:val="24"/>
                <w:lang w:eastAsia="zh-CN"/>
              </w:rPr>
            </w:pPr>
            <w:r>
              <w:rPr>
                <w:rFonts w:hint="eastAsia"/>
                <w:sz w:val="24"/>
                <w:szCs w:val="24"/>
                <w:lang w:eastAsia="zh-CN"/>
              </w:rPr>
              <w:t>三年</w:t>
            </w:r>
          </w:p>
        </w:tc>
      </w:tr>
      <w:tr w14:paraId="69897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vAlign w:val="center"/>
          </w:tcPr>
          <w:p w14:paraId="6F6FB458">
            <w:pPr>
              <w:pStyle w:val="16"/>
              <w:jc w:val="center"/>
              <w:rPr>
                <w:rFonts w:hint="eastAsia"/>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B668B55">
            <w:pPr>
              <w:widowControl/>
              <w:jc w:val="center"/>
              <w:textAlignment w:val="center"/>
              <w:rPr>
                <w:rFonts w:hint="eastAsia"/>
                <w:sz w:val="24"/>
                <w:szCs w:val="24"/>
                <w:lang w:eastAsia="zh-CN"/>
              </w:rPr>
            </w:pPr>
            <w:r>
              <w:rPr>
                <w:rFonts w:hint="eastAsia"/>
                <w:color w:val="000000"/>
                <w:sz w:val="24"/>
                <w:szCs w:val="24"/>
                <w:lang w:eastAsia="zh-CN" w:bidi="ar"/>
              </w:rPr>
              <w:t>2-4</w:t>
            </w:r>
          </w:p>
        </w:tc>
        <w:tc>
          <w:tcPr>
            <w:tcW w:w="2569" w:type="dxa"/>
            <w:tcBorders>
              <w:top w:val="single" w:color="000000" w:sz="4" w:space="0"/>
              <w:left w:val="single" w:color="000000" w:sz="4" w:space="0"/>
              <w:bottom w:val="single" w:color="000000" w:sz="4" w:space="0"/>
              <w:right w:val="single" w:color="000000" w:sz="4" w:space="0"/>
            </w:tcBorders>
            <w:vAlign w:val="bottom"/>
          </w:tcPr>
          <w:p w14:paraId="17FBFCFF">
            <w:pPr>
              <w:widowControl/>
              <w:jc w:val="center"/>
              <w:textAlignment w:val="bottom"/>
              <w:rPr>
                <w:rFonts w:hint="eastAsia"/>
                <w:sz w:val="24"/>
                <w:szCs w:val="24"/>
              </w:rPr>
            </w:pPr>
            <w:r>
              <w:rPr>
                <w:rFonts w:hint="eastAsia"/>
                <w:color w:val="000000"/>
                <w:sz w:val="24"/>
                <w:szCs w:val="24"/>
                <w:lang w:eastAsia="zh-CN" w:bidi="ar"/>
              </w:rPr>
              <w:t>信息系统集成</w:t>
            </w:r>
          </w:p>
        </w:tc>
        <w:tc>
          <w:tcPr>
            <w:tcW w:w="1293" w:type="dxa"/>
            <w:tcBorders>
              <w:top w:val="single" w:color="000000" w:sz="4" w:space="0"/>
              <w:left w:val="single" w:color="000000" w:sz="4" w:space="0"/>
              <w:bottom w:val="single" w:color="000000" w:sz="4" w:space="0"/>
              <w:right w:val="single" w:color="000000" w:sz="4" w:space="0"/>
            </w:tcBorders>
            <w:vAlign w:val="center"/>
          </w:tcPr>
          <w:p w14:paraId="39257032">
            <w:pPr>
              <w:widowControl/>
              <w:jc w:val="center"/>
              <w:textAlignment w:val="center"/>
              <w:rPr>
                <w:rFonts w:hint="eastAsia"/>
                <w:sz w:val="24"/>
                <w:szCs w:val="24"/>
                <w:lang w:eastAsia="zh-CN"/>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6C4DF26C">
            <w:pPr>
              <w:widowControl/>
              <w:jc w:val="center"/>
              <w:rPr>
                <w:rFonts w:hint="eastAsia"/>
                <w:sz w:val="24"/>
                <w:szCs w:val="24"/>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055A0549">
            <w:pPr>
              <w:jc w:val="center"/>
              <w:rPr>
                <w:rFonts w:hint="eastAsia"/>
                <w:sz w:val="24"/>
                <w:szCs w:val="24"/>
                <w:lang w:eastAsia="zh-CN"/>
              </w:rPr>
            </w:pPr>
            <w:r>
              <w:rPr>
                <w:rFonts w:hint="eastAsia"/>
                <w:sz w:val="24"/>
                <w:szCs w:val="24"/>
                <w:lang w:eastAsia="zh-CN"/>
              </w:rPr>
              <w:t>三年</w:t>
            </w:r>
          </w:p>
        </w:tc>
      </w:tr>
    </w:tbl>
    <w:p w14:paraId="58F2B0F7">
      <w:pPr>
        <w:pStyle w:val="17"/>
        <w:tabs>
          <w:tab w:val="left" w:pos="1197"/>
        </w:tabs>
        <w:spacing w:before="0" w:line="360" w:lineRule="auto"/>
        <w:ind w:left="0" w:right="233" w:firstLine="0"/>
        <w:jc w:val="both"/>
        <w:rPr>
          <w:rFonts w:hint="eastAsia"/>
          <w:b/>
          <w:bCs/>
          <w:sz w:val="24"/>
          <w:lang w:eastAsia="zh-CN"/>
        </w:rPr>
      </w:pPr>
      <w:r>
        <w:rPr>
          <w:rFonts w:hint="eastAsia"/>
          <w:b/>
          <w:bCs/>
          <w:sz w:val="24"/>
          <w:lang w:eastAsia="zh-CN"/>
        </w:rPr>
        <w:t>二、商务要求</w:t>
      </w:r>
    </w:p>
    <w:p w14:paraId="717BC806">
      <w:pPr>
        <w:pStyle w:val="17"/>
        <w:tabs>
          <w:tab w:val="left" w:pos="1197"/>
        </w:tabs>
        <w:spacing w:before="0" w:line="360" w:lineRule="auto"/>
        <w:ind w:left="0" w:right="233" w:firstLine="0"/>
        <w:jc w:val="both"/>
        <w:rPr>
          <w:rFonts w:hint="eastAsia"/>
          <w:b/>
          <w:bCs/>
          <w:sz w:val="24"/>
          <w:szCs w:val="24"/>
          <w:lang w:eastAsia="zh-CN"/>
        </w:rPr>
      </w:pPr>
      <w:r>
        <w:rPr>
          <w:rFonts w:hint="eastAsia"/>
          <w:b/>
          <w:bCs/>
          <w:sz w:val="24"/>
          <w:szCs w:val="24"/>
          <w:lang w:eastAsia="zh-CN"/>
        </w:rPr>
        <w:t>1.采购项目交付或者服务的时间和地点：：</w:t>
      </w:r>
    </w:p>
    <w:p w14:paraId="34B57548">
      <w:pPr>
        <w:pStyle w:val="17"/>
        <w:tabs>
          <w:tab w:val="left" w:pos="1197"/>
        </w:tabs>
        <w:spacing w:before="0" w:line="360" w:lineRule="auto"/>
        <w:ind w:left="0" w:right="233" w:firstLine="480" w:firstLineChars="200"/>
        <w:jc w:val="both"/>
        <w:rPr>
          <w:rFonts w:hint="eastAsia"/>
          <w:sz w:val="24"/>
          <w:szCs w:val="24"/>
          <w:lang w:eastAsia="zh-CN"/>
        </w:rPr>
      </w:pPr>
      <w:r>
        <w:rPr>
          <w:rFonts w:hint="eastAsia"/>
          <w:sz w:val="24"/>
          <w:szCs w:val="24"/>
          <w:lang w:eastAsia="zh-CN"/>
        </w:rPr>
        <w:t>1.1 服务时间：合同签订后450日内完成初步验收，经过不少于3个月试运行，并对项目进行过程中的文档进行有效的管理，接受用户方对项目各阶段评估分析和监督管理。</w:t>
      </w:r>
    </w:p>
    <w:p w14:paraId="30612299">
      <w:pPr>
        <w:pStyle w:val="17"/>
        <w:tabs>
          <w:tab w:val="left" w:pos="1197"/>
        </w:tabs>
        <w:spacing w:before="0" w:line="360" w:lineRule="auto"/>
        <w:ind w:left="0" w:right="233" w:firstLine="480" w:firstLineChars="200"/>
        <w:jc w:val="both"/>
        <w:rPr>
          <w:rFonts w:hint="eastAsia"/>
          <w:sz w:val="24"/>
          <w:szCs w:val="24"/>
          <w:lang w:eastAsia="zh-CN"/>
        </w:rPr>
      </w:pPr>
      <w:r>
        <w:rPr>
          <w:rFonts w:hint="eastAsia"/>
          <w:sz w:val="24"/>
          <w:szCs w:val="24"/>
          <w:lang w:eastAsia="zh-CN"/>
        </w:rPr>
        <w:t>1.2 服务地点：采购人指定地点。</w:t>
      </w:r>
    </w:p>
    <w:p w14:paraId="19792073">
      <w:pPr>
        <w:pStyle w:val="17"/>
        <w:tabs>
          <w:tab w:val="left" w:pos="1197"/>
        </w:tabs>
        <w:spacing w:before="0" w:line="360" w:lineRule="auto"/>
        <w:ind w:left="0" w:right="233" w:firstLine="0"/>
        <w:jc w:val="both"/>
        <w:rPr>
          <w:rFonts w:hint="eastAsia"/>
          <w:sz w:val="24"/>
          <w:szCs w:val="24"/>
          <w:lang w:eastAsia="zh-CN"/>
        </w:rPr>
      </w:pPr>
      <w:r>
        <w:rPr>
          <w:rFonts w:hint="eastAsia"/>
          <w:b/>
          <w:bCs/>
          <w:sz w:val="24"/>
          <w:szCs w:val="24"/>
          <w:lang w:eastAsia="zh-CN"/>
        </w:rPr>
        <w:t>2.付款条件（进度和方式）</w:t>
      </w:r>
      <w:r>
        <w:rPr>
          <w:rFonts w:hint="eastAsia"/>
          <w:sz w:val="24"/>
          <w:szCs w:val="24"/>
          <w:lang w:eastAsia="zh-CN"/>
        </w:rPr>
        <w:t>：</w:t>
      </w:r>
    </w:p>
    <w:p w14:paraId="56DE9F96">
      <w:pPr>
        <w:pStyle w:val="17"/>
        <w:tabs>
          <w:tab w:val="left" w:pos="1197"/>
        </w:tabs>
        <w:spacing w:before="0" w:line="360" w:lineRule="auto"/>
        <w:ind w:right="233"/>
        <w:jc w:val="both"/>
        <w:rPr>
          <w:rFonts w:hint="eastAsia"/>
          <w:sz w:val="24"/>
          <w:szCs w:val="24"/>
          <w:lang w:eastAsia="zh-CN"/>
        </w:rPr>
      </w:pPr>
      <w:r>
        <w:rPr>
          <w:rFonts w:hint="eastAsia"/>
          <w:sz w:val="24"/>
          <w:szCs w:val="24"/>
          <w:lang w:eastAsia="zh-CN"/>
        </w:rPr>
        <w:t>详见“拟签订的合同文本”。</w:t>
      </w:r>
    </w:p>
    <w:p w14:paraId="359D2618">
      <w:pPr>
        <w:spacing w:line="360" w:lineRule="auto"/>
        <w:contextualSpacing/>
        <w:rPr>
          <w:rFonts w:hint="eastAsia"/>
          <w:b/>
          <w:bCs/>
          <w:sz w:val="24"/>
          <w:szCs w:val="24"/>
          <w:lang w:eastAsia="zh-CN"/>
        </w:rPr>
      </w:pPr>
      <w:r>
        <w:rPr>
          <w:rFonts w:hint="eastAsia"/>
          <w:b/>
          <w:bCs/>
          <w:sz w:val="24"/>
          <w:szCs w:val="24"/>
          <w:lang w:eastAsia="zh-CN"/>
        </w:rPr>
        <w:t>三、技术要求</w:t>
      </w:r>
    </w:p>
    <w:p w14:paraId="68CB3012">
      <w:pPr>
        <w:spacing w:line="360" w:lineRule="auto"/>
        <w:ind w:firstLine="241" w:firstLineChars="100"/>
        <w:contextualSpacing/>
        <w:rPr>
          <w:rFonts w:hint="eastAsia"/>
          <w:b/>
          <w:bCs/>
          <w:sz w:val="24"/>
          <w:szCs w:val="24"/>
          <w:lang w:eastAsia="zh-CN"/>
        </w:rPr>
      </w:pPr>
      <w:r>
        <w:rPr>
          <w:rFonts w:hint="eastAsia"/>
          <w:b/>
          <w:bCs/>
          <w:sz w:val="24"/>
          <w:szCs w:val="24"/>
          <w:lang w:eastAsia="zh-CN"/>
        </w:rPr>
        <w:t>1. 基本要求</w:t>
      </w:r>
    </w:p>
    <w:p w14:paraId="56001C12">
      <w:pPr>
        <w:spacing w:line="360" w:lineRule="auto"/>
        <w:ind w:firstLine="241" w:firstLineChars="100"/>
        <w:contextualSpacing/>
        <w:rPr>
          <w:rFonts w:hint="eastAsia"/>
          <w:b/>
          <w:bCs/>
          <w:sz w:val="24"/>
          <w:szCs w:val="24"/>
          <w:lang w:eastAsia="zh-CN"/>
        </w:rPr>
      </w:pPr>
      <w:r>
        <w:rPr>
          <w:rFonts w:hint="eastAsia"/>
          <w:b/>
          <w:bCs/>
          <w:sz w:val="24"/>
          <w:szCs w:val="24"/>
          <w:lang w:eastAsia="zh-CN"/>
        </w:rPr>
        <w:t>1.1 采购标的需实现的功能或者目标</w:t>
      </w:r>
    </w:p>
    <w:p w14:paraId="5D41D034">
      <w:pPr>
        <w:adjustRightInd w:val="0"/>
        <w:spacing w:line="360" w:lineRule="auto"/>
        <w:ind w:firstLine="480" w:firstLineChars="200"/>
        <w:rPr>
          <w:rFonts w:hint="eastAsia"/>
          <w:sz w:val="24"/>
          <w:szCs w:val="24"/>
          <w:lang w:eastAsia="zh-CN"/>
        </w:rPr>
      </w:pPr>
      <w:r>
        <w:rPr>
          <w:rFonts w:hint="eastAsia"/>
          <w:sz w:val="24"/>
          <w:szCs w:val="24"/>
          <w:lang w:eastAsia="zh-CN"/>
        </w:rPr>
        <w:t>本次招标采购是为</w:t>
      </w:r>
      <w:r>
        <w:rPr>
          <w:rFonts w:hint="eastAsia"/>
          <w:kern w:val="2"/>
          <w:sz w:val="24"/>
          <w:szCs w:val="24"/>
          <w:lang w:eastAsia="zh-CN"/>
        </w:rPr>
        <w:t>首都医科大学附属北京天坛医院多模态临床医生应用系统及线上线下一体化便民服务系统建设提供软件系统及相关服务</w:t>
      </w:r>
      <w:r>
        <w:rPr>
          <w:rFonts w:hint="eastAsia"/>
          <w:sz w:val="24"/>
          <w:szCs w:val="24"/>
          <w:lang w:eastAsia="zh-CN"/>
        </w:rPr>
        <w:t>，供应商应根据招标文件所提出的技术规格和服务要求，以先进的技术、优良的服务和优惠的价格，充分显示自己的竞争实力。</w:t>
      </w:r>
    </w:p>
    <w:p w14:paraId="40DD49C9">
      <w:pPr>
        <w:spacing w:line="360" w:lineRule="auto"/>
        <w:ind w:firstLine="241" w:firstLineChars="100"/>
        <w:contextualSpacing/>
        <w:rPr>
          <w:rFonts w:hint="eastAsia"/>
          <w:sz w:val="24"/>
          <w:szCs w:val="24"/>
          <w:lang w:eastAsia="zh-CN"/>
        </w:rPr>
      </w:pPr>
      <w:r>
        <w:rPr>
          <w:rFonts w:hint="eastAsia"/>
          <w:b/>
          <w:bCs/>
          <w:sz w:val="24"/>
          <w:szCs w:val="24"/>
          <w:lang w:eastAsia="zh-CN"/>
        </w:rPr>
        <w:t>1.2 需执行的国家相关标准、行业标准、地方标准或者其他标准、规范</w:t>
      </w:r>
    </w:p>
    <w:p w14:paraId="04647745">
      <w:pPr>
        <w:autoSpaceDE/>
        <w:autoSpaceDN/>
        <w:spacing w:line="360" w:lineRule="auto"/>
        <w:ind w:left="240" w:leftChars="109" w:firstLine="240" w:firstLineChars="100"/>
        <w:rPr>
          <w:rFonts w:hint="eastAsia"/>
          <w:sz w:val="24"/>
          <w:szCs w:val="24"/>
          <w:lang w:eastAsia="zh-CN"/>
        </w:rPr>
      </w:pPr>
      <w:r>
        <w:rPr>
          <w:rFonts w:hint="eastAsia"/>
          <w:sz w:val="24"/>
          <w:szCs w:val="24"/>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1D403DFA">
      <w:pPr>
        <w:spacing w:before="120" w:beforeLines="50" w:line="360" w:lineRule="auto"/>
        <w:ind w:firstLine="241" w:firstLineChars="100"/>
        <w:contextualSpacing/>
        <w:rPr>
          <w:rFonts w:hint="eastAsia"/>
          <w:b/>
          <w:bCs/>
          <w:sz w:val="24"/>
          <w:szCs w:val="24"/>
          <w:lang w:eastAsia="zh-CN"/>
        </w:rPr>
      </w:pPr>
      <w:r>
        <w:rPr>
          <w:rFonts w:hint="eastAsia"/>
          <w:b/>
          <w:bCs/>
          <w:sz w:val="24"/>
          <w:szCs w:val="24"/>
          <w:lang w:eastAsia="zh-CN"/>
        </w:rPr>
        <w:t>2.服务内容及要求/货物技术要求</w:t>
      </w:r>
    </w:p>
    <w:p w14:paraId="4496643B">
      <w:pPr>
        <w:widowControl/>
        <w:spacing w:line="360" w:lineRule="auto"/>
        <w:ind w:left="-1" w:firstLine="241" w:firstLineChars="100"/>
        <w:contextualSpacing/>
        <w:rPr>
          <w:rFonts w:hint="eastAsia"/>
          <w:b/>
          <w:bCs/>
          <w:sz w:val="24"/>
          <w:szCs w:val="24"/>
          <w:lang w:eastAsia="zh-CN"/>
        </w:rPr>
      </w:pPr>
      <w:r>
        <w:rPr>
          <w:rFonts w:hint="eastAsia"/>
          <w:b/>
          <w:bCs/>
          <w:sz w:val="24"/>
          <w:szCs w:val="24"/>
          <w:lang w:eastAsia="zh-CN"/>
        </w:rPr>
        <w:t>2.1 采购标的需满足的性能、材料、结构、外观、质量、安全、技术规格、物理特性等要求；</w:t>
      </w:r>
    </w:p>
    <w:p w14:paraId="588FFF0D">
      <w:pPr>
        <w:keepNext/>
        <w:keepLines/>
        <w:overflowPunct w:val="0"/>
        <w:topLinePunct/>
        <w:autoSpaceDE/>
        <w:autoSpaceDN/>
        <w:spacing w:line="360" w:lineRule="auto"/>
        <w:jc w:val="both"/>
        <w:outlineLvl w:val="0"/>
        <w:rPr>
          <w:rFonts w:hint="eastAsia"/>
          <w:b/>
          <w:bCs/>
          <w:kern w:val="44"/>
          <w:sz w:val="24"/>
          <w:szCs w:val="24"/>
          <w:lang w:eastAsia="zh-CN"/>
        </w:rPr>
      </w:pPr>
      <w:bookmarkStart w:id="18" w:name="_Toc23673"/>
      <w:r>
        <w:rPr>
          <w:rFonts w:hint="eastAsia"/>
          <w:b/>
          <w:bCs/>
          <w:kern w:val="44"/>
          <w:sz w:val="24"/>
          <w:szCs w:val="24"/>
          <w:lang w:eastAsia="zh-CN"/>
        </w:rPr>
        <w:t>（一）项目概述、背景及建设目标</w:t>
      </w:r>
      <w:bookmarkEnd w:id="18"/>
    </w:p>
    <w:p w14:paraId="27388AD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1.项目建设背景</w:t>
      </w:r>
    </w:p>
    <w:p w14:paraId="3F3309E9">
      <w:pPr>
        <w:numPr>
          <w:ilvl w:val="255"/>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随着国家政策和医院发展战略的调整以及信息技术的不断发展，医院现有信息化水平虽可支撑常规业务运行，但已与智慧医院标准产生差距，亟待提升。我院现有HIS系统已经应用20余年，系统架构陈旧，不具备扩展空间，无法适应区域医疗中心应用，也无法满足区域医疗同质化管理需求。</w:t>
      </w:r>
    </w:p>
    <w:p w14:paraId="241005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2.项目建设目标</w:t>
      </w:r>
    </w:p>
    <w:p w14:paraId="15A1F33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以电子医嘱为驱动，以电子病历为核心，以集成平台作为信息交换、信息利用和信息共享的桥梁，提供便捷的“一站式”工作站。从感观上提升界面友好度，从实际操作、应用角度全面数字化提升临床医护人员工作效率及看诊便捷度。</w:t>
      </w:r>
    </w:p>
    <w:p w14:paraId="00FC8D9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通过构建线上线下一体化便民服务系统，以服务居民健康为起点，融合大数据分析、人工智能等技术，构建标准、开放、融合、创新、可持续运营的智慧服务生态平台。通过平台连接患者与医生，提供线上线下一体化、院内院外一体化的全流程智能医疗服务。</w:t>
      </w:r>
    </w:p>
    <w:p w14:paraId="73D01F42">
      <w:pPr>
        <w:keepNext/>
        <w:keepLines/>
        <w:overflowPunct w:val="0"/>
        <w:topLinePunct/>
        <w:autoSpaceDE/>
        <w:autoSpaceDN/>
        <w:spacing w:line="360" w:lineRule="auto"/>
        <w:jc w:val="both"/>
        <w:outlineLvl w:val="0"/>
        <w:rPr>
          <w:rFonts w:hint="eastAsia"/>
          <w:b/>
          <w:bCs/>
          <w:kern w:val="44"/>
          <w:sz w:val="24"/>
          <w:szCs w:val="24"/>
          <w:lang w:eastAsia="zh-CN"/>
        </w:rPr>
      </w:pPr>
      <w:bookmarkStart w:id="19" w:name="_Toc3996"/>
      <w:r>
        <w:rPr>
          <w:rFonts w:hint="eastAsia"/>
          <w:b/>
          <w:bCs/>
          <w:kern w:val="44"/>
          <w:sz w:val="24"/>
          <w:szCs w:val="24"/>
          <w:lang w:eastAsia="zh-CN"/>
        </w:rPr>
        <w:t>（二）总体技术要求</w:t>
      </w:r>
      <w:bookmarkEnd w:id="19"/>
    </w:p>
    <w:p w14:paraId="124C25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本项目建设的各项内容需符合国家卫健委电子病历系统应用水平分级评价七级标准，以及医院智慧服务分级评估五级标准。如在本项目最终验收前相关评价标准发生变更，本项目应遵照各标准相应级别最新要求开展建设。（投标人提供承诺函）</w:t>
      </w:r>
    </w:p>
    <w:p w14:paraId="0E48AFD8">
      <w:pPr>
        <w:keepNext/>
        <w:keepLines/>
        <w:overflowPunct w:val="0"/>
        <w:topLinePunct/>
        <w:autoSpaceDE/>
        <w:autoSpaceDN/>
        <w:spacing w:line="360" w:lineRule="auto"/>
        <w:jc w:val="both"/>
        <w:outlineLvl w:val="0"/>
        <w:rPr>
          <w:rFonts w:hint="eastAsia"/>
          <w:b/>
          <w:bCs/>
          <w:kern w:val="44"/>
          <w:sz w:val="24"/>
          <w:szCs w:val="24"/>
          <w:lang w:eastAsia="zh-CN"/>
        </w:rPr>
      </w:pPr>
      <w:bookmarkStart w:id="20" w:name="_Toc30430"/>
      <w:r>
        <w:rPr>
          <w:rFonts w:hint="eastAsia"/>
          <w:b/>
          <w:bCs/>
          <w:kern w:val="44"/>
          <w:sz w:val="24"/>
          <w:szCs w:val="24"/>
          <w:lang w:eastAsia="zh-CN"/>
        </w:rPr>
        <w:t>（三）功能参数要求</w:t>
      </w:r>
      <w:bookmarkEnd w:id="20"/>
    </w:p>
    <w:tbl>
      <w:tblPr>
        <w:tblStyle w:val="12"/>
        <w:tblW w:w="8302" w:type="dxa"/>
        <w:jc w:val="center"/>
        <w:tblLayout w:type="fixed"/>
        <w:tblCellMar>
          <w:top w:w="0" w:type="dxa"/>
          <w:left w:w="108" w:type="dxa"/>
          <w:bottom w:w="0" w:type="dxa"/>
          <w:right w:w="108" w:type="dxa"/>
        </w:tblCellMar>
      </w:tblPr>
      <w:tblGrid>
        <w:gridCol w:w="2230"/>
        <w:gridCol w:w="3991"/>
        <w:gridCol w:w="1087"/>
        <w:gridCol w:w="994"/>
      </w:tblGrid>
      <w:tr w14:paraId="1A203AEA">
        <w:tblPrEx>
          <w:tblCellMar>
            <w:top w:w="0" w:type="dxa"/>
            <w:left w:w="108" w:type="dxa"/>
            <w:bottom w:w="0" w:type="dxa"/>
            <w:right w:w="108" w:type="dxa"/>
          </w:tblCellMar>
        </w:tblPrEx>
        <w:trPr>
          <w:trHeight w:val="285" w:hRule="atLeast"/>
          <w:jc w:val="center"/>
        </w:trPr>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B85B">
            <w:pPr>
              <w:widowControl/>
              <w:jc w:val="center"/>
              <w:textAlignment w:val="center"/>
              <w:rPr>
                <w:rFonts w:hint="eastAsia"/>
                <w:b/>
                <w:bCs/>
                <w:color w:val="000000"/>
                <w:sz w:val="24"/>
                <w:szCs w:val="24"/>
              </w:rPr>
            </w:pPr>
            <w:bookmarkStart w:id="21" w:name="_Toc21064"/>
            <w:r>
              <w:rPr>
                <w:rFonts w:hint="eastAsia"/>
                <w:b/>
                <w:bCs/>
                <w:color w:val="000000"/>
                <w:sz w:val="24"/>
                <w:szCs w:val="24"/>
                <w:lang w:eastAsia="zh-CN" w:bidi="ar"/>
              </w:rPr>
              <w:t>货物或服务名称</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818">
            <w:pPr>
              <w:widowControl/>
              <w:jc w:val="center"/>
              <w:textAlignment w:val="center"/>
              <w:rPr>
                <w:rFonts w:hint="eastAsia"/>
                <w:b/>
                <w:bCs/>
                <w:color w:val="000000"/>
                <w:sz w:val="24"/>
                <w:szCs w:val="24"/>
              </w:rPr>
            </w:pPr>
            <w:r>
              <w:rPr>
                <w:rFonts w:hint="eastAsia"/>
                <w:b/>
                <w:bCs/>
                <w:color w:val="000000"/>
                <w:sz w:val="24"/>
                <w:szCs w:val="24"/>
                <w:lang w:eastAsia="zh-CN" w:bidi="ar"/>
              </w:rPr>
              <w:t>明细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DA90">
            <w:pPr>
              <w:widowControl/>
              <w:jc w:val="center"/>
              <w:textAlignment w:val="center"/>
              <w:rPr>
                <w:rFonts w:hint="eastAsia"/>
                <w:b/>
                <w:bCs/>
                <w:color w:val="000000"/>
                <w:sz w:val="24"/>
                <w:szCs w:val="24"/>
              </w:rPr>
            </w:pPr>
            <w:r>
              <w:rPr>
                <w:rFonts w:hint="eastAsia"/>
                <w:b/>
                <w:bCs/>
                <w:color w:val="000000"/>
                <w:sz w:val="24"/>
                <w:szCs w:val="24"/>
                <w:lang w:eastAsia="zh-CN" w:bidi="ar"/>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A8D8">
            <w:pPr>
              <w:widowControl/>
              <w:jc w:val="center"/>
              <w:textAlignment w:val="center"/>
              <w:rPr>
                <w:rFonts w:hint="eastAsia"/>
                <w:b/>
                <w:bCs/>
                <w:color w:val="000000"/>
                <w:sz w:val="24"/>
                <w:szCs w:val="24"/>
              </w:rPr>
            </w:pPr>
            <w:r>
              <w:rPr>
                <w:rFonts w:hint="eastAsia"/>
                <w:b/>
                <w:bCs/>
                <w:color w:val="000000"/>
                <w:sz w:val="24"/>
                <w:szCs w:val="24"/>
                <w:lang w:eastAsia="zh-CN" w:bidi="ar"/>
              </w:rPr>
              <w:t>单位</w:t>
            </w:r>
          </w:p>
        </w:tc>
      </w:tr>
      <w:tr w14:paraId="2460B0E1">
        <w:tblPrEx>
          <w:tblCellMar>
            <w:top w:w="0" w:type="dxa"/>
            <w:left w:w="108" w:type="dxa"/>
            <w:bottom w:w="0" w:type="dxa"/>
            <w:right w:w="108" w:type="dxa"/>
          </w:tblCellMar>
        </w:tblPrEx>
        <w:trPr>
          <w:trHeight w:val="570" w:hRule="atLeast"/>
          <w:jc w:val="center"/>
        </w:trPr>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F1AE">
            <w:pPr>
              <w:widowControl/>
              <w:jc w:val="center"/>
              <w:textAlignment w:val="center"/>
              <w:rPr>
                <w:rFonts w:hint="eastAsia"/>
                <w:color w:val="000000"/>
                <w:sz w:val="24"/>
                <w:szCs w:val="24"/>
                <w:lang w:eastAsia="zh-CN"/>
              </w:rPr>
            </w:pPr>
            <w:r>
              <w:rPr>
                <w:rFonts w:hint="eastAsia"/>
                <w:color w:val="000000"/>
                <w:sz w:val="24"/>
                <w:szCs w:val="24"/>
                <w:lang w:eastAsia="zh-CN" w:bidi="ar"/>
              </w:rPr>
              <w:t>多模态临床医生应用系统</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495C6">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多模态临床医生应用系统—多模态门诊医生站模块</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A68B">
            <w:pPr>
              <w:widowControl/>
              <w:jc w:val="center"/>
              <w:textAlignment w:val="center"/>
              <w:rPr>
                <w:rFonts w:hint="eastAsia"/>
                <w:color w:val="000000"/>
                <w:sz w:val="24"/>
                <w:szCs w:val="24"/>
              </w:rPr>
            </w:pPr>
            <w:r>
              <w:rPr>
                <w:rFonts w:hint="eastAsia"/>
                <w:color w:val="000000"/>
                <w:sz w:val="24"/>
                <w:szCs w:val="24"/>
                <w:lang w:eastAsia="zh-CN" w:bidi="ar"/>
              </w:rPr>
              <w:t>1</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05A1">
            <w:pPr>
              <w:widowControl/>
              <w:jc w:val="center"/>
              <w:textAlignment w:val="center"/>
              <w:rPr>
                <w:rFonts w:hint="eastAsia"/>
                <w:color w:val="000000"/>
                <w:sz w:val="24"/>
                <w:szCs w:val="24"/>
              </w:rPr>
            </w:pPr>
            <w:r>
              <w:rPr>
                <w:rFonts w:hint="eastAsia"/>
                <w:color w:val="000000"/>
                <w:sz w:val="24"/>
                <w:szCs w:val="24"/>
                <w:lang w:eastAsia="zh-CN" w:bidi="ar"/>
              </w:rPr>
              <w:t>套</w:t>
            </w:r>
          </w:p>
        </w:tc>
      </w:tr>
      <w:tr w14:paraId="525F9FCC">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74D7">
            <w:pPr>
              <w:jc w:val="center"/>
              <w:rPr>
                <w:rFonts w:hint="eastAsia"/>
                <w:color w:val="000000"/>
                <w:sz w:val="24"/>
                <w:szCs w:val="24"/>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5326D">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多模态临床医生应用系统—多模态急诊医生站模块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3CAB">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2106">
            <w:pPr>
              <w:jc w:val="center"/>
              <w:rPr>
                <w:rFonts w:hint="eastAsia"/>
                <w:color w:val="000000"/>
                <w:sz w:val="24"/>
                <w:szCs w:val="24"/>
                <w:lang w:eastAsia="zh-CN"/>
              </w:rPr>
            </w:pPr>
          </w:p>
        </w:tc>
      </w:tr>
      <w:tr w14:paraId="6169B11F">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2CED">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25571">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多模态临床医生应用系统—多模态住院医生站模块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A59F">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88DF">
            <w:pPr>
              <w:jc w:val="center"/>
              <w:rPr>
                <w:rFonts w:hint="eastAsia"/>
                <w:color w:val="000000"/>
                <w:sz w:val="24"/>
                <w:szCs w:val="24"/>
                <w:lang w:eastAsia="zh-CN"/>
              </w:rPr>
            </w:pPr>
          </w:p>
        </w:tc>
      </w:tr>
      <w:tr w14:paraId="1C11F87F">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D17F">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DC9CF">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多模态临床医生应用系统—电子用药清单模块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C76B">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16B6">
            <w:pPr>
              <w:jc w:val="center"/>
              <w:rPr>
                <w:rFonts w:hint="eastAsia"/>
                <w:color w:val="000000"/>
                <w:sz w:val="24"/>
                <w:szCs w:val="24"/>
                <w:lang w:eastAsia="zh-CN"/>
              </w:rPr>
            </w:pPr>
          </w:p>
        </w:tc>
      </w:tr>
      <w:tr w14:paraId="403364F5">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D256">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021E9">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多模态临床医生应用系统—日间手术管理模块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9414">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9218">
            <w:pPr>
              <w:jc w:val="center"/>
              <w:rPr>
                <w:rFonts w:hint="eastAsia"/>
                <w:color w:val="000000"/>
                <w:sz w:val="24"/>
                <w:szCs w:val="24"/>
                <w:lang w:eastAsia="zh-CN"/>
              </w:rPr>
            </w:pPr>
          </w:p>
        </w:tc>
      </w:tr>
      <w:tr w14:paraId="7EDCF5DC">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D45D">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3A098">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多模态临床医生应用系统—AI医生助手模块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B286">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8735">
            <w:pPr>
              <w:jc w:val="center"/>
              <w:rPr>
                <w:rFonts w:hint="eastAsia"/>
                <w:color w:val="000000"/>
                <w:sz w:val="24"/>
                <w:szCs w:val="24"/>
                <w:lang w:eastAsia="zh-CN"/>
              </w:rPr>
            </w:pPr>
          </w:p>
        </w:tc>
      </w:tr>
      <w:tr w14:paraId="7795A3D9">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F18E">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FBF82">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多模态临床医生应用系统—内涵质控模块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BFDB">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2865">
            <w:pPr>
              <w:jc w:val="center"/>
              <w:rPr>
                <w:rFonts w:hint="eastAsia"/>
                <w:color w:val="000000"/>
                <w:sz w:val="24"/>
                <w:szCs w:val="24"/>
                <w:lang w:eastAsia="zh-CN"/>
              </w:rPr>
            </w:pPr>
          </w:p>
        </w:tc>
      </w:tr>
      <w:tr w14:paraId="3D71ED60">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B118">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5C9E6">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多模态临床医生应用系统—多学科联合会诊模块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50C6">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9C10">
            <w:pPr>
              <w:jc w:val="center"/>
              <w:rPr>
                <w:rFonts w:hint="eastAsia"/>
                <w:color w:val="000000"/>
                <w:sz w:val="24"/>
                <w:szCs w:val="24"/>
                <w:lang w:eastAsia="zh-CN"/>
              </w:rPr>
            </w:pPr>
          </w:p>
        </w:tc>
      </w:tr>
      <w:tr w14:paraId="7C93C574">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C545D">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2D617B">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多模态临床医生应用系统—诊疗事件示踪分析模块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8286">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3C87">
            <w:pPr>
              <w:jc w:val="center"/>
              <w:rPr>
                <w:rFonts w:hint="eastAsia"/>
                <w:color w:val="000000"/>
                <w:sz w:val="24"/>
                <w:szCs w:val="24"/>
                <w:lang w:eastAsia="zh-CN"/>
              </w:rPr>
            </w:pPr>
          </w:p>
        </w:tc>
      </w:tr>
      <w:tr w14:paraId="04D1767A">
        <w:tblPrEx>
          <w:tblCellMar>
            <w:top w:w="0" w:type="dxa"/>
            <w:left w:w="108" w:type="dxa"/>
            <w:bottom w:w="0" w:type="dxa"/>
            <w:right w:w="108" w:type="dxa"/>
          </w:tblCellMar>
        </w:tblPrEx>
        <w:trPr>
          <w:trHeight w:val="570" w:hRule="atLeast"/>
          <w:jc w:val="center"/>
        </w:trPr>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AFF1B">
            <w:pPr>
              <w:widowControl/>
              <w:jc w:val="center"/>
              <w:textAlignment w:val="center"/>
              <w:rPr>
                <w:rFonts w:hint="eastAsia"/>
                <w:color w:val="000000"/>
                <w:sz w:val="24"/>
                <w:szCs w:val="24"/>
                <w:lang w:eastAsia="zh-CN"/>
              </w:rPr>
            </w:pPr>
            <w:r>
              <w:rPr>
                <w:rFonts w:hint="eastAsia"/>
                <w:color w:val="000000"/>
                <w:sz w:val="24"/>
                <w:szCs w:val="24"/>
                <w:lang w:eastAsia="zh-CN" w:bidi="ar"/>
              </w:rPr>
              <w:t>线上线下一体化便民服务系统</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99456">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线上线下一体化便民服务系统—AI健康大脑模块模块</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85CE">
            <w:pPr>
              <w:widowControl/>
              <w:jc w:val="center"/>
              <w:textAlignment w:val="center"/>
              <w:rPr>
                <w:rFonts w:hint="eastAsia"/>
                <w:color w:val="000000"/>
                <w:sz w:val="24"/>
                <w:szCs w:val="24"/>
              </w:rPr>
            </w:pPr>
            <w:r>
              <w:rPr>
                <w:rFonts w:hint="eastAsia"/>
                <w:color w:val="000000"/>
                <w:sz w:val="24"/>
                <w:szCs w:val="24"/>
                <w:lang w:eastAsia="zh-CN" w:bidi="ar"/>
              </w:rPr>
              <w:t>1</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EC28">
            <w:pPr>
              <w:widowControl/>
              <w:jc w:val="center"/>
              <w:textAlignment w:val="center"/>
              <w:rPr>
                <w:rFonts w:hint="eastAsia"/>
                <w:color w:val="000000"/>
                <w:sz w:val="24"/>
                <w:szCs w:val="24"/>
              </w:rPr>
            </w:pPr>
            <w:r>
              <w:rPr>
                <w:rFonts w:hint="eastAsia"/>
                <w:color w:val="000000"/>
                <w:sz w:val="24"/>
                <w:szCs w:val="24"/>
                <w:lang w:eastAsia="zh-CN" w:bidi="ar"/>
              </w:rPr>
              <w:t>套</w:t>
            </w:r>
          </w:p>
        </w:tc>
      </w:tr>
      <w:tr w14:paraId="3914A111">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E5C8">
            <w:pPr>
              <w:jc w:val="center"/>
              <w:rPr>
                <w:rFonts w:hint="eastAsia"/>
                <w:color w:val="000000"/>
                <w:sz w:val="24"/>
                <w:szCs w:val="24"/>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E2418">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线上线下一体化便民服务系统—全资源预约模块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58B4">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BCC5">
            <w:pPr>
              <w:jc w:val="center"/>
              <w:rPr>
                <w:rFonts w:hint="eastAsia"/>
                <w:color w:val="000000"/>
                <w:sz w:val="24"/>
                <w:szCs w:val="24"/>
                <w:lang w:eastAsia="zh-CN"/>
              </w:rPr>
            </w:pPr>
          </w:p>
        </w:tc>
      </w:tr>
      <w:tr w14:paraId="44EEF346">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D84C">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DD49E">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线上线下一体化便民服务系统—智慧门诊模块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98A5">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FDAE">
            <w:pPr>
              <w:jc w:val="center"/>
              <w:rPr>
                <w:rFonts w:hint="eastAsia"/>
                <w:color w:val="000000"/>
                <w:sz w:val="24"/>
                <w:szCs w:val="24"/>
                <w:lang w:eastAsia="zh-CN"/>
              </w:rPr>
            </w:pPr>
          </w:p>
        </w:tc>
      </w:tr>
      <w:tr w14:paraId="2949988E">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8FF6">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A8771">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线上线下一体化便民服务系统—智慧住院模块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C0EF">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6439">
            <w:pPr>
              <w:jc w:val="center"/>
              <w:rPr>
                <w:rFonts w:hint="eastAsia"/>
                <w:color w:val="000000"/>
                <w:sz w:val="24"/>
                <w:szCs w:val="24"/>
                <w:lang w:eastAsia="zh-CN"/>
              </w:rPr>
            </w:pPr>
          </w:p>
        </w:tc>
      </w:tr>
      <w:tr w14:paraId="72B90590">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3BC2">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72F7C">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线上线下一体化便民服务系统—智能诊间模块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6FC0">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126E">
            <w:pPr>
              <w:jc w:val="center"/>
              <w:rPr>
                <w:rFonts w:hint="eastAsia"/>
                <w:color w:val="000000"/>
                <w:sz w:val="24"/>
                <w:szCs w:val="24"/>
                <w:lang w:eastAsia="zh-CN"/>
              </w:rPr>
            </w:pPr>
          </w:p>
        </w:tc>
      </w:tr>
      <w:tr w14:paraId="1125CAC9">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4BF7">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A16DF">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线上线下一体化便民服务系统—互联网诊疗模块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688B">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55F8">
            <w:pPr>
              <w:jc w:val="center"/>
              <w:rPr>
                <w:rFonts w:hint="eastAsia"/>
                <w:color w:val="000000"/>
                <w:sz w:val="24"/>
                <w:szCs w:val="24"/>
                <w:lang w:eastAsia="zh-CN"/>
              </w:rPr>
            </w:pPr>
          </w:p>
        </w:tc>
      </w:tr>
      <w:tr w14:paraId="279933EC">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43A1">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C63AF">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线上线下一体化便民服务系统—智慧排程模块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1581">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C30A">
            <w:pPr>
              <w:jc w:val="center"/>
              <w:rPr>
                <w:rFonts w:hint="eastAsia"/>
                <w:color w:val="000000"/>
                <w:sz w:val="24"/>
                <w:szCs w:val="24"/>
                <w:lang w:eastAsia="zh-CN"/>
              </w:rPr>
            </w:pPr>
          </w:p>
        </w:tc>
      </w:tr>
      <w:tr w14:paraId="3364B6B9">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9DAE">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2F7D9">
            <w:pPr>
              <w:widowControl/>
              <w:textAlignment w:val="bottom"/>
              <w:rPr>
                <w:rFonts w:hint="eastAsia"/>
                <w:color w:val="000000"/>
                <w:sz w:val="24"/>
                <w:szCs w:val="24"/>
                <w:lang w:eastAsia="zh-CN"/>
              </w:rPr>
            </w:pPr>
            <w:r>
              <w:rPr>
                <w:rFonts w:hint="eastAsia"/>
                <w:color w:val="000000"/>
                <w:sz w:val="24"/>
                <w:szCs w:val="24"/>
                <w:lang w:eastAsia="zh-CN" w:bidi="ar"/>
              </w:rPr>
              <w:t>线上线下一体化便民服务系统—体检与健康管理模块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1F4B">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4374">
            <w:pPr>
              <w:jc w:val="center"/>
              <w:rPr>
                <w:rFonts w:hint="eastAsia"/>
                <w:color w:val="000000"/>
                <w:sz w:val="24"/>
                <w:szCs w:val="24"/>
                <w:lang w:eastAsia="zh-CN"/>
              </w:rPr>
            </w:pPr>
          </w:p>
        </w:tc>
      </w:tr>
      <w:tr w14:paraId="52517471">
        <w:tblPrEx>
          <w:tblCellMar>
            <w:top w:w="0" w:type="dxa"/>
            <w:left w:w="108" w:type="dxa"/>
            <w:bottom w:w="0" w:type="dxa"/>
            <w:right w:w="108" w:type="dxa"/>
          </w:tblCellMar>
        </w:tblPrEx>
        <w:trPr>
          <w:trHeight w:val="570" w:hRule="atLeast"/>
          <w:jc w:val="center"/>
        </w:trPr>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A6B5">
            <w:pPr>
              <w:widowControl/>
              <w:jc w:val="center"/>
              <w:textAlignment w:val="center"/>
              <w:rPr>
                <w:rFonts w:hint="eastAsia"/>
                <w:color w:val="000000"/>
                <w:sz w:val="24"/>
                <w:szCs w:val="24"/>
              </w:rPr>
            </w:pPr>
            <w:r>
              <w:rPr>
                <w:rFonts w:hint="eastAsia"/>
                <w:color w:val="000000"/>
                <w:sz w:val="24"/>
                <w:szCs w:val="24"/>
                <w:lang w:eastAsia="zh-CN" w:bidi="ar"/>
              </w:rPr>
              <w:t>应用软件开发</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23CE0">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多模态临床医生应用系统—多模态门诊医生站模块</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5662">
            <w:pPr>
              <w:widowControl/>
              <w:jc w:val="center"/>
              <w:textAlignment w:val="center"/>
              <w:rPr>
                <w:rFonts w:hint="eastAsia"/>
                <w:color w:val="000000"/>
                <w:sz w:val="24"/>
                <w:szCs w:val="24"/>
              </w:rPr>
            </w:pPr>
            <w:r>
              <w:rPr>
                <w:rFonts w:hint="eastAsia"/>
                <w:color w:val="000000"/>
                <w:sz w:val="24"/>
                <w:szCs w:val="24"/>
                <w:lang w:eastAsia="zh-CN" w:bidi="ar"/>
              </w:rPr>
              <w:t>1</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D4ED">
            <w:pPr>
              <w:widowControl/>
              <w:jc w:val="center"/>
              <w:textAlignment w:val="center"/>
              <w:rPr>
                <w:rFonts w:hint="eastAsia"/>
                <w:color w:val="000000"/>
                <w:sz w:val="24"/>
                <w:szCs w:val="24"/>
              </w:rPr>
            </w:pPr>
            <w:r>
              <w:rPr>
                <w:rFonts w:hint="eastAsia"/>
                <w:color w:val="000000"/>
                <w:sz w:val="24"/>
                <w:szCs w:val="24"/>
                <w:lang w:eastAsia="zh-CN" w:bidi="ar"/>
              </w:rPr>
              <w:t>套</w:t>
            </w:r>
          </w:p>
        </w:tc>
      </w:tr>
      <w:tr w14:paraId="326A6E16">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05EB">
            <w:pPr>
              <w:jc w:val="center"/>
              <w:rPr>
                <w:rFonts w:hint="eastAsia"/>
                <w:color w:val="000000"/>
                <w:sz w:val="24"/>
                <w:szCs w:val="24"/>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8CD4E">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多模态临床医生应用系统—多模态急诊医生站模块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075F">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9FC7">
            <w:pPr>
              <w:jc w:val="center"/>
              <w:rPr>
                <w:rFonts w:hint="eastAsia"/>
                <w:color w:val="000000"/>
                <w:sz w:val="24"/>
                <w:szCs w:val="24"/>
                <w:lang w:eastAsia="zh-CN"/>
              </w:rPr>
            </w:pPr>
          </w:p>
        </w:tc>
      </w:tr>
      <w:tr w14:paraId="690626DD">
        <w:tblPrEx>
          <w:tblCellMar>
            <w:top w:w="0" w:type="dxa"/>
            <w:left w:w="108" w:type="dxa"/>
            <w:bottom w:w="0" w:type="dxa"/>
            <w:right w:w="108" w:type="dxa"/>
          </w:tblCellMar>
        </w:tblPrEx>
        <w:trPr>
          <w:trHeight w:val="57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FED6">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61E1A">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多模态临床医生应用系统—多模态住院医生站模块</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946C">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F04A">
            <w:pPr>
              <w:jc w:val="center"/>
              <w:rPr>
                <w:rFonts w:hint="eastAsia"/>
                <w:color w:val="000000"/>
                <w:sz w:val="24"/>
                <w:szCs w:val="24"/>
                <w:lang w:eastAsia="zh-CN"/>
              </w:rPr>
            </w:pPr>
          </w:p>
        </w:tc>
      </w:tr>
      <w:tr w14:paraId="7F8F8A99">
        <w:tblPrEx>
          <w:tblCellMar>
            <w:top w:w="0" w:type="dxa"/>
            <w:left w:w="108" w:type="dxa"/>
            <w:bottom w:w="0" w:type="dxa"/>
            <w:right w:w="108" w:type="dxa"/>
          </w:tblCellMar>
        </w:tblPrEx>
        <w:trPr>
          <w:trHeight w:val="900" w:hRule="atLeast"/>
          <w:jc w:val="center"/>
        </w:trPr>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E047">
            <w:pPr>
              <w:jc w:val="center"/>
              <w:rPr>
                <w:rFonts w:hint="eastAsia"/>
                <w:color w:val="000000"/>
                <w:sz w:val="24"/>
                <w:szCs w:val="24"/>
                <w:lang w:eastAsia="zh-CN"/>
              </w:rPr>
            </w:pP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1BE2A">
            <w:pPr>
              <w:widowControl/>
              <w:textAlignment w:val="bottom"/>
              <w:rPr>
                <w:rFonts w:hint="eastAsia"/>
                <w:color w:val="000000"/>
                <w:sz w:val="24"/>
                <w:szCs w:val="24"/>
                <w:lang w:eastAsia="zh-CN"/>
              </w:rPr>
            </w:pPr>
            <w:r>
              <w:rPr>
                <w:rFonts w:hint="eastAsia"/>
                <w:color w:val="000000"/>
                <w:sz w:val="24"/>
                <w:szCs w:val="24"/>
                <w:lang w:eastAsia="zh-CN" w:bidi="ar"/>
              </w:rPr>
              <w:t>多模态临床医生应用系统—基于多模态临床医生应用系统物价系统改造</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17D7">
            <w:pPr>
              <w:jc w:val="center"/>
              <w:rPr>
                <w:rFonts w:hint="eastAsia"/>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70FE">
            <w:pPr>
              <w:jc w:val="center"/>
              <w:rPr>
                <w:rFonts w:hint="eastAsia"/>
                <w:color w:val="000000"/>
                <w:sz w:val="24"/>
                <w:szCs w:val="24"/>
                <w:lang w:eastAsia="zh-CN"/>
              </w:rPr>
            </w:pPr>
          </w:p>
        </w:tc>
      </w:tr>
      <w:tr w14:paraId="7FCD246B">
        <w:tblPrEx>
          <w:tblCellMar>
            <w:top w:w="0" w:type="dxa"/>
            <w:left w:w="108" w:type="dxa"/>
            <w:bottom w:w="0" w:type="dxa"/>
            <w:right w:w="108" w:type="dxa"/>
          </w:tblCellMar>
        </w:tblPrEx>
        <w:trPr>
          <w:trHeight w:val="285" w:hRule="atLeast"/>
          <w:jc w:val="center"/>
        </w:trPr>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16FA">
            <w:pPr>
              <w:widowControl/>
              <w:jc w:val="center"/>
              <w:textAlignment w:val="center"/>
              <w:rPr>
                <w:rFonts w:hint="eastAsia"/>
                <w:color w:val="000000"/>
                <w:sz w:val="24"/>
                <w:szCs w:val="24"/>
              </w:rPr>
            </w:pPr>
            <w:r>
              <w:rPr>
                <w:rFonts w:hint="eastAsia"/>
                <w:color w:val="000000"/>
                <w:sz w:val="24"/>
                <w:szCs w:val="24"/>
                <w:lang w:eastAsia="zh-CN" w:bidi="ar"/>
              </w:rPr>
              <w:t>信息系统集成</w:t>
            </w:r>
          </w:p>
        </w:tc>
        <w:tc>
          <w:tcPr>
            <w:tcW w:w="39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0F5759">
            <w:pPr>
              <w:widowControl/>
              <w:textAlignment w:val="bottom"/>
              <w:rPr>
                <w:rFonts w:hint="eastAsia"/>
                <w:color w:val="000000"/>
                <w:sz w:val="24"/>
                <w:szCs w:val="24"/>
              </w:rPr>
            </w:pPr>
            <w:r>
              <w:rPr>
                <w:rFonts w:hint="eastAsia"/>
                <w:color w:val="000000"/>
                <w:sz w:val="24"/>
                <w:szCs w:val="24"/>
                <w:lang w:eastAsia="zh-CN" w:bidi="ar"/>
              </w:rPr>
              <w:t>信息系统集成</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EC11">
            <w:pPr>
              <w:widowControl/>
              <w:jc w:val="center"/>
              <w:textAlignment w:val="center"/>
              <w:rPr>
                <w:rFonts w:hint="eastAsia"/>
                <w:color w:val="000000"/>
                <w:sz w:val="24"/>
                <w:szCs w:val="24"/>
              </w:rPr>
            </w:pPr>
            <w:r>
              <w:rPr>
                <w:rFonts w:hint="eastAsia"/>
                <w:color w:val="000000"/>
                <w:sz w:val="24"/>
                <w:szCs w:val="24"/>
                <w:lang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0FE2">
            <w:pPr>
              <w:widowControl/>
              <w:jc w:val="center"/>
              <w:textAlignment w:val="center"/>
              <w:rPr>
                <w:rFonts w:hint="eastAsia"/>
                <w:color w:val="000000"/>
                <w:sz w:val="24"/>
                <w:szCs w:val="24"/>
              </w:rPr>
            </w:pPr>
            <w:r>
              <w:rPr>
                <w:rFonts w:hint="eastAsia"/>
                <w:color w:val="000000"/>
                <w:sz w:val="24"/>
                <w:szCs w:val="24"/>
                <w:lang w:eastAsia="zh-CN" w:bidi="ar"/>
              </w:rPr>
              <w:t>套</w:t>
            </w:r>
          </w:p>
        </w:tc>
      </w:tr>
    </w:tbl>
    <w:p w14:paraId="7BFB1C78">
      <w:pPr>
        <w:keepNext/>
        <w:keepLines/>
        <w:overflowPunct w:val="0"/>
        <w:topLinePunct/>
        <w:autoSpaceDE/>
        <w:autoSpaceDN/>
        <w:spacing w:before="120" w:beforeLines="50" w:line="360" w:lineRule="auto"/>
        <w:ind w:left="420" w:hanging="420"/>
        <w:jc w:val="both"/>
        <w:outlineLvl w:val="0"/>
        <w:rPr>
          <w:rFonts w:hint="eastAsia"/>
          <w:b/>
          <w:bCs/>
          <w:kern w:val="44"/>
          <w:sz w:val="24"/>
          <w:szCs w:val="24"/>
          <w:lang w:eastAsia="zh-CN"/>
        </w:rPr>
      </w:pPr>
      <w:r>
        <w:rPr>
          <w:rFonts w:hint="eastAsia"/>
          <w:b/>
          <w:bCs/>
          <w:kern w:val="44"/>
          <w:sz w:val="24"/>
          <w:szCs w:val="24"/>
          <w:lang w:eastAsia="zh-CN"/>
        </w:rPr>
        <w:t>1、多模态临床医生应用系统—多模态门诊医生站模块</w:t>
      </w:r>
      <w:bookmarkEnd w:id="21"/>
    </w:p>
    <w:p w14:paraId="6B8034A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系统需实现现有门诊医生站各项在用功能，除了医嘱和诊断管理、门诊病历管理等基本功能外，还应包括高值耗材管理、门诊护士站、一般治疗管理等医院特色功能。</w:t>
      </w:r>
    </w:p>
    <w:p w14:paraId="3071F89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22" w:name="_Toc216708447"/>
      <w:r>
        <w:rPr>
          <w:rFonts w:hint="eastAsia"/>
          <w:b/>
          <w:bCs/>
          <w:kern w:val="2"/>
          <w:sz w:val="24"/>
          <w:szCs w:val="24"/>
          <w:lang w:eastAsia="zh-CN"/>
        </w:rPr>
        <w:t>1.1门诊医生设置</w:t>
      </w:r>
      <w:bookmarkEnd w:id="22"/>
    </w:p>
    <w:p w14:paraId="1F5B6D3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需支持多种方式的患者查询功能，帮助医生快速检索定位患者，提高工作效率。医生的使用习惯不同，对布局有个性化的要求，系统支持医生的差异化使用习惯。</w:t>
      </w:r>
    </w:p>
    <w:p w14:paraId="11788F3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23" w:name="_Toc216708448"/>
      <w:r>
        <w:rPr>
          <w:rFonts w:hint="eastAsia"/>
          <w:b/>
          <w:bCs/>
          <w:kern w:val="2"/>
          <w:sz w:val="24"/>
          <w:szCs w:val="24"/>
          <w:lang w:eastAsia="zh-CN"/>
        </w:rPr>
        <w:t>1.2门诊诊断履历</w:t>
      </w:r>
      <w:bookmarkEnd w:id="23"/>
    </w:p>
    <w:p w14:paraId="591B4D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需支持常规开立、组套开立、复用患者既往诊断；</w:t>
      </w:r>
    </w:p>
    <w:p w14:paraId="0784B8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需支持诊断的结构化录入，支持编辑前后缀；</w:t>
      </w:r>
    </w:p>
    <w:p w14:paraId="09A0E0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需支持标记主要诊断、疑似诊断；</w:t>
      </w:r>
    </w:p>
    <w:p w14:paraId="7BBE96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需支持门诊诊断删除及作废，支持自动关联传染病诊断报告卡。</w:t>
      </w:r>
    </w:p>
    <w:p w14:paraId="59B2BE06">
      <w:pPr>
        <w:overflowPunct w:val="0"/>
        <w:topLinePunct/>
        <w:autoSpaceDE/>
        <w:autoSpaceDN/>
        <w:spacing w:line="360" w:lineRule="auto"/>
        <w:jc w:val="both"/>
        <w:rPr>
          <w:rFonts w:hint="eastAsia"/>
          <w:kern w:val="2"/>
          <w:sz w:val="24"/>
          <w:szCs w:val="24"/>
          <w:lang w:eastAsia="zh-CN"/>
        </w:rPr>
      </w:pPr>
      <w:r>
        <w:rPr>
          <w:rFonts w:hint="eastAsia"/>
          <w:kern w:val="2"/>
          <w:sz w:val="24"/>
          <w:szCs w:val="24"/>
          <w:lang w:eastAsia="zh-CN"/>
        </w:rPr>
        <w:t xml:space="preserve">    需支持中医诊断的结构化录入；</w:t>
      </w:r>
    </w:p>
    <w:p w14:paraId="3930D7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需支持自动抓取账号高频使用诊断，生成常用诊断组套；</w:t>
      </w:r>
    </w:p>
    <w:p w14:paraId="21D5A0B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需支持个人和科室两个级别的诊断组套维护。</w:t>
      </w:r>
    </w:p>
    <w:p w14:paraId="1B8329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需支持门诊医师面对复诊患者就诊，首先关注于患者历次诊疗方案信息，而诊断是对患者历次诊疗的直接总结，是目录形式的展现和索引。</w:t>
      </w:r>
    </w:p>
    <w:p w14:paraId="11E691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需支持通过“诊断履历”功能辅助医生快速明确患者历次就诊目的。</w:t>
      </w:r>
    </w:p>
    <w:p w14:paraId="557A359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需支持时间排序:可按照患者诊疗时间顺序以倒序排序方式排列患者历次治疗的全部诊断信息；</w:t>
      </w:r>
    </w:p>
    <w:p w14:paraId="4C6727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需支持场景分类：按照就诊场景（门诊、急诊、住院）展示患者历次就诊的全部诊断信息。</w:t>
      </w:r>
    </w:p>
    <w:p w14:paraId="2C5E137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bookmarkStart w:id="24" w:name="_Toc216708451"/>
      <w:r>
        <w:rPr>
          <w:rFonts w:hint="eastAsia"/>
          <w:b/>
          <w:bCs/>
          <w:kern w:val="2"/>
          <w:sz w:val="24"/>
          <w:szCs w:val="24"/>
          <w:lang w:eastAsia="zh-CN"/>
        </w:rPr>
        <w:t>1.2.1门诊诊断</w:t>
      </w:r>
      <w:bookmarkEnd w:id="24"/>
    </w:p>
    <w:p w14:paraId="301EBA8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1.2.1.1门诊诊断开立</w:t>
      </w:r>
    </w:p>
    <w:p w14:paraId="25E629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需支持根据患者性别校验诊断合理性；</w:t>
      </w:r>
    </w:p>
    <w:p w14:paraId="09D116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需支持诊断医保对照；</w:t>
      </w:r>
    </w:p>
    <w:p w14:paraId="3550015A">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1.2.1.2门诊诊断删除及作废</w:t>
      </w:r>
    </w:p>
    <w:p w14:paraId="59509A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需支持对未签名的诊断进行删除操作；</w:t>
      </w:r>
    </w:p>
    <w:p w14:paraId="04472B8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需支持对已签名的诊断进行作废操作。</w:t>
      </w:r>
    </w:p>
    <w:p w14:paraId="395CEAD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25" w:name="_Toc216708452"/>
      <w:r>
        <w:rPr>
          <w:rFonts w:hint="eastAsia"/>
          <w:b/>
          <w:bCs/>
          <w:kern w:val="2"/>
          <w:sz w:val="24"/>
          <w:szCs w:val="24"/>
          <w:lang w:eastAsia="zh-CN"/>
        </w:rPr>
        <w:t>1.3患者信息管理</w:t>
      </w:r>
      <w:bookmarkEnd w:id="25"/>
    </w:p>
    <w:p w14:paraId="3CAA71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需支持展示患者基本信息以及特殊的患者信息，帮助医生快速了解患者基本情况；</w:t>
      </w:r>
    </w:p>
    <w:p w14:paraId="71DADA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需支持预约管理。</w:t>
      </w:r>
    </w:p>
    <w:p w14:paraId="7403BEF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bookmarkStart w:id="26" w:name="_Toc216708454"/>
      <w:r>
        <w:rPr>
          <w:rFonts w:hint="eastAsia"/>
          <w:b/>
          <w:bCs/>
          <w:kern w:val="2"/>
          <w:sz w:val="24"/>
          <w:szCs w:val="24"/>
          <w:lang w:eastAsia="zh-CN"/>
        </w:rPr>
        <w:t>1.3.1患者组件</w:t>
      </w:r>
      <w:bookmarkEnd w:id="26"/>
    </w:p>
    <w:p w14:paraId="4EC2ED4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需支持医生查看患者的档案信息，如挂号登记的基本信息、联系人。</w:t>
      </w:r>
    </w:p>
    <w:p w14:paraId="27151F3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1.3.1.1患者名片</w:t>
      </w:r>
    </w:p>
    <w:p w14:paraId="705AA4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需支持根据患者不同性别、年龄展示不同的患者头像（如：老年男、老年女、男性、女性、男童、女童、男婴、女婴、未知性别）；</w:t>
      </w:r>
    </w:p>
    <w:p w14:paraId="606C165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需支持医生查看患者基本信息，包括姓名、年龄、地址、费用类别。</w:t>
      </w:r>
    </w:p>
    <w:p w14:paraId="2DA259A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1.3.1.2就诊费用</w:t>
      </w:r>
    </w:p>
    <w:p w14:paraId="485554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需支持查看患者本次就诊开立医嘱的费用总计，提供查询费用明细的快捷操作；</w:t>
      </w:r>
    </w:p>
    <w:p w14:paraId="0C9D320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需支持口腔、血透、康复、中医治疗、放化疗等按照疗程或阶段进行多次检查或治疗的患者，提前预交门诊费用。</w:t>
      </w:r>
    </w:p>
    <w:p w14:paraId="0594381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1.3.1.3患者过敏信息管理</w:t>
      </w:r>
    </w:p>
    <w:p w14:paraId="2237A6A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需支持患者过敏信息的录入、展示和维护，包括过敏原、过敏严重程度，方便医生了解患者的过敏信息。</w:t>
      </w:r>
    </w:p>
    <w:p w14:paraId="4C009979">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1.3.1.4患者诊疗笔记</w:t>
      </w:r>
    </w:p>
    <w:p w14:paraId="4E0CA42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需支持医生对患者医事信息进行自定义信息录入，并具有提醒功能，具体需包括录入、待办、已办、标记功能。</w:t>
      </w:r>
    </w:p>
    <w:p w14:paraId="5601526A">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1.3.1.5患者注记信息</w:t>
      </w:r>
    </w:p>
    <w:p w14:paraId="0BC390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需支持辅助医生了解患者的警示信息，建立安全就诊环境的信息化提示；</w:t>
      </w:r>
    </w:p>
    <w:p w14:paraId="689843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需支持药物滥用风险记录和展示患者施用的成瘾性药物信息；</w:t>
      </w:r>
    </w:p>
    <w:p w14:paraId="3471A67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需支持高危传染病警示，展示患者历次就诊的传染病报告卡信息；</w:t>
      </w:r>
    </w:p>
    <w:p w14:paraId="070B3FB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需支持记录展示患者的不良事迹，如人身攻击、欠费经历等不良记录；</w:t>
      </w:r>
    </w:p>
    <w:p w14:paraId="559894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需支持自定义录入功能，可由医师根据需要自行编辑提示信息。</w:t>
      </w:r>
    </w:p>
    <w:p w14:paraId="5973484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1.3.1.6患者标签</w:t>
      </w:r>
    </w:p>
    <w:p w14:paraId="36A98C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需支持医生对患者进行特殊标记（如：特殊关怀、攻击性）；</w:t>
      </w:r>
    </w:p>
    <w:p w14:paraId="21823A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需支持医师对患者标签进行查看、删除操作；</w:t>
      </w:r>
    </w:p>
    <w:p w14:paraId="1C1C06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需支持医生根据医事需要自定义患者标签信息。</w:t>
      </w:r>
    </w:p>
    <w:p w14:paraId="7A2298B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27" w:name="_Toc216708455"/>
      <w:r>
        <w:rPr>
          <w:rFonts w:hint="eastAsia"/>
          <w:b/>
          <w:bCs/>
          <w:kern w:val="2"/>
          <w:sz w:val="24"/>
          <w:szCs w:val="24"/>
          <w:lang w:eastAsia="zh-CN"/>
        </w:rPr>
        <w:t>1.4医嘱管理</w:t>
      </w:r>
      <w:bookmarkEnd w:id="27"/>
    </w:p>
    <w:p w14:paraId="1C488D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需支持临床医疗术语管理，即满足临床医务人员的书写需求，又符合国家医疗规范的医疗语言。</w:t>
      </w:r>
    </w:p>
    <w:p w14:paraId="265DC1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非药品术语维护及术语物价项目对照和药品术语维护。维护医嘱开立中使用的用法、备注、药品术语里的剂型、药品性质等。可以维护医嘱的频次(频次时间点等信息)及频次约束维护(即对应到具体医嘱类型或系统类别)。</w:t>
      </w:r>
    </w:p>
    <w:p w14:paraId="75DD10F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1.4.1医嘱开立</w:t>
      </w:r>
    </w:p>
    <w:p w14:paraId="3CE100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医嘱开立是门诊医生站的核心功能是医生对患者施行医疗手段的指令中枢，通过医嘱建立与门诊护士、医技科室、药房等辅助治疗部门的协作功能，并以处方的形式记录治疗方案。</w:t>
      </w:r>
    </w:p>
    <w:p w14:paraId="1EE07C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需支持不同形式的快速便捷的医嘱开立模式；</w:t>
      </w:r>
    </w:p>
    <w:p w14:paraId="2514CD3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需支持历史医嘱的查看、存为组套、复制开立、一键开立操作；</w:t>
      </w:r>
    </w:p>
    <w:p w14:paraId="2A123A0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需支持设置医嘱多种看诊序列，例如：普通序列、慢病医嘱序列、特病医嘱序列；</w:t>
      </w:r>
    </w:p>
    <w:p w14:paraId="184835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需支持针对不同看诊序列进行病种绑定、诊断绑定、结算类型绑定；</w:t>
      </w:r>
    </w:p>
    <w:p w14:paraId="254A48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需支持多种类型、多个医嘱一次性开立的模式；</w:t>
      </w:r>
    </w:p>
    <w:p w14:paraId="2DDA898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需支持鼠标操作、全键盘操作两种不同的操作习惯；</w:t>
      </w:r>
    </w:p>
    <w:p w14:paraId="33DBA7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需支持设置绑定辅材便捷开立医嘱功能；</w:t>
      </w:r>
    </w:p>
    <w:p w14:paraId="0CAF622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需支持常用的医嘱项目以及功能的快捷开立方式；</w:t>
      </w:r>
    </w:p>
    <w:p w14:paraId="3F55A98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需支持开立术语的多种查询方式（精准匹配、模糊匹配、前匹配、后匹配）、或按拼音/五笔检索，并支持快速切换；</w:t>
      </w:r>
    </w:p>
    <w:p w14:paraId="5455190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需支持医嘱保存但不签名模式；</w:t>
      </w:r>
    </w:p>
    <w:p w14:paraId="5FACEB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需支持在医嘱开立时与患者性别进行校验，并进行冲突提示；</w:t>
      </w:r>
    </w:p>
    <w:p w14:paraId="07E644B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需支持在医嘱保存时校验库存，库存不足给予提示；</w:t>
      </w:r>
    </w:p>
    <w:p w14:paraId="27E616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需支持在医嘱保存时校验权限，权限不足给予提示；</w:t>
      </w:r>
    </w:p>
    <w:p w14:paraId="4106F6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需支持重复开立相同医嘱保存时给予提示。</w:t>
      </w:r>
    </w:p>
    <w:p w14:paraId="431BD53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1.4.2医嘱组合</w:t>
      </w:r>
    </w:p>
    <w:p w14:paraId="1DCF079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需支持医嘱的组合与拆组；</w:t>
      </w:r>
    </w:p>
    <w:p w14:paraId="2A63856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需支持医嘱大输液自动成组；</w:t>
      </w:r>
    </w:p>
    <w:p w14:paraId="470072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需支持子医嘱自动成组。</w:t>
      </w:r>
    </w:p>
    <w:p w14:paraId="7747455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1.4.3历史医嘱</w:t>
      </w:r>
    </w:p>
    <w:p w14:paraId="043B419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需支持按照医嘱类型、类别、精确搜索信息；</w:t>
      </w:r>
    </w:p>
    <w:p w14:paraId="70501F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需支持历史医嘱存为组套；</w:t>
      </w:r>
    </w:p>
    <w:p w14:paraId="4CE04B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需支持历史医嘱直接复制粘贴为当前门诊或住院医嘱；</w:t>
      </w:r>
    </w:p>
    <w:p w14:paraId="53B83D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需支持一键自动带入历史看诊（病历、诊断、医嘱）信息。</w:t>
      </w:r>
    </w:p>
    <w:p w14:paraId="5E2E57B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1.4.4门诊医嘱保存</w:t>
      </w:r>
    </w:p>
    <w:p w14:paraId="32E7F4A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需支持门诊医嘱保存后，自动插入到门诊病历指定区域；</w:t>
      </w:r>
    </w:p>
    <w:p w14:paraId="07A1771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需支持门诊医嘱保存后，自动同步特殊信息，包括合理用药、CDSS、上报平台等；</w:t>
      </w:r>
    </w:p>
    <w:p w14:paraId="5862B80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需支持对门诊医嘱进行CA加密信息保存。</w:t>
      </w:r>
    </w:p>
    <w:p w14:paraId="5E3B868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1.4.5门诊医嘱作废</w:t>
      </w:r>
    </w:p>
    <w:p w14:paraId="2CA44D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需支持门诊医嘱未收费状态可以删除，门诊病历指定区域的医嘱内容自动删除；</w:t>
      </w:r>
    </w:p>
    <w:p w14:paraId="364B33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需支持门诊医嘱收费后，可以作废。</w:t>
      </w:r>
    </w:p>
    <w:p w14:paraId="7E0E511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1.4.6医嘱组套管理</w:t>
      </w:r>
    </w:p>
    <w:p w14:paraId="064A3D4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需支持多种检索方式（组套名、拼音首字母、五笔码）快速检索医嘱组套；</w:t>
      </w:r>
    </w:p>
    <w:p w14:paraId="691E40F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需支持多种组套类型并且不同权限的角色可编辑相应的组套内容；</w:t>
      </w:r>
    </w:p>
    <w:p w14:paraId="48AFDC1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需支持新增医嘱组套，保存时可定义组套使用方式；</w:t>
      </w:r>
    </w:p>
    <w:p w14:paraId="1D9C12D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需支持将已开立的医嘱条目保存为医嘱组套；</w:t>
      </w:r>
    </w:p>
    <w:p w14:paraId="078B6E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需支持将不同的医嘱类型的医嘱项目存为一个组套（如：药品、检查、检验）；</w:t>
      </w:r>
    </w:p>
    <w:p w14:paraId="0B19931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需支持在原组套内容基础上追加内容；</w:t>
      </w:r>
    </w:p>
    <w:p w14:paraId="6F2C94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需支持按角色提供常用组套便捷开立方式；</w:t>
      </w:r>
    </w:p>
    <w:p w14:paraId="1C402C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需支持按药理作用分类组套便捷开立方式。</w:t>
      </w:r>
    </w:p>
    <w:p w14:paraId="64EE545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1.4.7医嘱开立设置</w:t>
      </w:r>
    </w:p>
    <w:p w14:paraId="262747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需支持医嘱跳转顺序设置；</w:t>
      </w:r>
    </w:p>
    <w:p w14:paraId="4BF6AF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需支持设置每行显示的草药味数（1-5味）；</w:t>
      </w:r>
    </w:p>
    <w:p w14:paraId="51A4F22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需支持自定义设置功能菜单顺序。</w:t>
      </w:r>
    </w:p>
    <w:p w14:paraId="3FE9FFB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1.4.8毒麻精药品、自定义特殊药品权限控制管理</w:t>
      </w:r>
    </w:p>
    <w:p w14:paraId="0F0398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需支持毒麻精药品权限维护及控制</w:t>
      </w:r>
    </w:p>
    <w:p w14:paraId="17F1AC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需支持自定义特殊药品权限维护及控制管理</w:t>
      </w:r>
    </w:p>
    <w:p w14:paraId="2D7450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需支持开立毒麻药是自动提醒录入毒麻代办人信息。</w:t>
      </w:r>
    </w:p>
    <w:p w14:paraId="62478E9B">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1.4.9抗生素分级管理</w:t>
      </w:r>
    </w:p>
    <w:p w14:paraId="6E36AC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需支持门诊开立非限制级、限制级抗生素时，自动提醒录入治疗用药、预防用药、联合用药信息；</w:t>
      </w:r>
    </w:p>
    <w:p w14:paraId="427222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需支持非限制级、限制级、特级抗生素开立和相应权限设置；</w:t>
      </w:r>
    </w:p>
    <w:p w14:paraId="2F988A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需支持急诊开立特殊级抗生素紧急流程。</w:t>
      </w:r>
    </w:p>
    <w:p w14:paraId="09F4F34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1.4.10处方打印</w:t>
      </w:r>
    </w:p>
    <w:p w14:paraId="1525F3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需支持西药、草药、毒药、麻药、精1、精2处方单打印；</w:t>
      </w:r>
    </w:p>
    <w:p w14:paraId="6C083B0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需支持指引单打印；</w:t>
      </w:r>
    </w:p>
    <w:p w14:paraId="12CE213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需支持治疗单打印；</w:t>
      </w:r>
    </w:p>
    <w:p w14:paraId="08DC02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需支持检查、检验申请单打印。</w:t>
      </w:r>
    </w:p>
    <w:p w14:paraId="7B5BE74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需支持处方批量打印；</w:t>
      </w:r>
    </w:p>
    <w:p w14:paraId="0FC507E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28" w:name="_Toc216708458"/>
      <w:r>
        <w:rPr>
          <w:rFonts w:hint="eastAsia"/>
          <w:b/>
          <w:bCs/>
          <w:kern w:val="2"/>
          <w:sz w:val="24"/>
          <w:szCs w:val="24"/>
          <w:lang w:eastAsia="zh-CN"/>
        </w:rPr>
        <w:t>1.5处方开立</w:t>
      </w:r>
      <w:bookmarkEnd w:id="28"/>
    </w:p>
    <w:p w14:paraId="14CE0DA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需支持医生开立门诊患者需要的所有项目，包括药品等；</w:t>
      </w:r>
    </w:p>
    <w:p w14:paraId="3FEE917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需支持对已开立的医嘱进行编辑、删除等操作；</w:t>
      </w:r>
    </w:p>
    <w:p w14:paraId="3E504FB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需支持历史医嘱的查看以及再次开立的操作；</w:t>
      </w:r>
    </w:p>
    <w:p w14:paraId="2A0FCB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需支持能够查看医嘱的执行情况；</w:t>
      </w:r>
    </w:p>
    <w:p w14:paraId="3B04457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需支持医生对当前开立医嘱的金额进行计算；</w:t>
      </w:r>
    </w:p>
    <w:p w14:paraId="2DE8EB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需支持医嘱开立的校验功能，包括性别校验、过敏原信息校验等。</w:t>
      </w:r>
    </w:p>
    <w:p w14:paraId="5B9993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需支持药品医嘱展示药品说明和项目内涵开发。</w:t>
      </w:r>
    </w:p>
    <w:p w14:paraId="2DB7556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29" w:name="_Toc216708459"/>
      <w:r>
        <w:rPr>
          <w:rFonts w:hint="eastAsia"/>
          <w:b/>
          <w:bCs/>
          <w:kern w:val="2"/>
          <w:sz w:val="24"/>
          <w:szCs w:val="24"/>
          <w:lang w:eastAsia="zh-CN"/>
        </w:rPr>
        <w:t>1.6检查检验开立</w:t>
      </w:r>
      <w:bookmarkEnd w:id="29"/>
    </w:p>
    <w:p w14:paraId="6D549C4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需支持展示患者简要病史数据，并能后自主编辑；</w:t>
      </w:r>
    </w:p>
    <w:p w14:paraId="61FCF2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需支持对已开立的项目及费用进行预览，能够增减数目。</w:t>
      </w:r>
    </w:p>
    <w:p w14:paraId="3FFC024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1.6.1检查申请单</w:t>
      </w:r>
    </w:p>
    <w:p w14:paraId="41F0738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需支持快速切换申请单类型（如：CT、超声、X线、心电、MRI、内镜、电生理、病理）；</w:t>
      </w:r>
    </w:p>
    <w:p w14:paraId="408BCC3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需支持常用检查项目查询；</w:t>
      </w:r>
    </w:p>
    <w:p w14:paraId="4E2553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需支持常用检查项目的快速复用；</w:t>
      </w:r>
    </w:p>
    <w:p w14:paraId="090933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需支持按照检查部位进行检索；</w:t>
      </w:r>
    </w:p>
    <w:p w14:paraId="411417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需支持医生自定义录入检查备注信息；</w:t>
      </w:r>
    </w:p>
    <w:p w14:paraId="3AE1403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需支持医生标记特殊信息，包括起搏器，心脏瓣膜，金属支架，心脏搭桥术后，神经刺激器，人工耳蜗，人工关节，关节置换术，假牙，假肢，妊娠，药物过敏史，脊柱或骨骼金属钉等，其他；</w:t>
      </w:r>
    </w:p>
    <w:p w14:paraId="6E69D27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需支持对已开立的检查项目及费用进行预览，能够增减数目；</w:t>
      </w:r>
    </w:p>
    <w:p w14:paraId="6CBC714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需支持根据检查类型、检查方法、执行科室、大部位、小部位自动分单。</w:t>
      </w:r>
    </w:p>
    <w:p w14:paraId="1451A9D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1.6.2检验申请单</w:t>
      </w:r>
    </w:p>
    <w:p w14:paraId="1BEDBE9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需支持快速切换申请单类型（如：生化、基础检验、微生物、免疫学）；</w:t>
      </w:r>
    </w:p>
    <w:p w14:paraId="0AB4F7F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需支持常用检验项目查询；</w:t>
      </w:r>
    </w:p>
    <w:p w14:paraId="5B990A5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需支持常用检验项目的快速复用；</w:t>
      </w:r>
    </w:p>
    <w:p w14:paraId="192F20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需支持对已开立的检验项目及费用进行预览，能够增减数目；</w:t>
      </w:r>
    </w:p>
    <w:p w14:paraId="3FF20D0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需支持根据检验类型、执行科室、样本自动分单。</w:t>
      </w:r>
    </w:p>
    <w:p w14:paraId="43EAA59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1.6.3手术申请单</w:t>
      </w:r>
    </w:p>
    <w:p w14:paraId="1BDFD9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需支持手术申请开立。</w:t>
      </w:r>
    </w:p>
    <w:p w14:paraId="75A95FB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1.6.4病理申请单</w:t>
      </w:r>
    </w:p>
    <w:p w14:paraId="7DCAE95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需支持病理申请开立。</w:t>
      </w:r>
    </w:p>
    <w:p w14:paraId="6C66AF6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1.6.5会诊申请单</w:t>
      </w:r>
    </w:p>
    <w:p w14:paraId="3A640B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需支持会诊申请开立。</w:t>
      </w:r>
    </w:p>
    <w:p w14:paraId="2B29CF79">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30" w:name="_Toc216708460"/>
      <w:r>
        <w:rPr>
          <w:rFonts w:hint="eastAsia"/>
          <w:b/>
          <w:bCs/>
          <w:kern w:val="2"/>
          <w:sz w:val="24"/>
          <w:szCs w:val="24"/>
          <w:lang w:eastAsia="zh-CN"/>
        </w:rPr>
        <w:t>1.7推荐治疗计划</w:t>
      </w:r>
      <w:bookmarkEnd w:id="30"/>
    </w:p>
    <w:p w14:paraId="7E09290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需支持慢病医嘱单独开立，并且医嘱可以绑定慢病类型，查看患者不同就诊场景（门诊/住院）下的历史医嘱；</w:t>
      </w:r>
    </w:p>
    <w:p w14:paraId="4077C3B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需支持历史医嘱直接复制到门诊开立医嘱。</w:t>
      </w:r>
    </w:p>
    <w:p w14:paraId="4D9D0D8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需支持新增医嘱组套，保存时自动生成检索关键字（拼音首字母/五笔码）；</w:t>
      </w:r>
    </w:p>
    <w:p w14:paraId="1D1D45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需支持按照使用习惯设置是否默认展开医嘱组套树，支持根据诊疗行为习惯推送医生常用处方、常用诊断。</w:t>
      </w:r>
    </w:p>
    <w:p w14:paraId="070D39B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31" w:name="_Toc216708461"/>
      <w:r>
        <w:rPr>
          <w:rFonts w:hint="eastAsia"/>
          <w:b/>
          <w:bCs/>
          <w:kern w:val="2"/>
          <w:sz w:val="24"/>
          <w:szCs w:val="24"/>
          <w:lang w:eastAsia="zh-CN"/>
        </w:rPr>
        <w:t>1.8中草药开立管理</w:t>
      </w:r>
      <w:bookmarkEnd w:id="31"/>
    </w:p>
    <w:p w14:paraId="216C48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需支持按照草药类型快速过滤；</w:t>
      </w:r>
    </w:p>
    <w:p w14:paraId="521D65A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需支持在两味草药之间快速插入一味药；</w:t>
      </w:r>
    </w:p>
    <w:p w14:paraId="4CD137F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需支持草药特殊煎制法的录入；</w:t>
      </w:r>
    </w:p>
    <w:p w14:paraId="115CF47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需支持药引的选择录入及自定义输入，治则治法的选择与自定义录入；</w:t>
      </w:r>
    </w:p>
    <w:p w14:paraId="361A7A9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需支持对草药君臣佐使进行分类统计；</w:t>
      </w:r>
    </w:p>
    <w:p w14:paraId="30DE40D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需支持草药秘方打包组套；</w:t>
      </w:r>
    </w:p>
    <w:p w14:paraId="596A11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需支持草药多种开立跳转顺序。</w:t>
      </w:r>
    </w:p>
    <w:p w14:paraId="553CD1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【治则治法】包含三个主要功能</w:t>
      </w:r>
    </w:p>
    <w:p w14:paraId="1930E5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（1）治则治法知识库</w:t>
      </w:r>
    </w:p>
    <w:p w14:paraId="03DC07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对现行国家提供的治则治法在系统中有维护界面，该界面为之后病历中引入“治则治法”提供了数据字典；</w:t>
      </w:r>
    </w:p>
    <w:p w14:paraId="2B2A46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（2）病历元素与模板应用具体应用</w:t>
      </w:r>
    </w:p>
    <w:p w14:paraId="0FEA150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于病历元素中维护“治则治法”元素，维护的元素以供病历模板使用；</w:t>
      </w:r>
    </w:p>
    <w:p w14:paraId="2235E4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（3）医生实际临床应用</w:t>
      </w:r>
    </w:p>
    <w:p w14:paraId="08980B0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在书写病历时通过双击病历元素“治则治法”弹出页面，根据医生使用的频次系统可标识“历史”与“常用”两个节点供医生参考。医生通过过滤或双击的形式添加“治则治法”与编辑框中，最后点击插入引入病历中。</w:t>
      </w:r>
    </w:p>
    <w:p w14:paraId="4BEB007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32" w:name="_Toc216708463"/>
      <w:r>
        <w:rPr>
          <w:rFonts w:hint="eastAsia"/>
          <w:b/>
          <w:bCs/>
          <w:kern w:val="2"/>
          <w:sz w:val="24"/>
          <w:szCs w:val="24"/>
          <w:lang w:eastAsia="zh-CN"/>
        </w:rPr>
        <w:t>1.9智能诊疗工具</w:t>
      </w:r>
      <w:bookmarkEnd w:id="32"/>
    </w:p>
    <w:p w14:paraId="117E1D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需支持患者性别、身高、体重自动带入计算器；</w:t>
      </w:r>
    </w:p>
    <w:p w14:paraId="2E3958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需支持内置多种医学公式（如：体表面积、肾小球滤过率、肌酐清除率），支持快速计算；</w:t>
      </w:r>
    </w:p>
    <w:p w14:paraId="69122B1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需支持临床数据应用视图：提供按照时间顺序倒序展示患者历次就诊的时间及相关就诊信息摘要功能；</w:t>
      </w:r>
    </w:p>
    <w:p w14:paraId="790AE16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需提供可查询指定的某次就医功能；</w:t>
      </w:r>
    </w:p>
    <w:p w14:paraId="3176D98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需提供就诊节点相关的检验报告快速查看链接；提供就诊节点相关的检查报告快速查看链接；</w:t>
      </w:r>
    </w:p>
    <w:p w14:paraId="3784F70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需提供展示患者门诊就诊相关病历；</w:t>
      </w:r>
    </w:p>
    <w:p w14:paraId="030584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需提供展示患者急诊就诊相关病历；</w:t>
      </w:r>
    </w:p>
    <w:p w14:paraId="05AED0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需支持展示患者住院时所有的住院病历（入院记录，出院记录，病程记录，护理记录，手术记录）；</w:t>
      </w:r>
    </w:p>
    <w:p w14:paraId="1E84B55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需提供展示患者历史医嘱信息功能；</w:t>
      </w:r>
    </w:p>
    <w:p w14:paraId="642E2AA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需提供复制历史医嘱到医嘱开立页面功能；</w:t>
      </w:r>
    </w:p>
    <w:p w14:paraId="5A26577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需提供展示相关的常规检验，细菌实验的检验结果功能；</w:t>
      </w:r>
    </w:p>
    <w:p w14:paraId="0BF735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需提供查询指定的检验结果的曲线分析功能；</w:t>
      </w:r>
    </w:p>
    <w:p w14:paraId="25C3704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需提供展示患者相关的检查报告（CT、DR、心电、病理、内窥镜检查报告）功能；</w:t>
      </w:r>
    </w:p>
    <w:p w14:paraId="55B665C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需提供复制检查报告结果内容功能，方便医生填写患者病历；</w:t>
      </w:r>
    </w:p>
    <w:p w14:paraId="516C2A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需支持在开立住院通知单时，患者的基本信息（如：病历号、费用类别、姓名、性别、年龄、出生日期）自动带入；</w:t>
      </w:r>
    </w:p>
    <w:p w14:paraId="3DA4D0A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需支持在开立住院通知单时，患者门诊主诊断自动带入；</w:t>
      </w:r>
    </w:p>
    <w:p w14:paraId="76E622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需支持默认提供患者入院情况（危/急/一般）。</w:t>
      </w:r>
    </w:p>
    <w:p w14:paraId="75D908D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1.9.1一站式服务系统</w:t>
      </w:r>
    </w:p>
    <w:p w14:paraId="223524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需支持门急诊挂号；</w:t>
      </w:r>
    </w:p>
    <w:p w14:paraId="6BC641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需支持检查预约及预约改期；</w:t>
      </w:r>
    </w:p>
    <w:p w14:paraId="2FC047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需支持患者建卡；</w:t>
      </w:r>
    </w:p>
    <w:p w14:paraId="7E898A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需支持未支付取号功能；</w:t>
      </w:r>
    </w:p>
    <w:p w14:paraId="7D94A4C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需支持打印住院证功能；</w:t>
      </w:r>
    </w:p>
    <w:p w14:paraId="4A8330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需支持处方打印；</w:t>
      </w:r>
    </w:p>
    <w:p w14:paraId="25DD0BB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需支持就医指引单打印；</w:t>
      </w:r>
    </w:p>
    <w:p w14:paraId="2C182B2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需支持集成医院第三方数据中心系统的打印功能，实现患者所有病历文书、检查检验报告等的集中查询与打印。</w:t>
      </w:r>
    </w:p>
    <w:p w14:paraId="363B3FD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1.9.2接口服务</w:t>
      </w:r>
    </w:p>
    <w:p w14:paraId="1A0C22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大数据平台：按照“统筹规划、资源共享”的原则，共享方面，医院将电子病历、影像、就诊过程等信息资源共享给北京市卫健全民健康信息平台，通过北京市卫健全民健康信息平台有条件共享给北京市大数据平台；同时通过全民健康信息平台共享其他医疗机构诊疗信息，构成患者全景诊疗视图，进而推进检查检验结果共享互认等工作。</w:t>
      </w:r>
    </w:p>
    <w:p w14:paraId="5EA4841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京通：本项目建设内容中涉及的患者服务系统与114挂号系统对接，通过114挂号系统与京通三端对接，最终实现通过114挂号预约平台实现患者的挂号、缴费、查询等公共服务。医院向京通健康服务提供挂号接口服务。</w:t>
      </w:r>
    </w:p>
    <w:p w14:paraId="686C1D5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医保物价合规管理相关接口</w:t>
      </w:r>
    </w:p>
    <w:p w14:paraId="16AEEBF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1.9.3危急值管理</w:t>
      </w:r>
    </w:p>
    <w:p w14:paraId="4F9F86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需支持接收并提示危急值信息；</w:t>
      </w:r>
    </w:p>
    <w:p w14:paraId="3609DE4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需支持标本拒收管理；</w:t>
      </w:r>
    </w:p>
    <w:p w14:paraId="33A1A2F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需支持危急值处理流程。</w:t>
      </w:r>
    </w:p>
    <w:p w14:paraId="5AF493C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1.9.4会诊规范性管理</w:t>
      </w:r>
    </w:p>
    <w:p w14:paraId="73D6E54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需支持对患者进行会诊申请，可申请至对方科室，也可申请到具体医生；</w:t>
      </w:r>
    </w:p>
    <w:p w14:paraId="1627C64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需支持查看已申请患者会诊处理情况；</w:t>
      </w:r>
    </w:p>
    <w:p w14:paraId="0EEDEB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需支持自动生成会诊医嘱。支持接收及拒绝，处理会诊患者前，查看患者治疗过程信息；</w:t>
      </w:r>
    </w:p>
    <w:p w14:paraId="5881D3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需支持接收/拒绝会诊；</w:t>
      </w:r>
    </w:p>
    <w:p w14:paraId="07AAD36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需支持允许会诊专家为会诊患者开立医嘱；</w:t>
      </w:r>
    </w:p>
    <w:p w14:paraId="3F7C0C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需支持在会诊完成时，自动创建待完成的会诊病程记录；</w:t>
      </w:r>
    </w:p>
    <w:p w14:paraId="14EECF3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需支持会诊完成时，会诊专家与会诊申请医生完成评价，且评价内容只允许自己可见；</w:t>
      </w:r>
    </w:p>
    <w:p w14:paraId="288F396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需支持会诊核心制度查统计、查询全院会诊完成、会诊互评结果及内容；</w:t>
      </w:r>
    </w:p>
    <w:p w14:paraId="199A23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需支持会诊排班设置，医生可根据排班信息申请到对应科室的会诊值班医生。</w:t>
      </w:r>
    </w:p>
    <w:p w14:paraId="495EFAB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需支持通过即时通讯平台，将会诊消息推送给参与会诊的各类角色，例如通过企业微信进行提醒会诊。</w:t>
      </w:r>
    </w:p>
    <w:p w14:paraId="5BC58DC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1.9.4.1会诊申请</w:t>
      </w:r>
    </w:p>
    <w:p w14:paraId="44DE08AE">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需支持科间会诊、急会诊、院外会诊；</w:t>
      </w:r>
    </w:p>
    <w:p w14:paraId="14FFC3D2">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需支持自动生成会诊描述医嘱。</w:t>
      </w:r>
    </w:p>
    <w:p w14:paraId="3308032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1.9.4.2接收及拒绝</w:t>
      </w:r>
    </w:p>
    <w:p w14:paraId="556D4A3A">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需支持在处理会诊患者前，查看患者治疗过程信息；</w:t>
      </w:r>
    </w:p>
    <w:p w14:paraId="5CC57E37">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需支持接收会诊，书写会诊意见；</w:t>
      </w:r>
    </w:p>
    <w:p w14:paraId="1F87FA72">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需支持拒绝会诊，填写拒绝理由；</w:t>
      </w:r>
    </w:p>
    <w:p w14:paraId="3E9FA18F">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需支持接收后自动生成会诊计费医嘱；</w:t>
      </w:r>
    </w:p>
    <w:p w14:paraId="0D05C2FE">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需支持接收后可取消接收会诊，并可取消计费医嘱；</w:t>
      </w:r>
    </w:p>
    <w:p w14:paraId="31164E29">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需支持接收后自动授权医生书写患者病历、医嘱、诊断权限；</w:t>
      </w:r>
    </w:p>
    <w:p w14:paraId="3FC1441A">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需支持在会诊完成时，可生成HIS收费；</w:t>
      </w:r>
    </w:p>
    <w:p w14:paraId="745E5EA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需支持会诊消息发送给受邀科室医生；</w:t>
      </w:r>
    </w:p>
    <w:p w14:paraId="63630C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需支持会诊申请时必要信息的校验，如相关病史信息。</w:t>
      </w:r>
    </w:p>
    <w:p w14:paraId="69ED365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1.9.4.3会诊互评</w:t>
      </w:r>
    </w:p>
    <w:p w14:paraId="4C4A3C23">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需支持会诊科室与受邀科室相互评价、具备评价查询和分析功能；</w:t>
      </w:r>
    </w:p>
    <w:p w14:paraId="56F1DBB6">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需支持会诊完成时，会诊专家评价本次会诊，且评价内容只允许专家方可见；</w:t>
      </w:r>
    </w:p>
    <w:p w14:paraId="1786BC85">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需支持会诊完成后，会诊申请医师评价本次会诊，且评价内容只允许申请方可见；</w:t>
      </w:r>
    </w:p>
    <w:p w14:paraId="26FB0745">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需支持会诊评价内容自定义维护。</w:t>
      </w:r>
    </w:p>
    <w:p w14:paraId="0752AA73">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1.9.5高值耗材管理</w:t>
      </w:r>
    </w:p>
    <w:p w14:paraId="0961C31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1.9.5.1护士站高值耗材管理</w:t>
      </w:r>
    </w:p>
    <w:p w14:paraId="0685FD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需支持医嘱审核时对有对照的高值耗材，进行弹窗扫码绑定使用的高值耗材；</w:t>
      </w:r>
    </w:p>
    <w:p w14:paraId="5D5B27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需支持高值耗材登记，即对于审核医嘱时未对照的或被取消使用的高值耗材进行扫码绑定,或对已经绑定的高值耗材取消绑定；</w:t>
      </w:r>
    </w:p>
    <w:p w14:paraId="0D160A2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需支持高值耗材使用情况查询；</w:t>
      </w:r>
    </w:p>
    <w:p w14:paraId="218F65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需支持查看患者使用高值耗材信息；</w:t>
      </w:r>
    </w:p>
    <w:p w14:paraId="1538FDE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需支持高值耗材领取统计。</w:t>
      </w:r>
    </w:p>
    <w:p w14:paraId="4671CC5B">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1.9.5.2医技高值耗材管理</w:t>
      </w:r>
    </w:p>
    <w:p w14:paraId="16B98A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需支持终端确认批费：批费高值耗材项目时，扫码选择科室现存的高值耗材进行批费；</w:t>
      </w:r>
    </w:p>
    <w:p w14:paraId="6700BA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需支持高值耗材登记：对于审核医嘱时未对照的或被取消使用的高值耗材进行扫码绑定,或对已经绑定的高值耗材取消绑定；</w:t>
      </w:r>
    </w:p>
    <w:p w14:paraId="21F392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需支持门诊高值耗材登记：给门诊患者已经计费的高值耗材物价项目，进行高值耗材扫码绑定及解绑；</w:t>
      </w:r>
    </w:p>
    <w:p w14:paraId="184A70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需支持高值耗材使用情况查询；</w:t>
      </w:r>
    </w:p>
    <w:p w14:paraId="7ADC4E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需支持高值耗材查询。</w:t>
      </w:r>
    </w:p>
    <w:p w14:paraId="70B2F8F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1.9.5.3手术室高值耗材管理</w:t>
      </w:r>
    </w:p>
    <w:p w14:paraId="1D06F8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需支持手术批费：手术患者扫高值耗材条码进行批费；</w:t>
      </w:r>
    </w:p>
    <w:p w14:paraId="2F8A341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需支持门诊高值耗材登记；</w:t>
      </w:r>
    </w:p>
    <w:p w14:paraId="63FC07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需支持高值耗材查询；</w:t>
      </w:r>
    </w:p>
    <w:p w14:paraId="56C61F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需支持高值耗材使用情况查询；</w:t>
      </w:r>
    </w:p>
    <w:p w14:paraId="09AC60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需支持患者使用高值耗材信息；</w:t>
      </w:r>
    </w:p>
    <w:p w14:paraId="35012AA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需支持高值耗材领取统计；</w:t>
      </w:r>
    </w:p>
    <w:p w14:paraId="08CD7D2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需支持高值耗材综合查询；</w:t>
      </w:r>
    </w:p>
    <w:p w14:paraId="4E46A4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需支持手术室高值耗材排序；</w:t>
      </w:r>
    </w:p>
    <w:p w14:paraId="071ABA4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需支持手术室高值耗材盘点；</w:t>
      </w:r>
    </w:p>
    <w:p w14:paraId="276808A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需支持手术室高值耗材日报。</w:t>
      </w:r>
    </w:p>
    <w:p w14:paraId="5D20117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1.9.6门诊护士站</w:t>
      </w:r>
    </w:p>
    <w:p w14:paraId="324A90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需支持护士对患者的治疗及材料费批费；</w:t>
      </w:r>
    </w:p>
    <w:p w14:paraId="71A372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需支持护士对换药患者的换药批费；</w:t>
      </w:r>
    </w:p>
    <w:p w14:paraId="265B56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需支持需支持院感化验条码打印（对接医院院感系统）；</w:t>
      </w:r>
    </w:p>
    <w:p w14:paraId="191D0C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需支持护士对患者针灸、按摩批费。</w:t>
      </w:r>
    </w:p>
    <w:p w14:paraId="0A7370C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1.9.7一般治疗管理（针灸、按摩）</w:t>
      </w:r>
    </w:p>
    <w:p w14:paraId="09BAED7F">
      <w:pPr>
        <w:overflowPunct w:val="0"/>
        <w:topLinePunct/>
        <w:autoSpaceDE/>
        <w:autoSpaceDN/>
        <w:spacing w:line="360" w:lineRule="auto"/>
        <w:ind w:firstLine="439" w:firstLineChars="183"/>
        <w:jc w:val="both"/>
        <w:rPr>
          <w:rFonts w:hint="eastAsia"/>
          <w:kern w:val="2"/>
          <w:sz w:val="24"/>
          <w:szCs w:val="24"/>
          <w:lang w:eastAsia="zh-CN"/>
        </w:rPr>
      </w:pPr>
      <w:r>
        <w:rPr>
          <w:rFonts w:hint="eastAsia"/>
          <w:kern w:val="2"/>
          <w:sz w:val="24"/>
          <w:szCs w:val="24"/>
          <w:lang w:eastAsia="zh-CN"/>
        </w:rPr>
        <w:t>需支持治疗记录书写；</w:t>
      </w:r>
    </w:p>
    <w:p w14:paraId="6335DB21">
      <w:pPr>
        <w:overflowPunct w:val="0"/>
        <w:topLinePunct/>
        <w:autoSpaceDE/>
        <w:autoSpaceDN/>
        <w:spacing w:line="360" w:lineRule="auto"/>
        <w:ind w:firstLine="439" w:firstLineChars="183"/>
        <w:jc w:val="both"/>
        <w:rPr>
          <w:rFonts w:hint="eastAsia"/>
          <w:kern w:val="2"/>
          <w:sz w:val="24"/>
          <w:szCs w:val="24"/>
          <w:lang w:eastAsia="zh-CN"/>
        </w:rPr>
      </w:pPr>
      <w:r>
        <w:rPr>
          <w:rFonts w:hint="eastAsia"/>
          <w:kern w:val="2"/>
          <w:sz w:val="24"/>
          <w:szCs w:val="24"/>
          <w:lang w:eastAsia="zh-CN"/>
        </w:rPr>
        <w:t>需支持治疗相关评估量表；</w:t>
      </w:r>
    </w:p>
    <w:p w14:paraId="24247175">
      <w:pPr>
        <w:overflowPunct w:val="0"/>
        <w:topLinePunct/>
        <w:autoSpaceDE/>
        <w:autoSpaceDN/>
        <w:spacing w:line="360" w:lineRule="auto"/>
        <w:ind w:firstLine="439" w:firstLineChars="183"/>
        <w:jc w:val="both"/>
        <w:rPr>
          <w:rFonts w:hint="eastAsia"/>
          <w:kern w:val="2"/>
          <w:sz w:val="24"/>
          <w:szCs w:val="24"/>
          <w:lang w:eastAsia="zh-CN"/>
        </w:rPr>
      </w:pPr>
      <w:r>
        <w:rPr>
          <w:rFonts w:hint="eastAsia"/>
          <w:kern w:val="2"/>
          <w:sz w:val="24"/>
          <w:szCs w:val="24"/>
          <w:lang w:eastAsia="zh-CN"/>
        </w:rPr>
        <w:t>需支持门急诊患者的治疗登记及工作量统计；</w:t>
      </w:r>
    </w:p>
    <w:p w14:paraId="252161A2">
      <w:pPr>
        <w:overflowPunct w:val="0"/>
        <w:topLinePunct/>
        <w:autoSpaceDE/>
        <w:autoSpaceDN/>
        <w:spacing w:line="360" w:lineRule="auto"/>
        <w:ind w:firstLine="439" w:firstLineChars="183"/>
        <w:jc w:val="both"/>
        <w:rPr>
          <w:rFonts w:hint="eastAsia"/>
          <w:kern w:val="2"/>
          <w:sz w:val="24"/>
          <w:szCs w:val="24"/>
          <w:lang w:eastAsia="zh-CN"/>
        </w:rPr>
      </w:pPr>
      <w:r>
        <w:rPr>
          <w:rFonts w:hint="eastAsia"/>
          <w:kern w:val="2"/>
          <w:sz w:val="24"/>
          <w:szCs w:val="24"/>
          <w:lang w:eastAsia="zh-CN"/>
        </w:rPr>
        <w:t>需支持PICC专科门诊治疗登记及工作量统计；</w:t>
      </w:r>
    </w:p>
    <w:p w14:paraId="0CAB4C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需支持伤口护理工作室治疗登记及工作量统计。</w:t>
      </w:r>
    </w:p>
    <w:p w14:paraId="229B3EF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33" w:name="_Toc216708464"/>
      <w:r>
        <w:rPr>
          <w:rFonts w:hint="eastAsia"/>
          <w:b/>
          <w:bCs/>
          <w:kern w:val="2"/>
          <w:sz w:val="24"/>
          <w:szCs w:val="24"/>
          <w:lang w:eastAsia="zh-CN"/>
        </w:rPr>
        <w:t>1.10门诊病历</w:t>
      </w:r>
      <w:bookmarkEnd w:id="33"/>
    </w:p>
    <w:p w14:paraId="38CBD3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需支持初诊病历模板/复诊病历模版，供不同就诊场景使用；</w:t>
      </w:r>
    </w:p>
    <w:p w14:paraId="7E72A9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需支持使用病历组套快速创建门诊病历；</w:t>
      </w:r>
    </w:p>
    <w:p w14:paraId="0FCAD5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需支持复诊患者病历快速复用；</w:t>
      </w:r>
    </w:p>
    <w:p w14:paraId="73710B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需支持患者基本信息自动带入病历；</w:t>
      </w:r>
    </w:p>
    <w:p w14:paraId="52D8BA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需支持门诊病历的结构化录入；</w:t>
      </w:r>
    </w:p>
    <w:p w14:paraId="5F7A2F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需支持元素信息点选书写；</w:t>
      </w:r>
    </w:p>
    <w:p w14:paraId="6D88D7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需支持医嘱联动；</w:t>
      </w:r>
    </w:p>
    <w:p w14:paraId="35C388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需支持快速插入检查检验结果；</w:t>
      </w:r>
    </w:p>
    <w:p w14:paraId="2969F5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需支持插入特殊符号功能；</w:t>
      </w:r>
    </w:p>
    <w:p w14:paraId="60F80E1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需支持插入图片；</w:t>
      </w:r>
    </w:p>
    <w:p w14:paraId="27415F8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需支持在病历中追加内容；</w:t>
      </w:r>
    </w:p>
    <w:p w14:paraId="11F96E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需支持门诊病历保存及签名；</w:t>
      </w:r>
    </w:p>
    <w:p w14:paraId="2910AC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需支持门诊病历打印；</w:t>
      </w:r>
    </w:p>
    <w:p w14:paraId="7FA5EF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需支持门诊病历删除；</w:t>
      </w:r>
    </w:p>
    <w:p w14:paraId="1BD94E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需支持门诊病历组套管理；</w:t>
      </w:r>
    </w:p>
    <w:p w14:paraId="7A9B2CB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需支持门诊知情同意书和疾病证明；</w:t>
      </w:r>
    </w:p>
    <w:p w14:paraId="2E10197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需支持传染病报卡自动关联。</w:t>
      </w:r>
    </w:p>
    <w:p w14:paraId="3AACC25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1.10.1门诊病历保存及签名</w:t>
      </w:r>
    </w:p>
    <w:p w14:paraId="10A775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需支持对接CA电子签名；</w:t>
      </w:r>
    </w:p>
    <w:p w14:paraId="0343E12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需支持暂存病历书写内容；</w:t>
      </w:r>
    </w:p>
    <w:p w14:paraId="5E2066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需支持病历保存时或签名时校验必填项；</w:t>
      </w:r>
    </w:p>
    <w:p w14:paraId="1C069A0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需支持门诊病历主诉字数限制的提示；</w:t>
      </w:r>
    </w:p>
    <w:p w14:paraId="4450BA8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需支持显示带有院方规定的水印；</w:t>
      </w:r>
    </w:p>
    <w:p w14:paraId="681032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需支持病历签名后锁定，可申请解锁。</w:t>
      </w:r>
    </w:p>
    <w:p w14:paraId="508025D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1.10.2门诊病历打印</w:t>
      </w:r>
    </w:p>
    <w:p w14:paraId="5F3889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需支持门诊病历集中打印；</w:t>
      </w:r>
    </w:p>
    <w:p w14:paraId="16FE64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需支持打印后的病历不允许修改；</w:t>
      </w:r>
    </w:p>
    <w:p w14:paraId="385C03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需支持打印后不可修改病历的申请修改；</w:t>
      </w:r>
    </w:p>
    <w:p w14:paraId="3CFA1BF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需支持门诊部审批打印后不可修改病历；</w:t>
      </w:r>
    </w:p>
    <w:p w14:paraId="620FC5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需支持打印或自助机打印带有院方规定的水印；</w:t>
      </w:r>
    </w:p>
    <w:p w14:paraId="1213A3E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需支持门诊病历批量打印。</w:t>
      </w:r>
    </w:p>
    <w:p w14:paraId="1683BF5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1.10.3门诊病历删除</w:t>
      </w:r>
    </w:p>
    <w:p w14:paraId="574F5D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需支持对未签名的病历进行删除；</w:t>
      </w:r>
    </w:p>
    <w:p w14:paraId="1AC567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需支持查看病历操作记录查询；</w:t>
      </w:r>
    </w:p>
    <w:p w14:paraId="220E72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需支持门诊病历删除后可恢复。</w:t>
      </w:r>
    </w:p>
    <w:p w14:paraId="1F3FF5A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1.10.4门诊病历组套管理</w:t>
      </w:r>
    </w:p>
    <w:p w14:paraId="73BEF8E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需支持多种不同权限的病历组套，权限不同可编辑病历组套范围不同；</w:t>
      </w:r>
    </w:p>
    <w:p w14:paraId="00609B5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需支持两种不同的病历组套类型（模板组套/元素组套）；</w:t>
      </w:r>
    </w:p>
    <w:p w14:paraId="1533A97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需支持将当前病历一键存为组套（模板组套/元素组套）；</w:t>
      </w:r>
    </w:p>
    <w:p w14:paraId="79F97D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需支持指定职级医师维护所在科室的病历组套。</w:t>
      </w:r>
    </w:p>
    <w:p w14:paraId="7350409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需支持病历组套分级为个人、科室二个级别；</w:t>
      </w:r>
    </w:p>
    <w:p w14:paraId="68CBC46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需支持文本组套分级为个人、科室、全院三个级别；</w:t>
      </w:r>
    </w:p>
    <w:p w14:paraId="6C3A05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需支持文本组套个人文件夹名可修改，可上下移动；</w:t>
      </w:r>
    </w:p>
    <w:p w14:paraId="08FE2CC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1.10.5疾病证明</w:t>
      </w:r>
    </w:p>
    <w:p w14:paraId="1A0949F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需支持在医生站内开具疾病证明（病假单）。</w:t>
      </w:r>
    </w:p>
    <w:p w14:paraId="7167DAA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1.10.6对接预问诊</w:t>
      </w:r>
    </w:p>
    <w:p w14:paraId="383D1D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需支持对接预问诊系统。</w:t>
      </w:r>
    </w:p>
    <w:p w14:paraId="1B9DCA51">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1.11报告查看</w:t>
      </w:r>
    </w:p>
    <w:p w14:paraId="0F674D5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需支持在医生站内查看检查报告及影像，无需切换至检查系统；</w:t>
      </w:r>
    </w:p>
    <w:p w14:paraId="090F844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需支持在医生站内查看检验报告，无需切换至检验系统；</w:t>
      </w:r>
    </w:p>
    <w:p w14:paraId="3352B1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需支持检查检验危急值查看。</w:t>
      </w:r>
    </w:p>
    <w:p w14:paraId="066C577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1.11.1门诊检验报告查看</w:t>
      </w:r>
    </w:p>
    <w:p w14:paraId="0564600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需支持对于相同检验项目多次检验结果，通过时序图的方式呈现变化趋势。</w:t>
      </w:r>
    </w:p>
    <w:p w14:paraId="76C4A051">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1.12多媒体病历记录</w:t>
      </w:r>
    </w:p>
    <w:p w14:paraId="704730F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需支持多媒体文件上传，本地文件上传、扫描、高拍等不同的文件上传方式。文件上传预览，可对待上传的文件进行放缩、旋转。多媒体文件批量上传、添加备注；</w:t>
      </w:r>
    </w:p>
    <w:p w14:paraId="762E89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需支持按就诊时间、医疗机构（本院/外院、或自定义填写）、就诊类型（门诊、住院、急诊、体检等）、文件类型管理多媒体文件；</w:t>
      </w:r>
    </w:p>
    <w:p w14:paraId="725E44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需支持多媒体文件查看，支持已上传的多媒体文件按照时间顺序与患者历史就诊记录一并按序展示，已上传的多媒体文件在多媒体文件树中展现，支持查看文件详情；</w:t>
      </w:r>
    </w:p>
    <w:p w14:paraId="257006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需支持按职级、按科室、按人员设定权限管理；</w:t>
      </w:r>
    </w:p>
    <w:p w14:paraId="55C8BB8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需支持模态化抗菌药使用等级管理多媒体文件引用与呈现；</w:t>
      </w:r>
    </w:p>
    <w:p w14:paraId="10CE020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需支持模态化手术申请等级管理多媒体文件引用与呈现；</w:t>
      </w:r>
    </w:p>
    <w:p w14:paraId="4A31A3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需支持模态化药品性质使用管理多媒体文件引用与呈现；</w:t>
      </w:r>
    </w:p>
    <w:p w14:paraId="6D6521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需支持模态化药品组套范围编辑管理多媒体文件引用与呈现；</w:t>
      </w:r>
    </w:p>
    <w:p w14:paraId="5BC4D54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需支持模态化术语应用范围管理多媒体文件引用与呈现；</w:t>
      </w:r>
    </w:p>
    <w:p w14:paraId="29378B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需支持模态化抗肿瘤药物专项管理多媒体文件引用与呈现；</w:t>
      </w:r>
    </w:p>
    <w:p w14:paraId="52F2140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需支持通过互联网医院上传患者外院病历，并在病历系统展现。</w:t>
      </w:r>
    </w:p>
    <w:p w14:paraId="2BF79FB9">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1.13模板管理</w:t>
      </w:r>
    </w:p>
    <w:p w14:paraId="55B738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需支持元素维护，实现病历数据的结构化存储、多元化录入和一元化管理。元素类型需要包括文本框、下拉框、复选框、单选框、时间框，可实现病历的多元化录入；</w:t>
      </w:r>
    </w:p>
    <w:p w14:paraId="7108EE9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版元素引用功能，可实现对于一次诊疗中的同一元素，直接应用，避免医生重复录入。提供模板维护，病历模板是医生书写病历的载体，系统需提供自定义和可视化病历模板维护功能。模板中的单元是由元素、元素节和区域组成的，这些单元灵活运用可生成一套完整结构化的模板；</w:t>
      </w:r>
    </w:p>
    <w:p w14:paraId="7EB63D0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需支持模板分配，系统需提供将病历模板分配到指定科室的功能。医院可根据科室需要配置不同科室所使用的模板；</w:t>
      </w:r>
    </w:p>
    <w:p w14:paraId="3050CAB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需支持病历复用元素设置，病历模板中需提供设置元素是否可被复用使用功能。用于患者多次就诊或复诊时，医生可按照复用规则复用该患者既往就诊的元素信息；</w:t>
      </w:r>
    </w:p>
    <w:p w14:paraId="267D31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需支持可视化，类似word样式的病历编辑展现工具。支持病历模板分配指定科室。</w:t>
      </w:r>
    </w:p>
    <w:p w14:paraId="2BCEF15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1.13.1模板维护</w:t>
      </w:r>
    </w:p>
    <w:p w14:paraId="3D0DBD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需支持自定义和可视化病历模板维护功能。模板中的单元是由元素、元素节和区域组成的，这些单元灵活运用可生成一套完整结构化的模板。</w:t>
      </w:r>
    </w:p>
    <w:p w14:paraId="5324D26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1.13.2院级模板</w:t>
      </w:r>
    </w:p>
    <w:p w14:paraId="46A864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需支持病历元素自上而下的管理机制，需建立院级元素、科室元素的管理分配规则及应用；</w:t>
      </w:r>
    </w:p>
    <w:p w14:paraId="4518EDD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需支持病历模板自上而下的管理机制，需构建依托院级模板为基础的科室级模板创建修改功能，科室级模板需继承院级模板的特性并在此基础上应用科室元素予以补充衍生；</w:t>
      </w:r>
    </w:p>
    <w:p w14:paraId="686A225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需支持科室模板申请审批机制，由医院相关职能科室查看科室模板进行审批。需记录完整的申请审批日志，以供追溯历史信息。</w:t>
      </w:r>
    </w:p>
    <w:p w14:paraId="4AB4EC8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1.14门诊病历质控</w:t>
      </w:r>
    </w:p>
    <w:p w14:paraId="19E3C1D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门诊病历质控包括人工病历检查和自动评分两部分，在系统中可对质控评分的标准进行维护，包括评分项目、总分、细项分数、扣分方式、单项否决项目设置。系统提供质控结果综合查询功能，用于查询一段时间内当前质控员或全部质控员的质控的病历情况。</w:t>
      </w:r>
    </w:p>
    <w:p w14:paraId="51909FDC">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34" w:name="_Toc216708481"/>
      <w:bookmarkStart w:id="35" w:name="_Toc4844"/>
      <w:r>
        <w:rPr>
          <w:rFonts w:hint="eastAsia"/>
          <w:b/>
          <w:bCs/>
          <w:kern w:val="44"/>
          <w:sz w:val="24"/>
          <w:szCs w:val="24"/>
          <w:lang w:eastAsia="zh-CN"/>
        </w:rPr>
        <w:t>2、多模态临床医生应用系统—多模态急诊医生站模块</w:t>
      </w:r>
      <w:bookmarkEnd w:id="34"/>
      <w:bookmarkEnd w:id="35"/>
    </w:p>
    <w:p w14:paraId="3451A8B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系统需继承并兼容现有急诊医生站和急诊HIS各项在用功能。</w:t>
      </w:r>
    </w:p>
    <w:p w14:paraId="3BC16C1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满足入/出抢和入/出观登记、患者信息管理、急诊分诊管理、同步急诊护士站留抢床位信息、急诊医嘱管理、门诊病历及报告等功能。</w:t>
      </w:r>
    </w:p>
    <w:p w14:paraId="065D57E6">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36" w:name="_Toc216708482"/>
      <w:r>
        <w:rPr>
          <w:rFonts w:hint="eastAsia"/>
          <w:b/>
          <w:bCs/>
          <w:kern w:val="2"/>
          <w:sz w:val="24"/>
          <w:szCs w:val="24"/>
          <w:lang w:eastAsia="zh-CN"/>
        </w:rPr>
        <w:t>2.1急诊入出抢管理</w:t>
      </w:r>
      <w:bookmarkEnd w:id="36"/>
    </w:p>
    <w:p w14:paraId="4601D15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2.1.1预检分诊系统</w:t>
      </w:r>
    </w:p>
    <w:p w14:paraId="4EC8FF0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2.1.1.1患者信息登记</w:t>
      </w:r>
    </w:p>
    <w:p w14:paraId="0FED66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预检分诊工作站需要能够对接常见的身份识别设备，应用就诊卡读卡、身份证读卡、医保卡读卡、电子码等方式一键式从医院的患者档案库中读取患者的基本信息。未在档案库中建档的患者，手动输入患者基本信息，在预检分诊工作站为患者建档，维护患者姓名、证件号、性别、民族、出生日期、就诊卡号、联系地址、费别、来源、入院方式、陪同人员，联系电话、来院目的、病种分类等基本信息，并将建档信息同步给患者档案库进行全院的统一管理。</w:t>
      </w:r>
    </w:p>
    <w:p w14:paraId="2187A86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急诊患者的来源较为复杂，需要支持多种“标签”和“备注”，支持120、自行、他院转入、110、其他，120方式支持记录车牌号，110方式支持记录警号，他院转入支持记录他院名称。</w:t>
      </w:r>
    </w:p>
    <w:p w14:paraId="6C533B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需支持“三无患者”登记方式，系统根据预设规则，自动生成“时间+序号”作为患者姓名、证件号，在此基础上可以继续维护其他患者基本信息，同时自动为该患者开启绿色通道。</w:t>
      </w:r>
    </w:p>
    <w:p w14:paraId="502FA14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1.需支持群伤、批量抢救患者登记；</w:t>
      </w:r>
    </w:p>
    <w:p w14:paraId="4E4B366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2.需支持120患者登记，能够登记120车辆信息；</w:t>
      </w:r>
    </w:p>
    <w:p w14:paraId="3673C3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3.需支持婴幼儿和儿童患者建档/登记；</w:t>
      </w:r>
    </w:p>
    <w:p w14:paraId="121904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4.需支持绿色通道病人标识，通过床旁监护设备，自动采集生命体征，后续记录分诊信息。</w:t>
      </w:r>
    </w:p>
    <w:p w14:paraId="64DAB29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2.1.1.2急诊评分配置</w:t>
      </w:r>
    </w:p>
    <w:p w14:paraId="3501736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系统需支持院前常用评分，如GCS、创伤指数评分、早期预警评分等。支持评分自定义配置，支持“启用”“停用”评分项目，并显示启停状态。</w:t>
      </w:r>
    </w:p>
    <w:p w14:paraId="13B584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表单配置支持自定义结构化评估表，配置评估表中每一项评分项目的编码、名称、评分、序号、是否有效、描述，能够设置“取值规则”以实现评估表从护士已经维护的患者体征情况自动取值评分能力，简化评估工作。</w:t>
      </w:r>
    </w:p>
    <w:p w14:paraId="35A21D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规则配置为评估表设置根据分数的定性结论显示，包括评分等级、评分等级对应的评分颜色以及评分描述。</w:t>
      </w:r>
    </w:p>
    <w:p w14:paraId="274BC35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2.1.1.3预检分诊管理</w:t>
      </w:r>
    </w:p>
    <w:p w14:paraId="209166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预检分诊是保障医疗效率和患者安全的核心机制，通过快速评估病情轻重缓急，优先救治危重患者（如心梗、创伤等），确保“黄金时间窗”内资源精准投放，同时识别潜在致命风险、缩短等待时间、优化流程秩序，并借助标准化工具减少主观误差，应用预检分诊知识库结合监护设备自动采集的生命体征客观指标，帮助医护人员自动完成分诊工作将提高医疗服务质量。</w:t>
      </w:r>
    </w:p>
    <w:p w14:paraId="052849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1.自动分级。</w:t>
      </w:r>
    </w:p>
    <w:p w14:paraId="758B50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常见的急诊患者症状进行快捷分诊，支持自动化分级并关联患者分诊去向。支持设置“常用症状”辅助快速选择点选，根据选择的主诉对应的自动选择“分诊等级”并通过颜色“红”“黄”“绿”直观显示其对应的治疗区域，自动选择“分诊去向”为抢救、留观、急门或离开，其中留观区域支持为患者分配床位。</w:t>
      </w:r>
    </w:p>
    <w:p w14:paraId="7C8FED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需支持读取分诊台的监护设备的数据，当患者测完体征后，通过“数据采集”将测试结果自动抓取到系统中，结合预检分诊知识库，根据生命体征和意识进行分级，意识支持无、清醒、意识模糊、昏迷、谵妄等。</w:t>
      </w:r>
    </w:p>
    <w:p w14:paraId="38A832D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分诊去向选择抢救、急门，通过“自动”标识，患者会自动按照顺序进入队列分配床位或者就诊序列，当进入留观区域支持为患者手动分配床位，根据患者的病情特征选择合适的床位。</w:t>
      </w:r>
    </w:p>
    <w:p w14:paraId="27B3E2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2.人工分级。</w:t>
      </w:r>
    </w:p>
    <w:p w14:paraId="3B0864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支持对自动分级修改，进行人工分级，对于人工分级的情况能够录入手动分级原因进行记录留存。</w:t>
      </w:r>
    </w:p>
    <w:p w14:paraId="4C1634B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3.再次分诊。</w:t>
      </w:r>
    </w:p>
    <w:p w14:paraId="0AF13A4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支持再次分诊，不同级别患者超过规定时间内未接诊，自动提醒。</w:t>
      </w:r>
    </w:p>
    <w:p w14:paraId="6355A1E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4.不同分诊模式。</w:t>
      </w:r>
    </w:p>
    <w:p w14:paraId="67316B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支持先分诊后挂号，先挂号后分诊两种模式。</w:t>
      </w:r>
    </w:p>
    <w:p w14:paraId="6E07DA6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5.腕带打印。</w:t>
      </w:r>
    </w:p>
    <w:p w14:paraId="3E520B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支持分诊后打印腕带或者分诊条，根据医院需要配置打印信息。</w:t>
      </w:r>
    </w:p>
    <w:p w14:paraId="6C8605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6.预检分诊知识库。</w:t>
      </w:r>
    </w:p>
    <w:p w14:paraId="6CA0AB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支持三区四级、四区四级等多种预检分诊知识库。支持病情分级分诊知识库，提供常用主诉、判断依据集合；能够支持医院授权人员能够对分诊知识库进行自定义配置与维护，不断完善知识库内容。</w:t>
      </w:r>
    </w:p>
    <w:p w14:paraId="6AD2D4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7.分诊统计。</w:t>
      </w:r>
    </w:p>
    <w:p w14:paraId="353E84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支持分诊统计功能，如各级患者比例、特殊人群占比，绿色通道分布，群体事件分布、24H预检分诊患者分布、分诊科室分布等。支持按照医院科室的统计需求定制化统计指标。</w:t>
      </w:r>
    </w:p>
    <w:p w14:paraId="3A7783B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8.数据导出。</w:t>
      </w:r>
    </w:p>
    <w:p w14:paraId="160474F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可按照时间、分诊级别、就诊转归区域等查询条件导出急诊患者预检分诊登记表，节省急诊护士每天登记时间。</w:t>
      </w:r>
    </w:p>
    <w:p w14:paraId="4407389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2.1.1.4院前数据对接</w:t>
      </w:r>
    </w:p>
    <w:p w14:paraId="6413AA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系统支持直接院前患者的基本信息，生命体征数据，评分，病历数据导入到预检系统。</w:t>
      </w:r>
    </w:p>
    <w:p w14:paraId="618333B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2.1.1.5绿色通道管理</w:t>
      </w:r>
    </w:p>
    <w:p w14:paraId="016513A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需支持预检时自动开启绿色通道，自动挂号，标识绿色通道患者，更改费别，允许患者进行欠费操作；</w:t>
      </w:r>
    </w:p>
    <w:p w14:paraId="1DAF01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需支持急诊患者快速就诊通道管理，可快速识别患者身份，自动填写挂号信息并挂号；</w:t>
      </w:r>
    </w:p>
    <w:p w14:paraId="5DCFAE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需支持快速标记绿通患者，例如：胸痛、卒中、创伤，绿色通道类型支持自定义配置。</w:t>
      </w:r>
    </w:p>
    <w:p w14:paraId="0356BCC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2.1.1.6病情评估管理</w:t>
      </w:r>
    </w:p>
    <w:p w14:paraId="3193F4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需支持GCS、创伤指数评分、早期预警评分以及其他各类评估单，评分表能够联动预检分诊过程中记录的生命体征数据，支持根据客观数据自动完成评分。</w:t>
      </w:r>
    </w:p>
    <w:p w14:paraId="142361A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2.1.1.7体征自动采集</w:t>
      </w:r>
    </w:p>
    <w:p w14:paraId="2C64E1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需支持患者体征数据采集，并可根据生命体征记录情况自动分级，可手工修改分级。</w:t>
      </w:r>
    </w:p>
    <w:p w14:paraId="353E567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2.1.2护士工作站（门急诊/抢救区/留观区/监护区）</w:t>
      </w:r>
    </w:p>
    <w:p w14:paraId="3388E05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2.1.2.1诊疗区域切换</w:t>
      </w:r>
    </w:p>
    <w:p w14:paraId="2514194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需支持快速切换不同的院区/区域（急门诊、抢救区、留观区)分别进行护理操作。切换不同的区域展示相应的患者。留/抢区域支持展示‘列表’和‘卡片’两种方式，支持不同展示方式的切换。</w:t>
      </w:r>
    </w:p>
    <w:p w14:paraId="0F1B0CF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2.1.2.2患者信息管理</w:t>
      </w:r>
    </w:p>
    <w:p w14:paraId="1BCE2F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需支持患者入区及入区后的信息管理，包括患者相关属性编辑和查看，同时支持患者出区后得病历补充修改。包括入区，出区，打印床头卡，转床，换床，床位锁定等。</w:t>
      </w:r>
    </w:p>
    <w:p w14:paraId="4FFABF8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2.1.2.3患者信息查询</w:t>
      </w:r>
    </w:p>
    <w:p w14:paraId="619243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需支持根据条件筛选抢救\留观诊疗区内的患者信息；根据查询条件不同分为高级查询和基本查询。高级查询支持搜索患者的‘主诉’、‘在区状态’、‘转归去向’、‘转归科室’等。</w:t>
      </w:r>
    </w:p>
    <w:p w14:paraId="4343048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2.1.2.4急诊费用管理</w:t>
      </w:r>
    </w:p>
    <w:p w14:paraId="7D1177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需支持患者急诊费用管理，可针对医嘱进行新增，作废，关联。同时针对患者状态进行快速查看，护士针对患者得医嘱状态进行判断，包括：已提交，已收费，已作废，已停止等。</w:t>
      </w:r>
    </w:p>
    <w:p w14:paraId="2216B64C">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2.1.2.5急诊医嘱管理</w:t>
      </w:r>
    </w:p>
    <w:p w14:paraId="5C5C42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管理进入医嘱审核选中患者查看医嘱，护士按照相关规定进行医嘱核对；核对完成后可进行计费，计费完成后根据实际情况领取药品，进行配液；配液完成后，打印输液标签(输液执行单)；之后进行医嘱执行。</w:t>
      </w:r>
    </w:p>
    <w:p w14:paraId="5A6747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1.医嘱审核。</w:t>
      </w:r>
    </w:p>
    <w:p w14:paraId="473E45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需支持按照时间、区域、长期或临时、不同的医嘱类别分别过滤医嘱进行审核，支持医嘱退回操作，可控制已收费医嘱不允许退回。</w:t>
      </w:r>
    </w:p>
    <w:p w14:paraId="3B0C98B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2.医嘱打印。</w:t>
      </w:r>
    </w:p>
    <w:p w14:paraId="6D4B90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需支持按照时间、区域、长期/临时、打印状态、单据类别过滤医嘱进行打印。</w:t>
      </w:r>
    </w:p>
    <w:p w14:paraId="06F741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3.医嘱执行。</w:t>
      </w:r>
    </w:p>
    <w:p w14:paraId="56A832B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需支持按照时间、区域、长期/临时、医嘱类别、状态过滤医嘱进行医嘱执行。</w:t>
      </w:r>
    </w:p>
    <w:p w14:paraId="0DAEF46C">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2.1.2.6患者信息总览</w:t>
      </w:r>
    </w:p>
    <w:p w14:paraId="0BE387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需支持针对患者监控/液体/导管/描述多项数据同时进行查看，方便医护人员快速审核并修改。</w:t>
      </w:r>
    </w:p>
    <w:p w14:paraId="32D0847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2.1.2.7急诊报告调阅</w:t>
      </w:r>
    </w:p>
    <w:p w14:paraId="0477D2A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需支持查看本次急诊就诊时间的所有检查检验结果，支持医生端的病历同步展示。</w:t>
      </w:r>
    </w:p>
    <w:p w14:paraId="03DA2F3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2.1.2.8计费模板管理</w:t>
      </w:r>
    </w:p>
    <w:p w14:paraId="6450EC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需支持针对急诊业务，按照范围、状态、模板名称搜索计费模板；同时可对模板进行编辑，修改名称及内容</w:t>
      </w:r>
    </w:p>
    <w:p w14:paraId="0F9FF0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需支持根据权限维护个人和科室计费模板；各区域计费模板根据适用区域维护内容显示。</w:t>
      </w:r>
    </w:p>
    <w:p w14:paraId="05DC919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2.1.2.9分诊移动端</w:t>
      </w:r>
    </w:p>
    <w:p w14:paraId="79C925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护士可通过移动端应用，查看已分诊患者的危重症情况，并记录相应的巡检及处置情况。</w:t>
      </w:r>
    </w:p>
    <w:p w14:paraId="34B306D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2.1.3医生工作站（流水区/抢救区/留观区/监护区）</w:t>
      </w:r>
    </w:p>
    <w:p w14:paraId="531B285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2.1.3.1诊疗区域切换</w:t>
      </w:r>
    </w:p>
    <w:p w14:paraId="53E8A76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诊医生工作站支持急诊的不同诊疗模式，可根据患者分区不同，实现诊疗模式的自动切换。如流水患者直接切换至急门诊工作站。抢救患者切换至抢救工作站模式。留观患者切换至留观工作站模式。根据病人分区不同，划分诊疗医嘱的内容及操作。</w:t>
      </w:r>
    </w:p>
    <w:p w14:paraId="1F6B84B9">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2.1.3.2患者概况展示</w:t>
      </w:r>
    </w:p>
    <w:p w14:paraId="7ACF604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1.区域患者概况</w:t>
      </w:r>
    </w:p>
    <w:p w14:paraId="00AE8BE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需支持不同区域的患者查看患者信息，可以根据后台配置显示患者状态：未就诊，就诊中，就诊结束等。同时展示每个状态的患者数量，自动统计。</w:t>
      </w:r>
    </w:p>
    <w:p w14:paraId="433997E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2.床头卡管理</w:t>
      </w:r>
    </w:p>
    <w:p w14:paraId="138525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需支持在留观/抢救区进行床头卡片展示。可根据显示患者不同改变的字段，包括：科室，首诊医生，护士，病历号等，支持过滤分管患者等。</w:t>
      </w:r>
    </w:p>
    <w:p w14:paraId="760AE7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3.患者列表</w:t>
      </w:r>
    </w:p>
    <w:p w14:paraId="1B4FC8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床头卡片与列表形式互相转换，可以按照业务需求配置列表字段。支持设置对应的科室的挂号类别，并按类别过滤同步的患者挂号记录。支持快速就诊，继续接诊，取消接诊，转诊，召回等操作，可快速切换患者状态。</w:t>
      </w:r>
    </w:p>
    <w:p w14:paraId="5EDB094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2.1.3.3患者转归管理</w:t>
      </w:r>
    </w:p>
    <w:p w14:paraId="13FFCDF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1.去向选择</w:t>
      </w:r>
    </w:p>
    <w:p w14:paraId="578C9E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需支持患者去向选择的功能，包括出院/住院/转科/转院等去向设置，去向可通过系统配置自定义配置。</w:t>
      </w:r>
    </w:p>
    <w:p w14:paraId="48BC6D8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2.转归住院</w:t>
      </w:r>
    </w:p>
    <w:p w14:paraId="7FC3E76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转归住院时，可按照住院要求显示必填属性：姓名、性别、年龄、费别、诊断、住院科室、住院病区、开单科室、开单医生、医生签名、开单时间。住院科室和病区联动。住院提交后，会传送HIS或者入院准备中心。</w:t>
      </w:r>
    </w:p>
    <w:p w14:paraId="19906BA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3.转留观</w:t>
      </w:r>
    </w:p>
    <w:p w14:paraId="547F940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需支持急诊医生对患者（抢救或急门诊）进行转留观的功能及流程，并支持关联填写留观登记。</w:t>
      </w:r>
    </w:p>
    <w:p w14:paraId="3D5DC12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4患者转院</w:t>
      </w:r>
    </w:p>
    <w:p w14:paraId="50C6F5D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需支持多院区进行流转，同时记录流转过程和时间</w:t>
      </w:r>
    </w:p>
    <w:p w14:paraId="7BD3082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2.1.3.4医嘱录入管理</w:t>
      </w:r>
    </w:p>
    <w:p w14:paraId="69EDD84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1.医嘱管理</w:t>
      </w:r>
    </w:p>
    <w:p w14:paraId="648FEB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需支持医嘱的长期/临时录入功能，同时支持删除/修改/保存/复制/提交/作废/取消；</w:t>
      </w:r>
    </w:p>
    <w:p w14:paraId="003AF1D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需支持留观医嘱开立。</w:t>
      </w:r>
    </w:p>
    <w:p w14:paraId="705D14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2.药品医嘱</w:t>
      </w:r>
    </w:p>
    <w:p w14:paraId="3DF6F00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需支持药品的录入不同的医嘱类型药品；</w:t>
      </w:r>
    </w:p>
    <w:p w14:paraId="456321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需支持不同剂型药品医嘱录入功能，如口服药、针剂、大输液等。同时支持自动成组/手动成组；</w:t>
      </w:r>
    </w:p>
    <w:p w14:paraId="06FC6CA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需支持药品剂型对应用法设置及默认用法设置的功能，在医嘱录入的时候，根据药品剂型，匹配筛选可选用的用法字典；</w:t>
      </w:r>
    </w:p>
    <w:p w14:paraId="1CE10A1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需支持设定医护人员是否具备急诊处方权的功能；</w:t>
      </w:r>
    </w:p>
    <w:p w14:paraId="004C58B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需支持对接医院合理用药系统。</w:t>
      </w:r>
    </w:p>
    <w:p w14:paraId="0BF427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3.检验医嘱</w:t>
      </w:r>
    </w:p>
    <w:p w14:paraId="30A9484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需支持检验医嘱/申请单录入检查医嘱。</w:t>
      </w:r>
    </w:p>
    <w:p w14:paraId="6945FC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4.检查医嘱</w:t>
      </w:r>
    </w:p>
    <w:p w14:paraId="3CF211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需支持检验医嘱/申请单录入。</w:t>
      </w:r>
    </w:p>
    <w:p w14:paraId="2D98C4B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5.其他医嘱</w:t>
      </w:r>
    </w:p>
    <w:p w14:paraId="58C0511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需支持手术/用血/护理/膳食/治疗/文字医嘱。</w:t>
      </w:r>
    </w:p>
    <w:p w14:paraId="64F2BA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6.费用关联</w:t>
      </w:r>
    </w:p>
    <w:p w14:paraId="4EF59BE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需支持医嘱关联费用。</w:t>
      </w:r>
    </w:p>
    <w:p w14:paraId="3F6A945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7.历史医嘱</w:t>
      </w:r>
    </w:p>
    <w:p w14:paraId="76C949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需支持查看历史医嘱。</w:t>
      </w:r>
    </w:p>
    <w:p w14:paraId="230974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8.医嘱组套</w:t>
      </w:r>
    </w:p>
    <w:p w14:paraId="3CD1D4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需支持医嘱套餐的建立和引用。可以创建包含多个医嘱项的套餐，用于常见的疾病的治疗方案和特定的检查流程；</w:t>
      </w:r>
    </w:p>
    <w:p w14:paraId="58E271B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需支持已创建医嘱查看，单独引用，批量引用，删除等功能。</w:t>
      </w:r>
    </w:p>
    <w:p w14:paraId="02328A9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2.1.3.5急诊诊断管理</w:t>
      </w:r>
    </w:p>
    <w:p w14:paraId="67FAE9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1.诊断录入</w:t>
      </w:r>
    </w:p>
    <w:p w14:paraId="1FD2C0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需支持诊断的录入，排序，删除，对接辅助决策系统等；</w:t>
      </w:r>
    </w:p>
    <w:p w14:paraId="731F6D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需支持按照诊断时间的先后顺序排列，包括诊断内容、疾病名称和编码、国家医保编码、诊断类型、开立人、开立时间。</w:t>
      </w:r>
    </w:p>
    <w:p w14:paraId="17B87D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2.历史诊断</w:t>
      </w:r>
    </w:p>
    <w:p w14:paraId="1BBCF5B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需支持查看历史诊断，包括：门诊，急诊，住院等。</w:t>
      </w:r>
    </w:p>
    <w:p w14:paraId="3B2AFB1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2.1.3.6医嘱打印管理</w:t>
      </w:r>
    </w:p>
    <w:p w14:paraId="7AF089F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需支持医嘱相关单据打印，包括处方打印，精毒麻特殊药品打印，出院带药打印;支持检查/检验医嘱的打印;</w:t>
      </w:r>
    </w:p>
    <w:p w14:paraId="78EA6B7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支持护理/膳食/文字/作废医嘱单据打印；</w:t>
      </w:r>
    </w:p>
    <w:p w14:paraId="542911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支持导诊单的生成和打印。</w:t>
      </w:r>
    </w:p>
    <w:p w14:paraId="46A3F07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2.1.3.7急诊患者管理</w:t>
      </w:r>
    </w:p>
    <w:p w14:paraId="1A4C47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1.出科查询</w:t>
      </w:r>
    </w:p>
    <w:p w14:paraId="7B70AC0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需支持患者的出科查询，按照搜索条件进行搜索：首诊医生/科室/时间等。</w:t>
      </w:r>
    </w:p>
    <w:p w14:paraId="2C85AE8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2.患者召回</w:t>
      </w:r>
    </w:p>
    <w:p w14:paraId="1F85BD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需支持召回患者功能，保证数据连续性和一致性。</w:t>
      </w:r>
    </w:p>
    <w:p w14:paraId="68D5CB2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2.1.3.8工作站管理</w:t>
      </w:r>
    </w:p>
    <w:p w14:paraId="6CDE8A6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1.医嘱组套管理</w:t>
      </w:r>
    </w:p>
    <w:p w14:paraId="306F79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需支持医嘱套餐的管理：个人套餐，科室套餐，并通过权限控制修改。</w:t>
      </w:r>
    </w:p>
    <w:p w14:paraId="3F9395F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2.1.4质控管理</w:t>
      </w:r>
    </w:p>
    <w:p w14:paraId="1BEDB08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支持急诊科室质控指标管理，包括以下：</w:t>
      </w:r>
    </w:p>
    <w:p w14:paraId="0899E5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抢救室滞留时间（中位数）；</w:t>
      </w:r>
    </w:p>
    <w:p w14:paraId="130899D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分诊执行率；</w:t>
      </w:r>
    </w:p>
    <w:p w14:paraId="4C02560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急诊四级患者静脉输液使用率；</w:t>
      </w:r>
    </w:p>
    <w:p w14:paraId="10AAEF4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心肺复苏质控检测率；</w:t>
      </w:r>
    </w:p>
    <w:p w14:paraId="08A990F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院内新增骤停复苏成功率；</w:t>
      </w:r>
    </w:p>
    <w:p w14:paraId="6C2B33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院前心脏骤停复苏成功率；</w:t>
      </w:r>
    </w:p>
    <w:p w14:paraId="505D61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院前新增骤停患者出院存活率；</w:t>
      </w:r>
    </w:p>
    <w:p w14:paraId="297BF82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院内新增骤停患者出院存活率。</w:t>
      </w:r>
    </w:p>
    <w:p w14:paraId="13EC2EF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EICU脓毒性休克病死率；</w:t>
      </w:r>
    </w:p>
    <w:p w14:paraId="66D172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脓毒性休克1小时内抗菌药物使用率；</w:t>
      </w:r>
    </w:p>
    <w:p w14:paraId="0C16CD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急诊中心静脉管早起并发症率；</w:t>
      </w:r>
    </w:p>
    <w:p w14:paraId="61C9BE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上呼吸道感染抗菌药物使用率；</w:t>
      </w:r>
    </w:p>
    <w:p w14:paraId="13A83E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完成急诊胃镜检查的急性上消化道出血例数；</w:t>
      </w:r>
    </w:p>
    <w:p w14:paraId="386D7BD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急性上消化道出血患者总例数；</w:t>
      </w:r>
    </w:p>
    <w:p w14:paraId="5B3472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急性中毒患者病死率比例；</w:t>
      </w:r>
    </w:p>
    <w:p w14:paraId="06193C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抢救室收治的创伤患者总例数；</w:t>
      </w:r>
    </w:p>
    <w:p w14:paraId="1145A15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急诊分诊信息展示；</w:t>
      </w:r>
    </w:p>
    <w:p w14:paraId="374C0C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急诊分布，分诊区域，年龄分布，今日分诊相关数据展示。</w:t>
      </w:r>
    </w:p>
    <w:p w14:paraId="7B765EE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2.1.5接口服务</w:t>
      </w:r>
    </w:p>
    <w:p w14:paraId="0724AA0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大数据平台：按照“统筹规划、资源共享”的原则，共享方面，医院将电子病历、影像、就诊过程等信息资源共享给北京市卫健全民健康信息平台，通过北京市卫健全民健康信息平台有条件共享给北京市大数据平台；同时通过全民健康信息平台共享其他医疗机构诊疗信息，构成患者全景诊疗视图，进而推进检查检验结果共享互认等工作。</w:t>
      </w:r>
    </w:p>
    <w:p w14:paraId="249A9E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京通：本项目建设内容中涉及的患者服务系统与114挂号系统对接，通过114挂号系统与京通三端对接，最终实现通过114挂号预约平台实现患者的挂号、缴费、查询等公共服务。医院向京通健康服务提供挂号接口服务。</w:t>
      </w:r>
    </w:p>
    <w:p w14:paraId="5AB554A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病历归档：支持所有急诊患者数据的归档系统对接。</w:t>
      </w:r>
    </w:p>
    <w:p w14:paraId="797CE0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医保物价合规管理相关接口</w:t>
      </w:r>
    </w:p>
    <w:p w14:paraId="46B1454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2.1.6系统配置</w:t>
      </w:r>
    </w:p>
    <w:p w14:paraId="19BBF6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1.系统登录管理</w:t>
      </w:r>
    </w:p>
    <w:p w14:paraId="5ADA7C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需支持系统登录信息查询，所属角色修改，账号统一管理。</w:t>
      </w:r>
    </w:p>
    <w:p w14:paraId="0AD5F53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2.系统菜单管理</w:t>
      </w:r>
    </w:p>
    <w:p w14:paraId="4D2BEC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需支持系统功能菜单维护。包括菜单的增加、修改、删除等操作。</w:t>
      </w:r>
    </w:p>
    <w:p w14:paraId="291FE8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3.系统角色管理</w:t>
      </w:r>
    </w:p>
    <w:p w14:paraId="481AA3D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需支持系统角色的增加、修改、删除等操作。</w:t>
      </w:r>
    </w:p>
    <w:p w14:paraId="410D6B3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4.角色菜单分配</w:t>
      </w:r>
    </w:p>
    <w:p w14:paraId="3AD7089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需支持按照系统角色分配所属菜单，完成登录菜单权限功能。</w:t>
      </w:r>
    </w:p>
    <w:p w14:paraId="6670E9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5.系统编码管理</w:t>
      </w:r>
    </w:p>
    <w:p w14:paraId="14B369D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需支持维护系统编码类别，及类别所属项目。</w:t>
      </w:r>
    </w:p>
    <w:p w14:paraId="41F05DC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6.项目配置管理</w:t>
      </w:r>
    </w:p>
    <w:p w14:paraId="3D49B09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需支持项目维护，对照项目维护，给药方法维护。</w:t>
      </w:r>
    </w:p>
    <w:p w14:paraId="4F089E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7.病床配置管理</w:t>
      </w:r>
    </w:p>
    <w:p w14:paraId="18ABA7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需支持对科室病区病床进行维护。</w:t>
      </w:r>
    </w:p>
    <w:p w14:paraId="0C4051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8.导管配置管理</w:t>
      </w:r>
    </w:p>
    <w:p w14:paraId="1A7FEC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需支持导管分类及分类所属项目信息的增加、修改、删除等操作。</w:t>
      </w:r>
    </w:p>
    <w:p w14:paraId="38A3D5E3">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2.1.7危急值管理</w:t>
      </w:r>
    </w:p>
    <w:p w14:paraId="0051436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需支持接收、查询危急值数据；</w:t>
      </w:r>
    </w:p>
    <w:p w14:paraId="48947D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需支持调阅危急值相关报告信息；</w:t>
      </w:r>
    </w:p>
    <w:p w14:paraId="03AE971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需支持标本拒收管理；</w:t>
      </w:r>
    </w:p>
    <w:p w14:paraId="5BE7B1A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需支持危急值处理流程。</w:t>
      </w:r>
    </w:p>
    <w:p w14:paraId="62978BD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2.1.8会诊规范性管理</w:t>
      </w:r>
    </w:p>
    <w:p w14:paraId="6ADCA3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需支持对患者进行会诊申请，可申请至对方科室，也可申请到具体医生；</w:t>
      </w:r>
    </w:p>
    <w:p w14:paraId="2D69064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需支持查看已申请患者会诊处理情况；</w:t>
      </w:r>
    </w:p>
    <w:p w14:paraId="31231E6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需支持自动生成会诊医嘱。支持接收及拒绝，处理会诊患者前，查看患者治疗过程信息；</w:t>
      </w:r>
    </w:p>
    <w:p w14:paraId="2B52F1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需支持接收/拒绝会诊；</w:t>
      </w:r>
    </w:p>
    <w:p w14:paraId="280399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需支持允许会诊专家为会诊患者开立医嘱；</w:t>
      </w:r>
    </w:p>
    <w:p w14:paraId="2D271C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需支持在会诊完成时，自动创建待完成的会诊病程记录；</w:t>
      </w:r>
    </w:p>
    <w:p w14:paraId="5079754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需支持会诊完成时，会诊专家与会诊申请医生完成评价，且评价内容只允许自己可见；</w:t>
      </w:r>
    </w:p>
    <w:p w14:paraId="5E9436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需支持会诊核心制度查统计、查询全院会诊完成、会诊互评结果及内容；</w:t>
      </w:r>
    </w:p>
    <w:p w14:paraId="770157B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需支持会诊排班设置，医生可根据排班信息申请到对应科室的会诊值班医生。</w:t>
      </w:r>
    </w:p>
    <w:p w14:paraId="098E15E5">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需支持通过即时通讯平台，将会诊消息推送给参与会诊的各类角色，例如通过企业微信进行提醒会诊。</w:t>
      </w:r>
    </w:p>
    <w:p w14:paraId="2AEA979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2.1.8.1会诊申请</w:t>
      </w:r>
    </w:p>
    <w:p w14:paraId="04C5FB1C">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需支持科间会诊、急会诊、院外会诊；</w:t>
      </w:r>
    </w:p>
    <w:p w14:paraId="3A3F1BB1">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需支持自动生成会诊描述医嘱；</w:t>
      </w:r>
    </w:p>
    <w:p w14:paraId="221629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需支持会诊消息发送给受邀科室医生；</w:t>
      </w:r>
    </w:p>
    <w:p w14:paraId="474F32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需支持会诊申请时必要信息的校验，如相关病史信息。</w:t>
      </w:r>
    </w:p>
    <w:p w14:paraId="4461C5E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2.1.8.2接收及拒绝</w:t>
      </w:r>
    </w:p>
    <w:p w14:paraId="75F208E7">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需支持在处理会诊患者前，查看患者治疗过程信息；</w:t>
      </w:r>
    </w:p>
    <w:p w14:paraId="614C8BE3">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需支持接收会诊，书写会诊意见；</w:t>
      </w:r>
    </w:p>
    <w:p w14:paraId="509F7AFA">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需支持拒绝会诊，填写拒绝理由；</w:t>
      </w:r>
    </w:p>
    <w:p w14:paraId="113D97CC">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需支持接收后自动生成会诊计费医嘱；</w:t>
      </w:r>
    </w:p>
    <w:p w14:paraId="02F531D3">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需支持接收后可取消接收会诊，并可取消计费医嘱；</w:t>
      </w:r>
    </w:p>
    <w:p w14:paraId="13850E6C">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需支持接收后自动授权医生书写患者病历、医嘱、诊断权限；</w:t>
      </w:r>
    </w:p>
    <w:p w14:paraId="72870380">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需支持在会诊完成时，可生成HIS收费；</w:t>
      </w:r>
    </w:p>
    <w:p w14:paraId="409E342B">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需支持在会诊完成时，自动创建待完成的会诊病程记录。</w:t>
      </w:r>
    </w:p>
    <w:p w14:paraId="10443A6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2.1.8.3会诊互评</w:t>
      </w:r>
    </w:p>
    <w:p w14:paraId="248140A9">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需支持会诊科室与受邀科室相互评价、具备评价查询和分析功能；</w:t>
      </w:r>
    </w:p>
    <w:p w14:paraId="0D9A5290">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需支持会诊完成时，会诊专家评价本次会诊，且评价内容只允许专家方可见；</w:t>
      </w:r>
    </w:p>
    <w:p w14:paraId="745E1681">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需支持会诊完成后，会诊申请医师评价本次会诊，且评价内容只允许申请方可见；</w:t>
      </w:r>
    </w:p>
    <w:p w14:paraId="58925BE8">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需支持会诊评价内容自定义维护。</w:t>
      </w:r>
    </w:p>
    <w:p w14:paraId="01DCB5AB">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2.1.9患者预付费管理</w:t>
      </w:r>
    </w:p>
    <w:p w14:paraId="0B32013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2.1.9.1收费处</w:t>
      </w:r>
    </w:p>
    <w:p w14:paraId="186484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需支持押金管理；</w:t>
      </w:r>
    </w:p>
    <w:p w14:paraId="6345A3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需支持自费结算；</w:t>
      </w:r>
    </w:p>
    <w:p w14:paraId="019722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需支持医保结算；</w:t>
      </w:r>
    </w:p>
    <w:p w14:paraId="1E0F554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需支持结算召回；</w:t>
      </w:r>
    </w:p>
    <w:p w14:paraId="4D46934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需支持发票重打；</w:t>
      </w:r>
    </w:p>
    <w:p w14:paraId="278CE9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需支持收费员日结；</w:t>
      </w:r>
    </w:p>
    <w:p w14:paraId="63D414E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需支持欠费患者统计。</w:t>
      </w:r>
    </w:p>
    <w:p w14:paraId="5A336CBC">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2.1.9.2护士工作站</w:t>
      </w:r>
    </w:p>
    <w:p w14:paraId="01DF61A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需支持急诊留观病房管理；</w:t>
      </w:r>
    </w:p>
    <w:p w14:paraId="71B333F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需支持急诊留观医嘱管理；</w:t>
      </w:r>
    </w:p>
    <w:p w14:paraId="02DC75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需支持护士批费和退费；</w:t>
      </w:r>
    </w:p>
    <w:p w14:paraId="5E8DDAB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需支持退药；</w:t>
      </w:r>
    </w:p>
    <w:p w14:paraId="030CE8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需支持患者费用查询及打印。</w:t>
      </w:r>
    </w:p>
    <w:p w14:paraId="214B6859">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2.1.9.3医生工作站</w:t>
      </w:r>
    </w:p>
    <w:p w14:paraId="64EEE5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需支持长短期医嘱处理、医生组套管理、检查检验结果查看、体温单查看、合作医院转诊单办理。</w:t>
      </w:r>
    </w:p>
    <w:p w14:paraId="3BE4F8F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2.1.10耗材管理</w:t>
      </w:r>
    </w:p>
    <w:p w14:paraId="5A30F3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需支持急诊区域耗材的申请、批费、管理等操作</w:t>
      </w:r>
    </w:p>
    <w:p w14:paraId="22E91E3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2.1.10.1护士批费</w:t>
      </w:r>
    </w:p>
    <w:p w14:paraId="64387A9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需支持医嘱审核时对有对照的高值耗材，进行弹窗扫码绑定使用的高值耗材；</w:t>
      </w:r>
    </w:p>
    <w:p w14:paraId="65C4F5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需支持高值耗材登记，即对于审核医嘱时未对照的或被取消使用的高值耗材进行扫码绑定,或对已经绑定的高值耗材取消绑定；</w:t>
      </w:r>
    </w:p>
    <w:p w14:paraId="50079A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需支持高值耗材使用情况查询；</w:t>
      </w:r>
    </w:p>
    <w:p w14:paraId="4EB3ADA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需支持查看患者使用高值耗材信息；</w:t>
      </w:r>
    </w:p>
    <w:p w14:paraId="5E19EE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需支持高值耗材领取统计。</w:t>
      </w:r>
    </w:p>
    <w:p w14:paraId="23CD873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2.2留观病历</w:t>
      </w:r>
    </w:p>
    <w:p w14:paraId="1ECA234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在门诊病历的基础上，支持多医生对同一个患者书写病历以及留观患者一次就诊多次书写同一份病历的情况。如果患者需要留院观察，由医生在“急诊医生站”中下达留观医嘱，护士进行分床，患者即变为留观中状态，直至医生下达出观医嘱，护士将床位清空后，患者即变为离观状态。患者病情危重，到达急诊科后，后续病历以及临床业务数据可以进行后置补录，抢救完成后进行留观。</w:t>
      </w:r>
    </w:p>
    <w:p w14:paraId="4BB9094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2.3床位信息查询</w:t>
      </w:r>
    </w:p>
    <w:p w14:paraId="14A5CD8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系统将便于医生通过床位找到患者以及了解患者当前留抢情况。扩展患者列表的基本信息：患者 ID、病案号、姓名、性别、年龄、医保费用类别、急诊分级分区等。便于床位动态管理和高效使用。</w:t>
      </w:r>
    </w:p>
    <w:p w14:paraId="37C95FC6">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37" w:name="_Toc1287"/>
      <w:bookmarkStart w:id="38" w:name="_Toc216708528"/>
      <w:r>
        <w:rPr>
          <w:rFonts w:hint="eastAsia"/>
          <w:b/>
          <w:bCs/>
          <w:kern w:val="44"/>
          <w:sz w:val="24"/>
          <w:szCs w:val="24"/>
          <w:lang w:eastAsia="zh-CN"/>
        </w:rPr>
        <w:t>3、多模态临床医生应用系统—多模态住院医生站模块</w:t>
      </w:r>
      <w:bookmarkEnd w:id="37"/>
      <w:bookmarkEnd w:id="38"/>
    </w:p>
    <w:p w14:paraId="436BF2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系统需继承并兼容现有住院医生站和住院HIS各项在用功能。</w:t>
      </w:r>
    </w:p>
    <w:p w14:paraId="1F38062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39" w:name="_Toc216708529"/>
      <w:r>
        <w:rPr>
          <w:rFonts w:hint="eastAsia"/>
          <w:b/>
          <w:bCs/>
          <w:kern w:val="2"/>
          <w:sz w:val="24"/>
          <w:szCs w:val="24"/>
          <w:lang w:eastAsia="zh-CN"/>
        </w:rPr>
        <w:t>3.1住院医生站</w:t>
      </w:r>
      <w:bookmarkEnd w:id="39"/>
    </w:p>
    <w:p w14:paraId="43515F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需支持患者列表多维查询。</w:t>
      </w:r>
    </w:p>
    <w:p w14:paraId="23C8026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3.2诊断履历</w:t>
      </w:r>
    </w:p>
    <w:p w14:paraId="4B1180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需支持诊断开立，全键盘操作录入诊断、复用患者历史诊断或在院已录入（作废）的诊断；</w:t>
      </w:r>
    </w:p>
    <w:p w14:paraId="797A14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需支持首字母检索录入中医TCD的病名和证候，中医的病名和证候支持自定义录入；</w:t>
      </w:r>
    </w:p>
    <w:p w14:paraId="5B7304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需支持首字母检索录入西医ICD诊断，西医的诊断支持选择疾病分类进行过滤；</w:t>
      </w:r>
    </w:p>
    <w:p w14:paraId="66935EB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需支持入院诊断、出院诊断、术前诊断、术后诊断、病理诊断、死亡诊断、临床诊断多种诊断类型进行录入；</w:t>
      </w:r>
    </w:p>
    <w:p w14:paraId="3EA54F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需支持对诊断设置是否主诊，是否疑似诊断；</w:t>
      </w:r>
    </w:p>
    <w:p w14:paraId="66DB29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需支持入院病情、转归和转归日期的选择；</w:t>
      </w:r>
    </w:p>
    <w:p w14:paraId="00DE3B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需支持诊断多条录入，按照顺序多条显示，支持诊断上下移操作；</w:t>
      </w:r>
    </w:p>
    <w:p w14:paraId="68A88A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需支持在录入过诊断之后，医嘱单、申请单、护理病历可以带入已经录入的相关诊断；</w:t>
      </w:r>
    </w:p>
    <w:p w14:paraId="24CF791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需支持诊断删除及作废；</w:t>
      </w:r>
    </w:p>
    <w:p w14:paraId="4665D5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需支持自动关联传染病诊断报告卡；</w:t>
      </w:r>
    </w:p>
    <w:p w14:paraId="4BC70C6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需支持诊断组套管理，自动抓取账号高频使用诊断，生成常用诊断组套；</w:t>
      </w:r>
    </w:p>
    <w:p w14:paraId="2E32E4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需支持添加全院、科室以及个人诊断组套。</w:t>
      </w:r>
    </w:p>
    <w:p w14:paraId="716DD3A9">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0" w:name="_Toc216708531"/>
      <w:r>
        <w:rPr>
          <w:rFonts w:hint="eastAsia"/>
          <w:b/>
          <w:bCs/>
          <w:kern w:val="2"/>
          <w:sz w:val="24"/>
          <w:szCs w:val="24"/>
          <w:lang w:eastAsia="zh-CN"/>
        </w:rPr>
        <w:t>3.3患者信息管理</w:t>
      </w:r>
      <w:bookmarkEnd w:id="40"/>
    </w:p>
    <w:p w14:paraId="1D5DEB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需支持展示患者基本信息以及特殊的患者信息，帮助医生快速了解患者基本情况。</w:t>
      </w:r>
    </w:p>
    <w:p w14:paraId="37164BE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需支持患者档案，查看支持查看患者的档案信息，如基本信息、联系人等；</w:t>
      </w:r>
    </w:p>
    <w:p w14:paraId="6D6B382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需支持患者名片，根据患者不同性别、年龄展示不同的患者头像，查看患者基本信息，包括姓名、年龄、地址、费用类别等；</w:t>
      </w:r>
    </w:p>
    <w:p w14:paraId="455642C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需支持查看患者本次就诊开立医嘱的费用总计，提供查询费用明细的快捷操作；</w:t>
      </w:r>
    </w:p>
    <w:p w14:paraId="194D9E7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需支持患者过敏信息的录入、展示和维护，包括过敏原、过敏严重程度等，方便医生了解患者的过敏信息；</w:t>
      </w:r>
    </w:p>
    <w:p w14:paraId="51C44B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需支持医生对患者进行自定义信息录入，并具有提醒功能，具体需包括录入、待办、已办、标记功能；</w:t>
      </w:r>
    </w:p>
    <w:p w14:paraId="728EE13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对患者进行特殊标记（如：特殊关怀、攻击性）以及进行查看、编辑、删除操作。将病人的基本信息、就医信息、健康问题、用药信息、过敏信息、手术信息、检验检查报告、既往病史等信息组织起来，供医院的临床医生使用（通过门诊医生工作站、住院医生工作站调阅）；</w:t>
      </w:r>
    </w:p>
    <w:p w14:paraId="6E634A3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需支持通过大数据平台，可提供给健康管理云平台（如平台网站、APP等），提供患者查询；</w:t>
      </w:r>
    </w:p>
    <w:p w14:paraId="7223A3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需支持以患者为核心将患者信息在数据中心的基础上进行统一浏览和展示；</w:t>
      </w:r>
    </w:p>
    <w:p w14:paraId="5C429A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与临床数据中心结合，将信息展现给使用人员。满足医护工作需求，提高工作效率。建立可视化系统操作简单，界面友好，维护方便，实现涵盖多系统数据，提供历次就诊诊疗数据的综合信息呈现,为提高医疗质量提供支撑服务。</w:t>
      </w:r>
      <w:r>
        <w:rPr>
          <w:rFonts w:hint="eastAsia"/>
          <w:kern w:val="2"/>
          <w:sz w:val="24"/>
          <w:szCs w:val="24"/>
          <w:lang w:eastAsia="zh-CN"/>
        </w:rPr>
        <w:tab/>
      </w:r>
    </w:p>
    <w:p w14:paraId="0224152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1" w:name="_Toc216708532"/>
      <w:r>
        <w:rPr>
          <w:rFonts w:hint="eastAsia"/>
          <w:b/>
          <w:bCs/>
          <w:kern w:val="2"/>
          <w:sz w:val="24"/>
          <w:szCs w:val="24"/>
          <w:lang w:eastAsia="zh-CN"/>
        </w:rPr>
        <w:t>3.4住院医嘱管理</w:t>
      </w:r>
      <w:bookmarkEnd w:id="41"/>
    </w:p>
    <w:p w14:paraId="3D4CC18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需支持医嘱全程关联处置、手术、会诊等活动，以不同颜色区分新开、作废、退回、停止（文字提示）的医嘱；</w:t>
      </w:r>
    </w:p>
    <w:p w14:paraId="44A926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需支持对药品库存、下达时间等进行逻辑检查，自动明确药品单位，辅助提示规格、医保目录属性等信息；</w:t>
      </w:r>
    </w:p>
    <w:p w14:paraId="283C67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需支持警示功能，包括过敏药物警示。医嘱开具窗口时参考患者相关诊疗信息，如：检查、检验、手术、首页、收费以及护士对医嘱的处理情况；</w:t>
      </w:r>
    </w:p>
    <w:p w14:paraId="304EFE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需支持医嘱嵌入临床路径管理功能；</w:t>
      </w:r>
    </w:p>
    <w:p w14:paraId="6173C3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需支持根据医保限制条件，结合诊断、病史、检验、检查结果等患者情况，自动提示医生该医嘱不符合医保范围，并提示转自费处理；</w:t>
      </w:r>
    </w:p>
    <w:p w14:paraId="310DF31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需支持根据药品类型以及历史数据，自动提示医生是否需要对抗生素药品皮试，以及限制皮试结果为阳性或未获取皮试结果抗生素药品不允许开具；</w:t>
      </w:r>
    </w:p>
    <w:p w14:paraId="7F342D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需支持与LIS、PACS（含放射、放疗、等）、输血系统集成，能够方便快捷的查看检验结果、检查图片和文字报告；</w:t>
      </w:r>
    </w:p>
    <w:p w14:paraId="0FC42C6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需支持集成各类检查项目，可调取检查报告及影像资料。各项检查、检验申请时智能规范审查：相同项目规定时间内重复检查、违反性别限制（例如：男性患者查HCG）；</w:t>
      </w:r>
    </w:p>
    <w:p w14:paraId="73E9200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需支持集成合理用药系统，以便辅助自动提示药物说明书、药理、剂量、副作用等信息；</w:t>
      </w:r>
    </w:p>
    <w:p w14:paraId="517F4D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需支持集成精细化管理平台（抗菌药物管理、医保管控）系统，医嘱、处方下达时做到事前审方，对抗菌药物进行有效监控，对医保限制项目提示，并可自费项目打印；</w:t>
      </w:r>
    </w:p>
    <w:p w14:paraId="1BBA78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需支持与临床药物试验系统对接，完成临床药物试验所需资料的查阅及提醒。集成医保防控相关系统。</w:t>
      </w:r>
    </w:p>
    <w:p w14:paraId="5BB0B5B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3.4.1医嘱开立</w:t>
      </w:r>
    </w:p>
    <w:p w14:paraId="2537C8D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需支持不同形式的快速便捷的医嘱开立模式；</w:t>
      </w:r>
    </w:p>
    <w:p w14:paraId="682052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需支持多种类型、多个医嘱一次性开立的模式；</w:t>
      </w:r>
    </w:p>
    <w:p w14:paraId="3B02DD7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需支持医生开立住院患者需要的所有项目，包括西药、检查、检验、治疗、手术、病理、中成药、中草药等；</w:t>
      </w:r>
    </w:p>
    <w:p w14:paraId="77F6271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需支持鼠标操作、全键盘操作两种不同的操作习惯；</w:t>
      </w:r>
    </w:p>
    <w:p w14:paraId="3946A4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需支持在开立医嘱时提示默认的频次用法供参考；</w:t>
      </w:r>
    </w:p>
    <w:p w14:paraId="6630FC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需支持常用的医嘱项目以及功能的快捷开立方式；</w:t>
      </w:r>
    </w:p>
    <w:p w14:paraId="00413E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需支持科常用术语和全部术语的快速切换；</w:t>
      </w:r>
    </w:p>
    <w:p w14:paraId="6200252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需支持开立术语的多种查询方式（精准匹配、模糊匹配、前匹配、后匹配）、或按拼音/五笔检索，并支持快速切换；</w:t>
      </w:r>
    </w:p>
    <w:p w14:paraId="3A9E3BC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需支持长期医嘱根据每次量和时间自动计算总量；</w:t>
      </w:r>
    </w:p>
    <w:p w14:paraId="636958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需支持检验项目设置默认标本和部位；</w:t>
      </w:r>
    </w:p>
    <w:p w14:paraId="5B87546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需支持非药品医嘱设置默认的执行科室、药品设置默认的取药药房；</w:t>
      </w:r>
    </w:p>
    <w:p w14:paraId="71BE98C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需支持设置协定处方便捷开立医嘱功能；</w:t>
      </w:r>
    </w:p>
    <w:p w14:paraId="37F74F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需支持在医嘱组合时对频次用法是否一致进行校验；</w:t>
      </w:r>
    </w:p>
    <w:p w14:paraId="25ADDE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需支持医嘱保存但不签名模式；</w:t>
      </w:r>
    </w:p>
    <w:p w14:paraId="1A4C74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需支持在医嘱开立时与患者性别进行校验，并进行冲突提示；</w:t>
      </w:r>
    </w:p>
    <w:p w14:paraId="0218318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需支持在医嘱保存时校验库存，库存不足给予提示；</w:t>
      </w:r>
    </w:p>
    <w:p w14:paraId="7531E9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需支持医嘱过滤，如默认医嘱、全部医嘱、有效医嘱；</w:t>
      </w:r>
    </w:p>
    <w:p w14:paraId="16D405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需支持在医嘱保存时校验权限，权限不足给予提示。</w:t>
      </w:r>
    </w:p>
    <w:p w14:paraId="5EF499C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3.4.2医嘱组合</w:t>
      </w:r>
    </w:p>
    <w:p w14:paraId="68BC86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需支持医嘱的组合与拆组；</w:t>
      </w:r>
    </w:p>
    <w:p w14:paraId="237E6F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需支持医嘱大输液自动成组；</w:t>
      </w:r>
    </w:p>
    <w:p w14:paraId="448467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需支持子医嘱自动成组。</w:t>
      </w:r>
    </w:p>
    <w:p w14:paraId="2680DCD3">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3.4.3历史医嘱</w:t>
      </w:r>
    </w:p>
    <w:p w14:paraId="38A459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需支持按照医嘱类型、类别、精确搜索信息；</w:t>
      </w:r>
    </w:p>
    <w:p w14:paraId="1414F9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需支持历史医嘱存为组套；</w:t>
      </w:r>
    </w:p>
    <w:p w14:paraId="03C5537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需支持历史医嘱直接复制到门诊/住院开立医嘱。</w:t>
      </w:r>
    </w:p>
    <w:p w14:paraId="441ED51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3.4.4住院医嘱保存</w:t>
      </w:r>
    </w:p>
    <w:p w14:paraId="6DE0BDC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需支持住院医嘱暂存功能；</w:t>
      </w:r>
    </w:p>
    <w:p w14:paraId="61DE26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需支持住院医嘱提交功能；</w:t>
      </w:r>
    </w:p>
    <w:p w14:paraId="2265E28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需支持住院医嘱保存后，自动同步特殊信息，包括合理用药、CDSS、上报平台等；</w:t>
      </w:r>
    </w:p>
    <w:p w14:paraId="39B0959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需支持对住院医嘱进行CA加密信息保存。</w:t>
      </w:r>
    </w:p>
    <w:p w14:paraId="4668547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3.4.5住院医嘱删除、停止及作废</w:t>
      </w:r>
    </w:p>
    <w:p w14:paraId="2B7D4E6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需支持医嘱在护士接收前，能够删除；</w:t>
      </w:r>
    </w:p>
    <w:p w14:paraId="01363C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需支持长期医嘱在护士接收后，能够停止；</w:t>
      </w:r>
    </w:p>
    <w:p w14:paraId="18A8EA1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需支持临时医嘱在护士接收后，能够作废；</w:t>
      </w:r>
    </w:p>
    <w:p w14:paraId="2329A4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需支持撤销护士未审核的作废、停止医嘱；</w:t>
      </w:r>
    </w:p>
    <w:p w14:paraId="0FAA5B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需支持术后一键新开术前停止医嘱。</w:t>
      </w:r>
    </w:p>
    <w:p w14:paraId="158815A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3.4.6医嘱状态查询</w:t>
      </w:r>
    </w:p>
    <w:p w14:paraId="20B41B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需支持查看闭环流程监视以及医嘱执行状态。</w:t>
      </w:r>
    </w:p>
    <w:p w14:paraId="38938FF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3.4.7医嘱计算器</w:t>
      </w:r>
    </w:p>
    <w:p w14:paraId="1005DA1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需内置胰岛素用量，胰岛素抵抗指数，高血糖钠校正的计算功能。</w:t>
      </w:r>
    </w:p>
    <w:p w14:paraId="4B8C9C1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3.4.8医嘱组套管理</w:t>
      </w:r>
    </w:p>
    <w:p w14:paraId="6C4D023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需支持多种方式创建组套；</w:t>
      </w:r>
    </w:p>
    <w:p w14:paraId="615B96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需支持组套重命名、修改编辑、删除操作；</w:t>
      </w:r>
    </w:p>
    <w:p w14:paraId="11A9C37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需支持多种检索方式（组套名、拼音首字母、五笔码）快速检索医嘱组套；</w:t>
      </w:r>
    </w:p>
    <w:p w14:paraId="38BD1F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需支持多种组套类型并且不同权限的角色可编辑相应的组套内容；</w:t>
      </w:r>
    </w:p>
    <w:p w14:paraId="4A77C8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需支持新增医嘱组套，保存时可定义组套使用方式；</w:t>
      </w:r>
    </w:p>
    <w:p w14:paraId="706578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需支持将已开立的医嘱条目保存为医嘱组套；</w:t>
      </w:r>
    </w:p>
    <w:p w14:paraId="7FD679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需支持将不同的医嘱类型的医嘱项目存为一个组套（如：药品、检查、检验）；</w:t>
      </w:r>
    </w:p>
    <w:p w14:paraId="620C7B4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需支持在原组套内容基础上追加内容；</w:t>
      </w:r>
    </w:p>
    <w:p w14:paraId="13E234B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需支持按角色提供常用组套便捷开立方式；</w:t>
      </w:r>
    </w:p>
    <w:p w14:paraId="680D868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需支持按药理作用分类组套便捷开立方式。</w:t>
      </w:r>
    </w:p>
    <w:p w14:paraId="69EFDE4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3.4.9医嘱开立设置</w:t>
      </w:r>
    </w:p>
    <w:p w14:paraId="322E80A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需支持医嘱跳转顺序设置；</w:t>
      </w:r>
    </w:p>
    <w:p w14:paraId="3D0AC8C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需支持设置每行显示的草药味数（1-5味）；</w:t>
      </w:r>
    </w:p>
    <w:p w14:paraId="61C678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需支持自定义设置功能菜单顺序。</w:t>
      </w:r>
    </w:p>
    <w:p w14:paraId="161814C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3.4.10单据打印</w:t>
      </w:r>
    </w:p>
    <w:p w14:paraId="34E0C86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需支持检查、检验等申请单等单据打印。</w:t>
      </w:r>
    </w:p>
    <w:p w14:paraId="2E747879">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2" w:name="_Toc216708535"/>
      <w:r>
        <w:rPr>
          <w:rFonts w:hint="eastAsia"/>
          <w:b/>
          <w:bCs/>
          <w:kern w:val="2"/>
          <w:sz w:val="24"/>
          <w:szCs w:val="24"/>
          <w:lang w:eastAsia="zh-CN"/>
        </w:rPr>
        <w:t>3.5住院处方开立</w:t>
      </w:r>
      <w:bookmarkEnd w:id="42"/>
    </w:p>
    <w:p w14:paraId="453E931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需支持手术申请单、用血申请单开立医嘱功能，并对于相应的知情同意书进行了校验及提醒；</w:t>
      </w:r>
    </w:p>
    <w:p w14:paraId="0C9EEBF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需支持抗生素、抗肿瘤医嘱开立；</w:t>
      </w:r>
    </w:p>
    <w:p w14:paraId="47CE7B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需支持非限制级、限制级、特技抗生素的开立级别相应权限设置，特殊级抗生素可越级开立、审批；</w:t>
      </w:r>
    </w:p>
    <w:p w14:paraId="5752ACC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需支持限制级、非限制级抗肿瘤的开立级别相应权限设置；</w:t>
      </w:r>
    </w:p>
    <w:p w14:paraId="19BA79E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需支持药品分级对应不同职称限制（毒，麻，精神，贵重药品）；</w:t>
      </w:r>
    </w:p>
    <w:p w14:paraId="21E43E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需支持医嘱字典个性化排序设置（用法，频次，计量单位）可根据使用频率优先显示；</w:t>
      </w:r>
    </w:p>
    <w:p w14:paraId="4C4675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开立医嘱时，为提升医生工作效率，可按照医生使用习惯对医嘱组套树展开形式进行配置，提供了多种检索方式(组套名、拼音首字母、五笔码)快速检索医嘱组套，并可根据不同权限编辑三种不同组套(个人、科室、全院)，新增组套时，可将已开立中的医嘱条目一键另存为组套，并可以将不同类型的医嘱存为一个组套(如:药品、检查、检验、护理级别)；</w:t>
      </w:r>
    </w:p>
    <w:p w14:paraId="46212CD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需支持支持医嘱暂存、签发功能，医嘱保存时进行了合理用药校验，对于库存不足或没有权限给与友好提醒；</w:t>
      </w:r>
    </w:p>
    <w:p w14:paraId="01C1C3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需支持支持住院手术申请、输血申请、治疗申请的开立。检验、检查、输血、治疗、处方、会诊等申请时，自动生成对应医嘱信息；</w:t>
      </w:r>
    </w:p>
    <w:p w14:paraId="01776F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需支持医嘱录入方式提供表格录入和弹窗录入方便医院更具实际情况选择适合方式。</w:t>
      </w:r>
    </w:p>
    <w:p w14:paraId="5DEA6C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需支持医嘱直接下达出院通知验证病人是否完成所有在院业务，避免病人多次往返。</w:t>
      </w:r>
    </w:p>
    <w:p w14:paraId="054F8EF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结合我院管理制度，需支持抗生素、抗肿瘤医嘱相应权限管理开立、需支持医嘱组套多检索方式配置、需支持手术、输血、治疗、会诊申请自动生成医嘱、需支持出院患者医嘱开立验证。</w:t>
      </w:r>
    </w:p>
    <w:p w14:paraId="582CE8A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3.5.1抗生素分级管理</w:t>
      </w:r>
    </w:p>
    <w:p w14:paraId="4DE74F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需支持非限制级、限制级、特级抗生素开立和相应权限设置；</w:t>
      </w:r>
    </w:p>
    <w:p w14:paraId="3DE4979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需支持特殊级抗生素越级开立；</w:t>
      </w:r>
    </w:p>
    <w:p w14:paraId="05993A6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需支持特殊级抗生素多级审批；</w:t>
      </w:r>
    </w:p>
    <w:p w14:paraId="626154A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需支持特殊级抗生素紧急开立；</w:t>
      </w:r>
    </w:p>
    <w:p w14:paraId="4AF8A9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需支持抗生素联合用药使用情况；</w:t>
      </w:r>
    </w:p>
    <w:p w14:paraId="409C22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需支持长期医嘱执行设置警示天数。</w:t>
      </w:r>
    </w:p>
    <w:p w14:paraId="40F47D3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3.5.2抗肿瘤医嘱管理</w:t>
      </w:r>
    </w:p>
    <w:p w14:paraId="7E73A9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需要支持化疗医嘱的静配管理流程。</w:t>
      </w:r>
    </w:p>
    <w:p w14:paraId="3630DE0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3.5.3毒麻精药品、自定义特殊药品权限控制管理</w:t>
      </w:r>
    </w:p>
    <w:p w14:paraId="0BC2B4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需支持毒麻精药品权限维护及控制；</w:t>
      </w:r>
    </w:p>
    <w:p w14:paraId="478F58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需支持自定义特殊药品权限维护及控制管理；</w:t>
      </w:r>
    </w:p>
    <w:p w14:paraId="6138016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需支持开立毒麻药是自动提醒录入毒麻代办人信息。</w:t>
      </w:r>
    </w:p>
    <w:p w14:paraId="3C9BD5C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3" w:name="_Toc216708536"/>
      <w:r>
        <w:rPr>
          <w:rFonts w:hint="eastAsia"/>
          <w:b/>
          <w:bCs/>
          <w:kern w:val="2"/>
          <w:sz w:val="24"/>
          <w:szCs w:val="24"/>
          <w:lang w:eastAsia="zh-CN"/>
        </w:rPr>
        <w:t>3.6检查检验开立</w:t>
      </w:r>
      <w:bookmarkEnd w:id="43"/>
    </w:p>
    <w:p w14:paraId="416597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需支持LIS、PACS检查直接申请，并同步医嘱界面。实时查阅检查、检验、手术等申请的执行状态；</w:t>
      </w:r>
    </w:p>
    <w:p w14:paraId="717B73C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需支持可直接调阅检验结果变化趋势图；</w:t>
      </w:r>
    </w:p>
    <w:p w14:paraId="2815304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需支持快速切换申请单类型；</w:t>
      </w:r>
    </w:p>
    <w:p w14:paraId="4FEAA47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需支持常用检查检验项目查询、快速复用、检索；</w:t>
      </w:r>
    </w:p>
    <w:p w14:paraId="77B3F5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需支持展示患者简要病史数据，并能后自主编辑；</w:t>
      </w:r>
    </w:p>
    <w:p w14:paraId="4DF0004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需支持医生自定义录入备注信息；</w:t>
      </w:r>
    </w:p>
    <w:p w14:paraId="0B47DE9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需支持对已开立的项目及费用进行预览，能够增减数目；</w:t>
      </w:r>
    </w:p>
    <w:p w14:paraId="5F331A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需支持流行病相关检验项目开立开发；</w:t>
      </w:r>
    </w:p>
    <w:p w14:paraId="468009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需支持检查检验预约情况查询；</w:t>
      </w:r>
    </w:p>
    <w:p w14:paraId="38FCA62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需支持诊间检查预约。</w:t>
      </w:r>
    </w:p>
    <w:p w14:paraId="4F7EAD6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bookmarkStart w:id="44" w:name="_Toc216708538"/>
      <w:r>
        <w:rPr>
          <w:rFonts w:hint="eastAsia"/>
          <w:b/>
          <w:bCs/>
          <w:kern w:val="2"/>
          <w:sz w:val="24"/>
          <w:szCs w:val="24"/>
          <w:lang w:eastAsia="zh-CN"/>
        </w:rPr>
        <w:t>3.6.1检查申请单</w:t>
      </w:r>
      <w:bookmarkEnd w:id="44"/>
    </w:p>
    <w:p w14:paraId="49D06CE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需支持常用检查项目查询；</w:t>
      </w:r>
    </w:p>
    <w:p w14:paraId="5BEF34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需支持常用检查项目的快速复用；</w:t>
      </w:r>
    </w:p>
    <w:p w14:paraId="02CE8C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需支持按照检查部位进行检索；</w:t>
      </w:r>
    </w:p>
    <w:p w14:paraId="48E505B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需支持医生自定义录入检查目的信息；</w:t>
      </w:r>
    </w:p>
    <w:p w14:paraId="15186B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需支持插入、编辑图片以及描述需要特殊说明的检查部位或注意事项；</w:t>
      </w:r>
    </w:p>
    <w:p w14:paraId="64F2953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需支持医生自定义录入检查备注信息；</w:t>
      </w:r>
    </w:p>
    <w:p w14:paraId="4953E29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需支持快速查阅患者既往的检查项目；</w:t>
      </w:r>
    </w:p>
    <w:p w14:paraId="32293C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需支持对已开立的检查项目及费用进行预览，能够增减数目；</w:t>
      </w:r>
    </w:p>
    <w:p w14:paraId="73127FF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需支持医生标记特殊信息，包括绿色通道、接触隔离、单病种、是否轮椅、是否步行；</w:t>
      </w:r>
    </w:p>
    <w:p w14:paraId="27C553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需支持根据检查类型、检查方法、执行科室、大部位、小部位自动分单；</w:t>
      </w:r>
    </w:p>
    <w:p w14:paraId="58148A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需支持根据检查项目配置人体部位图，并基于人体部位图开立检查项目。</w:t>
      </w:r>
    </w:p>
    <w:p w14:paraId="270FC12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bookmarkStart w:id="45" w:name="_Toc216708539"/>
      <w:r>
        <w:rPr>
          <w:rFonts w:hint="eastAsia"/>
          <w:b/>
          <w:bCs/>
          <w:kern w:val="2"/>
          <w:sz w:val="24"/>
          <w:szCs w:val="24"/>
          <w:lang w:eastAsia="zh-CN"/>
        </w:rPr>
        <w:t>3.6.2检验申请单</w:t>
      </w:r>
      <w:bookmarkEnd w:id="45"/>
    </w:p>
    <w:p w14:paraId="2271E6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需支持两种检验申请单创建方式（开立医嘱后生成申请单/创建申请单后生成医嘱）；</w:t>
      </w:r>
    </w:p>
    <w:p w14:paraId="06A5E8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需支持快速切换申请单类型（如：生化、基础检验、微生物、免疫学、变态反应）；</w:t>
      </w:r>
    </w:p>
    <w:p w14:paraId="25E0711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需支持常用检验项目查询；</w:t>
      </w:r>
    </w:p>
    <w:p w14:paraId="2E6036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需支持常用检验项目的快速复用；</w:t>
      </w:r>
    </w:p>
    <w:p w14:paraId="3C1047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需支持对已开立的检验项目及费用进行预览，能够增减数目；</w:t>
      </w:r>
    </w:p>
    <w:p w14:paraId="578822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需支持根据检验类型、执行科室、样本自动分单；</w:t>
      </w:r>
    </w:p>
    <w:p w14:paraId="1C9F8F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需支持对于相同检验项目多次检验结果，通过时序图的方式呈现变化趋势。</w:t>
      </w:r>
    </w:p>
    <w:p w14:paraId="3061E06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3.6.3手术申请单</w:t>
      </w:r>
    </w:p>
    <w:p w14:paraId="35EB81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需支持通过手术申请单开立医嘱；</w:t>
      </w:r>
    </w:p>
    <w:p w14:paraId="26C865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需支持对患者手术申请单的校验如传染疾病提示、术前讨论是否具备、知情同意书提示。</w:t>
      </w:r>
    </w:p>
    <w:p w14:paraId="70FB449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3.6.4用血申请单</w:t>
      </w:r>
    </w:p>
    <w:p w14:paraId="7283024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需支持通过用血申请单开立医嘱；</w:t>
      </w:r>
    </w:p>
    <w:p w14:paraId="26FAA1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需支持患者输血前患者体征信息校验、知情同意书校验的警示功能。</w:t>
      </w:r>
    </w:p>
    <w:p w14:paraId="7806174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3.6.5病理申请单</w:t>
      </w:r>
    </w:p>
    <w:p w14:paraId="1CB820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需支持通过病理申请单开立医嘱。</w:t>
      </w:r>
    </w:p>
    <w:p w14:paraId="5EC334A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3.6.6会诊申请单</w:t>
      </w:r>
    </w:p>
    <w:p w14:paraId="01C7AA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需支持通过会诊申请单开立医嘱。</w:t>
      </w:r>
    </w:p>
    <w:p w14:paraId="63F64CF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6" w:name="_Toc216708540"/>
      <w:r>
        <w:rPr>
          <w:rFonts w:hint="eastAsia"/>
          <w:b/>
          <w:bCs/>
          <w:kern w:val="2"/>
          <w:sz w:val="24"/>
          <w:szCs w:val="24"/>
          <w:lang w:eastAsia="zh-CN"/>
        </w:rPr>
        <w:t>3.7推荐治疗计划</w:t>
      </w:r>
      <w:bookmarkEnd w:id="46"/>
    </w:p>
    <w:p w14:paraId="7AF4C43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需支持查看患者不同就诊场景（门诊/住院）下的历史医嘱；</w:t>
      </w:r>
    </w:p>
    <w:p w14:paraId="1B18E40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需支持历史医嘱直接复制到住院医生站开立医嘱；</w:t>
      </w:r>
    </w:p>
    <w:p w14:paraId="24EFA2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需支持新增医嘱组套，保存时自动生成检索关键字（拼音首字母/五笔码）；</w:t>
      </w:r>
    </w:p>
    <w:p w14:paraId="1837F6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需支持按照使用习惯设置是否默认展开医嘱组套树，支持根据诊疗行为习惯推送医生常用处方、常用诊断。</w:t>
      </w:r>
    </w:p>
    <w:p w14:paraId="35F5E64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7" w:name="_Toc216708541"/>
      <w:r>
        <w:rPr>
          <w:rFonts w:hint="eastAsia"/>
          <w:b/>
          <w:bCs/>
          <w:kern w:val="2"/>
          <w:sz w:val="24"/>
          <w:szCs w:val="24"/>
          <w:lang w:eastAsia="zh-CN"/>
        </w:rPr>
        <w:t>3.8中草药开立管理</w:t>
      </w:r>
      <w:bookmarkEnd w:id="47"/>
    </w:p>
    <w:p w14:paraId="3590F9FB">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需支持按照草药类型快速过滤；</w:t>
      </w:r>
    </w:p>
    <w:p w14:paraId="15D2DC24">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需支持在两味草药之间快速插入一味药；</w:t>
      </w:r>
    </w:p>
    <w:p w14:paraId="55540F45">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需支持草药特殊煎制法的录入；</w:t>
      </w:r>
    </w:p>
    <w:p w14:paraId="14DA9AC4">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需支持药引的选择录入及自定义输入，治则治法的选择与自定义录入；</w:t>
      </w:r>
    </w:p>
    <w:p w14:paraId="21701CBC">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需支持对草药君臣佐使进行分类统计；</w:t>
      </w:r>
    </w:p>
    <w:p w14:paraId="650B0F5E">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需支持草药秘方打包组套；</w:t>
      </w:r>
    </w:p>
    <w:p w14:paraId="74597664">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需支持草药多种开立跳转顺序。</w:t>
      </w:r>
    </w:p>
    <w:p w14:paraId="271FD41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8" w:name="_Toc216708543"/>
      <w:r>
        <w:rPr>
          <w:rFonts w:hint="eastAsia"/>
          <w:b/>
          <w:bCs/>
          <w:kern w:val="2"/>
          <w:sz w:val="24"/>
          <w:szCs w:val="24"/>
          <w:lang w:eastAsia="zh-CN"/>
        </w:rPr>
        <w:t>3.9智能诊疗工具</w:t>
      </w:r>
      <w:bookmarkEnd w:id="48"/>
    </w:p>
    <w:p w14:paraId="0B18304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需支持患者性别、身高、体重自动带入计算器；</w:t>
      </w:r>
    </w:p>
    <w:p w14:paraId="3A00D6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需支持内置多种医学公式（如：体表面积、肾小球滤过率、肌酐清除率），支持快速计算；</w:t>
      </w:r>
    </w:p>
    <w:p w14:paraId="4D4238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需支持临床数据应用视图：提供按照时间顺序倒序展示患者历次就诊的时间及相关就诊信息摘要功能。提供按照就诊场景（门诊、住院、手术、MDT会诊、放疗、化疗）展示患者历次就诊的时间以及摘要信息功能；</w:t>
      </w:r>
    </w:p>
    <w:p w14:paraId="008666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需提供可查询指定的某次就医功能；</w:t>
      </w:r>
    </w:p>
    <w:p w14:paraId="3F0B82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需提供就诊节点相关的检验报告快速查看链接；</w:t>
      </w:r>
    </w:p>
    <w:p w14:paraId="3793952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需提供就诊节点相关的检查报告快速查看链接；</w:t>
      </w:r>
    </w:p>
    <w:p w14:paraId="33CDC6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需提供展示患者门诊就诊相关病历；</w:t>
      </w:r>
    </w:p>
    <w:p w14:paraId="78503A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需提供展示患者急诊就诊相关病历；</w:t>
      </w:r>
    </w:p>
    <w:p w14:paraId="38E0474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展示患者住院时所有的住院病历（入院记录，出院记录，病程记录，护理记录，手术记录）；</w:t>
      </w:r>
    </w:p>
    <w:p w14:paraId="0F1AD9B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需提供展示患者历史医嘱信息功能；</w:t>
      </w:r>
    </w:p>
    <w:p w14:paraId="141FFF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需提供复制历史医嘱到医嘱开立页面功能；</w:t>
      </w:r>
    </w:p>
    <w:p w14:paraId="2AA9FF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需提供展示相关的常规检验，细菌实验的检验结果功能；</w:t>
      </w:r>
    </w:p>
    <w:p w14:paraId="56CA8A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需提供查询指定的检验结果的曲线分析功能；</w:t>
      </w:r>
    </w:p>
    <w:p w14:paraId="3336AE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需提供展示患者相关的检查报告（CT、DR、心电、病理、内窥镜检查报告）功能；</w:t>
      </w:r>
    </w:p>
    <w:p w14:paraId="53DE5D7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需提供复制检查报告结果内容功能，方便医生填写患者病历。</w:t>
      </w:r>
    </w:p>
    <w:p w14:paraId="14B3DB7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3.9.1手术</w:t>
      </w:r>
    </w:p>
    <w:p w14:paraId="52F76A8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3.9.1.1手术术语维护</w:t>
      </w:r>
    </w:p>
    <w:p w14:paraId="78BD9D8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需支持手术ICD9字典信息管理功能；</w:t>
      </w:r>
    </w:p>
    <w:p w14:paraId="1D50DC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需支持以台账形式展示ICD9字典信息，展示内容需包含（手术编码、手术名称、手术等级、默认切口等级、是否重大手术、有效性）等关键信息标识；</w:t>
      </w:r>
    </w:p>
    <w:p w14:paraId="421B4A5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需能支持以手术编码、手术名称、拼音码、五笔码等条件的字典查询；</w:t>
      </w:r>
    </w:p>
    <w:p w14:paraId="2BFFDAF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需根据字典条目有效性进行批量过滤；</w:t>
      </w:r>
    </w:p>
    <w:p w14:paraId="117F72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字典明细信息的新增及编辑，编辑信息需包括（手术编码、手术名称、手术类别、手术等级、默认切口等级、是否重大手术、默认部位、性别适用性、技术适用性、中医适用性、抗生素术前使用建议、有效性）等关键信息标识。</w:t>
      </w:r>
    </w:p>
    <w:p w14:paraId="616A740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3.9.1.2手术权限管理</w:t>
      </w:r>
    </w:p>
    <w:p w14:paraId="4BF111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需支持足一级、二级、三级、四级手术权限的分配管理功能；</w:t>
      </w:r>
    </w:p>
    <w:p w14:paraId="7A26D1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需支持手术权限的简化分配与精细化管理，需支持超出人员职级外但具备手术资格权限的术式分配管理方案；</w:t>
      </w:r>
    </w:p>
    <w:p w14:paraId="3E4679B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需支持简化分配权限，分配时需结合医师职级、临床科室、具体医师人员进行1-4级手术的权限分配；</w:t>
      </w:r>
    </w:p>
    <w:p w14:paraId="30B75C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需支持精细化管理需能够按医师与ICD9具体术式进行匹配管理；</w:t>
      </w:r>
    </w:p>
    <w:p w14:paraId="056F4A9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3.9.1.3手术申请</w:t>
      </w:r>
    </w:p>
    <w:p w14:paraId="198C2A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需支持以计划形式开立手术申请及围术期事件相关病历文书；</w:t>
      </w:r>
    </w:p>
    <w:p w14:paraId="3159F9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需支持保持计划内各病历文书内容相互引用，数据信息同源，保持各文书与本次手术计划的强关联性和逻辑性；</w:t>
      </w:r>
    </w:p>
    <w:p w14:paraId="63D81CB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单填写与作废及填写信息校验，填写信息需包括患者信息（住院号、姓名、性别、年龄、所在科室、床号）、术前诊断、手术申请类别（择期手术、急诊手术、日间手术）、手术详细信息、申请手术室、麻醉医师、ASA分级、隔离信息（HIV、HBV、HCV、HAV、梅毒等）参观人员、备注等相关信息；</w:t>
      </w:r>
    </w:p>
    <w:p w14:paraId="74D2DF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需支持手术申请一单多术式，单个术式信息独立成行分别填写（手术名称、部位、侧位、体位、切口等级、手术等级、手术医师、一助、二助、三助、是否越级）等关键手术信息；</w:t>
      </w:r>
    </w:p>
    <w:p w14:paraId="58E0288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需支持一单多术式申请的主要手术标识功能；</w:t>
      </w:r>
    </w:p>
    <w:p w14:paraId="2A7F2B9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需支持术前检验信息如（ABO血型、Rh血型、乙肝、HIV、梅毒）等关键检验项目医嘱信息的开立及检验结果的校验；</w:t>
      </w:r>
    </w:p>
    <w:p w14:paraId="6BB81F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需支持根据单行术式信息校验当前行填写的手术医师是否具备对应手术资格；</w:t>
      </w:r>
    </w:p>
    <w:p w14:paraId="119629A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需支持重大手术、非计划再次手术的申请与审批流程；</w:t>
      </w:r>
    </w:p>
    <w:p w14:paraId="48C829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需支持手术申请类别为“急诊”的术式手术权限“越级”申请操作；</w:t>
      </w:r>
    </w:p>
    <w:p w14:paraId="41ED2B2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需支持手术申请单与输血申请单关联开立及查看功能，用以编辑处理手术相关备血管理；</w:t>
      </w:r>
    </w:p>
    <w:p w14:paraId="429D69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需支持手术申请与病理申请关联查看功能，辅助申请医师了解患者病理检查标本采样的准备信息。</w:t>
      </w:r>
    </w:p>
    <w:p w14:paraId="2BE860FB">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3.9.2住院登记</w:t>
      </w:r>
    </w:p>
    <w:p w14:paraId="0CDD4D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住院登记功能需包含基本患者信息的录入（支持信息自动带入和手动录入）与修改，患者住院预约审批、欠费患者查询、无费退院等功能，能够实现对所有患者住院费用、警戒线等信息的维护与管理，实现出院登记与召回等多项功能。</w:t>
      </w:r>
    </w:p>
    <w:p w14:paraId="20F623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1.入院登记</w:t>
      </w:r>
    </w:p>
    <w:p w14:paraId="1DAF30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需支持手动录入或读卡带出患者基本信息。患者住院号支持手工录入或系统自动生成；</w:t>
      </w:r>
    </w:p>
    <w:p w14:paraId="64DF252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需支持登记时收取住院预交金；患者姓名、性别等必填信息，界面需要用醒目颜色标注；</w:t>
      </w:r>
    </w:p>
    <w:p w14:paraId="5FA1C41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需支持住院处直接接诊流程；</w:t>
      </w:r>
    </w:p>
    <w:p w14:paraId="5BECFF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需支持患者住院科室的修改（未被病房接诊）；</w:t>
      </w:r>
    </w:p>
    <w:p w14:paraId="2E0CD4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需支持患者登记同时录入担保信息，支持在担保管理界面单独录入，预交金管理需支持银医直连划扣，自动生成符合《医疗收费电子票据规范》的电子担保凭证。</w:t>
      </w:r>
    </w:p>
    <w:p w14:paraId="3D3C0E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2.出院登记</w:t>
      </w:r>
    </w:p>
    <w:p w14:paraId="440874A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需支持住院处直接出院登记流程：录入患者住院号，为患者办理出院登记手续，患者的状态标记为“出院登记”。出院登记支持停止患者的所有医嘱、床位费等日固定费用的滚动；</w:t>
      </w:r>
    </w:p>
    <w:p w14:paraId="1370BE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需支持医嘱终止后自动冻结所有在途医嘱，支持分布式锁机制确保床位费计算的原子性操作；</w:t>
      </w:r>
    </w:p>
    <w:p w14:paraId="6750DF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需支持系统强制要求完成出院质控等检查。</w:t>
      </w:r>
    </w:p>
    <w:p w14:paraId="249BF3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3.出院召回</w:t>
      </w:r>
    </w:p>
    <w:p w14:paraId="0DCF6A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处出院召回操作，召回操作启用版本回滚技术。支持通过事务日志追溯恢复患者入院数据快照。录入患者住院号，为患者进行出院召回。出院召回后，需要将患者的状态从“出院登记”状态更新回“住院接诊”状态。</w:t>
      </w:r>
    </w:p>
    <w:p w14:paraId="6922E2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4.患者信息修改</w:t>
      </w:r>
    </w:p>
    <w:p w14:paraId="7A630FD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需支持录入患者住院号，检索患者的基本信息，供操作人修改。需支持修改患者姓名、出生日期、民族、籍贯等基本信息。患者的结算方式、住院号、住院科室等信息需要控制不能在此处进行修改。</w:t>
      </w:r>
    </w:p>
    <w:p w14:paraId="456458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5.无费退院</w:t>
      </w:r>
    </w:p>
    <w:p w14:paraId="35AE3C2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需支持录入患者住院号，为没有发生费用的患者办理无费退院。患者的费用总额、预交金必须是0才可办理无费退院，需包含药品、非药品、医嘱等多种质控校验，保证医院不漏费，不多收费。</w:t>
      </w:r>
    </w:p>
    <w:p w14:paraId="7845B1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6.担保管理</w:t>
      </w:r>
    </w:p>
    <w:p w14:paraId="24B8655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需支持担保金的收取、返还、补打等操作，支持担保信息查询，支持多种担保类型的配置与选择，保障担保金额实时更新与在院费用的校验。</w:t>
      </w:r>
    </w:p>
    <w:p w14:paraId="511426E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7.身份变更</w:t>
      </w:r>
    </w:p>
    <w:p w14:paraId="0D25282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需支持自费转医保、医保转自费、自费转公费、公费转自费等不同身份类别之间的变更，支持自动计算不同身份间的报销比例变化，并处理费用信息，支持变更后费用的自动上传。</w:t>
      </w:r>
    </w:p>
    <w:p w14:paraId="6582883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8.查询</w:t>
      </w:r>
    </w:p>
    <w:p w14:paraId="5BB1296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动录入或一键带入患者基本信息的方式，对入院患者进行详细的信息查询与管理，对已出院患者过往留存信息进行管理维护，在患者召回或再次入院时，自动更新患者信息，页面包含丰富的患者在院信息，例如预交金、费用明细、医保费用清单等。</w:t>
      </w:r>
    </w:p>
    <w:p w14:paraId="368D684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3.9.3住院收费功能</w:t>
      </w:r>
    </w:p>
    <w:p w14:paraId="69E701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住院收费功能需支持已入院患者药品、非药品以及其他项目费用的收取、返还、包括预交金管理、住院优惠减免等多项功能，支持对患者费用信息进行查询，打印催款单和费用日结清单等。</w:t>
      </w:r>
    </w:p>
    <w:p w14:paraId="5E2AC5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1.预交金管理</w:t>
      </w:r>
    </w:p>
    <w:p w14:paraId="29E9FB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通过住院号、科室和姓名等查询条件，一键查询并带入患者信息，显示患者预交金的数额，支付方式等具体信息。支持实现住院患者预交金的收取，返还，预交金发票补打等，收取支持多种支付方式，还可以打印预交金收据凭证。</w:t>
      </w:r>
    </w:p>
    <w:p w14:paraId="1055F3B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（1）预交金的收取与返还：需支持多种支付方式的预交金收取，需支持三方支付接口的实时调用和预交金的原路返还；</w:t>
      </w:r>
    </w:p>
    <w:p w14:paraId="4C72C14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（2）预交金的半返和返现：差额返还收取的预交金，需支持非现金支付的预交金的返现；</w:t>
      </w:r>
    </w:p>
    <w:p w14:paraId="696E149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（3）预交金票据的重打和补打：需支持预交金票据的走号打印和不走号打印。</w:t>
      </w:r>
    </w:p>
    <w:p w14:paraId="3F19B7F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2.预交金日结算</w:t>
      </w:r>
    </w:p>
    <w:p w14:paraId="58B3F61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需支持操作员在一键带入查询患者具体信息后，选择预交金日结并打印详细清单。</w:t>
      </w:r>
    </w:p>
    <w:p w14:paraId="0AF3DAD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（1）收款员预交金日结：需支持结清收款员当日的预交金收取情况；</w:t>
      </w:r>
    </w:p>
    <w:p w14:paraId="482057A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（2）财务科预交金日结：需支持财务科长对整个收款处今日的预交金收返情况的结清；</w:t>
      </w:r>
    </w:p>
    <w:p w14:paraId="1BD090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（3）预交金对账功能：需支持对一段时间内的预交金情况进行对账。</w:t>
      </w:r>
    </w:p>
    <w:p w14:paraId="2B4ABD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3.非药品收费</w:t>
      </w:r>
    </w:p>
    <w:p w14:paraId="6D5589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需支持操作员手工输入住院患者所发生的费用，集成单项费用录入、复合项目、组套项目费用录入功能等功能。</w:t>
      </w:r>
    </w:p>
    <w:p w14:paraId="058913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（1）患者基本信息的展示：需支持显示患者的基本信息，需包括姓名、身份证号、入院时间、住院号等关键数据；</w:t>
      </w:r>
    </w:p>
    <w:p w14:paraId="76B15BD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（2）收费项目的加载与选择：需支持动态加载相关收费项目，并提供详细信息供收费员选择和确认；</w:t>
      </w:r>
    </w:p>
    <w:p w14:paraId="0D1C632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（3）药品、非药品、物资项目的收费与扣库：需支持对药品、耗材、医疗设备等的费用扣除，确保账务记录准确无误；</w:t>
      </w:r>
    </w:p>
    <w:p w14:paraId="15149D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（4）患者收费明细的展示和当前收费员的收费记录：需支持展示患者详细的收费项目明细，并实时更新当前收费员的收费记录。</w:t>
      </w:r>
    </w:p>
    <w:p w14:paraId="52E417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4.非药品退费</w:t>
      </w:r>
    </w:p>
    <w:p w14:paraId="136932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需支持非药品退费功能，可以实现手工操作的单项退费、复合退费等项目的一键退费，无需进行繁琐的确认与操作。</w:t>
      </w:r>
    </w:p>
    <w:p w14:paraId="45C3390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（1）非药品的直接退费：需支持患者可快速申请退还非药品费用，无需审核；</w:t>
      </w:r>
    </w:p>
    <w:p w14:paraId="6D6ED9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（2）非药品退费的申请和审核流程：需提供完整的退款申请生成、审核和批准流程，确保退款合法合规；</w:t>
      </w:r>
    </w:p>
    <w:p w14:paraId="50A51E7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（3）非药品项目的退库：需支持物资等项目的退库。</w:t>
      </w:r>
    </w:p>
    <w:p w14:paraId="698E11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5.退费确认</w:t>
      </w:r>
    </w:p>
    <w:p w14:paraId="0A4208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需支持查询并显示当前患者需要退费的详细信息，例如项目名称、金额和时间等信息，对于退费申请进行退费审批确认。</w:t>
      </w:r>
    </w:p>
    <w:p w14:paraId="22458A0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6.催款单打印</w:t>
      </w:r>
    </w:p>
    <w:p w14:paraId="60CC10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需支持对当前住院剩余金额低于设置警戒线的患者进行详细信息的查询显示，支持一键打印催款单。</w:t>
      </w:r>
    </w:p>
    <w:p w14:paraId="0FB0F47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7.欠费标准设置</w:t>
      </w:r>
    </w:p>
    <w:p w14:paraId="129E3E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针对多种复杂欠费标准的情况，需支持分别按全院，病区，科室，个人，合同单位等多种类型进行警戒线设置，可以方便操作员进行管理和维护。需支持在院患者欠费的警示与欠费信息的展示以及欠费患者的通知与清单打印。</w:t>
      </w:r>
    </w:p>
    <w:p w14:paraId="5BE227C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8.手工开封账管理</w:t>
      </w:r>
    </w:p>
    <w:p w14:paraId="0E1CD0E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对需要进行手工封账开账的患者，对有权限的操作员，需支持按住院号进行单个在院患者手工开封账操作，需支持按科室进行批量患者手工开封账操作。封账的患者将不能进行费用操作。</w:t>
      </w:r>
    </w:p>
    <w:p w14:paraId="02876FC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9.查询</w:t>
      </w:r>
    </w:p>
    <w:p w14:paraId="20D73B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需支持多种类型多种形式的费用项目查询，包含：</w:t>
      </w:r>
    </w:p>
    <w:p w14:paraId="7C17FE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需支持预交金查询：可以查询患者预交金余额、支付方式、缴费次数和退费次数等详细信息；</w:t>
      </w:r>
    </w:p>
    <w:p w14:paraId="3F88E2D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需支持患者费用查询：查询当前患者产生费用的具体项目明细，包含药品、非药品、组套费用和其他特殊费用的金额、产生时间和科室等详细条目；</w:t>
      </w:r>
    </w:p>
    <w:p w14:paraId="0172DE9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需支持在院患者日清单查询和打印：可以查询并打印在院患者日费用清单。</w:t>
      </w:r>
    </w:p>
    <w:p w14:paraId="2ED33A0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3.9.4住院财务结算功能</w:t>
      </w:r>
    </w:p>
    <w:p w14:paraId="7866D8B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财务结算功能需包含医院住院处以及各科室详细收入整理统计，需具有发票开具、票号管理、发票回收和日结审核等功能，能够帮助医院完成日常财务管理，有效整合财务费用数据。</w:t>
      </w:r>
    </w:p>
    <w:p w14:paraId="1C94E1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1.发票领用</w:t>
      </w:r>
    </w:p>
    <w:p w14:paraId="169E94A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发票号与机器流水号双号管理，发票领用可以使用自定义号段，支持开具增值税专用发票、普票等类型发票开具，支持按个人领用，需支持发票重打、清单打印等功能，需支持发票按科室和人员领用，需支持发票前后缀的设置。</w:t>
      </w:r>
    </w:p>
    <w:p w14:paraId="5CB992B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2.发票回收管理</w:t>
      </w:r>
    </w:p>
    <w:p w14:paraId="563F9F8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需支持按照发票号或流水号进行查询管理，并显示是否支持重打等详细信息，可以对操作员未使用的号段进行回收。</w:t>
      </w:r>
    </w:p>
    <w:p w14:paraId="61D8A8D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3.日结审核管理</w:t>
      </w:r>
    </w:p>
    <w:p w14:paraId="4FD2C21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需支持按照操作员信息对日结数据进行查询显示，对选定的日结信息进行审核。</w:t>
      </w:r>
    </w:p>
    <w:p w14:paraId="636C886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4.统计大类维护</w:t>
      </w:r>
    </w:p>
    <w:p w14:paraId="55B8C88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需支持维护住院发票和最小费用的对应关系、维护病案和最小费用对应关系、维护自定归类统计与最小费用关系，同时包含住院发票打印使用、病案首页打印使用、自定义归类查询等多种维护功能。</w:t>
      </w:r>
    </w:p>
    <w:p w14:paraId="2CF1D4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5.发票调号管理</w:t>
      </w:r>
    </w:p>
    <w:p w14:paraId="546BB34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需支持按照操作员进行查询显示并指定在用号段，可以按发票类型指定当前使用号，并进行日志记录，需支持日志的查询统计。</w:t>
      </w:r>
    </w:p>
    <w:p w14:paraId="42CA2C1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6.查询统计</w:t>
      </w:r>
    </w:p>
    <w:p w14:paraId="610A8B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住院收费分项统计:需支持查询和统计住院收费项目名称、金额、合计信息；</w:t>
      </w:r>
    </w:p>
    <w:p w14:paraId="6C95C3B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结算发票查询:需支持查询统计结算患者发票及明细；</w:t>
      </w:r>
    </w:p>
    <w:p w14:paraId="488197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住院科室收入统计:需支持查询统计住院各科室本科室患者的各项收费合计。</w:t>
      </w:r>
    </w:p>
    <w:p w14:paraId="2EAF0AB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3.9.5住院结算</w:t>
      </w:r>
    </w:p>
    <w:p w14:paraId="0C3BB6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住院结算功能需包含出院结算、中途结算、欠费结算、结算召回等多种结算和统计功能，支持对在院患者和已出院患者信息的整合统计，需支持多情景、多阶段的结算功能，需支持收据和清单的打印。</w:t>
      </w:r>
    </w:p>
    <w:p w14:paraId="69DE9F2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1.中途结算</w:t>
      </w:r>
    </w:p>
    <w:p w14:paraId="1C8D10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住院号一键带入患者信息，可以查询显示患者目前所有费用科目及款项，支持患者住院中，阶段性的结算，可以调取收费接口，以多种支付方式进行结算，并打印结算收据，需支持手工定额结算，提升结算操作性。需包含如下内容：</w:t>
      </w:r>
    </w:p>
    <w:p w14:paraId="6AACF3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（1）患者一次在院多个订单分次结算：支持区别与传统结算模式（患者当前的所有在院费用需要一次结算），患者可以自由组合费用形成多个订单分开结算；</w:t>
      </w:r>
    </w:p>
    <w:p w14:paraId="0812B53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（2）医保患者结算：支持医保患者中途结算，能自动计算报销金额和报销比例；</w:t>
      </w:r>
    </w:p>
    <w:p w14:paraId="50BF482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（3）定额结算与定时结算：支持患者可以根据想结算的金额和时间自由生产结算订单，分次进行结算；</w:t>
      </w:r>
    </w:p>
    <w:p w14:paraId="554041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（4）多种支付方式结算：支持所有主流的支付方式，也可以个性化配置支付方式；</w:t>
      </w:r>
    </w:p>
    <w:p w14:paraId="1D287D4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（5）混合支付方式结算：支持可以一次支付由多个支付方式组成，例如微信+支付宝；</w:t>
      </w:r>
    </w:p>
    <w:p w14:paraId="355B15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（6）结算发票的打印和费用清单的打印：支持发票和清单自动打印。</w:t>
      </w:r>
    </w:p>
    <w:p w14:paraId="0241F6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2.出院结算</w:t>
      </w:r>
    </w:p>
    <w:p w14:paraId="3799466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需支持通过住院号一键带入患者信息，显示当前患者所有收费项目明细，可以调用经过审核的住院减免信息，需支持银联、储值卡和医保等多种收费方式，实现患者的结算，并打印结算收据。</w:t>
      </w:r>
    </w:p>
    <w:p w14:paraId="0E2E3A4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（1）患者一次在院多个订单分次结算：支持区别与传统结算模式（患者当前的所有在院费用需要一次结算），患者可以自由组合费用形成多个订单分开结算；</w:t>
      </w:r>
    </w:p>
    <w:p w14:paraId="1E7E9F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（2）医保患者结算：需支持医保患者出院结算，能自动计算报销金额和报销比例；</w:t>
      </w:r>
    </w:p>
    <w:p w14:paraId="7AB4B0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（3）定额结算与定时结算：需支持患者可以根据想结算的金额和时间自由生产结算订单，分次进行结算；</w:t>
      </w:r>
    </w:p>
    <w:p w14:paraId="00DECA1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（4）多种支付方式结算：需支持所有主流的支付方式，也可以个性化配置支付方式；</w:t>
      </w:r>
    </w:p>
    <w:p w14:paraId="7DFC646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（5）混合支付方式结算：需支持可以一次支付由多个支付方式组成，例如微信+支付宝；</w:t>
      </w:r>
    </w:p>
    <w:p w14:paraId="56A54B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（6）结算发票的打印和费用清单的打印：需支持执行发票和清单自动打印。</w:t>
      </w:r>
    </w:p>
    <w:p w14:paraId="1E473D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3.欠费结算</w:t>
      </w:r>
    </w:p>
    <w:p w14:paraId="2E194BC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需支持对患者进行欠费结算，可以查询并维护欠费患者信息，同时保留打印票据功能，支持患者费用未补齐的情况下进行结算，需支持欠费患者的发票和清单打印：发票和清单自动打印</w:t>
      </w:r>
    </w:p>
    <w:p w14:paraId="1B7D581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4.结算召回</w:t>
      </w:r>
    </w:p>
    <w:p w14:paraId="32A8CC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经进行中途结算、出院结算和欠费结算的患者进行取消结算，按照票据号码查询之前结算信息，待操作员进行召回操作后，对返还金额进行记录保存。支持撤回患者的结算到出院登记状态，中途结算、出院结算和欠费结算均可召回，同时支持结算发票的自动作废和结算信息的自动作废。</w:t>
      </w:r>
    </w:p>
    <w:p w14:paraId="10CCB1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5.操作员日结</w:t>
      </w:r>
    </w:p>
    <w:p w14:paraId="17C5EA1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需支持包括预交金在院病人各项费用、出院病人结账和退款等统计汇总。</w:t>
      </w:r>
    </w:p>
    <w:p w14:paraId="1EB22D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（1）收款员日结：支持结清收款员当日的预交金收取情况；</w:t>
      </w:r>
    </w:p>
    <w:p w14:paraId="349A9D7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（2）财务科日结：支持财务科长对整个收款处今日的预交金收返情况的结清；</w:t>
      </w:r>
    </w:p>
    <w:p w14:paraId="2A96FF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（3）预交金对账功能：支持对一段时间内的预交金情况进行对账。</w:t>
      </w:r>
    </w:p>
    <w:p w14:paraId="7DC71B6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6.查询统计</w:t>
      </w:r>
    </w:p>
    <w:p w14:paraId="5A7282D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需提供如下查询统计：</w:t>
      </w:r>
    </w:p>
    <w:p w14:paraId="7612AF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需支持预交金查询：按照不同方式查询预交金并打印清单；</w:t>
      </w:r>
    </w:p>
    <w:p w14:paraId="45E768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需支持住院发票查询：查询结算发票信息；</w:t>
      </w:r>
    </w:p>
    <w:p w14:paraId="59A3FA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需支持出院患者清单：查询出院登记的患者费用清单；</w:t>
      </w:r>
    </w:p>
    <w:p w14:paraId="02CC75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需支持特病和固定比例药品医保结算。</w:t>
      </w:r>
    </w:p>
    <w:p w14:paraId="78B1960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3.9.6药库管理</w:t>
      </w:r>
    </w:p>
    <w:p w14:paraId="4FD5959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药库管理功能作为医院信息化体系的关键构成，主要服务于医院药库工作人员。需包含药品管理、药品入出库管理、采购管理、库存管理以及基本信息维护等多项核心功能。</w:t>
      </w:r>
    </w:p>
    <w:p w14:paraId="4FD9776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1.基本信息维护</w:t>
      </w:r>
    </w:p>
    <w:p w14:paraId="64C5D22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字典库维护功能，能够对药品的诸多关键信息进行全面且细致的管理。其中涵盖药品名称（支持录入多种别名，以满足不同使用场景及人员习惯）、厂家、产地、规格、等级、类别、价格形式、用法、用量、频次、药理、批文信息、供货商、招标信息等。同时，针对毒麻药品、精神药品、贵重药品、院内制剂、试敏药、通过GMP认证药品、OTC药品以及特殊限制药品等特殊品类。需内置特定的判断识别机制与处理流程，严格遵循相关法规要求，确保药品管理的合规性与安全性；</w:t>
      </w:r>
    </w:p>
    <w:p w14:paraId="141BFD0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出入库科室维护:为实现药品出入库流向的精准管控，需提供出入库科室维护功能，允许工作人员清晰界定出库目标科室与入库来源，从而便于对药品在医院内部的流转路径进行全程追溯与有效监控，保障药品流转环节的透明度与可追溯性；</w:t>
      </w:r>
    </w:p>
    <w:p w14:paraId="10C7E8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需支持常数维护：专注于维护药品管理领域常用的基础数据，包括最小单位、包装单位、剂型、剂量单位、药品性质、存储条件等；</w:t>
      </w:r>
    </w:p>
    <w:p w14:paraId="6032AE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需支持药理作用维护：负责维护药品详细的药理作用信息，为医护人员合理用药提供专业参考，提升临床治疗效果与用药安全性；</w:t>
      </w:r>
    </w:p>
    <w:p w14:paraId="136D1A7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需支持供货公司维护：通过该功能，可对药品常用的供货公司信息进行维护，包括公司名称、联系方式、合作历史、信誉评级等关键数据，有助于药库管理人员筛选优质供应商，建立长期稳定的合作关系；</w:t>
      </w:r>
    </w:p>
    <w:p w14:paraId="5B9DA1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需支持生产厂家维护：维护药品常用生产厂家信息，涵盖厂家名称、生产地址、生产资质、产品范围等内容，为药品质量溯源以及采购决策提供有力支撑；</w:t>
      </w:r>
    </w:p>
    <w:p w14:paraId="4949638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需支持参数设置维护：针对全院药品管理，系统提供参数设置维护功能，可对诸如各药房拆分属性、有效期警示天数等关键控制参数进行灵活配置，以适应医院多样化的药品管理需求与业务流程；</w:t>
      </w:r>
    </w:p>
    <w:p w14:paraId="1F7CC69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需支持特限药品维护：维护某些特殊限制药品在特定科室使用的详细信息，包括药品名称、适用科室、使用限制条件、审批流程等，确保特殊限制药品的规范使用与严格监管；</w:t>
      </w:r>
    </w:p>
    <w:p w14:paraId="10DBEC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需支持药品多级单位维护：支持对药品门诊发药、住院发药等不同发药单位对照关系的维护，方便药品在不同业务场景下的准确发放与库存管理；</w:t>
      </w:r>
    </w:p>
    <w:p w14:paraId="600C82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需支持部门库存常数维护：支持维护各个库房的独特管理属性，如是否实施库存管控、是否按批号管理等，满足不同库房多样化的管理需求；</w:t>
      </w:r>
    </w:p>
    <w:p w14:paraId="5B04C0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需支持人员控药权限维护：支持精确设定某个操作员对特定药品类别的操作权限，有效保障药品管理操作的安全性与规范性，防止未经授权的操作行为；</w:t>
      </w:r>
    </w:p>
    <w:p w14:paraId="60526BB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需支持抗菌药物维护:支持集中维护抗菌药物列表，包括抗菌药物的名称、种类、级别、使用限制等信息，配合抗菌药物分级管理制度的实施，加强对抗菌药物的合理使用与监管；</w:t>
      </w:r>
    </w:p>
    <w:p w14:paraId="54FC381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需支持药品管理模板维护：支持对盘点、计划、申请等业务流程的模板进行定制化维护，用户可根据医院实际业务需求与管理规范，灵活设置模板内容，提高业务操作效率与标准化程度；</w:t>
      </w:r>
    </w:p>
    <w:p w14:paraId="6B00523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需支持协定处方管理：对协定处方明细信息进行全面维护，包括处方组成、用法用量、适用病症等内容，为医院内部常用治疗方案的规范化管理提供支持；</w:t>
      </w:r>
    </w:p>
    <w:p w14:paraId="065F31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需支持协定处方包装：对已维护好的协定处方进行包装处理，将多种药品组合成一个完整的协定处方单元，方便临床使用与药品管理；</w:t>
      </w:r>
    </w:p>
    <w:p w14:paraId="0CF3DD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需支持自制剂维护:需支持对院内自制剂药品的制作与销售环节进行管理。</w:t>
      </w:r>
    </w:p>
    <w:p w14:paraId="028EC2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2.入出库管理</w:t>
      </w:r>
    </w:p>
    <w:p w14:paraId="39D21BD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入库计划：需支持手动生成入库计划，也支持依据药品警戒线以及日消耗量等关键数据，自动生成科学合理的入库计划，确保药品库存始终维持在适宜水平；</w:t>
      </w:r>
    </w:p>
    <w:p w14:paraId="4C82C3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采购计划：需支持基于已制定的入库计划，自动生成采购计划。药库管理人员可灵活修改计划入库数量，并根据实际情况，将采购任务拆分至不同的供货公司，实现采购资源的优化配置与成本控制；</w:t>
      </w:r>
    </w:p>
    <w:p w14:paraId="4F989F2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药品入库：支持多种不同的入库类型，以适应复杂多变的业务场景。需包含：SPD直接入库、正常入库、发票入库、核准入库、特殊入库、入库退货、外部入库申请、即入即出、调价发票冲正、发票批量补录；</w:t>
      </w:r>
    </w:p>
    <w:p w14:paraId="2D1E91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药品出库：支持多种出库类型，以满足不同的业务需求。需包含：正常出库、出库审批、特殊出库、调拨、报损、出库退库、科室借药、科室还药；</w:t>
      </w:r>
    </w:p>
    <w:p w14:paraId="08D12D7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单据补打：支持各类入库和出库单据的补打功能，方便用户在需要时重新获取相关单据；</w:t>
      </w:r>
    </w:p>
    <w:p w14:paraId="5BCA8F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供货商结存：需支持实时维护各供货公司的货款结存情况，清晰展示医院与供应商之间的财务往来数据，为账款结算与财务管理提供准确依据；</w:t>
      </w:r>
    </w:p>
    <w:p w14:paraId="04E602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供货商付款统计：需支持对各供货公司的付款情况进行全面统计分析，包括付款金额、付款时间、付款方式等信息，助力医院优化采购资金的使用与管理。</w:t>
      </w:r>
    </w:p>
    <w:p w14:paraId="070A5F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3.在库管理</w:t>
      </w:r>
    </w:p>
    <w:p w14:paraId="3408A1B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需支持库存盘点管理：库存盘点管理功能，能够对药库库存进行全面盘点与结存核算。通过准确的盘点数据，及时发现库存差异；</w:t>
      </w:r>
    </w:p>
    <w:p w14:paraId="4A31D11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需支持库存按批号盘点管理：针对部分对批次管理要求较高的药品，需支持库存按批号盘点管理功能。允许工作人员按照药品的批次号对库存进行精细化盘点与结存核算，需支持对药品质量的全程追溯；</w:t>
      </w:r>
    </w:p>
    <w:p w14:paraId="742E20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药品调价管理：针对药品市场价格的动态变化，需支持药品调价管理功能。药库管理人员可根据市场行情、采购成本变动等因素，及时对药品价格进行调整，并确保调价信息在全院信息系统中的同步更新；</w:t>
      </w:r>
    </w:p>
    <w:p w14:paraId="28B088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库存管理：支持全面的库存信息展示与管理功能。包含：库存信息一览、多种条件过滤、警戒线维护、药房和药库账页管理、药品停用标记、需支持药品入出库明细查询、库存报警、有效期报警、货位号维护；</w:t>
      </w:r>
    </w:p>
    <w:p w14:paraId="1776F6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需支持药品月结管理：支持药品月结管理功能，能够对药库的账目进行月结并打印月结统计表；</w:t>
      </w:r>
    </w:p>
    <w:p w14:paraId="49D142E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需支持药品月结校对功能：在完成月结处理后，工作人员可通过该功能对月结数据进行校对审核，检查账目是否平衡。</w:t>
      </w:r>
    </w:p>
    <w:p w14:paraId="7C0048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4.采购管理</w:t>
      </w:r>
    </w:p>
    <w:p w14:paraId="31FD37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需支持自动生成采购计划及采购单，可以进行采购单审核。</w:t>
      </w:r>
    </w:p>
    <w:p w14:paraId="5A4713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5.查询统计</w:t>
      </w:r>
    </w:p>
    <w:p w14:paraId="73D055D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需支持各类药品日常统计功能：可生成各种药品的入库明细、出库明细、盘点明细、调价明细、调拨明细、报损明细、退药明细，提供月结报表；</w:t>
      </w:r>
    </w:p>
    <w:p w14:paraId="1A79672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需支持抗菌药物的统计功能：各种抗菌药物统计报表。</w:t>
      </w:r>
    </w:p>
    <w:p w14:paraId="3E7630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6.药品带量采购管理</w:t>
      </w:r>
    </w:p>
    <w:p w14:paraId="5741FEC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需支持维护集采药品信息，需支持全面、精准录入与更新集采药品基础信息，符合国家医保标准，具备数据校验和预警功能；</w:t>
      </w:r>
    </w:p>
    <w:p w14:paraId="19D7D9D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需支持智能关联集采与临采药品，从多维度分析两者关系，提供科学采购建议，合理安排采购比例，实时监控库存；</w:t>
      </w:r>
    </w:p>
    <w:p w14:paraId="08CD7D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需支持集采药品销售统计功能，可多维度分析销售数据，生成详细报表，为采购和医保谈判提供数据支撑，支持医保平台对接共享数据。</w:t>
      </w:r>
    </w:p>
    <w:p w14:paraId="4E64BEF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3.9.7住院药房管理</w:t>
      </w:r>
    </w:p>
    <w:p w14:paraId="0A00049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住院药房管理功能是医院信息化体系中面向住院药师的关键功能，承担着住院药房发药、药品管理、药品盘点、药品入出库以及报表统计等核心职能。</w:t>
      </w:r>
    </w:p>
    <w:p w14:paraId="3DBC16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1.住院药房信息维护</w:t>
      </w:r>
    </w:p>
    <w:p w14:paraId="73C768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需支持摆药单维护：允许用户依据实际业务需求，灵活自定义各类摆药单。通过自定义设置，能够精准匹配不同药品类别与临床使用场景，提高摆药工作的针对性与准确性；</w:t>
      </w:r>
    </w:p>
    <w:p w14:paraId="440C1B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摆药台维护：可对各个药房的摆药台进行全面维护。不仅能够明确摆药台的相关属性，还可详细设定每个摆药台所承载的摆药单信息。支持为各病区科室精准指定对应的取药药房，并可灵活设定取药时间与取药类别。此外，可针对不同药品品种或药品剂型，设定其在发药时的拆分方式。若未进行此项维护，支持默认采用不可拆分模式，以满足多样化的药品发放需求。</w:t>
      </w:r>
    </w:p>
    <w:p w14:paraId="1F88AD3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2.住院医嘱摆药</w:t>
      </w:r>
    </w:p>
    <w:p w14:paraId="5968C5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以住院护士站审核和分解后的药品医嘱为操作前提。在进行摆药操作时，需支持药师能够清晰查看各病区信息，以及病区下的摆药单和各个摆药单对应的患者。不仅要求支持常规病区的医嘱摆药，还需支持手术室等科室进行非医嘱摆药。药师只需选择相应的摆药任务并保存，即可启动摆药流程。</w:t>
      </w:r>
    </w:p>
    <w:p w14:paraId="23615F2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需支持实现病房药房、静配中心可向全院发药。</w:t>
      </w:r>
    </w:p>
    <w:p w14:paraId="698B8A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3.确认护士退药</w:t>
      </w:r>
    </w:p>
    <w:p w14:paraId="296024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需支持显示护士站提交的退药申请信息。支持直观获取退药相关详情，经审核确认后，即可执行退药操作。</w:t>
      </w:r>
    </w:p>
    <w:p w14:paraId="68721B8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4.查询统计</w:t>
      </w:r>
    </w:p>
    <w:p w14:paraId="7C96F88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需支持药房发药退药统计、住院发药工作量统计等关键数据。</w:t>
      </w:r>
    </w:p>
    <w:p w14:paraId="46CA831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5.麻醉，精神药品电子登记</w:t>
      </w:r>
    </w:p>
    <w:p w14:paraId="62137D4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需支持麻醉、精神药品的“电子化”登记。</w:t>
      </w:r>
    </w:p>
    <w:p w14:paraId="20BA76B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6.麻醉，精神药品空安瓿电子化回收</w:t>
      </w:r>
    </w:p>
    <w:p w14:paraId="2C694DD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需支持整个回收流程的管理，适用正式的医院管理制度文件、向上级部门汇报等场景。</w:t>
      </w:r>
    </w:p>
    <w:p w14:paraId="5EDBA7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7.单据集中打印</w:t>
      </w:r>
    </w:p>
    <w:p w14:paraId="2BC1C2B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需支持多张单据的合并打印，需支持多个科室的住院摆药单据集中打印，可根据不同的科室、时间段等条件进行打印任务的分配和调度。减少纸张的使用量，降低医院的运营成本。</w:t>
      </w:r>
    </w:p>
    <w:p w14:paraId="435691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需支持住院药房、静配中心支持向全院发药。</w:t>
      </w:r>
    </w:p>
    <w:p w14:paraId="6B1A061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3.9.8住院执行确认管理</w:t>
      </w:r>
    </w:p>
    <w:p w14:paraId="6067971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1.住院执行确认</w:t>
      </w:r>
    </w:p>
    <w:p w14:paraId="011C09D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在住院患者开立医技项目后，需支持医技项目执行确认功能，并且在医技项目执行时收费，医生可根据医技项目的实际执行情况，进行费用补收。需支持医技项目执行确认后，此项目不能进行退费。</w:t>
      </w:r>
    </w:p>
    <w:p w14:paraId="2BB1AD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2.住院执行取消确认</w:t>
      </w:r>
    </w:p>
    <w:p w14:paraId="5A5B17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需支持患者住院执行确认后取消确认，如果患者因特殊原因不做此医技项目，进行确认取消，取消后此医技项目才可进行退费。</w:t>
      </w:r>
    </w:p>
    <w:p w14:paraId="73B44B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3.住院执行确认查询</w:t>
      </w:r>
    </w:p>
    <w:p w14:paraId="66C4DFF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需支持基本的查询功能，如工作量、费用等。</w:t>
      </w:r>
    </w:p>
    <w:p w14:paraId="29D1916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3.9.9住院护士站</w:t>
      </w:r>
    </w:p>
    <w:p w14:paraId="67C3E18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需支持患者管理、医嘱管理、医嘱执行管理、费用管理、报表查询、单据打印功能。</w:t>
      </w:r>
    </w:p>
    <w:p w14:paraId="60AED77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3.9.9.1病房管理</w:t>
      </w:r>
    </w:p>
    <w:p w14:paraId="2E8D0CF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需支持接诊、取消接诊：给新住院的患者或者他科转入的患者分配病床，安排住院医师、主治医师、主任医师、责任护士；</w:t>
      </w:r>
    </w:p>
    <w:p w14:paraId="7437D2B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需支持包床、解包：给患者包住多张病床或解除病床；</w:t>
      </w:r>
    </w:p>
    <w:p w14:paraId="1C9BDF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需支持转床：为患者调换病床；</w:t>
      </w:r>
    </w:p>
    <w:p w14:paraId="22D503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需支持转科：给患者转科；</w:t>
      </w:r>
    </w:p>
    <w:p w14:paraId="60E789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需支持转病区：给患者转病区；</w:t>
      </w:r>
    </w:p>
    <w:p w14:paraId="2D9876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需支持换医师：给患者修改三级医师和责任护士；</w:t>
      </w:r>
    </w:p>
    <w:p w14:paraId="4D164E5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需支持婴儿登记：为产妇进行婴儿登记，填写新生儿基本信息；</w:t>
      </w:r>
    </w:p>
    <w:p w14:paraId="6BC831F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需支持出院登记：给患者进行出院登记；</w:t>
      </w:r>
    </w:p>
    <w:p w14:paraId="7A3129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需支持出院召回：给已出院登记但未结算的患者召回住院，并分配病床；</w:t>
      </w:r>
    </w:p>
    <w:p w14:paraId="4AFF74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需支持转科留床，患者临时转至ICU或分娩室，当前床位给患者保留，患者转回时固定回到留床上；</w:t>
      </w:r>
    </w:p>
    <w:p w14:paraId="4523D6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需支持患者卡片可以明显标注出患者的费用信息、新医嘱、患者信息、诊断等关键信息。</w:t>
      </w:r>
    </w:p>
    <w:p w14:paraId="0AE3A58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3.9.9.2医嘱核对</w:t>
      </w:r>
    </w:p>
    <w:p w14:paraId="5A51C3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需支持对新开立或新停止的医嘱进行审核，临时医嘱审核后产生执行数据，并发送到药房、医技等终端部门；</w:t>
      </w:r>
    </w:p>
    <w:p w14:paraId="0DBA33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需支持护士打回待审核医嘱，需支持取消打回，需支持在护士端打回医嘱，医生端有明显的颜色标识；</w:t>
      </w:r>
    </w:p>
    <w:p w14:paraId="3B64E2A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需支持护士打回待审核停止医嘱，允许医生错停医嘱后，将未审核的停止医嘱修改回有效医嘱，继续治疗；</w:t>
      </w:r>
    </w:p>
    <w:p w14:paraId="2857148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需支持为医嘱增加批注，修改执行科室，添加附材，修改皮试结果等。</w:t>
      </w:r>
    </w:p>
    <w:p w14:paraId="2FBC4BC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3.9.9.3长期医嘱发送</w:t>
      </w:r>
    </w:p>
    <w:p w14:paraId="65B4C4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需支持常规长期医嘱审核发送给药房进行操作；</w:t>
      </w:r>
    </w:p>
    <w:p w14:paraId="62E331D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需支持对审核过的长期医嘱，按照频次自动分解出执行数据，并自动发送到药房、医技等终端部门。</w:t>
      </w:r>
    </w:p>
    <w:p w14:paraId="40FC396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3.9.9.4护士站收费</w:t>
      </w:r>
    </w:p>
    <w:p w14:paraId="27323F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站手工计费，手工计费时可以根据需求，选择是否可以批药品费用。需支持智能持续治疗计费，针对例如持续吸氧类的持续治疗项目，按计费时间和医保要求进行智能计费，减少护士的批费和退费工作，批费组套维护，为护士提供常用批费组套，增加工作效率；</w:t>
      </w:r>
    </w:p>
    <w:p w14:paraId="4DBA84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需支持护士站退费。护士站对非药品进行退费，需支持选择退费申请、确认退费流程或者直接退费流程。护士站对药品进行退费申请，药房确认后，可以退费；</w:t>
      </w:r>
    </w:p>
    <w:p w14:paraId="0789CB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需支持费用核对：对患者在院期间应收费用进行核对，防止由于人为或其他原因产生漏费、多收费的问题；</w:t>
      </w:r>
    </w:p>
    <w:p w14:paraId="4C401E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需支持药品统领：以护士统领的模式进行发药操作。即护士需要领药时进行统领操作，令药房可以集中处理护士站的领药需求，将药品统一送到护士站手中。</w:t>
      </w:r>
    </w:p>
    <w:p w14:paraId="52E4871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3.9.9.5单据打印</w:t>
      </w:r>
    </w:p>
    <w:p w14:paraId="242068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需支持执行单打印：可以根据实际情况，设置每个执行单的内容，方便护士执行医嘱；</w:t>
      </w:r>
    </w:p>
    <w:p w14:paraId="0A4E737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需支持治疗单打印：需展示治疗项目，方便护士进行护理、治疗；</w:t>
      </w:r>
    </w:p>
    <w:p w14:paraId="7EAFA09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3.9.9.6查询统计</w:t>
      </w:r>
    </w:p>
    <w:p w14:paraId="32B0F2A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需支持患者一日清单查询：对在院患者一日费用明细进行查询；</w:t>
      </w:r>
    </w:p>
    <w:p w14:paraId="495A18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需支持患者费用查询：支持查询患者入院期间所发生费用进行查询，其中包括预交金、药品明细、非药品明细、费用汇总信息、结算信息；</w:t>
      </w:r>
    </w:p>
    <w:p w14:paraId="206DE82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需支持患者欠费查询：支持查询在院患者的欠费情况；</w:t>
      </w:r>
    </w:p>
    <w:p w14:paraId="336F89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需支持医嘱执行情况查询：支持查询医嘱目前执行状态；</w:t>
      </w:r>
    </w:p>
    <w:p w14:paraId="58E8336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需支持医嘱摆药查询：支持护士站查询药房对当前科室的摆药情况；</w:t>
      </w:r>
    </w:p>
    <w:p w14:paraId="5F098F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需支持护士站退药查询：支持对患者已退药品进行查询；</w:t>
      </w:r>
    </w:p>
    <w:p w14:paraId="0CCC3BD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需支持住院护士费用查询：支持快捷补费、退费；</w:t>
      </w:r>
    </w:p>
    <w:p w14:paraId="12218F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需支持医嘱查询：支持列表宽度可记忆，拖拽修改宽度后下次打开仍然是该宽度，需支持列顺序、可见性、可编辑等属性配置，要有可视化配置界面。</w:t>
      </w:r>
    </w:p>
    <w:p w14:paraId="2C99C1F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3.9.9.7其他功能</w:t>
      </w:r>
    </w:p>
    <w:p w14:paraId="21B229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需支持需皮试的医嘱可录入皮试阴阳性等级信息；</w:t>
      </w:r>
    </w:p>
    <w:p w14:paraId="4AEFAD8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需支持医嘱执行录入：记录医嘱执行人，双签执行人以及相应执行时间；</w:t>
      </w:r>
    </w:p>
    <w:p w14:paraId="67E1088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需支持病区床位使用情况一览表查询，病床信息包括：显示床号、住院号、姓名、性别、年龄、诊断、护理等级、费用情况等；</w:t>
      </w:r>
    </w:p>
    <w:p w14:paraId="3F121AB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需支持检验相关查询。</w:t>
      </w:r>
    </w:p>
    <w:p w14:paraId="34986E6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3.9.9.8护士站资料维护</w:t>
      </w:r>
    </w:p>
    <w:p w14:paraId="56CFF93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需支持对维护病床信息、附材信息、执行单、收费套餐、科室常用项目等信息的维护；</w:t>
      </w:r>
    </w:p>
    <w:p w14:paraId="0397F19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需支持警戒线设置：维护病区内患者欠费警戒线；</w:t>
      </w:r>
    </w:p>
    <w:p w14:paraId="771B31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需支持床位信息管理：查询床位的床位等级、床位费、床位编制、使用状态以及对加床的维护；</w:t>
      </w:r>
    </w:p>
    <w:p w14:paraId="69571A4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需支持患者卡片动态可配置，本地可快速适配，可根据护士关注不同，动态定制样式；</w:t>
      </w:r>
    </w:p>
    <w:p w14:paraId="4D98E7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需支持持续治疗项目计时管理：对已审核的持续治疗项目，进行计时；</w:t>
      </w:r>
    </w:p>
    <w:p w14:paraId="7DFB7F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需支持护士日报查询：统计每日科室人员流转量进行记录；</w:t>
      </w:r>
    </w:p>
    <w:p w14:paraId="34556F2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需支持执行单管理：可添加执行单进行维护；</w:t>
      </w:r>
    </w:p>
    <w:p w14:paraId="4C9678F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需支持组套维护；</w:t>
      </w:r>
    </w:p>
    <w:p w14:paraId="43ACA7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需支持附材管理。</w:t>
      </w:r>
    </w:p>
    <w:p w14:paraId="5197443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3.9.10医保与系统接口</w:t>
      </w:r>
    </w:p>
    <w:p w14:paraId="331FDE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需实现原有住院业务与医保对接。</w:t>
      </w:r>
    </w:p>
    <w:p w14:paraId="68A8828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3.9.11基因检测管理</w:t>
      </w:r>
    </w:p>
    <w:p w14:paraId="23A4A30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3.9.11.1基因检测组套维护</w:t>
      </w:r>
    </w:p>
    <w:p w14:paraId="7E0F14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需支持维护基因检测组套：</w:t>
      </w:r>
    </w:p>
    <w:p w14:paraId="2393D9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（1）设置基因检测组套。</w:t>
      </w:r>
    </w:p>
    <w:p w14:paraId="7A0D29B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（2）维护基因检测物价项目明细及开立规则。</w:t>
      </w:r>
    </w:p>
    <w:p w14:paraId="6606669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3.9.11.2医生工作站基因检测医嘱业务流程</w:t>
      </w:r>
    </w:p>
    <w:p w14:paraId="1E9A74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需支持基因检测医嘱开立流程处理；</w:t>
      </w:r>
    </w:p>
    <w:p w14:paraId="266D098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需支持基因检测医嘱保存流程处理；</w:t>
      </w:r>
    </w:p>
    <w:p w14:paraId="4012C8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需支持基因检测申请单提交与打印。</w:t>
      </w:r>
    </w:p>
    <w:p w14:paraId="2B9DBFE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3.9.11.3基因检测申请单查询</w:t>
      </w:r>
    </w:p>
    <w:p w14:paraId="5DD8B1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需支持根据患者病案号查询基因检测申请单。</w:t>
      </w:r>
    </w:p>
    <w:p w14:paraId="5D24233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3.9.12临床试验管理</w:t>
      </w:r>
    </w:p>
    <w:p w14:paraId="4E68D79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3.9.12.1临床试验项目维护</w:t>
      </w:r>
    </w:p>
    <w:p w14:paraId="272496E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需支持维护临床试验项目基本信息；</w:t>
      </w:r>
    </w:p>
    <w:p w14:paraId="41BEC35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需支持维护临床试验项目参与科室信息；</w:t>
      </w:r>
    </w:p>
    <w:p w14:paraId="4E59824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需支持维护临床试验项目参与医生信息。</w:t>
      </w:r>
    </w:p>
    <w:p w14:paraId="5AE7C02C">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3.9.12.2临床试验项目费用到账信息维护</w:t>
      </w:r>
    </w:p>
    <w:p w14:paraId="07C444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需支持维护临床试验项目的到账费用明细信息。</w:t>
      </w:r>
    </w:p>
    <w:p w14:paraId="0F8F7C9C">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3.9.12.3临床试验项目预警比例设置</w:t>
      </w:r>
    </w:p>
    <w:p w14:paraId="0EAC18E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需支持设置预警比例。当临床试验项目可用费用低于设置的预警比例时，不允许新增加临床试验患者。</w:t>
      </w:r>
    </w:p>
    <w:p w14:paraId="7B43500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3.9.12.4临床试验项目禁用药品维护</w:t>
      </w:r>
    </w:p>
    <w:p w14:paraId="6061B9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需支持选择医生临床试验项目维护，当前项目禁用药品信息。</w:t>
      </w:r>
    </w:p>
    <w:p w14:paraId="200F28A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3.9.12.5临床试验项目禁用药品审核</w:t>
      </w:r>
    </w:p>
    <w:p w14:paraId="00983C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需支持医生维护的临床试验项目禁用药品，由临床试验中心审核。</w:t>
      </w:r>
    </w:p>
    <w:p w14:paraId="6B66464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3.9.12.6临床试验项目到账费用审核</w:t>
      </w:r>
    </w:p>
    <w:p w14:paraId="4DA23C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需支持临床试验项目到账费用审核，即新录入的临床试验项目到账费用信息，需要财务人员审核通过后才累计到临床试验项目主信息中的到账总金额中。</w:t>
      </w:r>
    </w:p>
    <w:p w14:paraId="640A108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3.9.12.7临床试验项目查询</w:t>
      </w:r>
    </w:p>
    <w:p w14:paraId="7128A6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需支持查询临床试验项目基本信息；</w:t>
      </w:r>
    </w:p>
    <w:p w14:paraId="3F75D04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需支持查询临床试验项目参与科室信息；</w:t>
      </w:r>
    </w:p>
    <w:p w14:paraId="25C4122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需支持查询临床试验项目参与医生信息；</w:t>
      </w:r>
    </w:p>
    <w:p w14:paraId="6DF849C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需支持查询临床试验项目到账费用明细信息；</w:t>
      </w:r>
    </w:p>
    <w:p w14:paraId="6932AC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需支持查询费用支出明细信息；</w:t>
      </w:r>
    </w:p>
    <w:p w14:paraId="5810DC0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需支持查询附件信息；</w:t>
      </w:r>
    </w:p>
    <w:p w14:paraId="19D4F7F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需支持查询限制药品明细信息。</w:t>
      </w:r>
    </w:p>
    <w:p w14:paraId="1A39A44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3.9.12.8医生工作站</w:t>
      </w:r>
    </w:p>
    <w:p w14:paraId="305F568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需支持医生对患者进行临床试验入组操作，让患者成为临床试验患者；</w:t>
      </w:r>
    </w:p>
    <w:p w14:paraId="5487A87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需支持临床试验患者开立医嘱时，设置当前医嘱为试验医嘱还是普通医嘱。</w:t>
      </w:r>
    </w:p>
    <w:p w14:paraId="7356261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3.9.12.9临床试验试验患者费用核对</w:t>
      </w:r>
    </w:p>
    <w:p w14:paraId="4AFFD97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需支持核对临床试验费用明细信息。</w:t>
      </w:r>
    </w:p>
    <w:p w14:paraId="544631A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3.9.12.10患者费用查询</w:t>
      </w:r>
    </w:p>
    <w:p w14:paraId="23EB867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需支持患者费用明细标记是否临床试验费用。</w:t>
      </w:r>
    </w:p>
    <w:p w14:paraId="1D92894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3.9.12.11出院结算</w:t>
      </w:r>
    </w:p>
    <w:p w14:paraId="19A940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需支持临床试验患者出院结算时，根据试验费用和普通费用生成结算数据。</w:t>
      </w:r>
    </w:p>
    <w:p w14:paraId="0D2BF58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3.9.13病房日报</w:t>
      </w:r>
    </w:p>
    <w:p w14:paraId="6A75F4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需支持病房日报审核。每日根据病房新入院、出院、转入、转出情况生成病房日报信息；</w:t>
      </w:r>
    </w:p>
    <w:p w14:paraId="4A34E41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需支持病房日报查询。查询当前病区病房日报信息；</w:t>
      </w:r>
    </w:p>
    <w:p w14:paraId="6A1F89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需支持住院患者日报查询。查询所有病区病房日报信息。</w:t>
      </w:r>
    </w:p>
    <w:p w14:paraId="56E99A2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3.9.14护理部统计</w:t>
      </w:r>
    </w:p>
    <w:p w14:paraId="5ACAE68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需支持护理工作量统计项目维护。维护护理工作量统计明细项目名称及统计方法；</w:t>
      </w:r>
    </w:p>
    <w:p w14:paraId="34FA19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需支持v护理项目查询条件维护。统计项目根据某些物价项目时，维护物价项目明细；</w:t>
      </w:r>
    </w:p>
    <w:p w14:paraId="79AFB6F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需支持护理工作量自动生成。每日自动生成护理工作量数据；</w:t>
      </w:r>
    </w:p>
    <w:p w14:paraId="650AAE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需支持护理工作量录入。病区护士，可查询当日护理工作量数据及维护需要手动录入的护理工作量数据；</w:t>
      </w:r>
    </w:p>
    <w:p w14:paraId="65E266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需支持护理工作量统计查询。查询全院护理工作量数据。</w:t>
      </w:r>
    </w:p>
    <w:p w14:paraId="39782C5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3.9.15查询统计</w:t>
      </w:r>
    </w:p>
    <w:p w14:paraId="5249CF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财务：</w:t>
      </w:r>
    </w:p>
    <w:p w14:paraId="74B245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1.总报表查询；</w:t>
      </w:r>
    </w:p>
    <w:p w14:paraId="76174A5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2.个人报表查询；</w:t>
      </w:r>
    </w:p>
    <w:p w14:paraId="768BDE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3.无费退院查询；</w:t>
      </w:r>
    </w:p>
    <w:p w14:paraId="6EDCCD3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4.出院召回查询；</w:t>
      </w:r>
    </w:p>
    <w:p w14:paraId="27B9F10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5.住院欠费查询；</w:t>
      </w:r>
    </w:p>
    <w:p w14:paraId="236073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6.工作量统计(时间段)；</w:t>
      </w:r>
    </w:p>
    <w:p w14:paraId="464E47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7.出院患者退余额查询；</w:t>
      </w:r>
    </w:p>
    <w:p w14:paraId="440FCD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8.住院患者支汇票明细查询；</w:t>
      </w:r>
    </w:p>
    <w:p w14:paraId="2D5C8E2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9.挂失单查询；</w:t>
      </w:r>
    </w:p>
    <w:p w14:paraId="52C5AAA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10.住院应检尽检费用统计表；</w:t>
      </w:r>
    </w:p>
    <w:p w14:paraId="0430D5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11.收费员日库存现金复盘表；</w:t>
      </w:r>
    </w:p>
    <w:p w14:paraId="608DEE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12收费员日应交现金复盘表；</w:t>
      </w:r>
    </w:p>
    <w:p w14:paraId="3FF249D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13.住院凭证数据导出模块</w:t>
      </w:r>
    </w:p>
    <w:p w14:paraId="4D0733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包含住院收入信息、门诊收入信息、物资库房小号、物资资产折旧、设备资产折旧、门诊挂号收入、门诊医疗收入、住院医疗收入、住院收入38项分类信息、门诊收入38项分类信息；</w:t>
      </w:r>
    </w:p>
    <w:p w14:paraId="284D3F5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14.在院患者查询；</w:t>
      </w:r>
    </w:p>
    <w:p w14:paraId="36836C1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15.出院患者查询；</w:t>
      </w:r>
    </w:p>
    <w:p w14:paraId="6AD631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16.患者公费医疗费用查询。</w:t>
      </w:r>
    </w:p>
    <w:p w14:paraId="3624AE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病区：</w:t>
      </w:r>
    </w:p>
    <w:p w14:paraId="383D57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17.病区床位情况查询；</w:t>
      </w:r>
    </w:p>
    <w:p w14:paraId="244D78A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18.特殊级检查检验医嘱查询；</w:t>
      </w:r>
    </w:p>
    <w:p w14:paraId="4B199D4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19.日间手术预约查询；</w:t>
      </w:r>
    </w:p>
    <w:p w14:paraId="30B31F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20.科室检查预约情况查询；</w:t>
      </w:r>
    </w:p>
    <w:p w14:paraId="62C4D8D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21.配送用-全院检查预约情况查询；</w:t>
      </w:r>
    </w:p>
    <w:p w14:paraId="34C074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22.患者信息查询；</w:t>
      </w:r>
    </w:p>
    <w:p w14:paraId="564F65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23.医生手术权限查询；</w:t>
      </w:r>
    </w:p>
    <w:p w14:paraId="3EE8451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24.特殊使用抗生素医嘱查询。</w:t>
      </w:r>
    </w:p>
    <w:p w14:paraId="6FB028F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其他：</w:t>
      </w:r>
    </w:p>
    <w:p w14:paraId="5421B9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25.需支持实际业务查询需求支持。</w:t>
      </w:r>
    </w:p>
    <w:p w14:paraId="2CC5B9E3">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3.9.16床管审床、欠费解封</w:t>
      </w:r>
    </w:p>
    <w:p w14:paraId="387904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1.住院证一览模块</w:t>
      </w:r>
    </w:p>
    <w:p w14:paraId="15BBA1F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需支持按病区查询所有待审核住院证信息、病区病区情况信息、预入院患者情况信息，并可以审核/作废住院证。</w:t>
      </w:r>
    </w:p>
    <w:p w14:paraId="5A4176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2.住院证信息查询模块</w:t>
      </w:r>
    </w:p>
    <w:p w14:paraId="1C6114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需支持查询历史所有住院证，对已经作废的住院证可以恢复到开立状态。</w:t>
      </w:r>
    </w:p>
    <w:p w14:paraId="536F15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3.住院证统计模块</w:t>
      </w:r>
    </w:p>
    <w:p w14:paraId="678BAB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需支持统计各个病区住院证开立数量</w:t>
      </w:r>
    </w:p>
    <w:p w14:paraId="74366D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4.住院证审核</w:t>
      </w:r>
    </w:p>
    <w:p w14:paraId="670276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需支持当前科室待审核住院证信息、病区病区情况信息、预入院患者情况信息，并可以审核/作废住院证。</w:t>
      </w:r>
    </w:p>
    <w:p w14:paraId="648E799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5.住院证住院押金修改模块</w:t>
      </w:r>
    </w:p>
    <w:p w14:paraId="48DAC9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需支持修改待审核住院证或预入院患者住院证的住院押金</w:t>
      </w:r>
    </w:p>
    <w:p w14:paraId="0C7F8F8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6.欠费等级维护模块</w:t>
      </w:r>
    </w:p>
    <w:p w14:paraId="14B249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需支持欠费等级明细信息维护。</w:t>
      </w:r>
    </w:p>
    <w:p w14:paraId="16BE295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7.欠费追缴单打印</w:t>
      </w:r>
    </w:p>
    <w:p w14:paraId="184559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需支持患者欠费时开医嘱弹出欠费追缴单打印窗口。</w:t>
      </w:r>
    </w:p>
    <w:p w14:paraId="3784B4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8.欠费解封模块</w:t>
      </w:r>
    </w:p>
    <w:p w14:paraId="791A7A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需支持患者欠费解封操作。</w:t>
      </w:r>
    </w:p>
    <w:p w14:paraId="07E66E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9.欠费解封查询</w:t>
      </w:r>
    </w:p>
    <w:p w14:paraId="2E1DB4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需支持查询患者欠费解封记录。</w:t>
      </w:r>
    </w:p>
    <w:p w14:paraId="44AFD66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3.9.17上报接口</w:t>
      </w:r>
    </w:p>
    <w:p w14:paraId="28C0102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上报数据查询：包含门诊上报、住院上报、急诊上报、急诊床位试验信息、流行病筛查表、预约挂号信息、核酸采样检测情况、重症监护患者、数据上报、在院患者信息、门急诊及住院工作量日报、呼吸道感染性疾病诊疗情况调查表；</w:t>
      </w:r>
    </w:p>
    <w:p w14:paraId="6B382B2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需支持非医保患者数据全量上传；</w:t>
      </w:r>
    </w:p>
    <w:p w14:paraId="64DCCE4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需支持医保基金结算清单信息采集；</w:t>
      </w:r>
    </w:p>
    <w:p w14:paraId="05E2B3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需支持抗肿瘤药物监测数据上报；</w:t>
      </w:r>
    </w:p>
    <w:p w14:paraId="65031A8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需支持各类红头文件数据上报要求。</w:t>
      </w:r>
    </w:p>
    <w:p w14:paraId="431C9D8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3.9.18接口服务</w:t>
      </w:r>
    </w:p>
    <w:p w14:paraId="3BD530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大数据平台：按照“统筹规划、资源共享”的原则，共享方面，医院将电子病历、影像、就诊过程等信息资源共享给北京市卫健全民健康信息平台，通过北京市卫健全民健康信息平台有条件共享给北京市大数据平台；同时通过全民健康信息平台共享其他医疗机构诊疗信息，构成患者全景诊疗视图，进而推进检查检验结果共享互认等工作。</w:t>
      </w:r>
    </w:p>
    <w:p w14:paraId="7CB23EC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京通：本项目建设内容中涉及的患者服务系统与114挂号系统对接，通过114挂号系统与京通三端对接，最终实现通过114挂号预约平台实现患者的挂号、缴费、查询等公共服务。医院向京通健康服务提供挂号接口服务。</w:t>
      </w:r>
    </w:p>
    <w:p w14:paraId="5D1FD69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3.9.19危急值管理</w:t>
      </w:r>
    </w:p>
    <w:p w14:paraId="2978984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需支持接收、查询危急值数据；</w:t>
      </w:r>
    </w:p>
    <w:p w14:paraId="1277B1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需支持调阅危急值相关报告信息；</w:t>
      </w:r>
    </w:p>
    <w:p w14:paraId="14DA471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需支持标本拒收管理；</w:t>
      </w:r>
    </w:p>
    <w:p w14:paraId="14E729C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需支持危急值处理流程。</w:t>
      </w:r>
    </w:p>
    <w:p w14:paraId="033BB0D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3.9.20手术室护士站</w:t>
      </w:r>
    </w:p>
    <w:p w14:paraId="23FCA66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需支持手术计分：术后资料整理计分，根据手术提供的计分项、手术时长、白班夜班、是否择期等规则，自动计算巡回洗手护士本台手术的得分；</w:t>
      </w:r>
    </w:p>
    <w:p w14:paraId="2E88F6B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需支持手术计分查询；</w:t>
      </w:r>
    </w:p>
    <w:p w14:paraId="576DC2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需支持术后资料整理：对待归档、已归档、已计分的手术进行术后资料整理；</w:t>
      </w:r>
    </w:p>
    <w:p w14:paraId="28DA7AB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需支持手术明细查询（医生站）；</w:t>
      </w:r>
    </w:p>
    <w:p w14:paraId="60A1DE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需支持手术统计；</w:t>
      </w:r>
    </w:p>
    <w:p w14:paraId="3CE753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需支持手术数量月统计；</w:t>
      </w:r>
    </w:p>
    <w:p w14:paraId="118BB2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需支持护理工作量统计；</w:t>
      </w:r>
    </w:p>
    <w:p w14:paraId="373FEEB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需支持手术排班：</w:t>
      </w:r>
    </w:p>
    <w:p w14:paraId="2AB6F346">
      <w:pPr>
        <w:overflowPunct w:val="0"/>
        <w:topLinePunct/>
        <w:autoSpaceDE/>
        <w:autoSpaceDN/>
        <w:spacing w:line="360" w:lineRule="auto"/>
        <w:ind w:firstLine="720" w:firstLineChars="300"/>
        <w:jc w:val="both"/>
        <w:rPr>
          <w:rFonts w:hint="eastAsia"/>
          <w:kern w:val="2"/>
          <w:sz w:val="24"/>
          <w:szCs w:val="24"/>
          <w:lang w:eastAsia="zh-CN"/>
        </w:rPr>
      </w:pPr>
      <w:r>
        <w:rPr>
          <w:rFonts w:hint="eastAsia"/>
          <w:kern w:val="2"/>
          <w:sz w:val="24"/>
          <w:szCs w:val="24"/>
          <w:lang w:eastAsia="zh-CN"/>
        </w:rPr>
        <w:t>1.支持对未安排手术的手术患者安排手术；</w:t>
      </w:r>
    </w:p>
    <w:p w14:paraId="479F8EC2">
      <w:pPr>
        <w:overflowPunct w:val="0"/>
        <w:topLinePunct/>
        <w:autoSpaceDE/>
        <w:autoSpaceDN/>
        <w:spacing w:line="360" w:lineRule="auto"/>
        <w:ind w:firstLine="720" w:firstLineChars="300"/>
        <w:jc w:val="both"/>
        <w:rPr>
          <w:rFonts w:hint="eastAsia"/>
          <w:kern w:val="2"/>
          <w:sz w:val="24"/>
          <w:szCs w:val="24"/>
          <w:lang w:eastAsia="zh-CN"/>
        </w:rPr>
      </w:pPr>
      <w:r>
        <w:rPr>
          <w:rFonts w:hint="eastAsia"/>
          <w:kern w:val="2"/>
          <w:sz w:val="24"/>
          <w:szCs w:val="24"/>
          <w:lang w:eastAsia="zh-CN"/>
        </w:rPr>
        <w:t>2.支持手术室护士夜班排班；</w:t>
      </w:r>
    </w:p>
    <w:p w14:paraId="4F348982">
      <w:pPr>
        <w:overflowPunct w:val="0"/>
        <w:topLinePunct/>
        <w:autoSpaceDE/>
        <w:autoSpaceDN/>
        <w:spacing w:line="360" w:lineRule="auto"/>
        <w:ind w:firstLine="679" w:firstLineChars="283"/>
        <w:jc w:val="both"/>
        <w:rPr>
          <w:rFonts w:hint="eastAsia"/>
          <w:kern w:val="2"/>
          <w:sz w:val="24"/>
          <w:szCs w:val="24"/>
          <w:lang w:eastAsia="zh-CN"/>
        </w:rPr>
      </w:pPr>
      <w:r>
        <w:rPr>
          <w:rFonts w:hint="eastAsia"/>
          <w:kern w:val="2"/>
          <w:sz w:val="24"/>
          <w:szCs w:val="24"/>
          <w:lang w:eastAsia="zh-CN"/>
        </w:rPr>
        <w:t>3.支持手术室护士晚班排班。</w:t>
      </w:r>
    </w:p>
    <w:p w14:paraId="2D8C22A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3.9.21物资请领管理</w:t>
      </w:r>
    </w:p>
    <w:p w14:paraId="741B60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需支持向后勤库房新增、修改请领单信息；</w:t>
      </w:r>
    </w:p>
    <w:p w14:paraId="596422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需支持向物资库房请领有库存的非高值耗材；</w:t>
      </w:r>
    </w:p>
    <w:p w14:paraId="71920D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需支持向物资库房请领高值耗材；</w:t>
      </w:r>
    </w:p>
    <w:p w14:paraId="0B132D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需支持向物资库房请领库房无库存的非高值耗材；</w:t>
      </w:r>
    </w:p>
    <w:p w14:paraId="79B2A12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需支持向供应室请领非高值耗材；</w:t>
      </w:r>
    </w:p>
    <w:p w14:paraId="54DC75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需支持卫材库房物资请领统计；</w:t>
      </w:r>
    </w:p>
    <w:p w14:paraId="289111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需支持消毒供应室物资领用统计。</w:t>
      </w:r>
    </w:p>
    <w:p w14:paraId="60681C03">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49" w:name="_Toc216708544"/>
      <w:r>
        <w:rPr>
          <w:rFonts w:hint="eastAsia"/>
          <w:b/>
          <w:bCs/>
          <w:kern w:val="2"/>
          <w:sz w:val="24"/>
          <w:szCs w:val="24"/>
          <w:lang w:eastAsia="zh-CN"/>
        </w:rPr>
        <w:t>3.10会诊规范性管理</w:t>
      </w:r>
      <w:bookmarkEnd w:id="49"/>
    </w:p>
    <w:p w14:paraId="1507842C">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需支持对患者进行会诊申请，可申请至对方科室，也可申请到具体医生；</w:t>
      </w:r>
    </w:p>
    <w:p w14:paraId="5C6640BC">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需支持查看已申请患者会诊处理情况；</w:t>
      </w:r>
    </w:p>
    <w:p w14:paraId="59CE4157">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需支持自动生成会诊医嘱。支持接收及拒绝，处理会诊患者前，查看患者治疗过程信息；</w:t>
      </w:r>
    </w:p>
    <w:p w14:paraId="58AD86AA">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需支持接收/拒绝会诊；</w:t>
      </w:r>
    </w:p>
    <w:p w14:paraId="1413FC5B">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需支持允许会诊专家为会诊患者开立医嘱；</w:t>
      </w:r>
    </w:p>
    <w:p w14:paraId="5DC4E54E">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需支持在会诊完成时，自动创建待完成的会诊病程记录。</w:t>
      </w:r>
    </w:p>
    <w:p w14:paraId="659DCEA8">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需支持会诊完成时，会诊专家与会诊申请医生完成评价，且评价内容只允许自己可见。</w:t>
      </w:r>
    </w:p>
    <w:p w14:paraId="720DDD64">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需支持会诊核心制度查统计、查询全院会诊完成、会诊互评结果及内容。</w:t>
      </w:r>
    </w:p>
    <w:p w14:paraId="18F347C8">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需支持会诊排班设置，医生可根据排班信息申请到对应科室的会诊值班医生；</w:t>
      </w:r>
    </w:p>
    <w:p w14:paraId="48158046">
      <w:pPr>
        <w:numPr>
          <w:ilvl w:val="2"/>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需支持通过即时通讯平台，将会诊消息推送给参与会诊的各类角色，例如通过企业微信进行提醒会诊。</w:t>
      </w:r>
    </w:p>
    <w:p w14:paraId="7BE6D53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3.10.1会诊申请</w:t>
      </w:r>
    </w:p>
    <w:p w14:paraId="618FA73A">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需支持科间会诊、急会诊、院外会诊；</w:t>
      </w:r>
    </w:p>
    <w:p w14:paraId="5F0F5813">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需支持自动生成会诊描述医嘱；</w:t>
      </w:r>
    </w:p>
    <w:p w14:paraId="6AB2C25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需支持会诊消息发送给受邀科室医生；</w:t>
      </w:r>
    </w:p>
    <w:p w14:paraId="66D683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需支持会诊申请时必要信息的校验，如相关病史信息。</w:t>
      </w:r>
    </w:p>
    <w:p w14:paraId="4E912D9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3.10.2接收及拒绝</w:t>
      </w:r>
    </w:p>
    <w:p w14:paraId="328FB12F">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需支持在处理会诊患者前，查看患者治疗过程信息；</w:t>
      </w:r>
    </w:p>
    <w:p w14:paraId="4D8D270C">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需支持接收会诊，书写会诊意见；</w:t>
      </w:r>
    </w:p>
    <w:p w14:paraId="3B1FE26F">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需支持拒绝会诊，填写拒绝理由；</w:t>
      </w:r>
    </w:p>
    <w:p w14:paraId="513E8574">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需支持接收后自动生成会诊计费医嘱；</w:t>
      </w:r>
    </w:p>
    <w:p w14:paraId="669297C4">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需支持接收后可取消接收会诊，并可取消计费医嘱；</w:t>
      </w:r>
    </w:p>
    <w:p w14:paraId="20D5383C">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需支持接收后自动授权医生书写患者病历、医嘱、诊断权限；</w:t>
      </w:r>
    </w:p>
    <w:p w14:paraId="2EDB1D34">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需支持在会诊完成时，可生成HIS收费；</w:t>
      </w:r>
    </w:p>
    <w:p w14:paraId="26FC31B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3.10.3会诊互评</w:t>
      </w:r>
    </w:p>
    <w:p w14:paraId="340B89C1">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需支持会诊科室与受邀科室相互评价、具备评价查询和分析功能。</w:t>
      </w:r>
    </w:p>
    <w:p w14:paraId="39B06FE7">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需支持会诊完成时，需支持会诊专家评价本次会诊，且评价内容只允许专家方可见；</w:t>
      </w:r>
    </w:p>
    <w:p w14:paraId="40C1D300">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需支持会诊完成后，需支持会诊申请医师评价本次会诊，且评价内容只允许申请方可见；</w:t>
      </w:r>
    </w:p>
    <w:p w14:paraId="66C877EC">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需支持会诊评价内容自定义维护。</w:t>
      </w:r>
    </w:p>
    <w:p w14:paraId="33AD792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3.11多媒体病历记录</w:t>
      </w:r>
    </w:p>
    <w:p w14:paraId="210E37B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需支持多媒体文件上传，本地文件上传、扫描、高拍等不同的文件上传方式；</w:t>
      </w:r>
    </w:p>
    <w:p w14:paraId="397B6FA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需支持文件上传预览，可对待上传的文件进行放缩、旋转；</w:t>
      </w:r>
    </w:p>
    <w:p w14:paraId="4F77E2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需支持多媒体文件批量上传、添加备注；</w:t>
      </w:r>
    </w:p>
    <w:p w14:paraId="453206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按就诊时间、医疗机构（本院/外院、或自定义填写）、就诊类型（门诊、住院、急诊、体检等）、文件类型管理多媒体文件；</w:t>
      </w:r>
    </w:p>
    <w:p w14:paraId="2B23FAD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多媒体文件查看，需支持已上传的多媒体文件按照时间顺序与患者历史就诊记录一并按序展示，已上传的多媒体文件在多媒体文件树中展现，支持查看文件详情；</w:t>
      </w:r>
    </w:p>
    <w:p w14:paraId="1E5BB6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需支持按职级、按科室、按人员设定权限管理；</w:t>
      </w:r>
    </w:p>
    <w:p w14:paraId="3F6961B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需支持模态化抗菌药使用等级管理多媒体文件引用与呈现；</w:t>
      </w:r>
    </w:p>
    <w:p w14:paraId="48D5D91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需支持模态化手术申请等级管理多媒体文件引用与呈现；</w:t>
      </w:r>
    </w:p>
    <w:p w14:paraId="4EF5D84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需支持模态化药品性质使用管理多媒体文件引用与呈现；</w:t>
      </w:r>
    </w:p>
    <w:p w14:paraId="48776A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需支持模态化药品组套范围编辑管理多媒体文件引用与呈现；</w:t>
      </w:r>
    </w:p>
    <w:p w14:paraId="28440F8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需支持模态化术语应用范围管理多媒体文件引用与呈现；</w:t>
      </w:r>
    </w:p>
    <w:p w14:paraId="56141C4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需支持模态化抗肿瘤药物专项管理多媒体文件引用与呈现；</w:t>
      </w:r>
    </w:p>
    <w:p w14:paraId="5C8DF47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需支持通过互联网医院上传患者外院病历，并在病历系统展现；</w:t>
      </w:r>
    </w:p>
    <w:p w14:paraId="4CE91C5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50" w:name="_Toc216708548"/>
      <w:r>
        <w:rPr>
          <w:rFonts w:hint="eastAsia"/>
          <w:b/>
          <w:bCs/>
          <w:kern w:val="2"/>
          <w:sz w:val="24"/>
          <w:szCs w:val="24"/>
          <w:lang w:eastAsia="zh-CN"/>
        </w:rPr>
        <w:t>3.12报告查看</w:t>
      </w:r>
      <w:bookmarkEnd w:id="50"/>
    </w:p>
    <w:p w14:paraId="25F08F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需支持在医生站内查看检查报告及影像，无需切换至检查系统；</w:t>
      </w:r>
    </w:p>
    <w:p w14:paraId="18CB165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需支持在医生站内查看检验报告，无需切换至检验系统；</w:t>
      </w:r>
    </w:p>
    <w:p w14:paraId="42246B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需支持检查检验危急值查看；</w:t>
      </w:r>
    </w:p>
    <w:p w14:paraId="0A400F85">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3.13模板管理</w:t>
      </w:r>
    </w:p>
    <w:p w14:paraId="56A013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需支持专科病历模板的管理，通过生成一套完整严谨的结构化模板，避免书写过程中缺项、模糊及不规范用语等问题；</w:t>
      </w:r>
    </w:p>
    <w:p w14:paraId="5613E3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需支持病历模板管理，包括元素维护、模板维护和模板分配；</w:t>
      </w:r>
    </w:p>
    <w:p w14:paraId="5419E3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需支持提供元素“引用”功能，对于一次诊疗中的同一元素，可以直接引用之前的数据，避免医生重复录入；</w:t>
      </w:r>
    </w:p>
    <w:p w14:paraId="003347B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需支持对模板中的元素、元素节和区域进行自定义编辑，提供维护过程可视化，可以看到维护后病历模板的格式；</w:t>
      </w:r>
    </w:p>
    <w:p w14:paraId="4A52F96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需支持根据不同科室的需要，对专科、专病的病历模板维护；</w:t>
      </w:r>
    </w:p>
    <w:p w14:paraId="6C3751B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需支持病历模板中元素的引用功能，当患者多次就诊或复诊时，医生可复用该患者既往病历中的元素信息；</w:t>
      </w:r>
    </w:p>
    <w:p w14:paraId="2146CB86">
      <w:pPr>
        <w:overflowPunct w:val="0"/>
        <w:topLinePunct/>
        <w:autoSpaceDE/>
        <w:autoSpaceDN/>
        <w:spacing w:line="360" w:lineRule="auto"/>
        <w:ind w:firstLine="480" w:firstLineChars="200"/>
        <w:jc w:val="both"/>
        <w:rPr>
          <w:rFonts w:hint="eastAsia"/>
          <w:kern w:val="44"/>
          <w:sz w:val="24"/>
          <w:szCs w:val="24"/>
          <w:lang w:eastAsia="zh-CN"/>
        </w:rPr>
      </w:pPr>
      <w:r>
        <w:rPr>
          <w:rFonts w:hint="eastAsia"/>
          <w:kern w:val="2"/>
          <w:sz w:val="24"/>
          <w:szCs w:val="24"/>
          <w:lang w:eastAsia="zh-CN"/>
        </w:rPr>
        <w:t>需支持结合我院医务管理制度要求，住院病历模板及相应的管理功能，模版元素引用</w:t>
      </w:r>
      <w:r>
        <w:rPr>
          <w:rFonts w:hint="eastAsia"/>
          <w:kern w:val="44"/>
          <w:sz w:val="24"/>
          <w:szCs w:val="24"/>
          <w:lang w:eastAsia="zh-CN"/>
        </w:rPr>
        <w:t>功能、病历复用元素设置、病历模板分配指定科室。</w:t>
      </w:r>
    </w:p>
    <w:p w14:paraId="33FA98D7">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51" w:name="_Toc19604"/>
      <w:r>
        <w:rPr>
          <w:rFonts w:hint="eastAsia"/>
          <w:b/>
          <w:bCs/>
          <w:kern w:val="44"/>
          <w:sz w:val="24"/>
          <w:szCs w:val="24"/>
          <w:lang w:eastAsia="zh-CN"/>
        </w:rPr>
        <w:t>4、多模态临床医生应用系统—电子用药清单模块</w:t>
      </w:r>
      <w:bookmarkEnd w:id="51"/>
    </w:p>
    <w:p w14:paraId="2FC63CAF">
      <w:pPr>
        <w:overflowPunct w:val="0"/>
        <w:topLinePunct/>
        <w:autoSpaceDE/>
        <w:autoSpaceDN/>
        <w:spacing w:line="360" w:lineRule="auto"/>
        <w:ind w:firstLine="482" w:firstLineChars="200"/>
        <w:jc w:val="both"/>
        <w:rPr>
          <w:rFonts w:hint="eastAsia"/>
          <w:kern w:val="2"/>
          <w:sz w:val="24"/>
          <w:szCs w:val="24"/>
          <w:lang w:eastAsia="zh-CN"/>
        </w:rPr>
      </w:pPr>
      <w:r>
        <w:rPr>
          <w:rFonts w:hint="eastAsia"/>
          <w:b/>
          <w:bCs/>
          <w:kern w:val="44"/>
          <w:sz w:val="24"/>
          <w:szCs w:val="24"/>
          <w:lang w:eastAsia="zh-CN"/>
        </w:rPr>
        <w:t>需支持药</w:t>
      </w:r>
      <w:r>
        <w:rPr>
          <w:rFonts w:hint="eastAsia"/>
          <w:kern w:val="2"/>
          <w:sz w:val="24"/>
          <w:szCs w:val="24"/>
          <w:lang w:eastAsia="zh-CN"/>
        </w:rPr>
        <w:t>品使用的数字化管理，实现对患者用药和诊疗结合的全面管理；</w:t>
      </w:r>
    </w:p>
    <w:p w14:paraId="6312D1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需支持多种视图的患者用药清单查询，按不同场景（门诊、住院、急诊、外院、自服药物）展示患者用药清单；</w:t>
      </w:r>
    </w:p>
    <w:p w14:paraId="63FB0F3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需支持按药品特殊标记过滤、筛选、查看用药清单；</w:t>
      </w:r>
    </w:p>
    <w:p w14:paraId="318449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需支持医嘱开立冲突校验，关注累积使用时间、剂量、用药冲突。根据相似药理作用药品用药、剂量变化进行变化趋势分析；</w:t>
      </w:r>
    </w:p>
    <w:p w14:paraId="3B0222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需支持接入患者慢病管理信息，支持对患者外院用药和自服药物进行信息化管理；</w:t>
      </w:r>
    </w:p>
    <w:p w14:paraId="5C03DF9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4.1患者用药清单查询</w:t>
      </w:r>
    </w:p>
    <w:p w14:paraId="1BA6058B">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需支持患者信息查询；</w:t>
      </w:r>
    </w:p>
    <w:p w14:paraId="4B2F5CDE">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需支持用药清单查询、筛选和排序；</w:t>
      </w:r>
    </w:p>
    <w:p w14:paraId="730A9367">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需支持用药记录更新、打印和导出；</w:t>
      </w:r>
    </w:p>
    <w:p w14:paraId="77C5BFB0">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需支持找患者的药物清单、筛选和排序；</w:t>
      </w:r>
    </w:p>
    <w:p w14:paraId="7857CB14">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需支持用药提醒功能；</w:t>
      </w:r>
    </w:p>
    <w:p w14:paraId="5B16C01D">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需支持更新用药记录，打印和导出清单；</w:t>
      </w:r>
    </w:p>
    <w:p w14:paraId="12D51080">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需支持展示患者在本院内所有药品医嘱的使用情况；</w:t>
      </w:r>
    </w:p>
    <w:p w14:paraId="12E6AA90">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需支持通过日历形式展示患者时间段内用药情况；</w:t>
      </w:r>
    </w:p>
    <w:p w14:paraId="362A024C">
      <w:pPr>
        <w:overflowPunct w:val="0"/>
        <w:topLinePunct/>
        <w:autoSpaceDE/>
        <w:autoSpaceDN/>
        <w:spacing w:line="360" w:lineRule="auto"/>
        <w:ind w:firstLine="600" w:firstLineChars="250"/>
        <w:jc w:val="both"/>
        <w:rPr>
          <w:rFonts w:hint="eastAsia"/>
          <w:kern w:val="2"/>
          <w:sz w:val="24"/>
          <w:szCs w:val="24"/>
          <w:lang w:eastAsia="zh-CN"/>
        </w:rPr>
      </w:pPr>
      <w:r>
        <w:rPr>
          <w:rFonts w:hint="eastAsia"/>
          <w:kern w:val="2"/>
          <w:sz w:val="24"/>
          <w:szCs w:val="24"/>
          <w:lang w:eastAsia="zh-CN"/>
        </w:rPr>
        <w:t>需支持通过折线图形式展示患者用药变化信息，关注用要与病情的联动辅助下一步治疗方案。</w:t>
      </w:r>
    </w:p>
    <w:p w14:paraId="04A6E8F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4.2医嘱开立冲突校验</w:t>
      </w:r>
    </w:p>
    <w:p w14:paraId="1245016A">
      <w:pPr>
        <w:overflowPunct w:val="0"/>
        <w:topLinePunct/>
        <w:autoSpaceDE/>
        <w:autoSpaceDN/>
        <w:spacing w:line="360" w:lineRule="auto"/>
        <w:ind w:firstLine="240" w:firstLineChars="100"/>
        <w:jc w:val="both"/>
        <w:rPr>
          <w:rFonts w:hint="eastAsia"/>
          <w:kern w:val="2"/>
          <w:sz w:val="24"/>
          <w:szCs w:val="24"/>
          <w:lang w:eastAsia="zh-CN"/>
        </w:rPr>
      </w:pPr>
      <w:r>
        <w:rPr>
          <w:rFonts w:hint="eastAsia"/>
          <w:kern w:val="2"/>
          <w:sz w:val="24"/>
          <w:szCs w:val="24"/>
          <w:lang w:eastAsia="zh-CN"/>
        </w:rPr>
        <w:t>需支持对医嘱进行冲突校验，检测药物和过敏史相互作用、重复用药等情况，提供警示和建议，帮助医生避免潜在的药物冲突风险，提高用药安全性。</w:t>
      </w:r>
    </w:p>
    <w:p w14:paraId="7C53E84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4.3用药查询</w:t>
      </w:r>
    </w:p>
    <w:p w14:paraId="3A0271B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药物院内院外使用信息的查询和检索，提供药品的详细信息、用法用量等，帮助医生和护士快速获取和了解药品相关信息，支持查询患者院外使用、门诊使用、急诊使用、院外使用的药品情况，并提供可视化展示。可展示药品使用说明书原件，精确用药有据可依。</w:t>
      </w:r>
    </w:p>
    <w:p w14:paraId="0AD13A72">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4.4相似药理分析</w:t>
      </w:r>
    </w:p>
    <w:p w14:paraId="17BBED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需支持定制开发相似药理分析，能够通过比对药物的作用机制、药理特性和临床指南等信息，评估和比较不同药物之间的相似性。用户可以输入药物名称或化学结构，提供与查询药物相似的其他药物推荐。</w:t>
      </w:r>
    </w:p>
    <w:p w14:paraId="1F8F2E8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4.5慢病用药接口</w:t>
      </w:r>
    </w:p>
    <w:p w14:paraId="52F9E8E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需支持定制开发接入患者慢病管理信息，支持对患者外院用药和自服药物进行信息化管理。</w:t>
      </w:r>
    </w:p>
    <w:p w14:paraId="58680423">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52" w:name="_Toc216708586"/>
      <w:bookmarkStart w:id="53" w:name="_Toc11906"/>
      <w:bookmarkStart w:id="54" w:name="_Hlk217984946"/>
      <w:r>
        <w:rPr>
          <w:rFonts w:hint="eastAsia"/>
          <w:b/>
          <w:bCs/>
          <w:kern w:val="44"/>
          <w:sz w:val="24"/>
          <w:szCs w:val="24"/>
          <w:lang w:eastAsia="zh-CN"/>
        </w:rPr>
        <w:t>5、多模态临床医生应用系统—日间手术管理模块</w:t>
      </w:r>
      <w:bookmarkEnd w:id="52"/>
      <w:bookmarkEnd w:id="53"/>
    </w:p>
    <w:bookmarkEnd w:id="54"/>
    <w:p w14:paraId="29738AFB">
      <w:pPr>
        <w:overflowPunct w:val="0"/>
        <w:topLinePunct/>
        <w:autoSpaceDE/>
        <w:autoSpaceDN/>
        <w:spacing w:line="360" w:lineRule="auto"/>
        <w:ind w:firstLine="480" w:firstLineChars="200"/>
        <w:jc w:val="both"/>
        <w:rPr>
          <w:rFonts w:hint="eastAsia"/>
          <w:kern w:val="2"/>
          <w:sz w:val="24"/>
          <w:szCs w:val="24"/>
          <w:lang w:eastAsia="zh-CN"/>
        </w:rPr>
      </w:pPr>
      <w:bookmarkStart w:id="55" w:name="_Hlk217984959"/>
      <w:r>
        <w:rPr>
          <w:rFonts w:hint="eastAsia"/>
          <w:kern w:val="2"/>
          <w:sz w:val="24"/>
          <w:szCs w:val="24"/>
          <w:lang w:eastAsia="zh-CN"/>
        </w:rPr>
        <w:t>需支持根据院内业务流程改造；</w:t>
      </w:r>
    </w:p>
    <w:p w14:paraId="50A797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需支持门诊手术、日间手术、住院手术、DSA、内镜等手术流程管理。</w:t>
      </w:r>
    </w:p>
    <w:p w14:paraId="487E0EA9">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5.1手术分级管理</w:t>
      </w:r>
    </w:p>
    <w:p w14:paraId="2705561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需支持医师职级与手术级别对照的手术分级管理；</w:t>
      </w:r>
    </w:p>
    <w:p w14:paraId="12C585E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需支持手术名称与科室对照维护；</w:t>
      </w:r>
    </w:p>
    <w:p w14:paraId="3EADDF6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需支持手术申请时，根据手术名称自动判断手术级别，限制可选术者范围。</w:t>
      </w:r>
    </w:p>
    <w:p w14:paraId="2F615ED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5.1.1手术管理</w:t>
      </w:r>
    </w:p>
    <w:p w14:paraId="458157AB">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5.1.1.1手术排程与智能调度</w:t>
      </w:r>
    </w:p>
    <w:p w14:paraId="0E0D1F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需支持全院手术间排程可视化展示，提供日历视图、列表视图等多维度呈现方式，实时统计并展示各手术间使用率、占用状态等核心数据；</w:t>
      </w:r>
    </w:p>
    <w:p w14:paraId="289080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需具备智能排程算法，可依据手术级别（如 4 级全麻手术）、手术类型、患者优先级、资源匹配度等多维度参数，自动生成最优排程推荐方案，支持人工二次调整；</w:t>
      </w:r>
    </w:p>
    <w:p w14:paraId="4A8C6DF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需内置换台率统计分析功能，可精准记录手术衔接耗时、换台准备时长等数据，生成换台效率分析报告，为优化手术衔接流程提供数据支撑；</w:t>
      </w:r>
    </w:p>
    <w:p w14:paraId="0862E2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需支持排程冲突自动预警，当排程方案与资源占用、手术禁忌等存在冲突时，实时触发提醒并提供调整建议。</w:t>
      </w:r>
    </w:p>
    <w:p w14:paraId="548D10C6">
      <w:pPr>
        <w:overflowPunct w:val="0"/>
        <w:topLinePunct/>
        <w:autoSpaceDE/>
        <w:autoSpaceDN/>
        <w:spacing w:line="360" w:lineRule="auto"/>
        <w:ind w:firstLine="480" w:firstLineChars="200"/>
        <w:jc w:val="both"/>
        <w:rPr>
          <w:rFonts w:hint="eastAsia"/>
          <w:kern w:val="2"/>
          <w:sz w:val="24"/>
          <w:szCs w:val="24"/>
          <w:lang w:eastAsia="zh-CN"/>
        </w:rPr>
      </w:pPr>
    </w:p>
    <w:p w14:paraId="42C96FF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5.1.1.2手术安全与资源管理度</w:t>
      </w:r>
    </w:p>
    <w:p w14:paraId="44DA4A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实现人员（医护人员资质、排班状态）、设备（手术器械、监护设备）、导航（手术间定位、物资运输路径）、耗材（高值耗材、普通耗材）等全维度资源的集中管理，支持资源库存实时监控、短缺预警与追溯管理；</w:t>
      </w:r>
    </w:p>
    <w:p w14:paraId="057B1B4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需构建标准化术前风险评估体系与门诊麻醉评估流程，内置符合医疗规范的评估量表，支持评估数据结构化录入，可根据患者病历信息自动匹配风险等级，生成风险评估报告；</w:t>
      </w:r>
    </w:p>
    <w:p w14:paraId="5ED2776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需支持评估结果与相关系统自动同步，评估数据无需人工重复录入，直接写入对应病历文书模块，保障病历记录的完整性、准确性与标准化；</w:t>
      </w:r>
    </w:p>
    <w:p w14:paraId="4B3C0AA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需具备手术安全核查数字化功能，支持术前、术中、术后关键节点核查流程的电子化流转与签名确认，全程留痕可追溯。</w:t>
      </w:r>
    </w:p>
    <w:p w14:paraId="597281A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5.1.1.3运营分析总控制台监控度</w:t>
      </w:r>
    </w:p>
    <w:p w14:paraId="18E42E8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需建立全院手术室运营状态实时监控视图，整合多维度核心数据，直观展示手术间使用状态、手术进展情况、资源调配动态等关键信息；</w:t>
      </w:r>
    </w:p>
    <w:p w14:paraId="04DA6CA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需提供可视化多维数据看板，至少包含以下核心指标：手术间利用率（日 / 周 / 月维度统计）、首台手术准时开台率、手术换台效率（平均换台时长、换台成功率）、麻醉评估完成率及完成时效等；</w:t>
      </w:r>
    </w:p>
    <w:p w14:paraId="4A871A8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需支持监控数据实时刷新，延迟时间≤30秒，可通过大屏展示、移动端推送等多种方式，为运营管理人员提供即时决策支持。</w:t>
      </w:r>
    </w:p>
    <w:p w14:paraId="3C12BC4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5.1.1.4手术运营管理指标分析</w:t>
      </w:r>
    </w:p>
    <w:p w14:paraId="35CD27C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需覆盖效率、安全、资源、质量四大类核心运营指标，支持指标自定义配置与拓展，可满足不同管理层级的统计分析需求；</w:t>
      </w:r>
    </w:p>
    <w:p w14:paraId="1A7C34D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需具备多维度数据挖掘与分析能力，支持趋势分析（近 7 天 / 30 天 / 90 天指标变化趋势）、同比环比分析、科室/手术间/医师维度对比分析等功能；</w:t>
      </w:r>
    </w:p>
    <w:p w14:paraId="2A0503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需支持自动生成标准化分析报表（日报、周报、月报），同时提供自定义报表生成工具，可按需选择统计维度、指标类型与展示形式（表格、折线图、柱状图、饼图等）；</w:t>
      </w:r>
    </w:p>
    <w:p w14:paraId="1D5A05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需具备数据导出功能，支持 Excel、PDF 等多种格式导出，满足数据存档与二次分析需求。</w:t>
      </w:r>
    </w:p>
    <w:p w14:paraId="219CECE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5.1.1.5数据整合与病历生成分析</w:t>
      </w:r>
    </w:p>
    <w:p w14:paraId="1C3A12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需实现门诊麻醉评估表与医院现有相关病历系统深度整合，评估流程与病历书写流程无缝衔接；</w:t>
      </w:r>
    </w:p>
    <w:p w14:paraId="7AD40B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需支持评估内容结构化采集与自动提取，评估数据可按预设规则自动填充至对应病历文书模板，生成标准化病历记录，提升病历书写效率与完整性，减少人工录入误差；</w:t>
      </w:r>
    </w:p>
    <w:p w14:paraId="33C7AB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需支持保障数据整合过程中的隐私安全，严格遵循医疗数据安全相关法规，对患者隐私信息进行加密处理，确保数据访问与使用的合规性。</w:t>
      </w:r>
    </w:p>
    <w:p w14:paraId="0E16580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5.2手术患者入院安排</w:t>
      </w:r>
    </w:p>
    <w:p w14:paraId="0A3AB5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需支持对医生开立的手术住院证患者进行入院安排，进入队列候床；</w:t>
      </w:r>
    </w:p>
    <w:p w14:paraId="0960C7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需支持取消患者安排信息。</w:t>
      </w:r>
    </w:p>
    <w:p w14:paraId="60BFC07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5.3手术入院确认</w:t>
      </w:r>
    </w:p>
    <w:p w14:paraId="3747712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需支持对手术候床队列中的患者进行入院确认，确认后患者方可到入院处进行住院登记。</w:t>
      </w:r>
    </w:p>
    <w:p w14:paraId="4ACD539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5.4患者病历查看</w:t>
      </w:r>
    </w:p>
    <w:p w14:paraId="420CA0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需支持查看预约患者的病历信息。</w:t>
      </w:r>
    </w:p>
    <w:p w14:paraId="79873CA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5.5检查检验结果查看</w:t>
      </w:r>
    </w:p>
    <w:p w14:paraId="542DC8B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需支持查看预约患者的检查检验结果。</w:t>
      </w:r>
    </w:p>
    <w:p w14:paraId="7B7A521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5.6日间病房护士站管理</w:t>
      </w:r>
    </w:p>
    <w:p w14:paraId="1EAD65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需支持手术申请与患者住院信息绑定功能，其他功能等同于HIS护士站管理功能，包含患者入出转，医嘱处理，各类查询等。</w:t>
      </w:r>
    </w:p>
    <w:p w14:paraId="7D102BC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5.7日间病房患者费用导入</w:t>
      </w:r>
    </w:p>
    <w:p w14:paraId="706C010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结合本院医保政策将病房患者门诊相关本次入院的检查检验等收费信息按照发票号导入到患者本次入院中。</w:t>
      </w:r>
    </w:p>
    <w:p w14:paraId="7A704913">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5.8日间病房患者病历</w:t>
      </w:r>
    </w:p>
    <w:p w14:paraId="40B04E8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需支持病房患者专用病历模板，例如24小时入出院记录等。</w:t>
      </w:r>
    </w:p>
    <w:bookmarkEnd w:id="55"/>
    <w:p w14:paraId="46C11E74">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56" w:name="_Toc216708610"/>
      <w:bookmarkStart w:id="57" w:name="_Toc26732"/>
      <w:r>
        <w:rPr>
          <w:rFonts w:hint="eastAsia"/>
          <w:b/>
          <w:bCs/>
          <w:kern w:val="44"/>
          <w:sz w:val="24"/>
          <w:szCs w:val="24"/>
          <w:lang w:eastAsia="zh-CN"/>
        </w:rPr>
        <w:t>6、多模态临床医生应用系统—AI医生助手模块</w:t>
      </w:r>
      <w:bookmarkEnd w:id="56"/>
      <w:bookmarkEnd w:id="57"/>
    </w:p>
    <w:p w14:paraId="79BA35A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58" w:name="_Toc216708611"/>
      <w:r>
        <w:rPr>
          <w:rFonts w:hint="eastAsia"/>
          <w:b/>
          <w:bCs/>
          <w:kern w:val="2"/>
          <w:sz w:val="24"/>
          <w:szCs w:val="24"/>
          <w:lang w:eastAsia="zh-CN"/>
        </w:rPr>
        <w:t>6.1医生助手</w:t>
      </w:r>
    </w:p>
    <w:p w14:paraId="77AA69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需支持医生端决策支持方式的统一展现模式，通过建设统一展现平台方式，实现不同系统对接后的样式统一及干预方式统一。</w:t>
      </w:r>
    </w:p>
    <w:p w14:paraId="5FAB5344">
      <w:pPr>
        <w:overflowPunct w:val="0"/>
        <w:topLinePunct/>
        <w:autoSpaceDE/>
        <w:autoSpaceDN/>
        <w:adjustRightInd w:val="0"/>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需支持对接入的各决策支持模块，按照标准的样式规范进行功能展示。</w:t>
      </w:r>
    </w:p>
    <w:p w14:paraId="4AA642C6">
      <w:pPr>
        <w:overflowPunct w:val="0"/>
        <w:topLinePunct/>
        <w:autoSpaceDE/>
        <w:autoSpaceDN/>
        <w:adjustRightInd w:val="0"/>
        <w:spacing w:line="360" w:lineRule="auto"/>
        <w:ind w:firstLine="480" w:firstLineChars="200"/>
        <w:jc w:val="both"/>
        <w:rPr>
          <w:rFonts w:hint="eastAsia"/>
          <w:kern w:val="2"/>
          <w:sz w:val="24"/>
          <w:szCs w:val="24"/>
          <w:lang w:eastAsia="zh-CN"/>
        </w:rPr>
      </w:pPr>
      <w:r>
        <w:rPr>
          <w:rFonts w:hint="eastAsia"/>
          <w:kern w:val="2"/>
          <w:sz w:val="24"/>
          <w:szCs w:val="24"/>
          <w:lang w:eastAsia="zh-CN"/>
        </w:rPr>
        <w:t>需支持</w:t>
      </w:r>
      <w:r>
        <w:rPr>
          <w:rFonts w:hint="eastAsia"/>
          <w:kern w:val="2"/>
          <w:sz w:val="24"/>
          <w:szCs w:val="24"/>
          <w:lang w:eastAsia="zh-CN" w:bidi="ar"/>
        </w:rPr>
        <w:t>采用自然语言分词技术和知识库，采用自然语言分词及AI处理</w:t>
      </w:r>
      <w:r>
        <w:rPr>
          <w:rFonts w:hint="eastAsia"/>
          <w:kern w:val="2"/>
          <w:sz w:val="24"/>
          <w:szCs w:val="24"/>
          <w:lang w:eastAsia="zh-CN"/>
        </w:rPr>
        <w:t>推荐辅助诊断、推荐用药、推荐检验、推荐检查、推荐手术等：</w:t>
      </w:r>
    </w:p>
    <w:p w14:paraId="675C956C">
      <w:pPr>
        <w:numPr>
          <w:ilvl w:val="0"/>
          <w:numId w:val="4"/>
        </w:numPr>
        <w:overflowPunct w:val="0"/>
        <w:topLinePunct/>
        <w:autoSpaceDE/>
        <w:autoSpaceDN/>
        <w:adjustRightInd w:val="0"/>
        <w:spacing w:line="360" w:lineRule="auto"/>
        <w:ind w:left="1140"/>
        <w:jc w:val="both"/>
        <w:rPr>
          <w:rFonts w:hint="eastAsia"/>
          <w:kern w:val="2"/>
          <w:sz w:val="24"/>
          <w:szCs w:val="24"/>
          <w:lang w:eastAsia="zh-CN"/>
        </w:rPr>
      </w:pPr>
      <w:r>
        <w:rPr>
          <w:rFonts w:hint="eastAsia"/>
          <w:kern w:val="2"/>
          <w:sz w:val="24"/>
          <w:szCs w:val="24"/>
          <w:lang w:eastAsia="zh-CN"/>
        </w:rPr>
        <w:t>推荐辅助诊断是医生书写入院记录文书一诉五史内容保存后，系统根据入院记录文书中的一诉五史进行推荐出诊断，并按照权重由高到低排序。</w:t>
      </w:r>
    </w:p>
    <w:p w14:paraId="65DD34DC">
      <w:pPr>
        <w:numPr>
          <w:ilvl w:val="0"/>
          <w:numId w:val="4"/>
        </w:numPr>
        <w:overflowPunct w:val="0"/>
        <w:topLinePunct/>
        <w:autoSpaceDE/>
        <w:autoSpaceDN/>
        <w:adjustRightInd w:val="0"/>
        <w:spacing w:line="360" w:lineRule="auto"/>
        <w:ind w:left="1140"/>
        <w:jc w:val="both"/>
        <w:rPr>
          <w:rFonts w:hint="eastAsia"/>
          <w:kern w:val="2"/>
          <w:sz w:val="24"/>
          <w:szCs w:val="24"/>
          <w:lang w:eastAsia="zh-CN"/>
        </w:rPr>
      </w:pPr>
      <w:r>
        <w:rPr>
          <w:rFonts w:hint="eastAsia"/>
          <w:kern w:val="2"/>
          <w:sz w:val="24"/>
          <w:szCs w:val="24"/>
          <w:lang w:eastAsia="zh-CN"/>
        </w:rPr>
        <w:t>推荐检查检验是医生书写入院记录文书一诉五史内容和诊断保存后，系统根据入院记录文书中的一诉五史和诊断进行推荐出检查检验。</w:t>
      </w:r>
    </w:p>
    <w:p w14:paraId="7241D9F3">
      <w:pPr>
        <w:numPr>
          <w:ilvl w:val="0"/>
          <w:numId w:val="4"/>
        </w:numPr>
        <w:overflowPunct w:val="0"/>
        <w:topLinePunct/>
        <w:autoSpaceDE/>
        <w:autoSpaceDN/>
        <w:adjustRightInd w:val="0"/>
        <w:spacing w:line="360" w:lineRule="auto"/>
        <w:ind w:left="1140"/>
        <w:jc w:val="both"/>
        <w:rPr>
          <w:rFonts w:hint="eastAsia"/>
          <w:kern w:val="2"/>
          <w:sz w:val="24"/>
          <w:szCs w:val="24"/>
          <w:lang w:eastAsia="zh-CN"/>
        </w:rPr>
      </w:pPr>
      <w:r>
        <w:rPr>
          <w:rFonts w:hint="eastAsia"/>
          <w:kern w:val="2"/>
          <w:sz w:val="24"/>
          <w:szCs w:val="24"/>
          <w:lang w:eastAsia="zh-CN"/>
        </w:rPr>
        <w:t>推荐的疑似诊断，点击诊断名称可以直接跳转到知识库中，并展示诊断的详情。根据临床路径、指南、全科版展示诊断的详细信息。其中全科版包括疾病概述、病因学、病理学、临床表现、辅助检查、鉴别诊断、院前处理、治疗、处置等内容。</w:t>
      </w:r>
    </w:p>
    <w:p w14:paraId="63532D0C">
      <w:pPr>
        <w:numPr>
          <w:ilvl w:val="0"/>
          <w:numId w:val="4"/>
        </w:numPr>
        <w:overflowPunct w:val="0"/>
        <w:topLinePunct/>
        <w:autoSpaceDE/>
        <w:autoSpaceDN/>
        <w:adjustRightInd w:val="0"/>
        <w:spacing w:line="360" w:lineRule="auto"/>
        <w:ind w:left="1140"/>
        <w:jc w:val="both"/>
        <w:rPr>
          <w:rFonts w:hint="eastAsia"/>
          <w:kern w:val="2"/>
          <w:sz w:val="24"/>
          <w:szCs w:val="24"/>
          <w:lang w:eastAsia="zh-CN"/>
        </w:rPr>
      </w:pPr>
      <w:r>
        <w:rPr>
          <w:rFonts w:hint="eastAsia"/>
          <w:kern w:val="2"/>
          <w:sz w:val="24"/>
          <w:szCs w:val="24"/>
          <w:lang w:eastAsia="zh-CN"/>
        </w:rPr>
        <w:t>推荐鉴别诊断是医生书写首次病程记录保存后，系统根据首次病程记录文书中的一诉五史和诊断进行推荐出鉴别诊断。</w:t>
      </w:r>
    </w:p>
    <w:p w14:paraId="08F40340">
      <w:pPr>
        <w:numPr>
          <w:ilvl w:val="0"/>
          <w:numId w:val="4"/>
        </w:numPr>
        <w:overflowPunct w:val="0"/>
        <w:topLinePunct/>
        <w:autoSpaceDE/>
        <w:autoSpaceDN/>
        <w:adjustRightInd w:val="0"/>
        <w:spacing w:line="360" w:lineRule="auto"/>
        <w:ind w:left="1140"/>
        <w:jc w:val="both"/>
        <w:rPr>
          <w:rFonts w:hint="eastAsia"/>
          <w:kern w:val="2"/>
          <w:sz w:val="24"/>
          <w:szCs w:val="24"/>
          <w:lang w:eastAsia="zh-CN"/>
        </w:rPr>
      </w:pPr>
      <w:r>
        <w:rPr>
          <w:rFonts w:hint="eastAsia"/>
          <w:kern w:val="2"/>
          <w:sz w:val="24"/>
          <w:szCs w:val="24"/>
          <w:lang w:eastAsia="zh-CN"/>
        </w:rPr>
        <w:t>推荐手术术式是医生书写手术记录保存后，系统根据手术记录文书中的内容和诊断推荐出相应的手术术式。</w:t>
      </w:r>
    </w:p>
    <w:p w14:paraId="142D5238">
      <w:pPr>
        <w:numPr>
          <w:ilvl w:val="0"/>
          <w:numId w:val="4"/>
        </w:numPr>
        <w:overflowPunct w:val="0"/>
        <w:topLinePunct/>
        <w:autoSpaceDE/>
        <w:autoSpaceDN/>
        <w:adjustRightInd w:val="0"/>
        <w:spacing w:line="360" w:lineRule="auto"/>
        <w:ind w:left="1140"/>
        <w:jc w:val="both"/>
        <w:rPr>
          <w:rFonts w:hint="eastAsia"/>
          <w:kern w:val="2"/>
          <w:sz w:val="24"/>
          <w:szCs w:val="24"/>
          <w:lang w:eastAsia="zh-CN"/>
        </w:rPr>
      </w:pPr>
      <w:r>
        <w:rPr>
          <w:rFonts w:hint="eastAsia"/>
          <w:kern w:val="2"/>
          <w:sz w:val="24"/>
          <w:szCs w:val="24"/>
          <w:lang w:eastAsia="zh-CN"/>
        </w:rPr>
        <w:t>推荐药品是医生开立医嘱保存后，系统根据开立的医嘱内容和诊断推荐出相应的药品。</w:t>
      </w:r>
    </w:p>
    <w:p w14:paraId="29B7E904">
      <w:pPr>
        <w:numPr>
          <w:ilvl w:val="0"/>
          <w:numId w:val="4"/>
        </w:numPr>
        <w:overflowPunct w:val="0"/>
        <w:topLinePunct/>
        <w:autoSpaceDE/>
        <w:autoSpaceDN/>
        <w:adjustRightInd w:val="0"/>
        <w:spacing w:line="360" w:lineRule="auto"/>
        <w:ind w:left="1140"/>
        <w:jc w:val="both"/>
        <w:rPr>
          <w:rFonts w:hint="eastAsia"/>
          <w:kern w:val="2"/>
          <w:sz w:val="24"/>
          <w:szCs w:val="24"/>
          <w:lang w:eastAsia="zh-CN"/>
        </w:rPr>
      </w:pPr>
      <w:r>
        <w:rPr>
          <w:rFonts w:hint="eastAsia"/>
          <w:kern w:val="2"/>
          <w:sz w:val="24"/>
          <w:szCs w:val="24"/>
          <w:lang w:eastAsia="zh-CN"/>
        </w:rPr>
        <w:t>结合我院学科开展设置情况，更新决策模型，利用多模态数据训练提升临床决策支持库精准度。</w:t>
      </w:r>
    </w:p>
    <w:p w14:paraId="0F72FA8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需支持对提醒的方式进行统一化展示，提醒的方式包括角标、气泡、弹出闪烁和打断式提醒。</w:t>
      </w:r>
    </w:p>
    <w:p w14:paraId="49029A4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需支持用户对各决策支持模块的优先展示顺序进行个性化调整。</w:t>
      </w:r>
    </w:p>
    <w:p w14:paraId="03E4C82C">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6.2多模态内容知识库</w:t>
      </w:r>
    </w:p>
    <w:p w14:paraId="7ADFEC9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6.2.1知识库总体要求</w:t>
      </w:r>
    </w:p>
    <w:p w14:paraId="7B83536F">
      <w:pPr>
        <w:numPr>
          <w:ilvl w:val="0"/>
          <w:numId w:val="5"/>
        </w:numPr>
        <w:autoSpaceDE/>
        <w:autoSpaceDN/>
        <w:spacing w:line="360" w:lineRule="auto"/>
        <w:ind w:firstLine="420"/>
        <w:jc w:val="both"/>
        <w:rPr>
          <w:rFonts w:hint="eastAsia"/>
          <w:vanish/>
          <w:kern w:val="2"/>
          <w:sz w:val="24"/>
          <w:szCs w:val="24"/>
          <w:lang w:eastAsia="zh-CN"/>
        </w:rPr>
      </w:pPr>
    </w:p>
    <w:p w14:paraId="7824C4BA">
      <w:pPr>
        <w:numPr>
          <w:ilvl w:val="0"/>
          <w:numId w:val="5"/>
        </w:numPr>
        <w:autoSpaceDE/>
        <w:autoSpaceDN/>
        <w:spacing w:line="360" w:lineRule="auto"/>
        <w:ind w:firstLine="420"/>
        <w:jc w:val="both"/>
        <w:rPr>
          <w:rFonts w:hint="eastAsia"/>
          <w:vanish/>
          <w:kern w:val="2"/>
          <w:sz w:val="24"/>
          <w:szCs w:val="24"/>
          <w:lang w:eastAsia="zh-CN"/>
        </w:rPr>
      </w:pPr>
    </w:p>
    <w:p w14:paraId="359C1A11">
      <w:pPr>
        <w:numPr>
          <w:ilvl w:val="1"/>
          <w:numId w:val="5"/>
        </w:numPr>
        <w:autoSpaceDE/>
        <w:autoSpaceDN/>
        <w:spacing w:line="360" w:lineRule="auto"/>
        <w:ind w:firstLine="420"/>
        <w:jc w:val="both"/>
        <w:rPr>
          <w:rFonts w:hint="eastAsia"/>
          <w:vanish/>
          <w:kern w:val="2"/>
          <w:sz w:val="24"/>
          <w:szCs w:val="24"/>
          <w:lang w:eastAsia="zh-CN"/>
        </w:rPr>
      </w:pPr>
    </w:p>
    <w:p w14:paraId="40A0D9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需支持全院使用的知识库内容，具备统一的知识库体系，不同科室、不同系统调用的相同知识逻辑的结果相同；</w:t>
      </w:r>
    </w:p>
    <w:p w14:paraId="75D0E0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需支持展示疾病、药品、检验检查、治疗操作、症状体征、护理指导、中医知识、标准术语、辅助工具及文献指南，并提供各类知识数量统计；</w:t>
      </w:r>
    </w:p>
    <w:p w14:paraId="692F096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需支持展示原生知识库内容和医院自建知识内容；</w:t>
      </w:r>
    </w:p>
    <w:p w14:paraId="4C88189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需支持展示近期更新的知识及文献。</w:t>
      </w:r>
    </w:p>
    <w:p w14:paraId="1C2556B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6.2.2知识检索功能要求</w:t>
      </w:r>
    </w:p>
    <w:p w14:paraId="5F7B905A">
      <w:pPr>
        <w:numPr>
          <w:ilvl w:val="1"/>
          <w:numId w:val="5"/>
        </w:numPr>
        <w:autoSpaceDE/>
        <w:autoSpaceDN/>
        <w:spacing w:line="360" w:lineRule="auto"/>
        <w:ind w:firstLine="420"/>
        <w:jc w:val="both"/>
        <w:rPr>
          <w:rFonts w:hint="eastAsia"/>
          <w:vanish/>
          <w:kern w:val="2"/>
          <w:sz w:val="24"/>
          <w:szCs w:val="24"/>
          <w:lang w:eastAsia="zh-CN"/>
        </w:rPr>
      </w:pPr>
    </w:p>
    <w:p w14:paraId="225DB48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需支持对医学知识进行快捷检索；</w:t>
      </w:r>
    </w:p>
    <w:p w14:paraId="7FE42F4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需支持对医学知识进行高级检索；</w:t>
      </w:r>
    </w:p>
    <w:p w14:paraId="6FF5CC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需支持点击检索结果内容可查看知识详情。</w:t>
      </w:r>
    </w:p>
    <w:p w14:paraId="43C61A3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6.2.3知识库内容要求</w:t>
      </w:r>
    </w:p>
    <w:p w14:paraId="21E7B5A0">
      <w:pPr>
        <w:numPr>
          <w:ilvl w:val="1"/>
          <w:numId w:val="5"/>
        </w:numPr>
        <w:autoSpaceDE/>
        <w:autoSpaceDN/>
        <w:spacing w:line="360" w:lineRule="auto"/>
        <w:ind w:firstLine="420"/>
        <w:jc w:val="both"/>
        <w:rPr>
          <w:rFonts w:hint="eastAsia"/>
          <w:vanish/>
          <w:kern w:val="2"/>
          <w:sz w:val="24"/>
          <w:szCs w:val="24"/>
          <w:lang w:eastAsia="zh-CN"/>
        </w:rPr>
      </w:pPr>
    </w:p>
    <w:p w14:paraId="512F7D3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1.疾病知识库要求</w:t>
      </w:r>
    </w:p>
    <w:p w14:paraId="25E362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需支持至少1.3w+种疾病介绍，包括ICD疾病代码、概述、流行病学、病因与危险因素、发病机制、病理、疾病分型/分级/分期、临床表现、查体、检验、检查、诊断、鉴别诊断、并发症、治疗、预防、预后；</w:t>
      </w:r>
    </w:p>
    <w:p w14:paraId="1F42BE7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需支持基于真实世界研究结果的流行病学分析展示，至少包括年龄分析、性别分析、职业分析、血型分析等；</w:t>
      </w:r>
    </w:p>
    <w:p w14:paraId="5E91CC2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需支持基于真实世界研究结果的诊疗情况分析展示，至少包括检验分析、鉴别诊断分析、治疗分析等；</w:t>
      </w:r>
    </w:p>
    <w:p w14:paraId="1A519D6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需支持展示相似疾病列表。</w:t>
      </w:r>
    </w:p>
    <w:p w14:paraId="480F685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2.药学知识库要求</w:t>
      </w:r>
    </w:p>
    <w:p w14:paraId="1222536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需支持1w+种药品介绍，包括药品通用名、商品名、成分、适应证、用法用量、不良反应、禁忌、注意事项、药物相互作用、药理作用等；</w:t>
      </w:r>
    </w:p>
    <w:p w14:paraId="49E67E0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需支持展示相似药品列表。</w:t>
      </w:r>
    </w:p>
    <w:p w14:paraId="2A7E4DD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3.检验检查库要求</w:t>
      </w:r>
    </w:p>
    <w:p w14:paraId="4A7D86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需支持至少2500种检验项目介绍，包含概述、采样方法、临床应用、适应症、参考区间、临床意义等；</w:t>
      </w:r>
    </w:p>
    <w:p w14:paraId="4CA0A23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需支持至少300种检查项目介绍，包含检查项目概述、检查原理、适应症、禁忌症、检查准备、方法、临床意义、注意事项等。</w:t>
      </w:r>
    </w:p>
    <w:p w14:paraId="497B4E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4.治疗操作库要求</w:t>
      </w:r>
    </w:p>
    <w:p w14:paraId="1A7E70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需支持至少5000种手术和操作项目介绍，包含概述、适应症、禁忌症、术前准备、麻醉方式、步骤、术中注意要点、术后处理、手术风险、手术并发症等。</w:t>
      </w:r>
    </w:p>
    <w:p w14:paraId="7FBDBB1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5.症状体征库要求</w:t>
      </w:r>
    </w:p>
    <w:p w14:paraId="2CC00AA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 xml:space="preserve">需支持症状、体征介绍，并提供与最相关疾病关联展示；  </w:t>
      </w:r>
    </w:p>
    <w:p w14:paraId="5E6638B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6.护理指导库要求</w:t>
      </w:r>
    </w:p>
    <w:p w14:paraId="129B4C6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需支持至少500种护理指导介绍，包含病情观察、落实治疗、护理措施、康复指导、护理质量标准等。</w:t>
      </w:r>
    </w:p>
    <w:p w14:paraId="6ACDF5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7.中医知识库要求</w:t>
      </w:r>
    </w:p>
    <w:p w14:paraId="7A3E454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需支持证候、穴位、方剂介绍。</w:t>
      </w:r>
    </w:p>
    <w:p w14:paraId="41F42A3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8.标准术语库要求</w:t>
      </w:r>
    </w:p>
    <w:p w14:paraId="4F04DB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需支持ICD9、ICD10、ATC、SNOMED-CT、Mesh、Loinc、Meddra术语查询及上下级关系。</w:t>
      </w:r>
    </w:p>
    <w:p w14:paraId="0874BE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9.文献指南库要求</w:t>
      </w:r>
    </w:p>
    <w:p w14:paraId="01BB2EF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需支持具有权威性的临床实践指南、系统评价、临床科学研究、传统医学文献、法律法规；</w:t>
      </w:r>
    </w:p>
    <w:p w14:paraId="0504EC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需支持部分文献指南查看全文。</w:t>
      </w:r>
    </w:p>
    <w:p w14:paraId="28F999B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6.2.4病历生成</w:t>
      </w:r>
    </w:p>
    <w:p w14:paraId="0A8B20FF">
      <w:pPr>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需支持大模型关联病史关键信息，结合医学知识与语言推理模型，实现医疗文本的自动化、精准化生成，即可智能生成符合医学规范与逻辑的医疗文本，完成基于大模型的病历自动生成。</w:t>
      </w:r>
    </w:p>
    <w:p w14:paraId="167D963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6.2.4.1文书生成场景</w:t>
      </w:r>
    </w:p>
    <w:p w14:paraId="6AF887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需支持上级医师日常查房记录自动生成；</w:t>
      </w:r>
    </w:p>
    <w:p w14:paraId="5B6C33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需支持交班记录自动生成；</w:t>
      </w:r>
    </w:p>
    <w:p w14:paraId="61132F0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需支持接班记录自动生成；</w:t>
      </w:r>
    </w:p>
    <w:p w14:paraId="37FFE9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需支持出院小结自动生成；</w:t>
      </w:r>
    </w:p>
    <w:p w14:paraId="6FA4F2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需支持出院记录自动生成。</w:t>
      </w:r>
    </w:p>
    <w:p w14:paraId="25E7C65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6.2.4.2病史提取</w:t>
      </w:r>
    </w:p>
    <w:p w14:paraId="47B04F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需支持从医院结构化电子病历系统接口；</w:t>
      </w:r>
    </w:p>
    <w:p w14:paraId="51D6351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需支持HIS（提取医嘱等信息）系统接口；</w:t>
      </w:r>
    </w:p>
    <w:p w14:paraId="21C06FA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需支持检验、检查（提取报告信息）等系统接口；</w:t>
      </w:r>
    </w:p>
    <w:p w14:paraId="6E8742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需支持从病历文书中识别并提取诊疗核心信息，包括主诉、现病历、体格检查、辅助检查、诊断、诊断依据、治疗方案等信息，为文书生成提供完整数据支撑。</w:t>
      </w:r>
    </w:p>
    <w:p w14:paraId="55FC54B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6.2.4.3传入参数与推理生成</w:t>
      </w:r>
    </w:p>
    <w:p w14:paraId="4C4AD2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需支持病历复制；</w:t>
      </w:r>
    </w:p>
    <w:p w14:paraId="6D76EF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需支持个性化修改输入内容；</w:t>
      </w:r>
    </w:p>
    <w:p w14:paraId="06CE9D7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6.2.4.4文书回填与检查</w:t>
      </w:r>
    </w:p>
    <w:p w14:paraId="3F7B15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需支持保持生成文书逻辑连贯；</w:t>
      </w:r>
    </w:p>
    <w:p w14:paraId="6FE835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需支持保持格式符合书写规范。</w:t>
      </w:r>
    </w:p>
    <w:p w14:paraId="3A541EB5">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59" w:name="_Toc216708613"/>
      <w:r>
        <w:rPr>
          <w:rFonts w:hint="eastAsia"/>
          <w:b/>
          <w:bCs/>
          <w:kern w:val="2"/>
          <w:sz w:val="24"/>
          <w:szCs w:val="24"/>
          <w:lang w:eastAsia="zh-CN"/>
        </w:rPr>
        <w:t>6.3医学术语标准化模型</w:t>
      </w:r>
      <w:bookmarkEnd w:id="59"/>
    </w:p>
    <w:p w14:paraId="482ACB3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需支持建立规范的医学术语标准化体系，通过对医学术语的不同表述，包括俗名、简称、缩写进行归一，形成统一的医学标准术语集，包括医学术语及其同义词所属类别和结构层次；</w:t>
      </w:r>
    </w:p>
    <w:p w14:paraId="2CC2BF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需支持对临床诊断进行术语标准化转化，以ICD诊断为基础进行标化；</w:t>
      </w:r>
    </w:p>
    <w:p w14:paraId="4628D0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需支持对医院药品字典进行术语标准化，可实现通用名、商品名的归一；</w:t>
      </w:r>
    </w:p>
    <w:p w14:paraId="26E5226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需支持对检验字典进行标准化，可实现通用名的归一；</w:t>
      </w:r>
    </w:p>
    <w:p w14:paraId="3F662D6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需支持对检查字典进行标准化，可实现通用名的归一；</w:t>
      </w:r>
    </w:p>
    <w:p w14:paraId="4DE97E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需支持对治疗操作术语进行标准化，适用于医嘱治疗操作申请场景；</w:t>
      </w:r>
    </w:p>
    <w:p w14:paraId="119A341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需支持对症状体征术语进行标准化，服务于NLP理解病情内容；</w:t>
      </w:r>
    </w:p>
    <w:p w14:paraId="63CCB1C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需支持核心科室医学主术语的标准化，</w:t>
      </w:r>
    </w:p>
    <w:p w14:paraId="3ECD7A02">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60" w:name="_Toc216708614"/>
      <w:r>
        <w:rPr>
          <w:rFonts w:hint="eastAsia"/>
          <w:b/>
          <w:bCs/>
          <w:kern w:val="2"/>
          <w:sz w:val="24"/>
          <w:szCs w:val="24"/>
          <w:lang w:eastAsia="zh-CN"/>
        </w:rPr>
        <w:t>6.4多模态AI智能底座</w:t>
      </w:r>
      <w:bookmarkEnd w:id="60"/>
    </w:p>
    <w:p w14:paraId="6BCE809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6.4.1自然语言处理(NLP)</w:t>
      </w:r>
    </w:p>
    <w:p w14:paraId="6C27B6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需支持建设自然语言处理体系。通过自然语言分词以及上下文语义识别，利用机器学习结合数据模型实现对病历自由文本、费用等诊疗数据后结构化处理。</w:t>
      </w:r>
    </w:p>
    <w:p w14:paraId="4A91861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6.4.2语料库</w:t>
      </w:r>
    </w:p>
    <w:p w14:paraId="4BD244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需支持利用人工加机器的方法，不断将词汇进行正确的归类，实现知识语料库的不断丰富，提高数据利用的准确程度。</w:t>
      </w:r>
    </w:p>
    <w:p w14:paraId="5C8A625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6.4.3医学知识图谱应用</w:t>
      </w:r>
    </w:p>
    <w:p w14:paraId="43EAC0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需支持基于知识图谱构建疾病相关的质控规则，根据图谱已收录的症状、体征、部位、药品、检验检查等实体作为质控规则当中的判断因子；</w:t>
      </w:r>
    </w:p>
    <w:p w14:paraId="1FE116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需支持除西医内容外，知识图谱须包含收录中医中药等民族医药内容。</w:t>
      </w:r>
    </w:p>
    <w:p w14:paraId="1929315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6.4.4模型管理与服务封装</w:t>
      </w:r>
    </w:p>
    <w:p w14:paraId="5C56FF0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需支持大语言模型和微调模型 ，维护、管理训练完成并通过测评的模型 ，支持查看模型的基本信息、类型、性能参数，并实现模型的状态及迭代管理 ，</w:t>
      </w:r>
    </w:p>
    <w:p w14:paraId="10832F6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6.4.5医学知识库管理</w:t>
      </w:r>
    </w:p>
    <w:p w14:paraId="13BF27B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需支持通过本地上传、内网链接、自定义编辑等多种方式导入原始语料 ，提供多种文档上传和导入功能；</w:t>
      </w:r>
    </w:p>
    <w:p w14:paraId="2762628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需支持根据知识库向量配置参数，将处理完成的知识片段投送到指定的向量化模型，转化为高维度的向量特征；</w:t>
      </w:r>
    </w:p>
    <w:p w14:paraId="046ABBD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需支持通过可视化知识在线编辑器与审核后台对机器自动处理后的知识片段进行最终的人工干预，实现对知识内容的精细化管理和核验。</w:t>
      </w:r>
    </w:p>
    <w:p w14:paraId="0DB52F6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6.4.6医学智能体管理</w:t>
      </w:r>
    </w:p>
    <w:p w14:paraId="7AE845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需支持提供编排界面 ，可将所需组件组织起来，形成智能体的业务逻辑；</w:t>
      </w:r>
    </w:p>
    <w:p w14:paraId="3BBB69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需支持展示所有可用模型的列表，并可进行筛选、搜索和运行状态展示；</w:t>
      </w:r>
    </w:p>
    <w:p w14:paraId="1FBB8E1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需支持设置模型生成回复的最大Token数量和历史对话轮数；</w:t>
      </w:r>
    </w:p>
    <w:p w14:paraId="7947EAE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需支持提示词管理与调试模块，实现创建、管理和优化提示词功能。</w:t>
      </w:r>
    </w:p>
    <w:p w14:paraId="570C00E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6.4.7智能体运行监控</w:t>
      </w:r>
    </w:p>
    <w:p w14:paraId="028C6F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需支持对智能体应用中的用户总数、对话次数、Tokens  总数、访问方式比例、 回复满意度等关键指标概览进行展示；</w:t>
      </w:r>
    </w:p>
    <w:p w14:paraId="60AE72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需支持通过图表和列表展示智能体应用的访问量趋势、访问量和访问用户情况。</w:t>
      </w:r>
    </w:p>
    <w:p w14:paraId="1F77C413">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61" w:name="_Toc216708615"/>
      <w:r>
        <w:rPr>
          <w:rFonts w:hint="eastAsia"/>
          <w:b/>
          <w:bCs/>
          <w:kern w:val="2"/>
          <w:sz w:val="24"/>
          <w:szCs w:val="24"/>
          <w:lang w:eastAsia="zh-CN"/>
        </w:rPr>
        <w:t>6.5感知规则库</w:t>
      </w:r>
      <w:bookmarkEnd w:id="61"/>
    </w:p>
    <w:p w14:paraId="50A9D8F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6.5.1规则库管理</w:t>
      </w:r>
    </w:p>
    <w:p w14:paraId="1EF4F0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需支持提供维护工具，对诊断、检查、检验、治疗、手术、用血等知识库进行维护，个性化配置使用场景；</w:t>
      </w:r>
    </w:p>
    <w:p w14:paraId="35BAE2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需支持提供统计和提醒工具，包括知识使用情况总览，对提醒情况留痕；</w:t>
      </w:r>
    </w:p>
    <w:p w14:paraId="5D83880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与集成平台和数据中心对接，实现院内术语映射，包括诊断映射、检查映射、检验映射、药品映射、手术映射等。可自动一键适配，把医学知识服务平台中的术语与院内术语进行自动映射，没有自动适配成功的，可以通过手动适配与院内术语一一对应；</w:t>
      </w:r>
    </w:p>
    <w:p w14:paraId="1A0555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需支持维护检验与性别的规则，在检验的维护界面，设置性别因素属性，可以维护性别类别（男，女）及提醒级别（提醒、谨慎、禁忌）；</w:t>
      </w:r>
    </w:p>
    <w:p w14:paraId="59BE041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检验与诊断的规则。在检验的维护界面，设置禁忌疾病属性，可以维护疾病名称和提示级别（提醒、谨慎、禁忌）。在医生开立医嘱保存后如果开立的检验与患者的诊断有冲突，医生助手会根据设置的规则进行阻断提醒，医生需要修改成正确医嘱进行开立；</w:t>
      </w:r>
    </w:p>
    <w:p w14:paraId="69B0D46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既往检验申请与结果的规则。需要维护特殊人群规则，在特殊人群维护界面，选择点击检验结果属性的添加，可以维护检验项目名称和检验项指标，并设置其检验结果的数值或区间值。把特殊人群设置好后，在检验界面可以设置特殊人群，选择上面设置好的特殊人群即可。在医生开立医嘱保存后如果开立的检验与患者的检验结果有冲突，医生助手会根据设置的规则进行阻断提醒，医生需要修改成正确医嘱进行开立；</w:t>
      </w:r>
    </w:p>
    <w:p w14:paraId="3FD073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检验与药品的规则。在检验的维护界面，设置药物影响属性，可以维护药品名称和作用结果（升高、降低、异常）。在医生开立医嘱保存后如果开立的检验与药品有冲突，医生助手会根据设置的规则进行阻断提醒，医生需要修改成正确医嘱进行开立。</w:t>
      </w:r>
    </w:p>
    <w:p w14:paraId="3ADE071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6.5.2病历详情查看要求</w:t>
      </w:r>
    </w:p>
    <w:p w14:paraId="72C3D7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需支持查看患者所有就诊次病历详情；</w:t>
      </w:r>
    </w:p>
    <w:p w14:paraId="5E414FA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需支持按就诊科室、就诊类别、就诊时间，筛选就诊次，查看病历；</w:t>
      </w:r>
    </w:p>
    <w:p w14:paraId="0A98F48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需支持整合结构化、非结构化数据，最大程度还原真实病历展示结构，符合医生查看病历习惯；</w:t>
      </w:r>
    </w:p>
    <w:p w14:paraId="28E906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需支持患者隐私信息脱敏处理，保护患者隐私与数据安全。</w:t>
      </w:r>
    </w:p>
    <w:p w14:paraId="0EA49BF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6.5.3全景视图查看要求</w:t>
      </w:r>
    </w:p>
    <w:p w14:paraId="5BFFDED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需支持整合数据中心诊疗视图整合患者各就诊次病历信息，展示患者情况及病情演变；</w:t>
      </w:r>
    </w:p>
    <w:p w14:paraId="0215D4D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需支持加工现病史、既往史数据信息，在无患者就诊信息数据的情况下，能够追踪并展示患者病情发生及发展情况；</w:t>
      </w:r>
    </w:p>
    <w:p w14:paraId="1A9264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需支持筛选患者关键信息及患者异常指标，帮助医生从大量数据中，快速找到有用信息；</w:t>
      </w:r>
    </w:p>
    <w:p w14:paraId="7D3548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知识库统计概览，可以全面的汇总知识库提供的规则及属性知识，展示规则及属性的知识初始化内置的数量。统计医生助手质控提醒的相关信息，包括检查、检验、诊断、手术、用血、康复等，并生成时间趋势图、科室预警TOP10、预警类型分析及预警规则TOP10。点击量统计分析，包括医生点击数、患者覆盖数、智能推荐次数，并生成时间趋势图、科室点击量TOP10以及医生点击量TOP10。</w:t>
      </w:r>
    </w:p>
    <w:p w14:paraId="001F1D4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62" w:name="_Toc216708616"/>
      <w:r>
        <w:rPr>
          <w:rFonts w:hint="eastAsia"/>
          <w:b/>
          <w:bCs/>
          <w:kern w:val="2"/>
          <w:sz w:val="24"/>
          <w:szCs w:val="24"/>
          <w:lang w:eastAsia="zh-CN"/>
        </w:rPr>
        <w:t>6.6检查医嘱感知</w:t>
      </w:r>
      <w:bookmarkEnd w:id="62"/>
    </w:p>
    <w:p w14:paraId="44B1E2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1.推荐检查项目要求</w:t>
      </w:r>
    </w:p>
    <w:p w14:paraId="774D7EA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需支持根据患者病情，推荐检查项目列表，辅助疾病确诊。</w:t>
      </w:r>
    </w:p>
    <w:p w14:paraId="730010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2.检查项目说明</w:t>
      </w:r>
    </w:p>
    <w:p w14:paraId="648B9DA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需支持通过接口调用，实现检查申请或报告查看时获取相关检验、检查项目的知识库项目说明。</w:t>
      </w:r>
    </w:p>
    <w:p w14:paraId="5B2ADD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3.检查报告解读服务</w:t>
      </w:r>
    </w:p>
    <w:p w14:paraId="1682C0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需支持根据患者的检查结论、结果，进行结果解读。</w:t>
      </w:r>
    </w:p>
    <w:p w14:paraId="311AB4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4.检查回报预警要求</w:t>
      </w:r>
    </w:p>
    <w:p w14:paraId="689C060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需支持检查结果回报触发相应规则。结合患者的主诉症状、诊断、用药、检验结果等基础信息进行综合预警</w:t>
      </w:r>
    </w:p>
    <w:p w14:paraId="44A0D04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63" w:name="_Toc216708617"/>
      <w:r>
        <w:rPr>
          <w:rFonts w:hint="eastAsia"/>
          <w:b/>
          <w:bCs/>
          <w:kern w:val="2"/>
          <w:sz w:val="24"/>
          <w:szCs w:val="24"/>
          <w:lang w:eastAsia="zh-CN"/>
        </w:rPr>
        <w:t>6.7检验医嘱感知</w:t>
      </w:r>
      <w:bookmarkEnd w:id="63"/>
    </w:p>
    <w:p w14:paraId="686400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1.推荐检验项目要求</w:t>
      </w:r>
    </w:p>
    <w:p w14:paraId="5F844D9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需支持根据患者病情，推荐检验项目列表，辅助疾病确诊。</w:t>
      </w:r>
    </w:p>
    <w:p w14:paraId="71A1EE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2.检验项目说明</w:t>
      </w:r>
    </w:p>
    <w:p w14:paraId="6C36522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需支持通过接口调用，实现检验申请或报告查看时获取相关检验项目的知识库项目说明。</w:t>
      </w:r>
    </w:p>
    <w:p w14:paraId="7AFA452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3.检验报告解读服务</w:t>
      </w:r>
    </w:p>
    <w:p w14:paraId="6E3C092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需支持根据患者的检查检验结果，进行结果解读。</w:t>
      </w:r>
    </w:p>
    <w:p w14:paraId="10377C6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4.检验回报预警要求</w:t>
      </w:r>
    </w:p>
    <w:p w14:paraId="3BAD2D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需支持化验单回报触发相应规则，结合患者的主诉症状、诊断、用药、检查结果等基础信息进行综合预警</w:t>
      </w:r>
    </w:p>
    <w:p w14:paraId="7DA6223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64" w:name="_Toc216708618"/>
      <w:r>
        <w:rPr>
          <w:rFonts w:hint="eastAsia"/>
          <w:b/>
          <w:bCs/>
          <w:kern w:val="2"/>
          <w:sz w:val="24"/>
          <w:szCs w:val="24"/>
          <w:lang w:eastAsia="zh-CN"/>
        </w:rPr>
        <w:t>6.8诊疗信息感知</w:t>
      </w:r>
      <w:bookmarkEnd w:id="64"/>
    </w:p>
    <w:p w14:paraId="697A7CC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1.相似病历推荐要求</w:t>
      </w:r>
    </w:p>
    <w:p w14:paraId="1B12BD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需支持病历多维度分析对比患者病情，推荐与当前患者病情相似的病例，并可筛选相似条件。</w:t>
      </w:r>
    </w:p>
    <w:p w14:paraId="390D3E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2.治疗方案</w:t>
      </w:r>
    </w:p>
    <w:p w14:paraId="4C16778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需支持依据疾病指南和专家共识，提供疾病治疗原则及方案综述</w:t>
      </w:r>
    </w:p>
    <w:p w14:paraId="14F508B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3.病情联想分析要求</w:t>
      </w:r>
    </w:p>
    <w:p w14:paraId="175CC3B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需支持对患者治疗过程中新出现的临床表现进行大数据因素分析，辅助判断其形成原因</w:t>
      </w:r>
    </w:p>
    <w:p w14:paraId="5CCD8F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4.术前核查分析要求</w:t>
      </w:r>
    </w:p>
    <w:p w14:paraId="550A3F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需支持术前患者各项指标展示校验，方便评估患者术前状态。</w:t>
      </w:r>
    </w:p>
    <w:p w14:paraId="0528E7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5.支持临床预警</w:t>
      </w:r>
    </w:p>
    <w:p w14:paraId="0D46A36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（1）风险分级</w:t>
      </w:r>
    </w:p>
    <w:p w14:paraId="69F8325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需支持按照临床风险和发生概率对临床预警进行分级管理配置：</w:t>
      </w:r>
    </w:p>
    <w:p w14:paraId="71B0E23D">
      <w:pPr>
        <w:numPr>
          <w:ilvl w:val="0"/>
          <w:numId w:val="6"/>
        </w:numPr>
        <w:overflowPunct w:val="0"/>
        <w:topLinePunct/>
        <w:autoSpaceDE/>
        <w:autoSpaceDN/>
        <w:spacing w:line="360" w:lineRule="auto"/>
        <w:jc w:val="both"/>
        <w:rPr>
          <w:rFonts w:hint="eastAsia"/>
          <w:kern w:val="2"/>
          <w:sz w:val="24"/>
          <w:szCs w:val="24"/>
          <w:lang w:eastAsia="zh-CN"/>
        </w:rPr>
      </w:pPr>
      <w:r>
        <w:rPr>
          <w:rFonts w:hint="eastAsia"/>
          <w:kern w:val="2"/>
          <w:sz w:val="24"/>
          <w:szCs w:val="24"/>
          <w:lang w:eastAsia="zh-CN"/>
        </w:rPr>
        <w:t>事件对患者造成的危害程度较大，发生的概率较小，进行强制拦截；</w:t>
      </w:r>
    </w:p>
    <w:p w14:paraId="29E430CD">
      <w:pPr>
        <w:numPr>
          <w:ilvl w:val="0"/>
          <w:numId w:val="6"/>
        </w:numPr>
        <w:overflowPunct w:val="0"/>
        <w:topLinePunct/>
        <w:autoSpaceDE/>
        <w:autoSpaceDN/>
        <w:spacing w:line="360" w:lineRule="auto"/>
        <w:jc w:val="both"/>
        <w:rPr>
          <w:rFonts w:hint="eastAsia"/>
          <w:kern w:val="2"/>
          <w:sz w:val="24"/>
          <w:szCs w:val="24"/>
          <w:lang w:eastAsia="zh-CN"/>
        </w:rPr>
      </w:pPr>
      <w:r>
        <w:rPr>
          <w:rFonts w:hint="eastAsia"/>
          <w:kern w:val="2"/>
          <w:sz w:val="24"/>
          <w:szCs w:val="24"/>
          <w:lang w:eastAsia="zh-CN"/>
        </w:rPr>
        <w:t>事件对患者造成的危害程度较大，发生的概率较大，进行重点警示；</w:t>
      </w:r>
    </w:p>
    <w:p w14:paraId="3230FF04">
      <w:pPr>
        <w:numPr>
          <w:ilvl w:val="0"/>
          <w:numId w:val="6"/>
        </w:numPr>
        <w:overflowPunct w:val="0"/>
        <w:topLinePunct/>
        <w:autoSpaceDE/>
        <w:autoSpaceDN/>
        <w:spacing w:line="360" w:lineRule="auto"/>
        <w:jc w:val="both"/>
        <w:rPr>
          <w:rFonts w:hint="eastAsia"/>
          <w:kern w:val="2"/>
          <w:sz w:val="24"/>
          <w:szCs w:val="24"/>
          <w:lang w:eastAsia="zh-CN"/>
        </w:rPr>
      </w:pPr>
      <w:r>
        <w:rPr>
          <w:rFonts w:hint="eastAsia"/>
          <w:kern w:val="2"/>
          <w:sz w:val="24"/>
          <w:szCs w:val="24"/>
          <w:lang w:eastAsia="zh-CN"/>
        </w:rPr>
        <w:t>事件对患者造成的危害程度较小，发生的概率较大，进行按需提示；</w:t>
      </w:r>
    </w:p>
    <w:p w14:paraId="1CB40E6D">
      <w:pPr>
        <w:numPr>
          <w:ilvl w:val="0"/>
          <w:numId w:val="6"/>
        </w:numPr>
        <w:overflowPunct w:val="0"/>
        <w:topLinePunct/>
        <w:autoSpaceDE/>
        <w:autoSpaceDN/>
        <w:spacing w:line="360" w:lineRule="auto"/>
        <w:jc w:val="both"/>
        <w:rPr>
          <w:rFonts w:hint="eastAsia"/>
          <w:kern w:val="2"/>
          <w:sz w:val="24"/>
          <w:szCs w:val="24"/>
          <w:lang w:eastAsia="zh-CN"/>
        </w:rPr>
      </w:pPr>
      <w:r>
        <w:rPr>
          <w:rFonts w:hint="eastAsia"/>
          <w:kern w:val="2"/>
          <w:sz w:val="24"/>
          <w:szCs w:val="24"/>
          <w:lang w:eastAsia="zh-CN"/>
        </w:rPr>
        <w:t>事件对患者造成的危害程度较小，发生的概率较小，进行轻度提示。</w:t>
      </w:r>
    </w:p>
    <w:p w14:paraId="429A3A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（2）诊断合理性</w:t>
      </w:r>
    </w:p>
    <w:p w14:paraId="31C2FE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需支持根据医院诊断字典，结合主诉症状、检验结果、检查结果以及性别、年龄等基础信息进行诊断合理性规则的判断。</w:t>
      </w:r>
    </w:p>
    <w:p w14:paraId="20A05D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（3）治疗操作合理性</w:t>
      </w:r>
    </w:p>
    <w:p w14:paraId="433A59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需支持根据医院字典，结合主诉症状、诊断、检验结果、检查结果以及性别、年龄等基础信息进行操作合理性规则的判断。</w:t>
      </w:r>
    </w:p>
    <w:p w14:paraId="307C3B43">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65" w:name="_Toc216708619"/>
      <w:r>
        <w:rPr>
          <w:rFonts w:hint="eastAsia"/>
          <w:b/>
          <w:bCs/>
          <w:kern w:val="2"/>
          <w:sz w:val="24"/>
          <w:szCs w:val="24"/>
          <w:lang w:eastAsia="zh-CN"/>
        </w:rPr>
        <w:t>6.9重症信息感知</w:t>
      </w:r>
      <w:bookmarkEnd w:id="65"/>
    </w:p>
    <w:p w14:paraId="28FA555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需支持基于患者的主诉、现病史、辅助检查、医嘱及其他病史内容推荐疑似疾病；</w:t>
      </w:r>
    </w:p>
    <w:p w14:paraId="26A939A2">
      <w:pPr>
        <w:numPr>
          <w:ilvl w:val="255"/>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需支持根据患者病历信息判断将要执行的医嘱是否存在风险，或是否有需要护士密切关注的事项；</w:t>
      </w:r>
    </w:p>
    <w:p w14:paraId="4514D0D2">
      <w:pPr>
        <w:numPr>
          <w:ilvl w:val="255"/>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需支持对高危医嘱的质控包含:给药是否与患者妊娠状态有冲突、给药是否与患者过敏史有冲突；</w:t>
      </w:r>
    </w:p>
    <w:p w14:paraId="4A9BE161">
      <w:pPr>
        <w:numPr>
          <w:ilvl w:val="255"/>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需支持对于要执行的药品医嘱，在执行时根据需要提醒护士相关的注意事项；</w:t>
      </w:r>
    </w:p>
    <w:p w14:paraId="59221EF4">
      <w:pPr>
        <w:numPr>
          <w:ilvl w:val="255"/>
          <w:numId w:val="0"/>
        </w:num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需支持根据检查、检验结果、患者评估信息和知识库，对高风险手术能给出警示。</w:t>
      </w:r>
    </w:p>
    <w:p w14:paraId="0D0A52E1">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6.10路径对比管理</w:t>
      </w:r>
    </w:p>
    <w:p w14:paraId="601A4C37">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需支持新建路径的路径模板、路径定义、路径执行、路径质量控制、统计分析等应用功能，覆盖医生、护士、医务等角色；</w:t>
      </w:r>
    </w:p>
    <w:p w14:paraId="6BEAC8F2">
      <w:pPr>
        <w:widowControl/>
        <w:overflowPunct w:val="0"/>
        <w:topLinePunct/>
        <w:autoSpaceDE/>
        <w:autoSpaceDN/>
        <w:spacing w:line="360" w:lineRule="auto"/>
        <w:ind w:left="220" w:leftChars="100" w:firstLine="208" w:firstLineChars="87"/>
        <w:jc w:val="both"/>
        <w:rPr>
          <w:rFonts w:hint="eastAsia"/>
          <w:kern w:val="2"/>
          <w:sz w:val="24"/>
          <w:szCs w:val="24"/>
          <w:lang w:eastAsia="zh-CN"/>
        </w:rPr>
      </w:pPr>
      <w:r>
        <w:rPr>
          <w:rFonts w:hint="eastAsia"/>
          <w:kern w:val="2"/>
          <w:sz w:val="24"/>
          <w:szCs w:val="24"/>
          <w:lang w:eastAsia="zh-CN"/>
        </w:rPr>
        <w:t>需支持通过临床医生在路径实施过程中的反馈，在模板升级过程中体现出现有路径模板中指定项目的变异数据量，支持查看并自动分析变异原因。</w:t>
      </w:r>
    </w:p>
    <w:p w14:paraId="292BEC7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6.11路径配置管理</w:t>
      </w:r>
    </w:p>
    <w:p w14:paraId="151C6BE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需支持对路径中各种项目状态颜色配置；</w:t>
      </w:r>
    </w:p>
    <w:p w14:paraId="7E6527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需支持对阶段列头颜色配置；</w:t>
      </w:r>
    </w:p>
    <w:p w14:paraId="09B7D9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需支持院方各管理关键节点功能的开放与关闭的配置；</w:t>
      </w:r>
    </w:p>
    <w:p w14:paraId="6D145A1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需支持角色权限设置；</w:t>
      </w:r>
    </w:p>
    <w:p w14:paraId="40D1C3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需支持操作员角色权限的明细配置。</w:t>
      </w:r>
    </w:p>
    <w:p w14:paraId="4A39A1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需支持提供默认角色的默认权限；</w:t>
      </w:r>
    </w:p>
    <w:p w14:paraId="20027EB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 ICD 诊断码与病种对照，一条路径可以匹配多条诊断；</w:t>
      </w:r>
    </w:p>
    <w:p w14:paraId="1AC2E7A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需支持病种专业与实际科室对照；</w:t>
      </w:r>
    </w:p>
    <w:p w14:paraId="423DB09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需支持变异来源、变异原因、变异原因明细维护。</w:t>
      </w:r>
    </w:p>
    <w:p w14:paraId="53AD1A53">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6.12路径模版管理</w:t>
      </w:r>
    </w:p>
    <w:p w14:paraId="32D7D1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需支持模板创建维护、准入评估标准录入、准出评估标准录入、入径标准维护；</w:t>
      </w:r>
    </w:p>
    <w:p w14:paraId="1C814C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需支持提供所见即所得的模版编辑模式，模板涵盖项目包括疗工作、医嘱、护理项目、标准住院天数以及住院费用；</w:t>
      </w:r>
    </w:p>
    <w:p w14:paraId="275ABC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需支持模版审核权限，对路径模版进行管理；</w:t>
      </w:r>
    </w:p>
    <w:p w14:paraId="5EF900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需支持模版管理授权，有医嘱组合管理和溶媒维护管理，与医嘱项目自动对需照；支持以图表形式显示具体变异医嘱和变异原因；</w:t>
      </w:r>
    </w:p>
    <w:p w14:paraId="11A610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需支持模板具备整体复制功能；</w:t>
      </w:r>
    </w:p>
    <w:p w14:paraId="2AD37DA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需支持变异录入、分支路径、变更路径、自动打印路径表单。</w:t>
      </w:r>
    </w:p>
    <w:p w14:paraId="0E892FC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6.13路径执行监控</w:t>
      </w:r>
    </w:p>
    <w:p w14:paraId="3FFA247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需支持通过路径直接开立医嘱，打开病历；</w:t>
      </w:r>
    </w:p>
    <w:p w14:paraId="7A5657F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需支持变异录入、分支路径、变更路径、自动打印路径表单；</w:t>
      </w:r>
    </w:p>
    <w:p w14:paraId="5D78FA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需支持对不同业务系统中医疗流程的个性化标准路径执行监控；</w:t>
      </w:r>
    </w:p>
    <w:p w14:paraId="0524E4D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需支持临床路径系统支持与AI中台对接。</w:t>
      </w:r>
    </w:p>
    <w:p w14:paraId="736B7DB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6.14路径质控管理</w:t>
      </w:r>
    </w:p>
    <w:p w14:paraId="7DC2DA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需支持根据医院实际情况，自定义评分规则；</w:t>
      </w:r>
    </w:p>
    <w:p w14:paraId="3744640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需支持根据维护的评分规则，对医生进行路径使用情况质量监控；</w:t>
      </w:r>
    </w:p>
    <w:p w14:paraId="55BEDF3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需支持生成医生综合评分表，医生路径得分表，医生分管患者得分明细表。</w:t>
      </w:r>
    </w:p>
    <w:p w14:paraId="168676C2">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6.15路径统计分析</w:t>
      </w:r>
    </w:p>
    <w:p w14:paraId="3F86BD4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需支持整体横向指标统计，统一汇总各科室路径的执行情况；</w:t>
      </w:r>
    </w:p>
    <w:p w14:paraId="2F182D9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需支持统计分析结果，可追溯到个人；</w:t>
      </w:r>
    </w:p>
    <w:p w14:paraId="4D9A3A7F">
      <w:pPr>
        <w:overflowPunct w:val="0"/>
        <w:topLinePunct/>
        <w:autoSpaceDE/>
        <w:autoSpaceDN/>
        <w:spacing w:line="360" w:lineRule="auto"/>
        <w:ind w:firstLine="480" w:firstLineChars="200"/>
        <w:jc w:val="both"/>
        <w:rPr>
          <w:rFonts w:hint="eastAsia"/>
          <w:b/>
          <w:bCs/>
          <w:kern w:val="44"/>
          <w:sz w:val="24"/>
          <w:szCs w:val="24"/>
          <w:lang w:eastAsia="zh-CN"/>
        </w:rPr>
      </w:pPr>
      <w:r>
        <w:rPr>
          <w:rFonts w:hint="eastAsia"/>
          <w:kern w:val="44"/>
          <w:sz w:val="24"/>
          <w:szCs w:val="24"/>
          <w:lang w:eastAsia="zh-CN"/>
        </w:rPr>
        <w:t>需支持关键数字结果通过图形对比</w:t>
      </w:r>
      <w:r>
        <w:rPr>
          <w:rFonts w:hint="eastAsia"/>
          <w:b/>
          <w:bCs/>
          <w:kern w:val="44"/>
          <w:sz w:val="24"/>
          <w:szCs w:val="24"/>
          <w:lang w:eastAsia="zh-CN"/>
        </w:rPr>
        <w:t>。</w:t>
      </w:r>
    </w:p>
    <w:bookmarkEnd w:id="58"/>
    <w:p w14:paraId="30C2F3E7">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66" w:name="_Toc16189"/>
      <w:r>
        <w:rPr>
          <w:rFonts w:hint="eastAsia"/>
          <w:b/>
          <w:bCs/>
          <w:kern w:val="44"/>
          <w:sz w:val="24"/>
          <w:szCs w:val="24"/>
          <w:lang w:eastAsia="zh-CN"/>
        </w:rPr>
        <w:t>7、多模态临床医生应用系统—内涵质控模块</w:t>
      </w:r>
      <w:bookmarkEnd w:id="66"/>
    </w:p>
    <w:p w14:paraId="4213AF9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44"/>
          <w:sz w:val="24"/>
          <w:szCs w:val="24"/>
          <w:lang w:eastAsia="zh-CN"/>
        </w:rPr>
        <w:t>7.1AI智能</w:t>
      </w:r>
      <w:r>
        <w:rPr>
          <w:rFonts w:hint="eastAsia"/>
          <w:b/>
          <w:bCs/>
          <w:kern w:val="2"/>
          <w:sz w:val="24"/>
          <w:szCs w:val="24"/>
          <w:lang w:eastAsia="zh-CN"/>
        </w:rPr>
        <w:t>引擎</w:t>
      </w:r>
    </w:p>
    <w:p w14:paraId="0845444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7.1.1自然语言处理与后结构化</w:t>
      </w:r>
    </w:p>
    <w:p w14:paraId="6458FF47">
      <w:pPr>
        <w:numPr>
          <w:ilvl w:val="1"/>
          <w:numId w:val="7"/>
        </w:numPr>
        <w:autoSpaceDE/>
        <w:autoSpaceDN/>
        <w:adjustRightInd w:val="0"/>
        <w:spacing w:line="360" w:lineRule="auto"/>
        <w:ind w:firstLine="420"/>
        <w:jc w:val="both"/>
        <w:outlineLvl w:val="4"/>
        <w:rPr>
          <w:rFonts w:hint="eastAsia"/>
          <w:vanish/>
          <w:kern w:val="2"/>
          <w:sz w:val="24"/>
          <w:szCs w:val="24"/>
          <w:lang w:eastAsia="zh-CN"/>
        </w:rPr>
      </w:pPr>
    </w:p>
    <w:p w14:paraId="45463C6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1.自然语言处理</w:t>
      </w:r>
    </w:p>
    <w:p w14:paraId="328928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需支持建设自然语言处理体系。通过自然语言分词以及上下文语义识别，利用机器学习结合数据模型实现对病历自由文本、费用等诊疗数据后结构化处理。</w:t>
      </w:r>
    </w:p>
    <w:p w14:paraId="52E53B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2.医学知识图谱应用</w:t>
      </w:r>
    </w:p>
    <w:p w14:paraId="3F28A9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需支持基于知识图谱构建疾病相关的质控规则，根据图谱已收录的症状、体征、部位、药品、检验检查等实体作为质控规则当中的判断因子；</w:t>
      </w:r>
    </w:p>
    <w:p w14:paraId="160E3ED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需支持除西医内容外，知识图谱须包含收录中医中药等民族医药内容。</w:t>
      </w:r>
    </w:p>
    <w:p w14:paraId="3B8E194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7.1.2规则管理</w:t>
      </w:r>
    </w:p>
    <w:p w14:paraId="556C51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需支持智能化规则引擎所有规则展示；</w:t>
      </w:r>
    </w:p>
    <w:p w14:paraId="377A732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需支持管理人员对智能化规则自定义；</w:t>
      </w:r>
    </w:p>
    <w:p w14:paraId="6FA1014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需支持按提醒、预警、核心制度、医疗质量监控查询相关质控规则；</w:t>
      </w:r>
    </w:p>
    <w:p w14:paraId="0EBBC82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需支持文书名称、缺陷项目、缺陷明细、类别、质控节点、启用状态、更新类型、单项否决查询相关质控规则；</w:t>
      </w:r>
    </w:p>
    <w:p w14:paraId="54FA70A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需支持查看规则明细且编辑是否单项否决、质控节点；</w:t>
      </w:r>
    </w:p>
    <w:p w14:paraId="26BFE95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需支持按已映射和待映射分类展示智能化规则引擎中对应的规则内容；</w:t>
      </w:r>
    </w:p>
    <w:p w14:paraId="2B679D6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需支持按科室条件筛选查询规则；</w:t>
      </w:r>
    </w:p>
    <w:p w14:paraId="410F2A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需支持对展示的规则进行编辑操作，可编辑设置内容包括规则对应科室、是否单项否决、质控节点和是否启用。</w:t>
      </w:r>
      <w:r>
        <w:rPr>
          <w:rFonts w:hint="eastAsia"/>
          <w:kern w:val="2"/>
          <w:sz w:val="24"/>
          <w:szCs w:val="24"/>
          <w:lang w:eastAsia="zh-CN"/>
        </w:rPr>
        <w:tab/>
      </w:r>
    </w:p>
    <w:p w14:paraId="7DECA9C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7.2病案首页质控规则</w:t>
      </w:r>
    </w:p>
    <w:p w14:paraId="7B39AE99">
      <w:pPr>
        <w:numPr>
          <w:ilvl w:val="0"/>
          <w:numId w:val="8"/>
        </w:numPr>
        <w:autoSpaceDE/>
        <w:autoSpaceDN/>
        <w:spacing w:line="360" w:lineRule="auto"/>
        <w:ind w:firstLine="420"/>
        <w:jc w:val="both"/>
        <w:rPr>
          <w:rFonts w:hint="eastAsia"/>
          <w:vanish/>
          <w:kern w:val="2"/>
          <w:sz w:val="24"/>
          <w:szCs w:val="24"/>
          <w:lang w:eastAsia="zh-CN"/>
        </w:rPr>
      </w:pPr>
    </w:p>
    <w:p w14:paraId="6EEC211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7.2.1首页基础质控库</w:t>
      </w:r>
    </w:p>
    <w:p w14:paraId="73BE2C6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首页基础质控库需满足校验首页字段首页字段是否完整、数值是否符合逻辑。</w:t>
      </w:r>
    </w:p>
    <w:p w14:paraId="61BB069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需支持病案首页填报字段的必填项质控；</w:t>
      </w:r>
    </w:p>
    <w:p w14:paraId="5EF7F91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需支持病案首页填报字段的数值逻辑性质控，对年龄等填写值范围进行逻辑性校验。</w:t>
      </w:r>
    </w:p>
    <w:p w14:paraId="6A1AB57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7.2.2首页一致质控库</w:t>
      </w:r>
    </w:p>
    <w:p w14:paraId="1DB0DAE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首页一致质控库需满足对首页内容与文书内容是否一致，与检查/检验报告内容是否一致。</w:t>
      </w:r>
    </w:p>
    <w:p w14:paraId="24CB3B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需支持对从入院记录、出院记录、死亡记录等病历内容提取的首页字段进行逻辑质控，如首页字段‘过敏药物’与入院记录过敏药物不一致；</w:t>
      </w:r>
    </w:p>
    <w:p w14:paraId="23C1AD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需支持对从医嘱单内容提取的首页字段进行逻辑质控，如首页字段‘是否使用呼吸机’与医嘱中呼吸机执行记录不一致；</w:t>
      </w:r>
    </w:p>
    <w:p w14:paraId="581A3D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需支持对从检查报告与检验报告内容提取的首页字段进行逻辑质控，如首页字段‘血型’与检验-血型报告不一致。</w:t>
      </w:r>
    </w:p>
    <w:p w14:paraId="01A6B79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7.2.3首页诊断质控库</w:t>
      </w:r>
    </w:p>
    <w:p w14:paraId="73DD9E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需支持首页诊断编码规则，对不能作为主要诊断的编码，合并编码，编码性别年龄错误等进行提醒；</w:t>
      </w:r>
    </w:p>
    <w:p w14:paraId="180CF64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需支持对出院诊断中的其他项目进行检查，如主要诊断入院情况不能为无，出院转归情况，是否漏填。</w:t>
      </w:r>
    </w:p>
    <w:p w14:paraId="445034D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7.2.4首页手术质控库</w:t>
      </w:r>
    </w:p>
    <w:p w14:paraId="540807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需支持首页手术编码规则，对不能作为主要诊断的编码，需要辅助编码的手术，主要手术与主要诊断不匹配等进行提醒；</w:t>
      </w:r>
    </w:p>
    <w:p w14:paraId="5310D8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需支持对手术其他项目进行检查，如手术与手术费用，手术漏填，手术排序错误等进行提醒。</w:t>
      </w:r>
    </w:p>
    <w:p w14:paraId="484CB268">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7.3过程质量监控</w:t>
      </w:r>
    </w:p>
    <w:p w14:paraId="41651892">
      <w:pPr>
        <w:numPr>
          <w:ilvl w:val="0"/>
          <w:numId w:val="8"/>
        </w:numPr>
        <w:autoSpaceDE/>
        <w:autoSpaceDN/>
        <w:spacing w:line="360" w:lineRule="auto"/>
        <w:ind w:firstLine="420"/>
        <w:jc w:val="both"/>
        <w:rPr>
          <w:rFonts w:hint="eastAsia"/>
          <w:vanish/>
          <w:kern w:val="2"/>
          <w:sz w:val="24"/>
          <w:szCs w:val="24"/>
          <w:lang w:eastAsia="zh-CN"/>
        </w:rPr>
      </w:pPr>
    </w:p>
    <w:p w14:paraId="5E6C7C3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7.3.1住院端内涵质控</w:t>
      </w:r>
    </w:p>
    <w:p w14:paraId="02E74340">
      <w:pPr>
        <w:numPr>
          <w:ilvl w:val="0"/>
          <w:numId w:val="7"/>
        </w:numPr>
        <w:autoSpaceDE/>
        <w:autoSpaceDN/>
        <w:adjustRightInd w:val="0"/>
        <w:spacing w:line="360" w:lineRule="auto"/>
        <w:ind w:firstLine="420"/>
        <w:jc w:val="both"/>
        <w:outlineLvl w:val="4"/>
        <w:rPr>
          <w:rFonts w:hint="eastAsia"/>
          <w:vanish/>
          <w:kern w:val="2"/>
          <w:sz w:val="24"/>
          <w:szCs w:val="24"/>
          <w:lang w:eastAsia="zh-CN"/>
        </w:rPr>
      </w:pPr>
    </w:p>
    <w:p w14:paraId="7D0B90DD">
      <w:pPr>
        <w:numPr>
          <w:ilvl w:val="0"/>
          <w:numId w:val="7"/>
        </w:numPr>
        <w:autoSpaceDE/>
        <w:autoSpaceDN/>
        <w:adjustRightInd w:val="0"/>
        <w:spacing w:line="360" w:lineRule="auto"/>
        <w:ind w:firstLine="420"/>
        <w:jc w:val="both"/>
        <w:outlineLvl w:val="4"/>
        <w:rPr>
          <w:rFonts w:hint="eastAsia"/>
          <w:vanish/>
          <w:kern w:val="2"/>
          <w:sz w:val="24"/>
          <w:szCs w:val="24"/>
          <w:lang w:eastAsia="zh-CN"/>
        </w:rPr>
      </w:pPr>
    </w:p>
    <w:p w14:paraId="3FC16B58">
      <w:pPr>
        <w:numPr>
          <w:ilvl w:val="1"/>
          <w:numId w:val="7"/>
        </w:numPr>
        <w:autoSpaceDE/>
        <w:autoSpaceDN/>
        <w:adjustRightInd w:val="0"/>
        <w:spacing w:line="360" w:lineRule="auto"/>
        <w:ind w:firstLine="420"/>
        <w:jc w:val="both"/>
        <w:outlineLvl w:val="4"/>
        <w:rPr>
          <w:rFonts w:hint="eastAsia"/>
          <w:vanish/>
          <w:kern w:val="2"/>
          <w:sz w:val="24"/>
          <w:szCs w:val="24"/>
          <w:lang w:eastAsia="zh-CN"/>
        </w:rPr>
      </w:pPr>
    </w:p>
    <w:p w14:paraId="7A3FDF8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7.3.1.1医生端质控</w:t>
      </w:r>
    </w:p>
    <w:p w14:paraId="7F6EAE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需支持医师在病历书写过程中对运行病历进行实时质控的要求，不打断书写流程，不需要登录第三方系统，并与其他报警消息同框融合展示，提高易用性。</w:t>
      </w:r>
    </w:p>
    <w:p w14:paraId="5438E01C">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7.3.1.2医生端提醒</w:t>
      </w:r>
    </w:p>
    <w:p w14:paraId="24FA66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需支持在电子病历系统中外挂‘智能浮窗程序’，达成对临床住院医生实时提醒病历质量问题功能；</w:t>
      </w:r>
    </w:p>
    <w:p w14:paraId="35340A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需支持医生打开患者病历时，实时提醒该患者所有文书问题缺陷；</w:t>
      </w:r>
    </w:p>
    <w:p w14:paraId="2887228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需支持医生在患者出院时，对病案首页及其他病历内容进行全面质量核查；</w:t>
      </w:r>
    </w:p>
    <w:p w14:paraId="6344E0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需支持医生书写入院记录、病程记录、手术记录、出院记录、死亡记录等住院病历文书时，质控出对应文书问题缺陷；</w:t>
      </w:r>
    </w:p>
    <w:p w14:paraId="645BC21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需支持实时展示各文书缺陷内容详情，包括：缺陷项扣分值、缺陷项内容、缺陷问题明细；</w:t>
      </w:r>
    </w:p>
    <w:p w14:paraId="2F324A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需支持医生AI提醒的质控缺陷项进行问题反馈，同时支持录入反馈原因，且反馈问题原因需维护为选项便于医生操作。</w:t>
      </w:r>
    </w:p>
    <w:p w14:paraId="376FF8C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7.3.1.3医生端预警</w:t>
      </w:r>
    </w:p>
    <w:p w14:paraId="5DA8A0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需支持在电子病历系统中外挂‘智能浮窗程序’，达成对临床住院医生提前告知待办书写事项功能；</w:t>
      </w:r>
    </w:p>
    <w:p w14:paraId="292201A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需支持医师打开患者病历时，预警该患者待书写病历、未完成病历；</w:t>
      </w:r>
    </w:p>
    <w:p w14:paraId="18A726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需支持医师打开患者病历时，预警各文书待书写内容，待书写内容需通过分析医嘱、检查检验的临床数据再进行有效预警；</w:t>
      </w:r>
    </w:p>
    <w:p w14:paraId="5F6A04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需支持医生对AI预警结果进行反馈，同时支持录入反馈原因，且反馈问题原因需维护为选项便于医生操作。</w:t>
      </w:r>
    </w:p>
    <w:p w14:paraId="013F54A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7.3.1.4医生端通知</w:t>
      </w:r>
    </w:p>
    <w:p w14:paraId="75A024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需支持在电子病历系统中外挂‘智能浮窗程序’，达成环节或终末质控员通知临床住院医生对病案缺陷进行整改的功能；</w:t>
      </w:r>
    </w:p>
    <w:p w14:paraId="1B9E55D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需支持医师打开患者病历时，查看当前病案接收到的通知消息；</w:t>
      </w:r>
    </w:p>
    <w:p w14:paraId="244F64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需支持医师打开病历列表时，查看非打开患者通知消息。</w:t>
      </w:r>
    </w:p>
    <w:p w14:paraId="14D2754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7.3.1.5医生端监控</w:t>
      </w:r>
    </w:p>
    <w:p w14:paraId="68EB0E9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需支持医院质控管理人员、临床管理人员在浏览器界面可查看医生端质控结果；</w:t>
      </w:r>
    </w:p>
    <w:p w14:paraId="1C9CC9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需支持实时监控全院、各科室内临床工作内容，包括在院患者数、医生端病历问题数、医生端修改病历数；</w:t>
      </w:r>
    </w:p>
    <w:p w14:paraId="45DA93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需支持实时统计文书问题，包含文书问题排行；</w:t>
      </w:r>
    </w:p>
    <w:p w14:paraId="6D4D04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需支持实时统计科室问题，包含科室问题排行；</w:t>
      </w:r>
    </w:p>
    <w:p w14:paraId="3EBE3C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需支持实时统计各类病历问题报表，包含文书问题报表、科室问题报表；</w:t>
      </w:r>
    </w:p>
    <w:p w14:paraId="23205F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需支持查看医生端问题患者详情，可查看各临床医师书写病历内容与问题详情；</w:t>
      </w:r>
    </w:p>
    <w:p w14:paraId="2BFA169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需支持导出相关统计报表。</w:t>
      </w:r>
    </w:p>
    <w:p w14:paraId="3442777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7.3.2环节质控</w:t>
      </w:r>
    </w:p>
    <w:p w14:paraId="74ED5EA0">
      <w:pPr>
        <w:numPr>
          <w:ilvl w:val="1"/>
          <w:numId w:val="7"/>
        </w:numPr>
        <w:autoSpaceDE/>
        <w:autoSpaceDN/>
        <w:adjustRightInd w:val="0"/>
        <w:spacing w:line="360" w:lineRule="auto"/>
        <w:ind w:firstLine="420"/>
        <w:jc w:val="both"/>
        <w:outlineLvl w:val="4"/>
        <w:rPr>
          <w:rFonts w:hint="eastAsia"/>
          <w:vanish/>
          <w:kern w:val="2"/>
          <w:sz w:val="24"/>
          <w:szCs w:val="24"/>
          <w:lang w:eastAsia="zh-CN"/>
        </w:rPr>
      </w:pPr>
    </w:p>
    <w:p w14:paraId="515416E3">
      <w:pPr>
        <w:numPr>
          <w:ilvl w:val="1"/>
          <w:numId w:val="7"/>
        </w:numPr>
        <w:autoSpaceDE/>
        <w:autoSpaceDN/>
        <w:adjustRightInd w:val="0"/>
        <w:spacing w:line="360" w:lineRule="auto"/>
        <w:ind w:firstLine="420"/>
        <w:jc w:val="both"/>
        <w:outlineLvl w:val="4"/>
        <w:rPr>
          <w:rFonts w:hint="eastAsia"/>
          <w:vanish/>
          <w:kern w:val="2"/>
          <w:sz w:val="24"/>
          <w:szCs w:val="24"/>
          <w:lang w:eastAsia="zh-CN"/>
        </w:rPr>
      </w:pPr>
    </w:p>
    <w:p w14:paraId="21FED88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7.3.2.1环节机器与人工质控</w:t>
      </w:r>
    </w:p>
    <w:p w14:paraId="48C6B47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需支持对在院、出院未编目的环节病历进行机器实时自动质控，向质控人员提醒机器质控出的患者文书缺陷分类、缺陷明细、扣分；</w:t>
      </w:r>
    </w:p>
    <w:p w14:paraId="0A066D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需支持质控员添加人工检出缺陷，删除机器质控缺陷，并支持误删除的恢复功能；</w:t>
      </w:r>
    </w:p>
    <w:p w14:paraId="33A6CE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需支持环节质控时，支持对机器质控结果进行疑问反馈，支持反馈结果量化统计。</w:t>
      </w:r>
    </w:p>
    <w:p w14:paraId="215F7BE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7.3.2.2运行患者列表</w:t>
      </w:r>
    </w:p>
    <w:p w14:paraId="67221F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需支持环节质控时，向质控人员展示在院患者列表；</w:t>
      </w:r>
    </w:p>
    <w:p w14:paraId="232E64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需支持对列表多个字段进行排序，包括时间，分数等；</w:t>
      </w:r>
    </w:p>
    <w:p w14:paraId="45C48B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需支持质控时筛选目标病历，支持多条件筛选，可根据患者id、入院日期、科室、医师、病历文书、问题分类、问题明细、质控状态进行筛选；</w:t>
      </w:r>
    </w:p>
    <w:p w14:paraId="202E3F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需支持导出筛选的患者列表。</w:t>
      </w:r>
    </w:p>
    <w:p w14:paraId="294A46F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7.3.2.3运行病历详情浏览</w:t>
      </w:r>
    </w:p>
    <w:p w14:paraId="21924E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需支持查看在院、出院未编的问题患者；</w:t>
      </w:r>
    </w:p>
    <w:p w14:paraId="04DB32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需支持病历详情调阅，可查看运行病历的患者视图，包含：病案首页、入院记录、病程记录、出院记录、医嘱、检查检验报告等抽取文书；</w:t>
      </w:r>
    </w:p>
    <w:p w14:paraId="683732A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7.3.2.4环节监控</w:t>
      </w:r>
    </w:p>
    <w:p w14:paraId="289E82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系统需满足对环节质控结果进行可视化统计图表展示，满足医院质控管理人员快速了解全院环节病历质量情况。</w:t>
      </w:r>
    </w:p>
    <w:p w14:paraId="63F63A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需支持查看当前AI质控病历总数、质控科室数；</w:t>
      </w:r>
    </w:p>
    <w:p w14:paraId="78215FD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需支持查看时间维度病案质量情况，对病案质量变化趋势进行图形化展示；</w:t>
      </w:r>
    </w:p>
    <w:p w14:paraId="33661F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需支持查看科室维度病历问题数量排名、各科室病历数量、各科室病历问题数量、各科室病历问题占比；</w:t>
      </w:r>
    </w:p>
    <w:p w14:paraId="6FCBE4B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需支持查看文书维度问题排名，展示全院各文书问题数量；</w:t>
      </w:r>
    </w:p>
    <w:p w14:paraId="7C11A06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需支持查看医生维度病历问题排名，各医师总病历数量、书写文书中甲乙丙各级文书问题数量；</w:t>
      </w:r>
    </w:p>
    <w:p w14:paraId="4B43BF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需支持查看全院环节监控出问题的明细，包含各科室甲乙丙问题病历量、问题患者详情；</w:t>
      </w:r>
    </w:p>
    <w:p w14:paraId="0124C53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需支持环节监控各可视化图表的导出与下载。</w:t>
      </w:r>
    </w:p>
    <w:p w14:paraId="7AAEF52B">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7.3.3终末质控</w:t>
      </w:r>
    </w:p>
    <w:p w14:paraId="25006E2E">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7.3.3.1终末机器与人工质控</w:t>
      </w:r>
    </w:p>
    <w:p w14:paraId="1C8FAD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需支持对已出科的终末病历进行机器定时质控，向质控人员展示机器质控出的患者文书缺陷分类、缺陷明细、扣分；</w:t>
      </w:r>
    </w:p>
    <w:p w14:paraId="4F1162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需支持质控员添加人工检出缺陷，删除机器质控缺陷，并支持误删除的恢复功能；</w:t>
      </w:r>
    </w:p>
    <w:p w14:paraId="68F4023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需支持对机器质控结果进行疑问反馈，支持反馈结果量化统计。</w:t>
      </w:r>
    </w:p>
    <w:p w14:paraId="7405588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7.3.3.2终末患者列表</w:t>
      </w:r>
    </w:p>
    <w:p w14:paraId="0C21685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需支持终末质控时，向质控人员展示出院患者列表；</w:t>
      </w:r>
    </w:p>
    <w:p w14:paraId="78ACA7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需支持对列表多个字段进行排序，包括时间，分数等；</w:t>
      </w:r>
    </w:p>
    <w:p w14:paraId="12B00C4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需支持质控时筛选目标病历，支持多条件筛选，可根据患者id、出院日期、科室、医师、病历文书、问题分类、问题明细、质控状态进行筛选；</w:t>
      </w:r>
    </w:p>
    <w:p w14:paraId="06D478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需支持导出推荐、筛选的患者列表。</w:t>
      </w:r>
    </w:p>
    <w:p w14:paraId="202A5AD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7.3.3.3终末病历详情浏览</w:t>
      </w:r>
    </w:p>
    <w:p w14:paraId="13EB96D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需支持查看已出科病历的终末质控问题患者的质控分数及缺陷明细；</w:t>
      </w:r>
    </w:p>
    <w:p w14:paraId="50067A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需支持病历详情调阅，可查看终末病历的患者视图，包含：病案首页、入院记录、病程记录、出院记录、医嘱、检查检验报告等抽取文书。</w:t>
      </w:r>
    </w:p>
    <w:p w14:paraId="23940DB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7.4AI质控数据挖掘模型</w:t>
      </w:r>
    </w:p>
    <w:p w14:paraId="01DE8544">
      <w:pPr>
        <w:numPr>
          <w:ilvl w:val="0"/>
          <w:numId w:val="8"/>
        </w:numPr>
        <w:autoSpaceDE/>
        <w:autoSpaceDN/>
        <w:spacing w:line="360" w:lineRule="auto"/>
        <w:ind w:firstLine="420"/>
        <w:jc w:val="both"/>
        <w:rPr>
          <w:rFonts w:hint="eastAsia"/>
          <w:vanish/>
          <w:kern w:val="2"/>
          <w:sz w:val="24"/>
          <w:szCs w:val="24"/>
          <w:lang w:eastAsia="zh-CN"/>
        </w:rPr>
      </w:pPr>
    </w:p>
    <w:p w14:paraId="50AB312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7.4.1诊治分析质控库</w:t>
      </w:r>
    </w:p>
    <w:p w14:paraId="5288BE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诊治分析质控库需满足校验文书是否如实按照实际医师诊治、分析行为记录。</w:t>
      </w:r>
    </w:p>
    <w:p w14:paraId="62FC04E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需支持依据病历文书、检查报告、检验报告内容分析患者疾病进展情况，校验该疾病的治疗过程是否被记录；</w:t>
      </w:r>
    </w:p>
    <w:p w14:paraId="7954C2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需支持针对病历中出现的疾病应书写的诊断分析过程是否被如实记录；</w:t>
      </w:r>
    </w:p>
    <w:p w14:paraId="43C3C9C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需支持依据医嘱数据智能分析，对患者治疗方案变更是否被记录进行校验。</w:t>
      </w:r>
    </w:p>
    <w:p w14:paraId="492009E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7.4.2病历诊断质控库</w:t>
      </w:r>
    </w:p>
    <w:p w14:paraId="6D2857A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病历诊断质控库需满足校验文书记录的疾病诊断是否属实、是否无医学逻辑问题。</w:t>
      </w:r>
    </w:p>
    <w:p w14:paraId="3FB87E9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需支持通过分析病历文书中记录的疾病史、症状、体征信息，对入院记录初步诊断与出院记录出院诊断进行漏诊校验，如现病史/既往史含高脂血症/高血压/糖尿病/冠状动脉粥样硬化性心脏病，初步诊断未提及；</w:t>
      </w:r>
    </w:p>
    <w:p w14:paraId="23DDFC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需支持对入院记录初步诊断与出院记录出院诊断进行无依据诊断，如初步诊断缺少辅助检查中含有的低钠血症；</w:t>
      </w:r>
    </w:p>
    <w:p w14:paraId="1636B9B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需支持校对病历中入出院诊断名称与分期分型不规范，如呼吸衰竭应写明分型。</w:t>
      </w:r>
    </w:p>
    <w:p w14:paraId="4C7FFC3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7.4.3专病逻辑质控库</w:t>
      </w:r>
    </w:p>
    <w:p w14:paraId="64FAEC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需支持校验病历文书针对专科疾病是否记录符合专病逻辑；</w:t>
      </w:r>
    </w:p>
    <w:p w14:paraId="093D5E3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需支持通过自然语言分词技术，将病历文书进行分词处理；</w:t>
      </w:r>
    </w:p>
    <w:p w14:paraId="125390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需支持依据分词后病历文书疾病诊断，对该专病的诊断过程未在病历文书中记录的校验，如初步诊断主诊断为肺栓塞，现病史/辅助检查无CTPA/MRPA/超声心动图/核素肺通气灌注扫描/选择性肺动脉造影检查；</w:t>
      </w:r>
    </w:p>
    <w:p w14:paraId="2AECFD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需支持对专科疾病的发生、发展、诊断、治疗过程记录存在逻辑矛盾的校验，如第一诊断为急性心力衰竭时，主诉应包含呼吸困难/胸闷/气短/憋气/喘息。</w:t>
      </w:r>
    </w:p>
    <w:p w14:paraId="60BEDEF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7.4.4病历标签化</w:t>
      </w:r>
    </w:p>
    <w:p w14:paraId="157DBC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需支持21年病案管理质量控制指标中的分母进行定义，如植入物患者，恶性肿瘤放化疗患者，CT/MRI大型检查患者等；</w:t>
      </w:r>
    </w:p>
    <w:p w14:paraId="13C56C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需支持核心制度患者定义，如手术患者，会诊患者，死亡患者等；</w:t>
      </w:r>
    </w:p>
    <w:p w14:paraId="17EE774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需支持特殊患者定义，如低风险死亡患者，术后并发症患者，VTE 患者等。</w:t>
      </w:r>
    </w:p>
    <w:p w14:paraId="32620D6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7.4.5病历标签应用</w:t>
      </w:r>
    </w:p>
    <w:p w14:paraId="76A9B8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需支持对死亡、手术、低风险死亡，术后并发症、VTE病例等重点关注病历进行标记，筛选；</w:t>
      </w:r>
    </w:p>
    <w:p w14:paraId="6805F5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需支持对标签进行数据统计，如低风险死亡患者发生率，术后并发症患者发生率；</w:t>
      </w:r>
    </w:p>
    <w:p w14:paraId="47B7877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需支持临床医生端及平台端展示病历所属标签分类。</w:t>
      </w:r>
    </w:p>
    <w:p w14:paraId="66D3E2CC">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7.5质控统计报表</w:t>
      </w:r>
    </w:p>
    <w:p w14:paraId="69B0A9C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需支持按质控员维度对工作量统计，包括质控数量，通知数量，和整改确认完成数量；</w:t>
      </w:r>
    </w:p>
    <w:p w14:paraId="396D8F2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需支持科室维度的工作量统计，包括质控数量，通知数量，和整改确认完成数量；</w:t>
      </w:r>
    </w:p>
    <w:p w14:paraId="3B18D76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需支持规则维度的工作量统计，包括质控数量，通知数量，和整改确认完成数量；</w:t>
      </w:r>
    </w:p>
    <w:p w14:paraId="430C72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需支持在质控结果查询界面可以直接打开有缺陷的病历，供质控人员精确查看质控问题点所在病历详细信息。</w:t>
      </w:r>
    </w:p>
    <w:p w14:paraId="4F88917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7.6内涵诊疗质控维护</w:t>
      </w:r>
    </w:p>
    <w:p w14:paraId="45415840">
      <w:pPr>
        <w:numPr>
          <w:ilvl w:val="0"/>
          <w:numId w:val="8"/>
        </w:numPr>
        <w:autoSpaceDE/>
        <w:autoSpaceDN/>
        <w:spacing w:line="360" w:lineRule="auto"/>
        <w:ind w:firstLine="420"/>
        <w:jc w:val="both"/>
        <w:rPr>
          <w:rFonts w:hint="eastAsia"/>
          <w:vanish/>
          <w:kern w:val="2"/>
          <w:sz w:val="24"/>
          <w:szCs w:val="24"/>
          <w:lang w:eastAsia="zh-CN"/>
        </w:rPr>
      </w:pPr>
    </w:p>
    <w:p w14:paraId="76E356CE">
      <w:pPr>
        <w:numPr>
          <w:ilvl w:val="0"/>
          <w:numId w:val="8"/>
        </w:numPr>
        <w:autoSpaceDE/>
        <w:autoSpaceDN/>
        <w:spacing w:line="360" w:lineRule="auto"/>
        <w:ind w:firstLine="420"/>
        <w:jc w:val="both"/>
        <w:rPr>
          <w:rFonts w:hint="eastAsia"/>
          <w:vanish/>
          <w:kern w:val="2"/>
          <w:sz w:val="24"/>
          <w:szCs w:val="24"/>
          <w:lang w:eastAsia="zh-CN"/>
        </w:rPr>
      </w:pPr>
    </w:p>
    <w:p w14:paraId="0A86089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7.6.1文书规范智能监控</w:t>
      </w:r>
    </w:p>
    <w:p w14:paraId="53041DC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需支持针对病历文书是否按照病历书写规范所要求的内容进行书写进行校验；包含校验缺首次病情记录等问题分类；包含通过分词技术，校验文本类病程记录不规范书写等问题分类。</w:t>
      </w:r>
    </w:p>
    <w:p w14:paraId="5FF68F5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7.6.2文档完整性智能监控</w:t>
      </w:r>
    </w:p>
    <w:p w14:paraId="10E4E93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需支持针对病历文书是否完善、不缺失进行校验；</w:t>
      </w:r>
    </w:p>
    <w:p w14:paraId="38D3FE8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需支持校验不同文书的缺失，如校验缺阶段小结、缺术前或术后麻醉师访视记录、行有创操作当日无操作记录等问题分类；</w:t>
      </w:r>
    </w:p>
    <w:p w14:paraId="37D884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需支持通过分词技术，对一份文书内容内的缺失，如校验缺主诉、缺现病史、缺辅助检查等问题分类。</w:t>
      </w:r>
    </w:p>
    <w:p w14:paraId="086199D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7.6.3多维一致性智能监控</w:t>
      </w:r>
    </w:p>
    <w:p w14:paraId="2358BD8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需支持针对所有病历前后内容是否一致进行校验；</w:t>
      </w:r>
    </w:p>
    <w:p w14:paraId="1E6BC2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校验一份病案中所有病历内容一致性，通过分词技术，校验如体格检查内容与专科查体描述不符、表格病历体格检查记录与文字描述不符等问题分类；支持校验不同业务数据内容一致性，如校验死亡记录中死亡时间不具体或与医嘱/体温单时间不符等问题分类；</w:t>
      </w:r>
    </w:p>
    <w:p w14:paraId="271B30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需支持内容一致规则按进行科室配置实现规则启用及停用。</w:t>
      </w:r>
    </w:p>
    <w:p w14:paraId="591B603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7.6.4专有名词智能监控</w:t>
      </w:r>
    </w:p>
    <w:p w14:paraId="0A46DE3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需支持校验医学名词是否书写错误，包含校验不规范书写等问题分类。</w:t>
      </w:r>
    </w:p>
    <w:p w14:paraId="5BC6F13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7.6.5诊断复核监控</w:t>
      </w:r>
    </w:p>
    <w:p w14:paraId="7A1FB4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主要针对病历中，通过描述的既往疾病史、症状、体征是否可推断出疾病诊断进行校验；包含校验初步诊断不全或不规范、出院诊断不全、病程记录中未书写修正诊断、补充诊断及诊断依据等问题分类。</w:t>
      </w:r>
    </w:p>
    <w:p w14:paraId="2D4EFD5B">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7.6.6重大检查记录监控</w:t>
      </w:r>
    </w:p>
    <w:p w14:paraId="4A5A671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主要针对病历中，通过检查异常信息、检验异常信息是否可推断出疾病诊断，或病历内是否记录了能够诊断出疾病的检查异常信息、检验异常信息；包含校验病程记录中缺对检查结果异常的分析及相应的处理意见、重要的病情变化未在病程中记录等问题分类。</w:t>
      </w:r>
    </w:p>
    <w:p w14:paraId="0931F82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7.6.7治疗合规监控</w:t>
      </w:r>
    </w:p>
    <w:p w14:paraId="5D09FA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病历中疾病诊断是否按照对应的治疗方案进行治疗进行校验；支持校验是否按照病情分析类进行治疗，如校验首次病程记录中鉴别诊断未根据患者情况进行鉴别分析，且无是否考虑该诊断的结论；包含校验药品类治疗方案，如校验病程记录中未反应更改重要医嘱的理由等问题分类。</w:t>
      </w:r>
    </w:p>
    <w:p w14:paraId="62E3EC5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7.6.8一致性规则库</w:t>
      </w:r>
    </w:p>
    <w:p w14:paraId="5CEE7F6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需支持对单个文书的前后章节的内容进行对比判断是否一致，如主诉与现病史症状不一致，既往史和现病史中关于高血压史的描述前后矛盾，初步诊断的部位方位与病史描述不相符；</w:t>
      </w:r>
    </w:p>
    <w:p w14:paraId="449961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需支持对多文书间的章节内容进行对比判断是否一致，如术后首次病程的手术时间与手术记录不一致，术后首次病程记录的手术名称与手术记录不一致，出院记录的入院情况与入院记录的现病史不符；</w:t>
      </w:r>
    </w:p>
    <w:p w14:paraId="4B3BDE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需支持文书内容与临床系统中的患者信息是否一致进行校验，呼吸频率与实际年龄不符，病历中患者姓名与患者基本信息不一致，初步诊断中的诊断表述与男性人群不一致；</w:t>
      </w:r>
    </w:p>
    <w:p w14:paraId="52C7520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需支持病历文书内容与其他系统信息是否一致进行校验，如危急值病程记录与危急值预警系统不一致，出院记录中出院医嘱和医嘱系统中出院带药不一致。</w:t>
      </w:r>
    </w:p>
    <w:p w14:paraId="43A346D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7.6.9规范性规则库</w:t>
      </w:r>
    </w:p>
    <w:p w14:paraId="69E16D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需支持对病历书写格式的规范性进行校验，如主诉未做到简明扼要、抢救记录中参加抢救的医务人员姓名及专业技术职称书写不规范，出院小结诊疗经过过于简略；</w:t>
      </w:r>
    </w:p>
    <w:p w14:paraId="0835F8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需支持对病历中记录的时间是否规范合理进行校验，如手术结束时间小于手术开始时间，手术结束时间减手术开始时间不等于手术全程时间，病程记录时间大于出院记录时间；</w:t>
      </w:r>
    </w:p>
    <w:p w14:paraId="198254A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需支持对不同文书间的内容重复性进行判断，如查房记录与日常病程记录间相似，查房记录间相似，日常病程记录间相似性。</w:t>
      </w:r>
    </w:p>
    <w:p w14:paraId="37F709A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7.6.10自定义规则库</w:t>
      </w:r>
    </w:p>
    <w:p w14:paraId="1B3A03D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需支持医院根据临床专科的特点使用自定义规则维护工具对知识库的规则进行补充、完善。</w:t>
      </w:r>
    </w:p>
    <w:p w14:paraId="1BB317F8">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67" w:name="_Toc216708629"/>
      <w:bookmarkStart w:id="68" w:name="_Toc521"/>
      <w:r>
        <w:rPr>
          <w:rFonts w:hint="eastAsia"/>
          <w:b/>
          <w:bCs/>
          <w:kern w:val="44"/>
          <w:sz w:val="24"/>
          <w:szCs w:val="24"/>
          <w:lang w:eastAsia="zh-CN"/>
        </w:rPr>
        <w:t>8、多模态临床医生应用系统—多学科联合会诊模块</w:t>
      </w:r>
      <w:bookmarkEnd w:id="67"/>
      <w:bookmarkEnd w:id="68"/>
    </w:p>
    <w:p w14:paraId="40AB41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需要支持院内会诊流程定制化</w:t>
      </w:r>
    </w:p>
    <w:p w14:paraId="04EADC1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bookmarkStart w:id="69" w:name="_Toc216708630"/>
      <w:r>
        <w:rPr>
          <w:rFonts w:hint="eastAsia"/>
          <w:b/>
          <w:bCs/>
          <w:kern w:val="2"/>
          <w:sz w:val="24"/>
          <w:szCs w:val="24"/>
          <w:lang w:eastAsia="zh-CN"/>
        </w:rPr>
        <w:t>8.1MDT团队创建</w:t>
      </w:r>
      <w:bookmarkEnd w:id="69"/>
    </w:p>
    <w:p w14:paraId="410A7F2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需支持创建 MDT团队，团队维护中有专家、秘书、负责的病种、会诊要求、会诊地点；支持病种对应多个诊断编码；</w:t>
      </w:r>
    </w:p>
    <w:p w14:paraId="4ABCCD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需支持会诊可维护患者必须有哪些类型的病历资料，比如病理报告、CT检查等。</w:t>
      </w:r>
    </w:p>
    <w:p w14:paraId="481F4C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【MDT会诊团队管理】包含4个主要部分的功能【MDT团队名称】、【团队成员】、【疾病】、【会诊地点】</w:t>
      </w:r>
    </w:p>
    <w:p w14:paraId="73CA1498">
      <w:pPr>
        <w:numPr>
          <w:ilvl w:val="0"/>
          <w:numId w:val="9"/>
        </w:numPr>
        <w:overflowPunct w:val="0"/>
        <w:topLinePunct/>
        <w:autoSpaceDE/>
        <w:autoSpaceDN/>
        <w:spacing w:line="360" w:lineRule="auto"/>
        <w:jc w:val="both"/>
        <w:rPr>
          <w:rFonts w:hint="eastAsia"/>
          <w:kern w:val="2"/>
          <w:sz w:val="24"/>
          <w:szCs w:val="24"/>
          <w:lang w:eastAsia="zh-CN"/>
        </w:rPr>
      </w:pPr>
      <w:r>
        <w:rPr>
          <w:rFonts w:hint="eastAsia"/>
          <w:kern w:val="2"/>
          <w:sz w:val="24"/>
          <w:szCs w:val="24"/>
          <w:lang w:eastAsia="zh-CN"/>
        </w:rPr>
        <w:t>MDT团队名称：</w:t>
      </w:r>
    </w:p>
    <w:p w14:paraId="2A84FF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创建会诊团队而构建的团队名称；</w:t>
      </w:r>
    </w:p>
    <w:p w14:paraId="4B5C33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（2）团队成员：</w:t>
      </w:r>
    </w:p>
    <w:p w14:paraId="2B3DB7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包含【专家列表】、【秘书列表】可于其中维护团队的构成人员和人员详细信息；</w:t>
      </w:r>
    </w:p>
    <w:p w14:paraId="79A7B9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（3）疾病：</w:t>
      </w:r>
    </w:p>
    <w:p w14:paraId="3282FE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①于【疾病】中【添加病种】或【修改病种】维护会诊团队承担的看诊人群疾病对照信息，该疾病字典源于【ICD10疾病字典】；</w:t>
      </w:r>
    </w:p>
    <w:p w14:paraId="66768A0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②于【疾病】中【编辑会诊要求】维护病种所需会诊的【电子病历】相关文书类型信息。</w:t>
      </w:r>
    </w:p>
    <w:p w14:paraId="6C9A93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（4）会诊地点：</w:t>
      </w:r>
    </w:p>
    <w:p w14:paraId="012B985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会诊地点维护MDT团队施行会诊的办公地点；</w:t>
      </w:r>
    </w:p>
    <w:p w14:paraId="0080163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8.2MDT设置管理</w:t>
      </w:r>
    </w:p>
    <w:p w14:paraId="4CE07F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需支持管理MDT会议的时间安排、地点和相关设备等，确保会议顺利进行和信息的安全存储。</w:t>
      </w:r>
    </w:p>
    <w:p w14:paraId="5B7A5A8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【MDT会诊日期维护】包含2个主要部分的功能，单日【会诊时间设置】、批量【会诊时间设置】</w:t>
      </w:r>
    </w:p>
    <w:p w14:paraId="7FF00B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（1）单日【会诊时间设置】：</w:t>
      </w:r>
    </w:p>
    <w:p w14:paraId="370226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【会诊日期】（该日期决定会诊团队承担会诊事务的发生日）</w:t>
      </w:r>
    </w:p>
    <w:p w14:paraId="689719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【会诊时间】（会诊日期内开始承担会诊任务的时段范围，即开始时间于截止时间）</w:t>
      </w:r>
    </w:p>
    <w:p w14:paraId="07C8A84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【限额】（当日承担最大会诊病例数量）</w:t>
      </w:r>
    </w:p>
    <w:p w14:paraId="37ED6A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【平均时间间隔】（该参数决定2例会诊病患看诊的间隔时间即单次会诊病患的诊疗时间）</w:t>
      </w:r>
    </w:p>
    <w:p w14:paraId="2A1A1E90">
      <w:pPr>
        <w:numPr>
          <w:ilvl w:val="0"/>
          <w:numId w:val="9"/>
        </w:numPr>
        <w:overflowPunct w:val="0"/>
        <w:topLinePunct/>
        <w:autoSpaceDE/>
        <w:autoSpaceDN/>
        <w:spacing w:line="360" w:lineRule="auto"/>
        <w:jc w:val="both"/>
        <w:rPr>
          <w:rFonts w:hint="eastAsia"/>
          <w:kern w:val="2"/>
          <w:sz w:val="24"/>
          <w:szCs w:val="24"/>
          <w:lang w:eastAsia="zh-CN"/>
        </w:rPr>
      </w:pPr>
      <w:r>
        <w:rPr>
          <w:rFonts w:hint="eastAsia"/>
          <w:kern w:val="2"/>
          <w:sz w:val="24"/>
          <w:szCs w:val="24"/>
          <w:lang w:eastAsia="zh-CN"/>
        </w:rPr>
        <w:t>批量【会诊时间设置】：</w:t>
      </w:r>
    </w:p>
    <w:p w14:paraId="4713512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可批量维护多个【会诊日期】的具体规则。</w:t>
      </w:r>
    </w:p>
    <w:p w14:paraId="4B1D3303">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8.3MDT病种管理</w:t>
      </w:r>
    </w:p>
    <w:p w14:paraId="3A3ADED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需支持管理不同病种的MDT团队，确保每个团队有专业知识和资源来处理相应的病例。</w:t>
      </w:r>
    </w:p>
    <w:p w14:paraId="7F84D03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8.4MDT看诊资源管理</w:t>
      </w:r>
    </w:p>
    <w:p w14:paraId="25360C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需支持对MDT团队看诊资源进行排班；</w:t>
      </w:r>
    </w:p>
    <w:p w14:paraId="25950C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需支持批量生成排班信息；</w:t>
      </w:r>
    </w:p>
    <w:p w14:paraId="621DC9B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需支持录入看诊日期、时间、限额及对应的看诊间隔；</w:t>
      </w:r>
    </w:p>
    <w:p w14:paraId="2BD182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需支持在节假日等不规律排班时，需支持可通过删除批量排班信息，手动添加的方式处理。</w:t>
      </w:r>
    </w:p>
    <w:p w14:paraId="1F8B013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8.5MDT申请</w:t>
      </w:r>
    </w:p>
    <w:p w14:paraId="32BB78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需支持根据诊断自动匹配MDT看诊团队、查看MDT团队的看诊资源；</w:t>
      </w:r>
    </w:p>
    <w:p w14:paraId="5CFA2E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需支持选择某一看诊时间资源；</w:t>
      </w:r>
    </w:p>
    <w:p w14:paraId="04D67D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需支持MDT申请单匹配患者排号和预估看诊时间。</w:t>
      </w:r>
    </w:p>
    <w:p w14:paraId="339791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【MDT关联模板设置】包含1个主要部分的功能</w:t>
      </w:r>
    </w:p>
    <w:p w14:paraId="58AD04D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MDT【会诊电子单】据与【病历模板】绑定，该功能包含2个MDT文书的绑定即利用医院现行【电子病历系统】的【病历模板】功能构建MDT会诊需要的流转单据模板。</w:t>
      </w:r>
    </w:p>
    <w:p w14:paraId="00A09B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【MDT申请单】：提供会诊申请方医师填写的会诊申请单据，该单据需要包含1个关键【病历元素】即【拟申请会诊团队】用以选取指定会诊团队，该元素会对接【MDT团队管理】中的已创建团队；</w:t>
      </w:r>
    </w:p>
    <w:p w14:paraId="2C82272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【MDT审批单】：即会诊方医师最终填写会诊意见的【会诊记录单】</w:t>
      </w:r>
    </w:p>
    <w:p w14:paraId="1825BA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（1）【MDT关联模板设置】会诊单据绑定设置展示</w:t>
      </w:r>
    </w:p>
    <w:p w14:paraId="7A73547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8.6MDT患者管理</w:t>
      </w:r>
    </w:p>
    <w:p w14:paraId="357CE84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需支持按MDT团队的权限管理；支持按会诊日期查看待会诊、会诊中患者；支持按时间段查看已会诊患者。</w:t>
      </w:r>
    </w:p>
    <w:p w14:paraId="13E8027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8.6.1MDT会诊团队患者列表</w:t>
      </w:r>
    </w:p>
    <w:p w14:paraId="46B3C08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该列表根据业务【MDT申请单】状态分为4个队列</w:t>
      </w:r>
    </w:p>
    <w:p w14:paraId="78ED324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①【待诊患者】：待处理的申请单队列；</w:t>
      </w:r>
    </w:p>
    <w:p w14:paraId="3EAF0C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②【会诊中患者】：已会诊中的患者队列</w:t>
      </w:r>
    </w:p>
    <w:p w14:paraId="5C7BF59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③【历史患者】：已结束会诊的患者队列；</w:t>
      </w:r>
    </w:p>
    <w:p w14:paraId="1A891C0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④【关注患者】：被点选【关注】标记后，重点关注的患者队列</w:t>
      </w:r>
    </w:p>
    <w:p w14:paraId="1904727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8.7MDT看诊工作站</w:t>
      </w:r>
    </w:p>
    <w:p w14:paraId="5AA8DF4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需支持结合我院科室设置、MDT管理制度， 需要支持自动组织患者病史；</w:t>
      </w:r>
    </w:p>
    <w:p w14:paraId="1B89A3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需支持查看患者MDT申请单并记录会诊意见；</w:t>
      </w:r>
    </w:p>
    <w:p w14:paraId="0A4496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需支持查看患者的病案资料；</w:t>
      </w:r>
    </w:p>
    <w:p w14:paraId="045A71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需支持查看患者的所有影像和化验结果；</w:t>
      </w:r>
    </w:p>
    <w:p w14:paraId="1CB8376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需支持查看MDT患者的全部病历资料，包括历次门诊病历、医嘱，当次的检查、检验，历次住院的病历、护理相关记录、医嘱，及检查检验报告；</w:t>
      </w:r>
    </w:p>
    <w:p w14:paraId="6231AA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需支持链接查看PACS客户端查看图像；</w:t>
      </w:r>
    </w:p>
    <w:p w14:paraId="265B73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需支持查看关键治疗事件，例如手术的概览信息；</w:t>
      </w:r>
    </w:p>
    <w:p w14:paraId="1D6C6F7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需支持查看会诊申请单信息；</w:t>
      </w:r>
    </w:p>
    <w:p w14:paraId="63FE000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需支持录入会诊意见；</w:t>
      </w:r>
    </w:p>
    <w:p w14:paraId="2252E7E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需支持按最近一次检查和历次检查、检验分类，按时间倒序排列；</w:t>
      </w:r>
    </w:p>
    <w:p w14:paraId="619846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需支持对检验指标历史记录的对比；</w:t>
      </w:r>
    </w:p>
    <w:p w14:paraId="29D41521">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需支持标记重关注患者并提供单独的关注列表供团队查看；</w:t>
      </w:r>
    </w:p>
    <w:p w14:paraId="483B5AEB">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需支持按时间段查看已会诊患者；</w:t>
      </w:r>
    </w:p>
    <w:p w14:paraId="281BD199">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需支持按会诊日期查看待会诊申请单、会诊患者详细医事信息；</w:t>
      </w:r>
    </w:p>
    <w:p w14:paraId="4E44A775">
      <w:pPr>
        <w:widowControl/>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需支持查看MDT关注患者的后续治疗情况；</w:t>
      </w:r>
    </w:p>
    <w:p w14:paraId="3AD91B4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需支持在看诊过程中可对重点患者给予关注。</w:t>
      </w:r>
    </w:p>
    <w:p w14:paraId="35F8629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8.7.1MDT会诊患者详细信息展示</w:t>
      </w:r>
    </w:p>
    <w:p w14:paraId="14EAEEA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需支持会诊患者详细信息展示，该页面根据展示信息分为6个部分：</w:t>
      </w:r>
    </w:p>
    <w:p w14:paraId="13D184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①【患者基本信息】：可展示患者【就诊类型】、【姓名】、【性别】、【年龄】、【主要诊断】、【会诊目的】、【就诊卡号】供医生确认患者信息；</w:t>
      </w:r>
    </w:p>
    <w:p w14:paraId="67C316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②【现病史】：可展示患者病历信息中的【现病史】供医生了解患者病情；</w:t>
      </w:r>
    </w:p>
    <w:p w14:paraId="42368C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③【MDT会诊申请单】：可展示本次【MDT申请单】详细信息供会诊方医生了解会诊目的</w:t>
      </w:r>
    </w:p>
    <w:p w14:paraId="41A8729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④【MDT会诊记录单】：可展示和编辑本次会诊的会诊记录。</w:t>
      </w:r>
    </w:p>
    <w:p w14:paraId="764011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⑤【历史检查检验】：可查看患者历次诊疗期间的检查、检验图文报告信息。</w:t>
      </w:r>
    </w:p>
    <w:p w14:paraId="12E55F2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⑥【治疗过程】：可查看患者历次诊疗期间的所有医疗业务信息。</w:t>
      </w:r>
    </w:p>
    <w:p w14:paraId="0480A926">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8.8MDT后患者跟踪</w:t>
      </w:r>
    </w:p>
    <w:p w14:paraId="56E5D6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需支持结合我院MDT患者跟踪目标，定制开发跟踪患者在MDT会议后的治疗进展和结果，进行追踪评估和后续管理，以提供持续的协调护理和优质医疗服务。</w:t>
      </w:r>
    </w:p>
    <w:p w14:paraId="4A73C7F9">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0" w:name="_Toc216708634"/>
      <w:bookmarkStart w:id="71" w:name="_Toc9497"/>
      <w:r>
        <w:rPr>
          <w:rFonts w:hint="eastAsia"/>
          <w:b/>
          <w:bCs/>
          <w:kern w:val="44"/>
          <w:sz w:val="24"/>
          <w:szCs w:val="24"/>
          <w:lang w:eastAsia="zh-CN"/>
        </w:rPr>
        <w:t>9、多模态临床医生应用系统—诊疗事件示踪分析模块</w:t>
      </w:r>
      <w:bookmarkEnd w:id="70"/>
      <w:bookmarkEnd w:id="71"/>
    </w:p>
    <w:p w14:paraId="56CB6EE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9.1诊疗行为管理和节点示踪分析踪</w:t>
      </w:r>
    </w:p>
    <w:p w14:paraId="556B61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医嘱的诊疗行为的过程管理和节点示踪分析，通过诊疗流程的调阅和实时关注，了解患者院内门诊检查、门诊检验、住院检查、住院检验、针剂药品、口服用药、治疗、会诊、危急值、手术、输血、消毒供应、手术器械包全流程、病理标本、急诊输液、血透、康复、门诊内镜、住院内镜、不良事件发生的节点行为实时动态追踪，对整体过程管理和节点执行的合理性、及时性、执行情况全面分析。</w:t>
      </w:r>
    </w:p>
    <w:p w14:paraId="137F98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诊疗行为管理和节点示踪分析：诊疗行为管理可维护展示的不同诊疗行为类型的过程，通过诊疗行为的过程类型区分各业务系统应该使用哪种过程进行展示，可维护各个过程中节点信息，能对节点进行合理顺序调动，能标识节点是否动态展示，能支持存在报告节点展示报告，并支持过程节点在医生站展示，可以按照诊疗行为类型，各个科室，在节点执行情况进行统计，支持对各个诊疗行为类型全过程的完整率分析、节点执行情况分析、节点执行及时情况分析，并且支持各个诊疗行为类型下的患者维度的节点执行情况详细分析最终以表格、图形的形式在页面进行汇总展示。</w:t>
      </w:r>
    </w:p>
    <w:p w14:paraId="211744DA">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2" w:name="_Toc8137"/>
      <w:r>
        <w:rPr>
          <w:rFonts w:hint="eastAsia"/>
          <w:b/>
          <w:bCs/>
          <w:kern w:val="44"/>
          <w:sz w:val="24"/>
          <w:szCs w:val="24"/>
          <w:lang w:eastAsia="zh-CN"/>
        </w:rPr>
        <w:t>10、线上线下一体化便民服务系统—AI健康大脑模块</w:t>
      </w:r>
      <w:bookmarkEnd w:id="72"/>
    </w:p>
    <w:p w14:paraId="14B92362">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10.1疗效评估模型</w:t>
      </w:r>
    </w:p>
    <w:p w14:paraId="1D8F25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RESTful、API、WebSocket、数据库直连等多种数据接入方式，可适配异构数据源的特性差异，采用差异化接入策略，保障数据传输的实时性、完整性与一致性。支持知识图谱的构建与展示。知识图谱关系类型定义不少于3种，覆盖症状、疾病等核心关联维度。</w:t>
      </w:r>
    </w:p>
    <w:p w14:paraId="17976F8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10.2AI智能知识图谱</w:t>
      </w:r>
    </w:p>
    <w:p w14:paraId="279ED62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10.2.1数据源支撑</w:t>
      </w:r>
    </w:p>
    <w:p w14:paraId="138B5C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需支持兼容多源异构数据导入，包括但不限于健康科普文献、电子病历结构化数据等；支持PDF、DOCX、XML、JSON等主流格式解析。</w:t>
      </w:r>
    </w:p>
    <w:p w14:paraId="6464D66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10.2.2知识抽取</w:t>
      </w:r>
    </w:p>
    <w:p w14:paraId="0B80FD7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需支持从非结构化文本、半结构化数据中自动抽取实体、关系及属性。</w:t>
      </w:r>
    </w:p>
    <w:p w14:paraId="6E896B5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10.2.3个性化推荐能力</w:t>
      </w:r>
    </w:p>
    <w:p w14:paraId="28E8CF8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基于数据中心患者健康标签，可根据用户健康标签、用药史生成健康指导方案。</w:t>
      </w:r>
    </w:p>
    <w:p w14:paraId="066DB0D5">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10.3患者健康画像</w:t>
      </w:r>
    </w:p>
    <w:p w14:paraId="39257F7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10.3.1患者健康全貌</w:t>
      </w:r>
    </w:p>
    <w:p w14:paraId="6E98F3B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基于构建的标签体系，为不同人群生成个性化、全景化的健康视图。系统支持按人群分类展示关键标签，并以结构化报告等形式呈现健康全貌，帮助用户快速理解健康状况、趋势与风险。</w:t>
      </w:r>
    </w:p>
    <w:p w14:paraId="7CCB9A3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10.3.2智能健康评价</w:t>
      </w:r>
    </w:p>
    <w:p w14:paraId="29E8E4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利用健康全貌数据，为用户提供综合健康评估。具体包括智能健康总结、风险提醒、异常指标分析、近期诊疗行为分析及个性化健康建议。系统可自动识别异常变化与潜在风险，生成通俗易懂的评估报告与可执行的改善建议，支持患者自我管理与医生临床参考。</w:t>
      </w:r>
    </w:p>
    <w:p w14:paraId="668B95EB">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10.3.3智能报告解读</w:t>
      </w:r>
    </w:p>
    <w:p w14:paraId="140355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针对患者难以理解的各类院内医疗报告，该模块提供基于AI的自动化解读服务，涵盖检验报告、检查报告和体检报告三大类。系统能够解析报告中的关键指标、异常发现与趋势变化，结合个人健康画像进行背景化说明，并生成通俗结论与健康提示，提升报告的可读性与实用性。</w:t>
      </w:r>
    </w:p>
    <w:p w14:paraId="5EFF75D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10.3.4自我健康管理</w:t>
      </w:r>
    </w:p>
    <w:p w14:paraId="0959515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面向患者提供日常健康管理工具，记录并跟踪血压、血糖等体征数据，接收个性化的健康建议与科普内容，形成持续的自我健康管理路径。</w:t>
      </w:r>
    </w:p>
    <w:p w14:paraId="429236F8">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10.4人群标签管理</w:t>
      </w:r>
    </w:p>
    <w:p w14:paraId="7E53A30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bidi="ar"/>
        </w:rPr>
        <w:t>需支持通过精细化标签体系实现对患者群体的精准画像构建、分层管理及个性化服务赋能，实现标签内容的患者信息展现与同步更新，直接关联患者疾病、用药、手术、基础信息及诊疗记录等核心医疗信息展现，通过标签数据实现适配日常诊疗数据、患者基础信息快速检索等场景；基于患者多维度数据组合运算后生成涵盖慢性病患者以及糖尿病高危人群、高血压高危人群等高危人群标签应用，可动态适配医疗服务需求，助力医院精准定位服务对象，生成易患疾病、疑似病症等并输出个性化健康指导意见，推动医疗服务从“被动诊疗”向“主动预防”转型，降低诊疗成本与患病概率。</w:t>
      </w:r>
    </w:p>
    <w:p w14:paraId="69A33D8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10.5健康人群数据管理</w:t>
      </w:r>
    </w:p>
    <w:p w14:paraId="367D58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需支持数据接入、管理与知识处理能力，支持对关系型数据库、NoSQL、API 接口等多类数据源进行统一配置管理，并提供可视化连接测试、连接池调优及状态监控功能；在数据管理方面，提供全面的数据模型管理能力，支持业务字段映射、业务含义标注、敏感级别标识以及字典版本控制与标签映射，为标签抽取提供标准化基础；系统能够基于患者健康数据进行分析并展示相关结果，为用户提供直观的健康数据分析支持。</w:t>
      </w:r>
    </w:p>
    <w:p w14:paraId="01CAB02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10.6随访管理</w:t>
      </w:r>
    </w:p>
    <w:p w14:paraId="57D5B4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依托患者健康画像多维度数据，结合临床指南、疾病管理规范及用户触达偏好，构建智能推送模型，实现健康知识、干预措施、就医提醒等信息的精准触达，助力提升患者健康管理依从性，优化医疗服务闭环。支持向患者推送随访问诊、健康宣教知识、复诊通知等。</w:t>
      </w:r>
    </w:p>
    <w:p w14:paraId="3C709F12">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10.7健康档案管理</w:t>
      </w:r>
    </w:p>
    <w:p w14:paraId="4793394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10.7.1慢病风险评估</w:t>
      </w:r>
    </w:p>
    <w:p w14:paraId="7609140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慢病风险评估，如糖尿病、高血压，包含风险自测、风险测评及测评记录管理三大核心模块，具体需求如下：风险自测模块仅展示后台设置为[患者自测]渠道的量表，量表下方显示对应量表内容，且所有量表按后台配置顺序展示；每个量表支持患者多次作答，已作答过的量表再次进入时显示上次作答结果页面，同时提供重新测评选项。风险测评模块仅展示精准宣教推送且关联就诊记录的量表，已作答完成的量表不在此处显示，可在测评记录中查看；若患者对应就诊记录已诊毕或出院，其未作答的关联量表不再展示。测评记录模块支持查看患者所有作答过的量表记录，按作答时间倒序排列，每条记录根据来源（住院、门诊、自测、系统自动）标注对应标签，不同来源的记录展示字段按原型图要求区分；同一量表多次作答将生成多条独立记录。此外，系统支持自动风险测评授权开关功能，以就诊人为单位进行设置，默认处于关闭状态；开启时弹出授权弹窗，弹窗内容可通过messageid：460002自定义配置，患者点击“我理解并同意”后将触发完善信息页面，填写与否由患者自主决定，填写完成后信息结果同步更新至个人健康档案；关闭该授权时需弹出确认提示弹窗，确认后方可关闭。</w:t>
      </w:r>
    </w:p>
    <w:p w14:paraId="5553774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10.8患者服药依从性管理</w:t>
      </w:r>
    </w:p>
    <w:p w14:paraId="7E1424D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用药医嘱自动生成个性化、可视化的用药计划，通过智能解析医嘱并结合患者过敏史、生活习惯进行综合判断，确保用药方案科学、安全。同时提供用药提醒功能，可推送用药信息、禁忌提示，并对漏服情况进行二次干预，提高患者服药依从性。出院带药查询功能以结构化方式展示药品的用法、目的及储存要求，为患者提供完整的出院用药指导。此外，系统支持用药记录的多维度查询，可按日历、时间和药品查看服药情况，帮助患者和医护人员实时掌握用药执行情况，实现全程、连续、安全的用药管理。</w:t>
      </w:r>
    </w:p>
    <w:p w14:paraId="65D5B5C6">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10.9患者监测健康档案管理</w:t>
      </w:r>
    </w:p>
    <w:p w14:paraId="52AB68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个人健康指标的趋势图展示功能，支持对血糖、血压、血脂等关键指标进行可视化呈现。患者可查看不同时间维度（如每日、每周、每月）的指标变化曲线，直观了解自身健康状况的波动趋势。系统自动根据录入或上传的检测数据生成趋势图，并支持数据点的详情查看，如测量时间、数值、测量方式等。通过趋势分析，患者能够及时发现异常变化，为日常健康管理和就医决策提供参考依据。</w:t>
      </w:r>
    </w:p>
    <w:p w14:paraId="14CE8B4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10.10互联网+护理</w:t>
      </w:r>
    </w:p>
    <w:p w14:paraId="52C2DD9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10.10.1护理咨询</w:t>
      </w:r>
    </w:p>
    <w:p w14:paraId="18BAE04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为患者提供在线护理指导与健康咨询服务。患者可通过系统提交护理相关问题，如术后护理、慢病管理、用药指导、生活方式建议等，并可上传图片或相关检查资料辅助说明。护理人员根据专业规范提供文字或语音回复。系统支持咨询记录的保存与查询，便于患者后续查看。</w:t>
      </w:r>
    </w:p>
    <w:p w14:paraId="543B3DD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10.10.2护理宣教</w:t>
      </w:r>
    </w:p>
    <w:p w14:paraId="7FC03B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支持护理宣教向患者提供规范化、个性化的健康知识与护理指导内容。</w:t>
      </w:r>
    </w:p>
    <w:p w14:paraId="0CB646A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10.10.2.1问答知识内容管理</w:t>
      </w:r>
    </w:p>
    <w:p w14:paraId="47C2643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内容编辑，内置富文本编辑器，支持文本格式调整；提供分段管理，以卡片形式展示文档所有分段，支持对单一段落进行编辑、删除、迁移、向量化；提供附件关联，支持在各知识分段下上传图片、视频附件，问答命中时同步展示。</w:t>
      </w:r>
    </w:p>
    <w:p w14:paraId="078A839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10.10.2.2问答知识自动抽取</w:t>
      </w:r>
    </w:p>
    <w:p w14:paraId="67E819B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需支持基于上传的文档内容，利用NLP技术自动识别并建议潜在的问答对，经人工审核后入库。</w:t>
      </w:r>
    </w:p>
    <w:p w14:paraId="4E30639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10.10.2.3问答批量导入</w:t>
      </w:r>
    </w:p>
    <w:p w14:paraId="316982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需支持提供标准Excel/CSV模板，支持批量导入大量结构化QA对。</w:t>
      </w:r>
    </w:p>
    <w:p w14:paraId="37B9AEA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10.10.2.4问题增强生成</w:t>
      </w:r>
    </w:p>
    <w:p w14:paraId="696D0F5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需支持针对一个标准答案，系统可基于语义分析自动生成多个同义、近义或不同表达方式的关联问题，实现“一答多问”，提升问答命中率。</w:t>
      </w:r>
    </w:p>
    <w:p w14:paraId="17F3111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10.10.2.5问答知识管理</w:t>
      </w:r>
    </w:p>
    <w:p w14:paraId="62E382E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需支持手动创建问题与答案，答案可关联单个或多个知识分段。</w:t>
      </w:r>
    </w:p>
    <w:p w14:paraId="4D22F40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10.10.2.6附件资源库管理</w:t>
      </w:r>
    </w:p>
    <w:p w14:paraId="50F864E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统一的附件资源存储与管理中心，实现附件的集中存储、分类与复用，避免重复上传。支持按类型、标签、上传时间对附件进行分类筛选与检索，支持在编辑知识分段或QA对时，可从附件库直接选择并关联已有附件，实现全局复用。</w:t>
      </w:r>
    </w:p>
    <w:p w14:paraId="644463E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10.10.2.7问答模拟测试与效果评估</w:t>
      </w:r>
    </w:p>
    <w:p w14:paraId="2EBABC7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平台内的实时问答测试工具，便于管理员验证知识库配置效果，精准调试检索策略。支持模拟线上流程返回检索结果，支持在测试界面临时调整向量检索的相似度阈值、返回分段数量等参数，清晰标注答案引用的具体知识分段及来源文档，确保答案可追溯。</w:t>
      </w:r>
    </w:p>
    <w:p w14:paraId="4CDDDA2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10.10.2.8模型管理全局配置</w:t>
      </w:r>
    </w:p>
    <w:p w14:paraId="7606123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需支持配置知识库名称、描述等基本信息，支持向量模型配置，选择和切换该知识库使用的文本嵌入向量模型，支持知识库类型配置。</w:t>
      </w:r>
    </w:p>
    <w:p w14:paraId="61F55C8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10.10.2.9宣教内容创建</w:t>
      </w:r>
    </w:p>
    <w:p w14:paraId="1CEADEB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需支持提供多元化内容创建工具，支持文章、视频、图片、音频、H5互动等多种形式，内置专业医学模板库，简化内容创作流程，支持富文本编辑与多媒体嵌入</w:t>
      </w:r>
    </w:p>
    <w:p w14:paraId="796FC7A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10.10.2.10内容批量导入</w:t>
      </w:r>
    </w:p>
    <w:p w14:paraId="504A7CE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提供标准化Excel/Word/CSV导入模板，支持批量导入文本、图片、视频等宣教资源，大幅提升内容录入效率</w:t>
      </w:r>
    </w:p>
    <w:p w14:paraId="54A7594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10.10.2.11宣教内容管理</w:t>
      </w:r>
    </w:p>
    <w:p w14:paraId="3319CA9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需支持完善的内容管理体系，支持分类管理、标签设置、版本控制、全文检索、收藏管理等功能，实现宣教资源的全生命周期管理，便于医护人员快速查找与维护</w:t>
      </w:r>
    </w:p>
    <w:p w14:paraId="7F7D169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10.10.2.12内容发布管理</w:t>
      </w:r>
    </w:p>
    <w:p w14:paraId="7CD840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需支持灵活的发布策略配置，支持定时发布、定向发布（按科室/病种/患者群体）、多渠道分发，以及完整的发布审核流程，确保宣教内容精准触达目标患者</w:t>
      </w:r>
    </w:p>
    <w:p w14:paraId="0F2697D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10.10.2.13内容审核机制</w:t>
      </w:r>
    </w:p>
    <w:p w14:paraId="569D02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需支持严格的多级审核流程，支持科室初审、专业审核、合规审查等多环节把关，内置敏感词过滤、专业术语校验与合规性检查，确保宣教内容的专业性、准确性与合规性</w:t>
      </w:r>
    </w:p>
    <w:p w14:paraId="6080720B">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10.10.2.14知识关联管理</w:t>
      </w:r>
    </w:p>
    <w:p w14:paraId="3AA403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需支持智能关联问答知识库与宣教知识库，基于语义分析自动建立关联关系，支持权限范围内的知识推送与交叉引用，实现问答与宣教内容的无缝衔接，提升知识服务的一致性与完整性</w:t>
      </w:r>
    </w:p>
    <w:p w14:paraId="41259C2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10.10.2.15科室权限体系</w:t>
      </w:r>
    </w:p>
    <w:p w14:paraId="5AE59A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需支持精细化的多级权限管理机制，实现科室知识库的隔离与共享平衡，支持创建、编辑、审核、发布、查看等细粒度权限配置，提供知识共享申请与审批流程，保障知识资产安全与专业性</w:t>
      </w:r>
    </w:p>
    <w:p w14:paraId="3565222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10.10.2.16宣教应用统计</w:t>
      </w:r>
    </w:p>
    <w:p w14:paraId="03DB089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需支持全面的数据统计与分析功能，记录发布时间、点击量、阅读完成率、停留时长、患者反馈评分、知识应用效果等多维度指标，提供可视化报表与智能分析建议，助力宣教工作持续优化与质量提升</w:t>
      </w:r>
    </w:p>
    <w:p w14:paraId="04E5FA2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10.10.2.17患者数据整合</w:t>
      </w:r>
    </w:p>
    <w:p w14:paraId="05B972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需支持深度整合患者在院期间的所有历史就诊数据，包括病历信息、检查检验结果、诊疗记录、用药史等，构建全面多维度的患者健康画像。</w:t>
      </w:r>
    </w:p>
    <w:p w14:paraId="367C69AA">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10.10.2.18问题理解</w:t>
      </w:r>
    </w:p>
    <w:p w14:paraId="5DEE62D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需支持对用户输入的文本内容进行语义分析、关键词提取等处理，准确判断用户的核心问题和咨询意图，例如能区分是询问科室业务范围还是科室具体位置等不同意图。</w:t>
      </w:r>
    </w:p>
    <w:p w14:paraId="1D53BCC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10.10.2.19知识查询匹配</w:t>
      </w:r>
    </w:p>
    <w:p w14:paraId="307D3DB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需支持将识别出的问题与系统知识库中的大量问题模板及对应答案进行匹配检索，找到最符合的答案内容返回给用户。知识库会定期更新，确保信息的准确性和时效性。</w:t>
      </w:r>
    </w:p>
    <w:p w14:paraId="4FB543C9">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10.10.2.20智能引导功能</w:t>
      </w:r>
    </w:p>
    <w:p w14:paraId="77F659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需支持当用户的问题比较模糊或复杂时，通过主动询问更多相关细节，逐步引导用户清晰表达需求，比如患者只说身体不舒服，系统会进一步询问是哪个部位不舒服、有什么症状等，进而给出针对性建议。</w:t>
      </w:r>
    </w:p>
    <w:p w14:paraId="40D82BC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10.10.2.21操作引导</w:t>
      </w:r>
    </w:p>
    <w:p w14:paraId="4014726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需支持对于涉及线上操作的咨询，如在微信小程序上如何预约挂号、如何查看检查报告等，能提供详细的图文并茂或步骤式的操作指南，引导用户顺利完成相关操作。</w:t>
      </w:r>
    </w:p>
    <w:p w14:paraId="6B75654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10.10.2.22多模态交互</w:t>
      </w:r>
    </w:p>
    <w:p w14:paraId="11BA634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需支持丰富的多媒体交互形式，支持图文混排、音频讲解、视频演示、文档下载、互动问卷等多种方式，根据患者需求与场景智能切换展示形式，提升患者接受宣教的体验与理解效果</w:t>
      </w:r>
    </w:p>
    <w:p w14:paraId="367F6D9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10.10.2.23智能内容筛选</w:t>
      </w:r>
    </w:p>
    <w:p w14:paraId="519C08A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需支持根据患者的疾病类型、病情阶段、治疗方案、年龄/性别等核心特征，智能筛选最适配的宣教内容，如慢性病管理、并发症预防、用药指导、术后康复等，实现个性化推荐。</w:t>
      </w:r>
    </w:p>
    <w:p w14:paraId="6A05D85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10.10.2.24一人一策推荐</w:t>
      </w:r>
    </w:p>
    <w:p w14:paraId="7D499FB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需支持针对每位患者当前健康状况进行个性化的宣教内容推荐，主动推送与患者健康状态高度相关的内容，提升患者健康管理能力。</w:t>
      </w:r>
    </w:p>
    <w:p w14:paraId="0C80A046">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3" w:name="_Toc11504"/>
      <w:r>
        <w:rPr>
          <w:rFonts w:hint="eastAsia"/>
          <w:b/>
          <w:bCs/>
          <w:kern w:val="44"/>
          <w:sz w:val="24"/>
          <w:szCs w:val="24"/>
          <w:lang w:eastAsia="zh-CN"/>
        </w:rPr>
        <w:t>11、线上线下一体化便民服务系统—全资源预约模块</w:t>
      </w:r>
      <w:bookmarkEnd w:id="73"/>
    </w:p>
    <w:p w14:paraId="3D9155D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11.1全资源预约管理</w:t>
      </w:r>
    </w:p>
    <w:p w14:paraId="0B975D6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11.1.1全资源预约管理</w:t>
      </w:r>
    </w:p>
    <w:p w14:paraId="48E7A7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建立一个统一的预约平台，为患者提供方便快捷的预约服务。患者可以通过各种渠道，如微信、线下渠道、窗口预约等，进行检查预约。同时，系统还支持对检查预约进行关联管理，确保不同检查项目之间的合理安排，避免冲突和重复预约。</w:t>
      </w:r>
    </w:p>
    <w:p w14:paraId="7A1DBD8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针对治疗、体检、日间手术、住院床位等诊疗活动，建立相应的预约管理模块，实现全方位的日程排期管理。通过预约系统，患者可以预约治疗、体检、日间手术等诊疗服务，并根据自己的需求和医生建议，选择合适的预约时间。</w:t>
      </w:r>
    </w:p>
    <w:p w14:paraId="61FC3A7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在预约时间的设置上，系统将精确到30分钟以内，以满足患者对就诊时间的精确需求。此外，系统还支持取消预约和取消挂号功能，让患者可以灵活调整就诊计划，提高了预约的灵活性和便利性。</w:t>
      </w:r>
    </w:p>
    <w:p w14:paraId="245B7BB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需支持门诊手术、内镜检查等项目预约。</w:t>
      </w:r>
    </w:p>
    <w:p w14:paraId="64A4D8F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11.1.2检查预约系统</w:t>
      </w:r>
    </w:p>
    <w:p w14:paraId="2324674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11.1.2.1系统管理</w:t>
      </w:r>
    </w:p>
    <w:p w14:paraId="4699F53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1、菜单管理</w:t>
      </w:r>
    </w:p>
    <w:p w14:paraId="1B6024B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需支持对菜单的管理，实现菜单自由分组；</w:t>
      </w:r>
    </w:p>
    <w:p w14:paraId="526CE74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需支持对菜单有效性、可使用性的管理。</w:t>
      </w:r>
    </w:p>
    <w:p w14:paraId="36F273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2、角色管理</w:t>
      </w:r>
    </w:p>
    <w:p w14:paraId="0E5813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需支持用户角色的管理；</w:t>
      </w:r>
    </w:p>
    <w:p w14:paraId="63E127F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支持配置角色显示的菜单和有效性，登录时根据配置结果显示相应信息。</w:t>
      </w:r>
    </w:p>
    <w:p w14:paraId="4FC6AA3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3、用户管理</w:t>
      </w:r>
    </w:p>
    <w:p w14:paraId="137D9D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需支持用户信息的管理；</w:t>
      </w:r>
    </w:p>
    <w:p w14:paraId="55114D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需支持配置该用户的角色菜单以及角色包含菜单以外的菜单；</w:t>
      </w:r>
    </w:p>
    <w:p w14:paraId="13CA07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需支持能给用户分配角色、分配院区权限、分配科室权限；</w:t>
      </w:r>
    </w:p>
    <w:p w14:paraId="4881DE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需支持批量导入；</w:t>
      </w:r>
    </w:p>
    <w:p w14:paraId="393B10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需支持用户在登录系统时，通过对院区和角色的选择，需实现跨院区预约；</w:t>
      </w:r>
    </w:p>
    <w:p w14:paraId="2A067C0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需支持用一个用户拥有超声、放射、内镜等所有执行科室的权限。</w:t>
      </w:r>
    </w:p>
    <w:p w14:paraId="55D181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4、字典管理</w:t>
      </w:r>
    </w:p>
    <w:p w14:paraId="615634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需支持字典信息的管理，实现常规标准数据的统一管理；</w:t>
      </w:r>
    </w:p>
    <w:p w14:paraId="4333996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需支持添加字典详细信息的相关描述。</w:t>
      </w:r>
    </w:p>
    <w:p w14:paraId="2D91A9F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5、控制参数管理</w:t>
      </w:r>
    </w:p>
    <w:p w14:paraId="48331C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需支持添加、编辑参数。支持流程管理和事务管理的开关配置。</w:t>
      </w:r>
    </w:p>
    <w:p w14:paraId="6BC6756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11.1.2.2资源管理</w:t>
      </w:r>
    </w:p>
    <w:p w14:paraId="3792FA3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1、院区管理</w:t>
      </w:r>
    </w:p>
    <w:p w14:paraId="1C95C4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需支持院区管理，可以添加院区信息和院区使用开关；</w:t>
      </w:r>
    </w:p>
    <w:p w14:paraId="38B1AE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需支持添加、编辑、启用禁用院区；</w:t>
      </w:r>
    </w:p>
    <w:p w14:paraId="1383AA8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需支持查询多院区及多院区的有效性。</w:t>
      </w:r>
    </w:p>
    <w:p w14:paraId="3D32B8F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2、科室管理</w:t>
      </w:r>
    </w:p>
    <w:p w14:paraId="5DEDC7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需支持刷新、添加、编辑、启用、停用科室；</w:t>
      </w:r>
    </w:p>
    <w:p w14:paraId="060F0E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需支持根据院区、类型、特殊类型、资源有效性等条件进行精准检索科室。</w:t>
      </w:r>
    </w:p>
    <w:p w14:paraId="0AAA31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3、注意事项管理</w:t>
      </w:r>
    </w:p>
    <w:p w14:paraId="3E43D3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需支持注意事项新增、编辑、启用禁用功能；</w:t>
      </w:r>
    </w:p>
    <w:p w14:paraId="4B145C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需支持注意事项用于项目、设备的编辑维护。</w:t>
      </w:r>
    </w:p>
    <w:p w14:paraId="673F365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4、检查项目管理</w:t>
      </w:r>
    </w:p>
    <w:p w14:paraId="7F1378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需支持检查项目信息的编辑、有效性的管理、复制注意事项；</w:t>
      </w:r>
    </w:p>
    <w:p w14:paraId="2913CC9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增检查项目时有基准项目维护和院区项目维护，院区维护时可以选择倍数和注意事项，也有对是否空腹和是否是增强项目的选择，如果该项目有基准项目，可以直接选择基准项目，没有基准项目需要先创建基准项目，再进行检查项目的维护。拼音码的维护可以在查询的时候通过拼音码精准查询；</w:t>
      </w:r>
    </w:p>
    <w:p w14:paraId="779D375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支持批量复制注意事项时。</w:t>
      </w:r>
    </w:p>
    <w:p w14:paraId="6560E70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5、基础数据维护</w:t>
      </w:r>
    </w:p>
    <w:p w14:paraId="518D1E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需支持维护HIS、PACS的检查部位、基本操作、检查类型、厂商数据。实现基础数据的统一管理。</w:t>
      </w:r>
    </w:p>
    <w:p w14:paraId="2DD2AF8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6、基础数据对照</w:t>
      </w:r>
    </w:p>
    <w:p w14:paraId="06A57E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需支持维护HIS、PACS的检查部位、基本操作、检查类型、检查项目、执行科室数据进行对照，实现多院区多厂商的数据交换和统一。</w:t>
      </w:r>
    </w:p>
    <w:p w14:paraId="1603279C">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11.1.2.3规则库管理</w:t>
      </w:r>
    </w:p>
    <w:p w14:paraId="1213598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1、基础规则维护</w:t>
      </w:r>
    </w:p>
    <w:p w14:paraId="0B5E38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需支持基础规则维护，包括检查项目时间间隔、检查类型时间间隔、检查项目优先级、检查类型优先级、检查设备优先级、合单规则、拆单规则、合号规则、预约限额等。</w:t>
      </w:r>
    </w:p>
    <w:p w14:paraId="38BBC93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2、规则函数</w:t>
      </w:r>
    </w:p>
    <w:p w14:paraId="17236EB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需支持为规则引擎提供自定义的运算单元。</w:t>
      </w:r>
    </w:p>
    <w:p w14:paraId="455B489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3、基础规则</w:t>
      </w:r>
    </w:p>
    <w:p w14:paraId="59FD52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需支持管理规则库的基础验证规则，需支持灵活的自定义配置规则；</w:t>
      </w:r>
    </w:p>
    <w:p w14:paraId="664949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需支持多种基础规则实现成一套业务规则。</w:t>
      </w:r>
    </w:p>
    <w:p w14:paraId="248EDA7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4、规则集</w:t>
      </w:r>
    </w:p>
    <w:p w14:paraId="175F84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需支持将基础规则按照用途分配组合，同一个基础规则可出现在多个规则集中。</w:t>
      </w:r>
    </w:p>
    <w:p w14:paraId="465DE1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5、知识包</w:t>
      </w:r>
    </w:p>
    <w:p w14:paraId="1AA3A5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需支持根据医院流程以及特殊性，对预约、查询等功能验证规则时，提供配置，同级别的规则同时验证，上下级的规则按照先后顺序验证，以确保预约流程的准确性和可用性。</w:t>
      </w:r>
    </w:p>
    <w:p w14:paraId="1314358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11.1.2.4号源管理</w:t>
      </w:r>
    </w:p>
    <w:p w14:paraId="09561A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1、设备管理</w:t>
      </w:r>
    </w:p>
    <w:p w14:paraId="475076A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需支持新建设备、编辑设备、复制设备、编辑注意事项、配置虚拟设备、检查项目分配；</w:t>
      </w:r>
    </w:p>
    <w:p w14:paraId="74E5E37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需支持添加设备时根据院区、科室、设备类型会查询出该条件下的检查项目，给设备配置可做项目；</w:t>
      </w:r>
    </w:p>
    <w:p w14:paraId="3254993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需支持对设备属性进行配置，包括预约后是否打印、预约后是否自动分诊、预约后是否自动签到等限制；</w:t>
      </w:r>
    </w:p>
    <w:p w14:paraId="72876B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需支持配置预约时间的类型和模式（例如：时间段时间点、按部位按单子等组合）、门诊住院可预约的天数等；</w:t>
      </w:r>
    </w:p>
    <w:p w14:paraId="50317C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需支持对跨院区设备预约权限进行统一管理，实现设备跨院区的限制；</w:t>
      </w:r>
    </w:p>
    <w:p w14:paraId="159391C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需支持通过维护虚拟设备以及虚拟设备对照关系，实现二次分诊的操作。</w:t>
      </w:r>
    </w:p>
    <w:p w14:paraId="594B6F4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2、排班模板</w:t>
      </w:r>
    </w:p>
    <w:p w14:paraId="3DF8F2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需支持新建排班模板、编辑模板，用于快速排班和维护各个排班模板的排班情况，同时支持批量设置配置时段可用项目；</w:t>
      </w:r>
    </w:p>
    <w:p w14:paraId="1281ADD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需支持对号源的类型和途径进行管理和维护；</w:t>
      </w:r>
    </w:p>
    <w:p w14:paraId="13F5C06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需支持新建模板时对每个设备可预约号源的类型和途径进行单独的配置；</w:t>
      </w:r>
    </w:p>
    <w:p w14:paraId="55E41A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需支持排班时段的调整和以及时段对应号源的数量、限额、上限的调整；</w:t>
      </w:r>
    </w:p>
    <w:p w14:paraId="2AE5C27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需支持按照星期生成时段后在计划数量中维护预约时段的号源数量；</w:t>
      </w:r>
    </w:p>
    <w:p w14:paraId="4B62BA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需支持通过时间段和日期选择进行项目分配和访问规则设置。</w:t>
      </w:r>
    </w:p>
    <w:p w14:paraId="2599CE3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3、排班计划</w:t>
      </w:r>
    </w:p>
    <w:p w14:paraId="1887F3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需支持为门诊、住院、体检等检查类型下的医技、医生、患者手机、自助机不同预约方式进行排班精细化的管理；</w:t>
      </w:r>
    </w:p>
    <w:p w14:paraId="32A032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需支持为设备每一个排班时段，进行医嘱项目的分配，实现不同时段做不同的医嘱项目；</w:t>
      </w:r>
    </w:p>
    <w:p w14:paraId="46BF039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需支持批量排班、维护排班数量和科室查询功能；</w:t>
      </w:r>
    </w:p>
    <w:p w14:paraId="28FA7C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需支持根据院区和科室查询出对应设备，点击设备显示排班数据，选择日期进行批量排班和删除排班。双击排班显示排班计划数量，计划数量维护不可超过排班模板的最大数量限制；</w:t>
      </w:r>
    </w:p>
    <w:p w14:paraId="2C7696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需支持根据院区和日期查询出排班模板，并一键批量排班；</w:t>
      </w:r>
    </w:p>
    <w:p w14:paraId="5C8435A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需支持按照星期进行排班模板的设置，不设置的默认当前设备开启的模板，星期设定好后，可以实现按照设定自动排班。遇到节假日调整排班时，可以提前调整对应日期的排班模板。</w:t>
      </w:r>
    </w:p>
    <w:p w14:paraId="570A1E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4、用户设备管理</w:t>
      </w:r>
    </w:p>
    <w:p w14:paraId="3A3A69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需支持根据院区和科室查询对应的设备信息；</w:t>
      </w:r>
    </w:p>
    <w:p w14:paraId="6DE4122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需支持配置设备的预约权限、医技特权的权限维护。</w:t>
      </w:r>
    </w:p>
    <w:p w14:paraId="6198C5C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11.1.2.5检查预约</w:t>
      </w:r>
    </w:p>
    <w:p w14:paraId="3CE7F68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1、医技预约</w:t>
      </w:r>
    </w:p>
    <w:p w14:paraId="29EA4C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多种形式的检索查询功能，例如：门诊号，住院号，身份证号等。查询出患者信息、设备可预约数量和排班信息。多条件能更精准查询患者申请单，选择申请单后显示检查项目及可预约时段，每个日期剩余可预约数量和不同时段已预约和未预约数量；</w:t>
      </w:r>
    </w:p>
    <w:p w14:paraId="1C93019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需支持选中时段和设备后点击预约，会有预约确认窗体，从而进一步确定患者预约情况；</w:t>
      </w:r>
    </w:p>
    <w:p w14:paraId="4EAFDE4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需支持变更预约功能，点击变更预约可查看已预约申请单信息及可预约时段、设备、数量等；</w:t>
      </w:r>
    </w:p>
    <w:p w14:paraId="4BEE67D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需支持取消预约功能，点击取消预约能显示可取消预约的申请单，支持批量取消；</w:t>
      </w:r>
    </w:p>
    <w:p w14:paraId="1413539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需支持按照合单规则，自动推荐可以合单的申请单并默认全部勾选，点击预约即可，也可以选择部分的单据进行部分合单预约；</w:t>
      </w:r>
    </w:p>
    <w:p w14:paraId="447B8F1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需支持签到功能，点击签到后勾选申请单进行批量签到；</w:t>
      </w:r>
    </w:p>
    <w:p w14:paraId="532C61A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需支持合号预约，将要预约的申请单与历史预约的申请单合并到一个号里，实现资源更合理化运用；</w:t>
      </w:r>
    </w:p>
    <w:p w14:paraId="68AA51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2、医生预约</w:t>
      </w:r>
    </w:p>
    <w:p w14:paraId="68FBF67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需支持预约、变更预约、取消预约、排班查询功能；</w:t>
      </w:r>
    </w:p>
    <w:p w14:paraId="252A200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需支持检索患者信息，右侧出现患者申请单列表，选中申请单之后显示可预约设备的时段和数量，包括不同院区、不同设备的数量，变更预约同预约功能。取消预约操作支持批量取消功能。</w:t>
      </w:r>
    </w:p>
    <w:p w14:paraId="5C1A56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3、护士预约</w:t>
      </w:r>
    </w:p>
    <w:p w14:paraId="79715B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需支持护士进行预约，变更和取消预约功能；</w:t>
      </w:r>
    </w:p>
    <w:p w14:paraId="0CE14B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需支持护士可根据开始时间和结束时间、打印次数、身份证号、住院号等信息筛选查询申请单列表；</w:t>
      </w:r>
    </w:p>
    <w:p w14:paraId="3A1664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需支持点击预约、变更预约在选中申请单后显示该单的可预约时段，每个日期剩余可预约数量和不同时段已预约和未预约数量，根据显示内容选择预约时间进行预约。</w:t>
      </w:r>
    </w:p>
    <w:p w14:paraId="08295AB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4、自动预约</w:t>
      </w:r>
    </w:p>
    <w:p w14:paraId="3589064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需支持医生开立医嘱后或者缴费后，根据患者本次开立的检查申请，通过规则库验证和检查项目可用时段进行合理分配预约，同时进行自动分诊和费用判断。</w:t>
      </w:r>
    </w:p>
    <w:p w14:paraId="64C395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5、预约中心</w:t>
      </w:r>
    </w:p>
    <w:p w14:paraId="3E3F046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功能可通过多种形式查询，例如：门诊号，住院号，身份证号等。查询出患者信息、设备可预约数量和排班信息。多条件能更精准查询患者申请单，选择申请单后显示该单检查项目及可预约时段，每个日期剩余可预约数量和不同时段已预约和未预约数量；</w:t>
      </w:r>
    </w:p>
    <w:p w14:paraId="129936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需支持预约中心将全部科室的预约统一到一个预约点预约，可以统筹的管理患者全科室的检查预约，通过智能预约推荐，一键将患者多科室多项目的预约计划全部完成；</w:t>
      </w:r>
    </w:p>
    <w:p w14:paraId="1AC3ADC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需支持取消预约功能，点击取消预约能显示可取消预约的申请单，需支持勾选批量取消；</w:t>
      </w:r>
    </w:p>
    <w:p w14:paraId="5FEEE51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需支持合单预约，按照合单规则自动推荐可以合单的申请单并默认全部勾选，点击预约即可，也可以选择部分的单据进行部分合单预约；</w:t>
      </w:r>
    </w:p>
    <w:p w14:paraId="6AD8755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需支持合号预约，将要预约的申请单与历史预约的申请单合并到一个号里，实现资源更合理化运用。</w:t>
      </w:r>
    </w:p>
    <w:p w14:paraId="0D1B0C8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6、已预约查询</w:t>
      </w:r>
    </w:p>
    <w:p w14:paraId="61BBB92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需支持查询已预约的申请单信息，可根据院区、设备、预约时间、预约时段组合筛选已预约申请单。</w:t>
      </w:r>
    </w:p>
    <w:p w14:paraId="79BB1C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7、集中补打</w:t>
      </w:r>
    </w:p>
    <w:p w14:paraId="1A4FCC6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需支持时段和所属院区多条件组合查询申请单和批量补打功能。</w:t>
      </w:r>
    </w:p>
    <w:p w14:paraId="0261CEE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8、申请单履历</w:t>
      </w:r>
    </w:p>
    <w:p w14:paraId="7D4B704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需支持根据申请单号和院区查询申请单操作履历功能。</w:t>
      </w:r>
    </w:p>
    <w:p w14:paraId="5220018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11.1.2.6工具管理</w:t>
      </w:r>
    </w:p>
    <w:p w14:paraId="30E79A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1、打印标签管理</w:t>
      </w:r>
    </w:p>
    <w:p w14:paraId="402A36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需支持新建标签，删除、编辑标签功能。标签分为文本、二维码、条形码、自定义、类型自定义，创建的标签用于维护打印模板。</w:t>
      </w:r>
    </w:p>
    <w:p w14:paraId="2E6CA99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2、打印模板维护</w:t>
      </w:r>
    </w:p>
    <w:p w14:paraId="19B413B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需支持将已添加的打印标签放到模板上用以满足各个渠道打印需求。</w:t>
      </w:r>
    </w:p>
    <w:p w14:paraId="2C658DA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3、打印用户管理</w:t>
      </w:r>
    </w:p>
    <w:p w14:paraId="4EF90E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需支持查看所有使用打印用户的IP、默认打印机、打印执行等信息，支持通过IP调整用户打印配置。</w:t>
      </w:r>
    </w:p>
    <w:p w14:paraId="43A09BA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4、打印规则管理</w:t>
      </w:r>
    </w:p>
    <w:p w14:paraId="038012F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需支持通过规则设定不同院区、不同科室、不同操作方式、不同操作途径等对应的打印模板。</w:t>
      </w:r>
    </w:p>
    <w:p w14:paraId="6364312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5、消息标签管理</w:t>
      </w:r>
    </w:p>
    <w:p w14:paraId="15BF3B9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需支持配置消息推送的基本信息标签，维护模板时可选择标签，打印时会自动给标签位置替换对应的值。</w:t>
      </w:r>
    </w:p>
    <w:p w14:paraId="645E5BE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6、消息模板管理</w:t>
      </w:r>
    </w:p>
    <w:p w14:paraId="12F7DE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需支持通过规则设定不同院区、不同科室、不同项目等对应的短信模板。</w:t>
      </w:r>
    </w:p>
    <w:p w14:paraId="4A15D50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7、消息规则管理</w:t>
      </w:r>
    </w:p>
    <w:p w14:paraId="4299511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需支持对不同院区、不同科室、不同项目发送消息进行限制，实现部分消息不发送和延迟发送的操作。</w:t>
      </w:r>
    </w:p>
    <w:p w14:paraId="0EC8D55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11.2线上线下预约整合</w:t>
      </w:r>
    </w:p>
    <w:p w14:paraId="49AE543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预留京通APP小程序对接，让患者可以随时随地通过手机进行预约，进一步方便了患者的就医过程。</w:t>
      </w:r>
    </w:p>
    <w:p w14:paraId="3FE1660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在预约时间的设定上，系统需支持时间精确到30分钟以内，满足了患者对就诊时间的精确需求。有利于医院对就诊时间的合理安排，充分利用医疗资源，提高了就诊效率。</w:t>
      </w:r>
    </w:p>
    <w:p w14:paraId="4513B5D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同时，系统还需支持取消预约和取消挂号的功能，让患者可以灵活调整就诊计划，避免因突发情况而导致的预约浪费。提高了预约的灵活性和可控性，增强了患者对就医过程的信心和满意度。</w:t>
      </w:r>
    </w:p>
    <w:p w14:paraId="2032F143">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4" w:name="_Toc1547"/>
      <w:r>
        <w:rPr>
          <w:rFonts w:hint="eastAsia"/>
          <w:b/>
          <w:bCs/>
          <w:kern w:val="44"/>
          <w:sz w:val="24"/>
          <w:szCs w:val="24"/>
          <w:lang w:eastAsia="zh-CN"/>
        </w:rPr>
        <w:t>12、线上线下一体化便民服务系统—智慧门诊模块</w:t>
      </w:r>
      <w:bookmarkEnd w:id="74"/>
    </w:p>
    <w:p w14:paraId="5D5E651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12.1专病咨询</w:t>
      </w:r>
    </w:p>
    <w:p w14:paraId="0959F83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专病咨询服务面向常见病和慢性病患者，提供在线咨询服务。患者可以通过平台提交问题，医生会在线回答患者的提问，并给出专业的健康指导建议。除了一般的医生回答服务，专病咨询还兼容现有的护理咨询和药事咨询服务，并新建了基于专病慢病人群的专业健康辅导服务，包括心理咨询、康复咨询等特色咨询频道。</w:t>
      </w:r>
    </w:p>
    <w:p w14:paraId="5B93C79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在专病咨询平台上，患者可以快速咨询院内专家、药师、护士等医疗专家。他们会根据患者提供的问题和病史，给予针对性的建议和指导。为了更好地解答患者的问题，医院可以根据业务需求组建服务团队，由团队成员共同解答患者的咨询问题。这样不仅可以提供更全面、专业的服务，还能够加快问题解决的速度，提高患者的满意度。</w:t>
      </w:r>
    </w:p>
    <w:p w14:paraId="4F5CF0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此外，专病咨询服务也注重提供持续性的健康管理服务。医生和专家会定期跟进患者的病情，给予长期的健康指导和建议，帮助患者更好地管理疾病，提高生活质量。在心理咨询和康复咨询方面，专病咨询平台也提供了定制化的服务，帮助患者克服心理障碍，恢复功能。</w:t>
      </w:r>
    </w:p>
    <w:p w14:paraId="3B90C4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综上所述，专病咨询服务通过提供在线咨询平台，兼容现有咨询服务，并新增了专病健康辅导等特色频道，为患者提供了更加全面、专业的健康咨询服务，有助于改善患者的健康管理和生活质量。</w:t>
      </w:r>
    </w:p>
    <w:p w14:paraId="3BDC70A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12.2智能报到</w:t>
      </w:r>
    </w:p>
    <w:p w14:paraId="12DA9CE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12.2.1扫码签到</w:t>
      </w:r>
    </w:p>
    <w:p w14:paraId="67C0E78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需支持患者到达医院后，扫描科室分诊二维码，自助完成签到候诊。</w:t>
      </w:r>
    </w:p>
    <w:p w14:paraId="6E803CE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12.3智能导引</w:t>
      </w:r>
    </w:p>
    <w:p w14:paraId="48AD4F9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全流程的可视化指引，包括入院登记、入院预交、费用清单、手术查询、治疗查询、检查查询、报告查询、出院结算、出院带药、住院评价等待办节点提醒。支持对接消息平台，系统自动推送住院待办事项的提醒通知；</w:t>
      </w:r>
    </w:p>
    <w:p w14:paraId="3BD366C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需支持在线问诊全流程的可视化指引，包括问诊记录、问诊缴费、取药配送、检查预约、问诊评价等等待办节点提醒。支持对接消息平台，系统自动推送各业务环节的待办提醒通知。</w:t>
      </w:r>
    </w:p>
    <w:p w14:paraId="381B34C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12.4信息推送</w:t>
      </w:r>
    </w:p>
    <w:p w14:paraId="06C5085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12.4.1消息推送</w:t>
      </w:r>
    </w:p>
    <w:p w14:paraId="4FDCEA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覆盖患者诊前、诊中和诊后全程的患者消息中心，进行完整的指引，做到患者应知尽知。</w:t>
      </w:r>
    </w:p>
    <w:p w14:paraId="69204A3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12.4.1.1患者消息中心</w:t>
      </w:r>
    </w:p>
    <w:p w14:paraId="16CB21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患者推送覆盖诊前、诊中和诊后全程的消息提醒，进行完整的指引，做到患者应知尽知。包含就诊前挂号消息通知、诊前就诊提醒、各项知情同意书通知、入院及宣教提醒、手术安排通知、出院及术后指导提醒、检验检查报告提醒、开具电子发票成功提醒，诊后用药等遵医嘱消息通知、复诊通知、康复指导通知等精准性、个性化消息，用于加强患者离院后诊疗依从性指引和管理；</w:t>
      </w:r>
    </w:p>
    <w:p w14:paraId="09D114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需支持微信服务通知、手机短信等多种推送渠道；</w:t>
      </w:r>
    </w:p>
    <w:p w14:paraId="3505926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需支持患者通过微信小程序自主订阅接收的消息类型，避免非关注消息打扰。</w:t>
      </w:r>
    </w:p>
    <w:p w14:paraId="31CEB35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12.4.1.2医生消息中心</w:t>
      </w:r>
    </w:p>
    <w:p w14:paraId="61C1F6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需支持向院内业务系统提供消息推送通道，将院内临床业务相关的消息（危急值、病历质控、医嘱、会诊等），发送到医生移动应用终端；</w:t>
      </w:r>
    </w:p>
    <w:p w14:paraId="6927ED8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需支持医生APP、手机短信等推送渠道。</w:t>
      </w:r>
    </w:p>
    <w:p w14:paraId="3BD00FD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12.4.2消息管理</w:t>
      </w:r>
    </w:p>
    <w:p w14:paraId="37FC5CA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12.4.2.1基础管理</w:t>
      </w:r>
    </w:p>
    <w:p w14:paraId="677A8F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需支持商户接入配置、消息渠道配置、消息模板配置、发送参数配置、发送规则配置、消息订阅管理、用户群组管理等系统功能。</w:t>
      </w:r>
    </w:p>
    <w:p w14:paraId="63D30FB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12.4.2.2接口API</w:t>
      </w:r>
    </w:p>
    <w:p w14:paraId="330E57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需支持向院内业务系统提供统一的消息发送、记录查询接口API，各业务系统根据业务需求，向指定用户定向精准推送消息。</w:t>
      </w:r>
    </w:p>
    <w:p w14:paraId="483599C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12.4.2.3消息查询</w:t>
      </w:r>
    </w:p>
    <w:p w14:paraId="4B58256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需支持通过发送时间、消息类型、模板类型、接收人等多种条件实时查询消息发送记录，包括消息来源、接收方、发送方、发送时间、发送内容、发送状态、消息类型、发送类型等；</w:t>
      </w:r>
    </w:p>
    <w:p w14:paraId="0F9ED0C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需支持发送失败消息记录的再次发送功能。</w:t>
      </w:r>
    </w:p>
    <w:p w14:paraId="5ABC5AA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12.4.2.4数据统计</w:t>
      </w:r>
    </w:p>
    <w:p w14:paraId="06EDA16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需支持按发送方、接收方、发送时间、发送类型、发送状态、消息类型等多维度的消息统计报表；</w:t>
      </w:r>
    </w:p>
    <w:p w14:paraId="6555371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需支持数据报表的下载、导出功能。</w:t>
      </w:r>
    </w:p>
    <w:p w14:paraId="112E7ACB">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12.4.2.5人工发送</w:t>
      </w:r>
    </w:p>
    <w:p w14:paraId="3F297BA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需支持向指定条件的线上注册患者、门诊就诊患者、在院住院患者人工发送微信模板消息、手机短信消息；</w:t>
      </w:r>
    </w:p>
    <w:p w14:paraId="3578F7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需支持按批次号查询人工发送记录。</w:t>
      </w:r>
    </w:p>
    <w:p w14:paraId="7CB8066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12.4.3候补挂号</w:t>
      </w:r>
    </w:p>
    <w:p w14:paraId="3ADB85E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12.4.3.1适用号源场景</w:t>
      </w:r>
    </w:p>
    <w:p w14:paraId="12AC9D9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需支持仅针对目标科室、医生、就诊日期的号源显示“已约满”时，自动开放候补入口；当日门诊号源不支持候补；</w:t>
      </w:r>
    </w:p>
    <w:p w14:paraId="0326D6A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需支持单个就诊人最多同时持有≤5个有效候补订单；2.同一科室、同一医生、同一就诊时段不可重复提交候补申请。</w:t>
      </w:r>
    </w:p>
    <w:p w14:paraId="0405262D">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12.4.3.2候补队列管理参数</w:t>
      </w:r>
    </w:p>
    <w:p w14:paraId="5496429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需支持按照患者提交候补申请的时间戳先后顺序排序，退号时系统自动按队列顺序分配号源，不可人为调整；</w:t>
      </w:r>
    </w:p>
    <w:p w14:paraId="2385C5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需支持医生单时段候补上限配置；支持专家单时段候补上限可配置。</w:t>
      </w:r>
    </w:p>
    <w:p w14:paraId="5DF7DAC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12.4.3.3时效控制参数</w:t>
      </w:r>
    </w:p>
    <w:p w14:paraId="0891057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需支持医院后台配置截止时间范围（例如就诊前1天18:00）；</w:t>
      </w:r>
    </w:p>
    <w:p w14:paraId="3E8BAC2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需支持患者在提交候补时，选择自定义截止时间（需在医院配置范围内）；</w:t>
      </w:r>
    </w:p>
    <w:p w14:paraId="0F57382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需支持候补成功后，患者需在≤30分钟内完成缴费（医院可配置范围：10分钟-24小时）；超时未支付自动触发取消流程，号源回流至号源池。</w:t>
      </w:r>
    </w:p>
    <w:p w14:paraId="20129CB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12.4.3.4候补支付与通知</w:t>
      </w:r>
    </w:p>
    <w:p w14:paraId="051303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需支持后付费模式，候补阶段不收取任何费用，在候补成功后生成缴费订单。候补成功后，同时触发短信+医院官方平台（微信小程序）双重提醒；支持线上支付，缴费完成后实时同步挂号状态。</w:t>
      </w:r>
    </w:p>
    <w:p w14:paraId="456DC85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12.4.4接口服务</w:t>
      </w:r>
    </w:p>
    <w:p w14:paraId="1FAC6AA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基于同期申报的医院院内外集成中枢项目，线上线下一体化便民服务系统各模块与其他系统通过集成中枢进行数据对接。</w:t>
      </w:r>
    </w:p>
    <w:p w14:paraId="348484D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政务云（健康云）：医院将按照北京市卫健委的统筹要求分步推进院内适于上云的系统部署至健康云；医院财政电子票据系统与政务云对接，传输电子票据信息，并通过线上移动端向患者提供。</w:t>
      </w:r>
    </w:p>
    <w:p w14:paraId="5AE86BA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大数据平台：按照“统筹规划、资源共享”的原则，共享方面，医院将电子病历、影像、就诊过程等信息资源共享给北京市卫健全民健康信息平台，通过北京市卫健全民健康信息平台有条件共享给北京市大数据平台；同时通过全民健康信息平台共享其他医疗机构诊疗信息，构成患者全景诊疗视图，进而推进检查检验结果共享互认等工作。</w:t>
      </w:r>
    </w:p>
    <w:p w14:paraId="217750D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京通：本项目建设内容中涉及的患者服务系统与114挂号系统对接，通过114挂号系统与京通三端对接，最终实现通过114挂号预约平台实现患者的挂号、缴费、查询等公共服务。医院向京通健康服务提供挂号接口服务。</w:t>
      </w:r>
    </w:p>
    <w:p w14:paraId="79663501">
      <w:pPr>
        <w:overflowPunct w:val="0"/>
        <w:topLinePunct/>
        <w:autoSpaceDE/>
        <w:autoSpaceDN/>
        <w:spacing w:line="360" w:lineRule="auto"/>
        <w:ind w:firstLine="480" w:firstLineChars="200"/>
        <w:jc w:val="both"/>
        <w:rPr>
          <w:rFonts w:hint="eastAsia"/>
          <w:kern w:val="2"/>
          <w:sz w:val="24"/>
          <w:szCs w:val="24"/>
          <w:lang w:eastAsia="zh-CN"/>
        </w:rPr>
      </w:pPr>
    </w:p>
    <w:p w14:paraId="610C57D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12.5共享病历授权</w:t>
      </w:r>
    </w:p>
    <w:p w14:paraId="319252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患者可以选择其病历信息分享给医生。医生可以通过分享链接访问到患者的病历信息。</w:t>
      </w:r>
    </w:p>
    <w:p w14:paraId="5576ED8D">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5" w:name="_Toc22646"/>
      <w:r>
        <w:rPr>
          <w:rFonts w:hint="eastAsia"/>
          <w:b/>
          <w:bCs/>
          <w:kern w:val="44"/>
          <w:sz w:val="24"/>
          <w:szCs w:val="24"/>
          <w:lang w:eastAsia="zh-CN"/>
        </w:rPr>
        <w:t>13、线上线下一体化便民服务系统—智慧住院模块</w:t>
      </w:r>
      <w:bookmarkEnd w:id="75"/>
    </w:p>
    <w:p w14:paraId="4E8428B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13.1患者自助入出院</w:t>
      </w:r>
    </w:p>
    <w:p w14:paraId="3F1BD7C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需支持入院办理成功后，系统将根据管理端配置的推送时机与内容，自动向患者推送住院须知、就诊指南等信息；</w:t>
      </w:r>
    </w:p>
    <w:p w14:paraId="2A324743">
      <w:pPr>
        <w:overflowPunct w:val="0"/>
        <w:topLinePunct/>
        <w:autoSpaceDE/>
        <w:autoSpaceDN/>
        <w:spacing w:line="360" w:lineRule="auto"/>
        <w:ind w:firstLine="240" w:firstLineChars="100"/>
        <w:jc w:val="both"/>
        <w:rPr>
          <w:rFonts w:hint="eastAsia"/>
          <w:kern w:val="2"/>
          <w:sz w:val="24"/>
          <w:szCs w:val="24"/>
          <w:lang w:eastAsia="zh-CN"/>
        </w:rPr>
      </w:pPr>
      <w:r>
        <w:rPr>
          <w:rFonts w:hint="eastAsia"/>
          <w:kern w:val="2"/>
          <w:sz w:val="24"/>
          <w:szCs w:val="24"/>
          <w:lang w:eastAsia="zh-CN"/>
        </w:rPr>
        <w:t>需支持出院完成后，患者可在线查询住院带药信息，并根据自身情况定制个人服药计划，系统根据计划生成服药提醒记录。在设定的服药时间前，系统将自动推送提醒通知，患者可在线确认服药信息、补签服药记录并填写服药笔记。同时，支持按日历、按时间及按药品分项查看个人历史服药记录。</w:t>
      </w:r>
    </w:p>
    <w:p w14:paraId="65E497E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13.2电子住院证</w:t>
      </w:r>
    </w:p>
    <w:p w14:paraId="0DA3519B">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13.2.1电子住院证</w:t>
      </w:r>
    </w:p>
    <w:p w14:paraId="4D7E69F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需支持子在移动端展示患者住院凭证信息，页面清晰呈现患者基本资料、入院时间、入住科室及动态二维码，支持医护人员通过扫描二维码快速识别患者身份并关联至 HIS/EMR 系统，患者可出具移动端展示电子住院证代替传统纸质证件，以电子住院证代替传统纸质证件，提高证件使用率，提升无纸化水平；同时提供住院费用缴纳入口和费用清单查看功能，方便患者在当前页面完成预交金支付并实时了解费用明细，实现身份核验、信息展示与费用管理的一体化。</w:t>
      </w:r>
    </w:p>
    <w:p w14:paraId="05B5287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13.2.2住院患者管理</w:t>
      </w:r>
    </w:p>
    <w:p w14:paraId="11DD317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13.2.2.1查看病例</w:t>
      </w:r>
    </w:p>
    <w:p w14:paraId="6DC0A2A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需支持患者在移动端查看住院病历，包括但不限于病历首页、入院记录、病程记录、医嘱单、查报告单、护理记录等。</w:t>
      </w:r>
    </w:p>
    <w:p w14:paraId="122E13B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13.2.2.2查看治疗</w:t>
      </w:r>
    </w:p>
    <w:p w14:paraId="0CB6AB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在移动端查看治疗信息，提供今日治疗计划、明日治疗计划、个人诊疗记录三大核心功能，让患者清晰知晓自身治疗安排、实时追溯诊疗过程，提升患者对治疗的知情权与配合度，同时减轻医护人员的沟通压力，适用于智慧病房、数字化病区等医疗场景。</w:t>
      </w:r>
    </w:p>
    <w:p w14:paraId="56D454F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13.2.2.3查看账单</w:t>
      </w:r>
    </w:p>
    <w:p w14:paraId="2ACC9A1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在移动端查看住院费账单、每日清单、在线充值功能，为患者提供透明、便捷的住院费用查询与缴费渠道，减少患者及家属往返护士站、缴费窗口的频次，提升住院服务体验，适用于智慧病房、数字化病区场景。</w:t>
      </w:r>
    </w:p>
    <w:p w14:paraId="063F4E3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13.2.2.4健康教育</w:t>
      </w:r>
    </w:p>
    <w:p w14:paraId="45A7D41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需支持移动端查看检查教育视频。为患者提供个性化、便捷化的健康知识获取渠道，助力患者了解疾病知识、治疗配合要点及康复护理方法。</w:t>
      </w:r>
    </w:p>
    <w:p w14:paraId="527F6C5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13.2.2.5我的预约</w:t>
      </w:r>
    </w:p>
    <w:p w14:paraId="7D6C091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需支持预约检查，提示预约二维码，患者外出检查需护士进行PDA扫码记录，有效记录外出检查过程。</w:t>
      </w:r>
    </w:p>
    <w:p w14:paraId="34A690A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13.2.2.6查看科室介绍</w:t>
      </w:r>
    </w:p>
    <w:p w14:paraId="750723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需支持移动端查看科室介绍，帮助患者快速了解科室特色、诊疗范围、专家团队等内容。</w:t>
      </w:r>
    </w:p>
    <w:p w14:paraId="2DFB8C6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13.2.2.7评价（医护，配送）</w:t>
      </w:r>
    </w:p>
    <w:p w14:paraId="264624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需支持移动端提供护理满意度、护工满意度、配送满意度调查，患者入院期间客观评价入院体验。</w:t>
      </w:r>
    </w:p>
    <w:p w14:paraId="6C04A72A">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13.2.2.8留言</w:t>
      </w:r>
    </w:p>
    <w:p w14:paraId="098DE02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需支持移动端提供患者在入院期间对科室医护人员进行客观留言及感谢。</w:t>
      </w:r>
    </w:p>
    <w:p w14:paraId="22DC452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13.2.3接口服务</w:t>
      </w:r>
    </w:p>
    <w:p w14:paraId="7755C9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基于同期申报的医院院内外集成中枢项目，线上线下一体化便民服务系统各模块与其他系统通过集成中枢进行数据对接。</w:t>
      </w:r>
    </w:p>
    <w:p w14:paraId="313249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政务云（健康云）：医院将按照北京市卫健委的统筹要求分步推进院内适于上云的系统部署至健康云；医院财政电子票据系统与政务云对接，传输电子票据信息，并通过线上移动端向患者提供。</w:t>
      </w:r>
    </w:p>
    <w:p w14:paraId="71359B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大数据平台：按照“统筹规划、资源共享”的原则，共享方面，医院将电子病历、影像、就诊过程等信息资源共享给北京市卫健全民健康信息平台，通过北京市卫健全民健康信息平台有条件共享给北京市大数据平台；同时通过全民健康信息平台共享其他医疗机构诊疗信息，构成患者全景诊疗视图，进而推进检查检验结果共享互认等工作。</w:t>
      </w:r>
    </w:p>
    <w:p w14:paraId="30959D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京通：本项目建设内容中涉及的患者服务系统与114挂号系统对接，通过114挂号系统与京通三端对接，最终实现通过114挂号预约平台实现患者的挂号、缴费、查询等公共服务。医院向京通健康服务提供挂号接口服务。</w:t>
      </w:r>
    </w:p>
    <w:p w14:paraId="76C2F8A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13.3自助点餐</w:t>
      </w:r>
    </w:p>
    <w:p w14:paraId="30CB541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对接食堂点餐系统、饭费在线充值，患者在入院期间可根据自己的饮食习惯进行自主点餐，饭费在线充值减少了患者家属排队充值带来的不便，方便患者随充随退。</w:t>
      </w:r>
    </w:p>
    <w:p w14:paraId="03662D1C">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13.4电子签章</w:t>
      </w:r>
    </w:p>
    <w:p w14:paraId="01DD3F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需支持患者知情同意书在线签名，支持与电子CA对接实现电子签章。支持签名后的文件存储在院内系统。</w:t>
      </w:r>
    </w:p>
    <w:p w14:paraId="1FD8D68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13.5手术过程管理</w:t>
      </w:r>
    </w:p>
    <w:p w14:paraId="5CABD80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需支持实时查看患者的手术计划、手术状态信息；</w:t>
      </w:r>
    </w:p>
    <w:p w14:paraId="478AAE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需支持查看手术的详细进度、进程事件信息，及时了解手术状况。</w:t>
      </w:r>
    </w:p>
    <w:p w14:paraId="2E44F794">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6" w:name="_Toc27054"/>
      <w:r>
        <w:rPr>
          <w:rFonts w:hint="eastAsia"/>
          <w:b/>
          <w:bCs/>
          <w:kern w:val="44"/>
          <w:sz w:val="24"/>
          <w:szCs w:val="24"/>
          <w:lang w:eastAsia="zh-CN"/>
        </w:rPr>
        <w:t>14、线上线下一体化便民服务系统—智能诊间模块</w:t>
      </w:r>
      <w:bookmarkEnd w:id="76"/>
    </w:p>
    <w:p w14:paraId="26DAB91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14.1统一支付管理</w:t>
      </w:r>
    </w:p>
    <w:p w14:paraId="2FFB766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建立移动端统一支付结算服务平台，集中管理医院线上支付及对账结算业务，实现业务的逻辑封装和财务统一管理。</w:t>
      </w:r>
    </w:p>
    <w:p w14:paraId="5CFA3F7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为微信小程序、支付宝小程序、App、官网等系统提供统一接入接口，实现各个服务渠道的统一接入管理。</w:t>
      </w:r>
    </w:p>
    <w:p w14:paraId="076156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为各个支付渠道提供统一的支付业务支撑、支付过程跟踪管理、支付结果记录输出等服务，实现统一交易控制、统一财务报表输出，实现统一对账管理。</w:t>
      </w:r>
    </w:p>
    <w:p w14:paraId="3C4EB461">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14.2新建商户管理</w:t>
      </w:r>
    </w:p>
    <w:p w14:paraId="326AC16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需支持新增并维护商户信息，支持录入微信、支付宝及其他第三方支付渠道所需的商户基础资料与密钥信息。</w:t>
      </w:r>
    </w:p>
    <w:p w14:paraId="4489A5C4">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14.3支付通道服务管理</w:t>
      </w:r>
    </w:p>
    <w:p w14:paraId="6FA92FE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统一支付网关</w:t>
      </w:r>
    </w:p>
    <w:p w14:paraId="489EEF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付平台支持多种标准通讯协议，全面支撑平台子应用及第三方应用的支付服务。支付平台定义了标准的接入规范，通过对接各应用系统，实现交易数据的统一交换、交易流程的统一管控，确保了支付服务的安全。</w:t>
      </w:r>
    </w:p>
    <w:p w14:paraId="1459F1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院内系统只需一次改造，各个业务系统（微信小程序、支付宝小程序、APP/PC等应用）可直接对接支付平台，即可完成支付全流程服务。避免了外部应用系统的变化，而对院内系统的多次改造。</w:t>
      </w:r>
    </w:p>
    <w:p w14:paraId="59A515A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统一管理应用渠道的支付服务的开启与关闭。配置各个支付渠道的支付参数、数据存储等。</w:t>
      </w:r>
    </w:p>
    <w:p w14:paraId="2D3BAD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可配置不同应用服务的支付规则、支付类型、支付黑名单等限制信息。管理各个支付渠道的收单账号。</w:t>
      </w:r>
    </w:p>
    <w:p w14:paraId="657A57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业务场景覆盖</w:t>
      </w:r>
    </w:p>
    <w:p w14:paraId="218A9F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院内缴费场景的全覆盖，支撑预约挂号、诊间缴费、住院预交金等缴费环节。</w:t>
      </w:r>
    </w:p>
    <w:p w14:paraId="5E10B54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14.4支付接口服务管理</w:t>
      </w:r>
    </w:p>
    <w:p w14:paraId="420881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支付平台为平台子应用或第三方应用提供统一的支付服务接口。</w:t>
      </w:r>
    </w:p>
    <w:p w14:paraId="5B5FB12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接口通讯</w:t>
      </w:r>
    </w:p>
    <w:p w14:paraId="011B18D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提供基于HTTP、HTTPS协议的服务接口，由第三方应用发起HTTP-POST请求，支付平台进行受理和应答，验证成功后，可进行系统之间业务交互。</w:t>
      </w:r>
    </w:p>
    <w:p w14:paraId="07944EB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令牌网关</w:t>
      </w:r>
    </w:p>
    <w:p w14:paraId="5F9B8F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采用接口Token令牌做身份识别验证，第三方应用在访问支付平台任何业务服务前必须获得相应的令牌。Token令牌有时效性，过期后需重新进行申请。</w:t>
      </w:r>
    </w:p>
    <w:p w14:paraId="6DD663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数据加密</w:t>
      </w:r>
    </w:p>
    <w:p w14:paraId="54AA1B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应用密钥指的是每个第三方应用，都有一个对应的RSA应用公有密钥设置位，可以设置该应用的公有密钥。在调用互联网安全服务平台业务服务接口时需要使用对应的私有密钥对请求进行签名</w:t>
      </w:r>
    </w:p>
    <w:p w14:paraId="1CFCAFB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支付平台统一为第三方应用分配私有密钥，秘钥单独下方给各应用开发服务商，用于接口加密。为了保证安全，秘钥可定期升级更换。</w:t>
      </w:r>
    </w:p>
    <w:p w14:paraId="24ED56D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报文格式</w:t>
      </w:r>
    </w:p>
    <w:p w14:paraId="402A719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支付所有开放接口均采用报文形式进行通讯，请求参数和响应参数统一为json格式。</w:t>
      </w:r>
    </w:p>
    <w:p w14:paraId="3755949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接口定义</w:t>
      </w:r>
    </w:p>
    <w:p w14:paraId="6933192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1.获取令牌（Token）接口</w:t>
      </w:r>
    </w:p>
    <w:p w14:paraId="685A0B3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第三方应用在访问支付平台任何业务服务(接口)前必须调用申请令牌接口获得令牌。否则不受理任何业务请求。</w:t>
      </w:r>
    </w:p>
    <w:p w14:paraId="616D59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2.统一下单接口（异步支付）</w:t>
      </w:r>
    </w:p>
    <w:p w14:paraId="3B1B145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为应用服务商提供异步支付下单，用于发起异步的支付请求。主要用于扫码支付、WAP支付（微信、支付宝等）、APP支付。</w:t>
      </w:r>
    </w:p>
    <w:p w14:paraId="18E84C0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3.订单交易查询接口</w:t>
      </w:r>
    </w:p>
    <w:p w14:paraId="22B8D2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为应用服务商提供实时查询交易结果的接口服务。通过该接口查询交易状态、交易明细等信息。主要用于异步支付，调用者需要通过该接口轮询支付结果。</w:t>
      </w:r>
    </w:p>
    <w:p w14:paraId="27828A0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建议：轮询间隔时间大于等于1000毫秒。</w:t>
      </w:r>
    </w:p>
    <w:p w14:paraId="55F5F3C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4.订单交易撤销接口</w:t>
      </w:r>
    </w:p>
    <w:p w14:paraId="5795ECD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为应用服务商提供支付交易失败或支付系统超等系统场景下的交易撤销接口。撤销后，交易被停止，用户无法继续交易，可避免异常交易、重复交易的发生。</w:t>
      </w:r>
    </w:p>
    <w:p w14:paraId="2DABBB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5.订单交易退款接口</w:t>
      </w:r>
    </w:p>
    <w:p w14:paraId="3053CDC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为应用服务商提供退款申请的接口。通过该接口实现支付资金的原路返回，支持分批多次退款。（单笔支付的多次退款，多笔订单的批量退款）</w:t>
      </w:r>
    </w:p>
    <w:p w14:paraId="1A093A3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6.订单退款查询接口</w:t>
      </w:r>
    </w:p>
    <w:p w14:paraId="6F0BD07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为应用服务商提供退款结果查询的接口。通过该接口查询退款状态、退款交易明细等信息。主要用于用户主动退款、院内系统的在线退款等。</w:t>
      </w:r>
    </w:p>
    <w:p w14:paraId="33490F5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7.对账单下载接口</w:t>
      </w:r>
    </w:p>
    <w:p w14:paraId="14DE59B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为应用服务商提供交易账单下载的接口。支持文件下载、数据下载等形式的数据交换。</w:t>
      </w:r>
    </w:p>
    <w:p w14:paraId="31259F6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8.支付结果异步通知</w:t>
      </w:r>
    </w:p>
    <w:p w14:paraId="0B60C99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该接口由应用服务商提供，支付平台完成支付后异步回调该接口通知支付结果及支付明细。回调接口地址支持后台配置和统一下单时的动态设置。</w:t>
      </w:r>
    </w:p>
    <w:p w14:paraId="1B21C4C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14.5交易记账服务管理</w:t>
      </w:r>
    </w:p>
    <w:p w14:paraId="7985C40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订单系统</w:t>
      </w:r>
    </w:p>
    <w:p w14:paraId="1BBD346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归集各应用厂商、终端的交易订单，整合平台的订单系统。交易过程中，支持多种支付方式的自由切换，保障交易的完整性、安全性。</w:t>
      </w:r>
    </w:p>
    <w:p w14:paraId="449120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交易流水记账</w:t>
      </w:r>
    </w:p>
    <w:p w14:paraId="0E91EB1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记载业务系统、应用服务与平台，平台与第三方支付平台的逐笔交易记录，服务的发送、请求日志也同步保存在日志系统中。交易异常时的错误日志可准确抓取和定位。</w:t>
      </w:r>
    </w:p>
    <w:p w14:paraId="0EF5A50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交易明细查询</w:t>
      </w:r>
    </w:p>
    <w:p w14:paraId="00C7FFA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每笔交易信息都保留在统一支付平台中，可以根据用户信息、业务信息、交易信息进行明细查询。明细中包含了交易渠道、交易类型（退费和消费）、交易银行卡号、银行流水号、医院流水号、业务类型、交易日期、商户号、终端号、用户等信息。</w:t>
      </w:r>
    </w:p>
    <w:p w14:paraId="13A7F09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日切日结</w:t>
      </w:r>
    </w:p>
    <w:p w14:paraId="2CC6279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每日定时进行系统的日切处理，下载HIS账单、下载第三方账单、导出平台账单，完成自动对账、自动生成对账结果报表。</w:t>
      </w:r>
    </w:p>
    <w:p w14:paraId="48EA1440">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14.6集合对账服务管理</w:t>
      </w:r>
    </w:p>
    <w:p w14:paraId="5717C08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系统提供多厂商、多渠道交易的统一对账服务。对账功能集成了每日对账、每月对账、交易终端对账（各厂商的分别对账）、应用渠道对账、交易渠道对账、业务渠道对账（挂号、诊间缴费、住院预交等）、单边账调账汇总、单边账原因分析、单边帐批量退费、交易明细查询、交易对账报表导出等。</w:t>
      </w:r>
    </w:p>
    <w:p w14:paraId="454161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平台支持第三方（非平台交易）对账业务的接入和集成。</w:t>
      </w:r>
    </w:p>
    <w:p w14:paraId="783D5B5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对账流程说明：</w:t>
      </w:r>
    </w:p>
    <w:p w14:paraId="64E54F0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1．平台定时日切（通常是0点整），日切后平台的交易数据自动导入到对账系统。</w:t>
      </w:r>
    </w:p>
    <w:p w14:paraId="4C158B4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2．平台定时（各渠道账单完成时间不一致）自动下载第三方的交易账单，账单数据导入至对账系统。</w:t>
      </w:r>
    </w:p>
    <w:p w14:paraId="718DAE9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3．第三方账单导入完成后，自动触发三方（第三方、平台、HIS）对账处理。优先对总账、然后逐条对明细账。</w:t>
      </w:r>
    </w:p>
    <w:p w14:paraId="636F915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4．总账平账时，对账完成，自动生成对账报表。同时向财务科推送对账结果。</w:t>
      </w:r>
    </w:p>
    <w:p w14:paraId="4A28E47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对账不平时，基于明细对账结果，生成单边账列表。同时向财务科推送对账结果。单边账列表中包含了失败的详细交易信息，以及辅助的异常原因分析。6：单边账（基本都是长款）的确认，需要收费系统、收费科室配合核实确认，确认后长款交易由收费科室或财务科向平台发起在线退款申请。</w:t>
      </w:r>
    </w:p>
    <w:p w14:paraId="1DD1AC3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7．平台负责支付资金的原路返回，无法原路返回（卡注销、卡失效等）的交易，由财务科汇总，发起线下的退款处理（现金、电汇、电子转账）。</w:t>
      </w:r>
    </w:p>
    <w:p w14:paraId="0FC8343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8．平台记录对账-&gt;调账-&gt;退款流程的状态更新和日志处理。</w:t>
      </w:r>
    </w:p>
    <w:p w14:paraId="0E87D5F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对账逻辑：平台日切处理后，对账系统定时基于三方(统一支付平台、院内业务系统、第三方支付渠道)的完整交易账单、数据，分别进行总账、明细账的交易对比。</w:t>
      </w:r>
    </w:p>
    <w:p w14:paraId="0C28DA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对账系统支持非平台交易的自动对账，需要下载第三方交易账单及院内业务系统账单后，实现两方的对账处理。</w:t>
      </w:r>
    </w:p>
    <w:p w14:paraId="164A6BF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14.7对账结果统计管理</w:t>
      </w:r>
    </w:p>
    <w:p w14:paraId="401D004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平台与第三方支付渠道、院内系统的多方对账结果的集中展示；</w:t>
      </w:r>
    </w:p>
    <w:p w14:paraId="33A189C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交易总额对账、交易明细对账、单边账汇总、单边账分析、对账单下载。</w:t>
      </w:r>
    </w:p>
    <w:p w14:paraId="573052A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14.8统一退款服务管理</w:t>
      </w:r>
    </w:p>
    <w:p w14:paraId="73E031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平台支持多商户、多渠道、多支付方式的统一退款。窗口、移动终端等触发退费申请后，平台基于原路返回的原则进行退费处理。退款流程可灵活定制，支持实时在线退款和人工审核后的集中退款。对于异常退款，平台会进行集中拦截并通知审核人员，人工审核后可再次触发退款。</w:t>
      </w:r>
    </w:p>
    <w:p w14:paraId="7AE1857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平台支持交易的分批、无时无密在线退款。退款资金原路返回，减少现金环节，保障资金安全，提高患者体验。</w:t>
      </w:r>
    </w:p>
    <w:p w14:paraId="38CA03AB">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14.9统计分析服务管理</w:t>
      </w:r>
    </w:p>
    <w:p w14:paraId="38FB7E1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平台可实时统计不同类型的财务报表。默认支持按业务类型、应用渠道、支付渠道、终端等方式多维度统计和分析。支持定制化统计和分析。</w:t>
      </w:r>
    </w:p>
    <w:p w14:paraId="23209FA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当日金额、明细，历史金额、明细的实时监控。支持统计报表的导出和打印。</w:t>
      </w:r>
    </w:p>
    <w:p w14:paraId="3598BF93">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14.10支付/对账渠道管理</w:t>
      </w:r>
    </w:p>
    <w:p w14:paraId="3FFA4D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需支持支付宝、微信、聚合支付等统一对账服务。</w:t>
      </w:r>
    </w:p>
    <w:p w14:paraId="0074A08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14.11多码融合管理</w:t>
      </w:r>
    </w:p>
    <w:p w14:paraId="153FF45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需支持整合微信、支付宝等支付方式，提供多码融合的统一收款入口，提升患者支付便捷度。</w:t>
      </w:r>
    </w:p>
    <w:p w14:paraId="518CE959">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14.12医保商保对接</w:t>
      </w:r>
    </w:p>
    <w:p w14:paraId="25E0CE7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为提升商业保险患者的就医便捷度。支持商保患者‘先诊疗后结算’的便捷服务，并对商保患者的门诊挂号、缴费手续及财务发票实行单独管理，不实时出发票。同时，在条件成熟时将实现与商保平台的对接，让数据多跑路，让患者少跑腿。</w:t>
      </w:r>
    </w:p>
    <w:p w14:paraId="3C5D863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需支持微信小程序异地医保结算，实现医保业务线上化、家庭化便捷办理，支持异地就医结算线上全流程操作。</w:t>
      </w:r>
    </w:p>
    <w:p w14:paraId="6AF1F3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微信小程序医保亲情付功能，参保人可添加父母、子女、配偶等近亲属组建医保亲情账户，完成亲属关系核验与人脸认证后，即可为家人代办医保挂号、缴费等业务，支持从亲情账户扣除医保费用，自费部分可通过家庭共济账户完成支付，实现 “一人绑定、全家共享”。</w:t>
      </w:r>
    </w:p>
    <w:p w14:paraId="5F0E865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14.13舆情管理</w:t>
      </w:r>
    </w:p>
    <w:p w14:paraId="4B4597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需支持患者挂号、退号时，提示黑名单规则；</w:t>
      </w:r>
    </w:p>
    <w:p w14:paraId="47E4CEE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需支持加入黑名单的患者，不允许患者进行挂号操作，并显示加入黑名单原因。</w:t>
      </w:r>
    </w:p>
    <w:p w14:paraId="2FE34A4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需支持管理端配置黑名单规则：</w:t>
      </w:r>
    </w:p>
    <w:p w14:paraId="3DA4E952">
      <w:pPr>
        <w:overflowPunct w:val="0"/>
        <w:topLinePunct/>
        <w:autoSpaceDE/>
        <w:autoSpaceDN/>
        <w:spacing w:line="360" w:lineRule="auto"/>
        <w:ind w:firstLine="720" w:firstLineChars="300"/>
        <w:jc w:val="both"/>
        <w:rPr>
          <w:rFonts w:hint="eastAsia"/>
          <w:kern w:val="2"/>
          <w:sz w:val="24"/>
          <w:szCs w:val="24"/>
          <w:lang w:eastAsia="zh-CN"/>
        </w:rPr>
      </w:pPr>
      <w:r>
        <w:rPr>
          <w:rFonts w:hint="eastAsia"/>
          <w:kern w:val="2"/>
          <w:sz w:val="24"/>
          <w:szCs w:val="24"/>
          <w:lang w:eastAsia="zh-CN"/>
        </w:rPr>
        <w:t>1.支持1天内同一科室、医生的挂号次数限制；指定期间内，总挂号次数的限制；</w:t>
      </w:r>
    </w:p>
    <w:p w14:paraId="7A97C7BA">
      <w:pPr>
        <w:overflowPunct w:val="0"/>
        <w:topLinePunct/>
        <w:autoSpaceDE/>
        <w:autoSpaceDN/>
        <w:spacing w:line="360" w:lineRule="auto"/>
        <w:ind w:firstLine="720" w:firstLineChars="300"/>
        <w:jc w:val="both"/>
        <w:rPr>
          <w:rFonts w:hint="eastAsia"/>
          <w:kern w:val="2"/>
          <w:sz w:val="24"/>
          <w:szCs w:val="24"/>
          <w:lang w:eastAsia="zh-CN"/>
        </w:rPr>
      </w:pPr>
      <w:r>
        <w:rPr>
          <w:rFonts w:hint="eastAsia"/>
          <w:kern w:val="2"/>
          <w:sz w:val="24"/>
          <w:szCs w:val="24"/>
          <w:lang w:eastAsia="zh-CN"/>
        </w:rPr>
        <w:t>2.支持统计周期内，退号次数限制。超出退号次数自动加入系统黑名单；</w:t>
      </w:r>
    </w:p>
    <w:p w14:paraId="2BD61BB7">
      <w:pPr>
        <w:overflowPunct w:val="0"/>
        <w:topLinePunct/>
        <w:autoSpaceDE/>
        <w:autoSpaceDN/>
        <w:spacing w:line="360" w:lineRule="auto"/>
        <w:ind w:firstLine="720" w:firstLineChars="300"/>
        <w:jc w:val="both"/>
        <w:rPr>
          <w:rFonts w:hint="eastAsia"/>
          <w:kern w:val="2"/>
          <w:sz w:val="24"/>
          <w:szCs w:val="24"/>
          <w:lang w:eastAsia="zh-CN"/>
        </w:rPr>
      </w:pPr>
      <w:r>
        <w:rPr>
          <w:rFonts w:hint="eastAsia"/>
          <w:kern w:val="2"/>
          <w:sz w:val="24"/>
          <w:szCs w:val="24"/>
          <w:lang w:eastAsia="zh-CN"/>
        </w:rPr>
        <w:t>3.支持统计周期内，爽约（挂号未到诊）次数超过限定标准，自动加入系统黑名单；</w:t>
      </w:r>
    </w:p>
    <w:p w14:paraId="4FF1F9BF">
      <w:pPr>
        <w:overflowPunct w:val="0"/>
        <w:topLinePunct/>
        <w:autoSpaceDE/>
        <w:autoSpaceDN/>
        <w:spacing w:line="360" w:lineRule="auto"/>
        <w:ind w:firstLine="720" w:firstLineChars="300"/>
        <w:jc w:val="both"/>
        <w:rPr>
          <w:rFonts w:hint="eastAsia"/>
          <w:kern w:val="2"/>
          <w:sz w:val="24"/>
          <w:szCs w:val="24"/>
          <w:lang w:eastAsia="zh-CN"/>
        </w:rPr>
      </w:pPr>
      <w:r>
        <w:rPr>
          <w:rFonts w:hint="eastAsia"/>
          <w:kern w:val="2"/>
          <w:sz w:val="24"/>
          <w:szCs w:val="24"/>
          <w:lang w:eastAsia="zh-CN"/>
        </w:rPr>
        <w:t>4.支持针对院内特殊账号，支持规则外的白名单管理，可不受规则限制；</w:t>
      </w:r>
    </w:p>
    <w:p w14:paraId="1106EC0E">
      <w:pPr>
        <w:overflowPunct w:val="0"/>
        <w:topLinePunct/>
        <w:autoSpaceDE/>
        <w:autoSpaceDN/>
        <w:spacing w:line="360" w:lineRule="auto"/>
        <w:ind w:firstLine="720" w:firstLineChars="300"/>
        <w:jc w:val="both"/>
        <w:rPr>
          <w:rFonts w:hint="eastAsia"/>
          <w:kern w:val="2"/>
          <w:sz w:val="24"/>
          <w:szCs w:val="24"/>
          <w:lang w:eastAsia="zh-CN"/>
        </w:rPr>
      </w:pPr>
      <w:r>
        <w:rPr>
          <w:rFonts w:hint="eastAsia"/>
          <w:kern w:val="2"/>
          <w:sz w:val="24"/>
          <w:szCs w:val="24"/>
          <w:lang w:eastAsia="zh-CN"/>
        </w:rPr>
        <w:t>5.支持对疑似倒号、连续爽约（退号）行为的账号，支持人工添加系统黑名单。支持人工处理、移除黑名单。</w:t>
      </w:r>
    </w:p>
    <w:p w14:paraId="519A9C7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14.14适老自助管理</w:t>
      </w:r>
    </w:p>
    <w:p w14:paraId="33726B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需支持面向老年人群开设专门服务通道，功能及页面设计符合老年人的使用需求，大字体，简化操作步骤；</w:t>
      </w:r>
    </w:p>
    <w:p w14:paraId="47961C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需支持提供门诊基础服务，包括在线建档、预约挂号、候诊查询、门诊缴费、报告查询、就诊凭证、语音助手；</w:t>
      </w:r>
    </w:p>
    <w:p w14:paraId="64DDBC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需支持通过智能语音识别技术，快速引导患者办理挂号、缴费、报告等业务；</w:t>
      </w:r>
    </w:p>
    <w:p w14:paraId="298F846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需支持挂号缴费、门诊缴费支持代支付功能。将待付费信息一键转发到他人微信，由他人完成费用的支付。</w:t>
      </w:r>
    </w:p>
    <w:p w14:paraId="01D7A76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14.14.1诊间取号</w:t>
      </w:r>
    </w:p>
    <w:p w14:paraId="493F076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14.14.1.1复诊取号</w:t>
      </w:r>
    </w:p>
    <w:p w14:paraId="120B7EC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需支持待取号复诊号展示，按就诊日期倒序展示，包含：就诊日期、时段、科室、医生；</w:t>
      </w:r>
    </w:p>
    <w:p w14:paraId="5E0B043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需支持展示复诊号详情，显示复诊号详情，包含：就诊日期、时段、科室、医生、号别、金额、取号按钮等；</w:t>
      </w:r>
    </w:p>
    <w:p w14:paraId="67AD71B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需支持取号操作，点击“立即取号”，系统校验号源有效性，生成待支付订单，支持微信支付、医保移动支付。支付成功后，实时同步至HIS系统，更新号源状态。</w:t>
      </w:r>
    </w:p>
    <w:p w14:paraId="03F175F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14.14.1.2急诊取号</w:t>
      </w:r>
    </w:p>
    <w:p w14:paraId="61476C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需支持急诊待取号展示，按就诊日期倒序展示，包含：就诊日期、时段、科室、医生；</w:t>
      </w:r>
    </w:p>
    <w:p w14:paraId="0C2600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需支持展示急诊号详情，显示急诊号详情，包含：就诊日期、时段、科室、医生、号别、金额、取号按钮等；</w:t>
      </w:r>
    </w:p>
    <w:p w14:paraId="28E02EB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需支持取号操作，点击“立即取号”，系统校验号源有效性，生成待支付订单，支持微信支付、医保移动支付。支付成功后，实时同步至HIS系统，更新号源状态。</w:t>
      </w:r>
    </w:p>
    <w:p w14:paraId="3B6DAAF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14.14.2智慧服务提升</w:t>
      </w:r>
    </w:p>
    <w:p w14:paraId="79451A0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14.14.2.1智能检查预约</w:t>
      </w:r>
    </w:p>
    <w:p w14:paraId="6B03626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需支持基于统一预约平台的智能推荐算法，为患者提供按检查时间、按检查路径、自选时间等多种检查预约模式；</w:t>
      </w:r>
    </w:p>
    <w:p w14:paraId="7BE281D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需支持对于相互影响的治疗、手术内容可自动错开预约时间。</w:t>
      </w:r>
    </w:p>
    <w:p w14:paraId="3B9C54D9">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14.14.2.2便利保障服务</w:t>
      </w:r>
    </w:p>
    <w:p w14:paraId="776FDBC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需支持在线实时查询便利保障服务的状态，如护工推荐、餐饮推荐、预约轮椅/推车等。</w:t>
      </w:r>
    </w:p>
    <w:p w14:paraId="194F3E0F">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14.14.2.3患者投诉闭环</w:t>
      </w:r>
    </w:p>
    <w:p w14:paraId="100C742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需支持与投诉管理系统集成对接，对投诉意见的分类处理，可通过即时通讯消息方式通知医院相关部门；</w:t>
      </w:r>
    </w:p>
    <w:p w14:paraId="48CFF60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需支持对于患者投诉支持以消息等方式回应。</w:t>
      </w:r>
    </w:p>
    <w:p w14:paraId="6D1EFEF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14.14.2.4风险评估</w:t>
      </w:r>
    </w:p>
    <w:p w14:paraId="5927B34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患者可使用自有移动设备及PC设备进行风险评估，评估结果可反馈至医院系统存储；</w:t>
      </w:r>
    </w:p>
    <w:p w14:paraId="63148B9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根据患者病历资料自动完成风险评估，并将结果推送给患者或者监护人。</w:t>
      </w:r>
    </w:p>
    <w:p w14:paraId="263B3A68">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14.14.2.5患者服务平台（PC版）</w:t>
      </w:r>
    </w:p>
    <w:p w14:paraId="493C5D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需支持Web版患者服务系统，患者可注册建档、预约挂号、候诊查询、满意度调查、投诉意见、药品清单查询、随访问卷填写等功能。</w:t>
      </w:r>
    </w:p>
    <w:p w14:paraId="2BDC00C5">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7" w:name="_Toc30601"/>
      <w:r>
        <w:rPr>
          <w:rFonts w:hint="eastAsia"/>
          <w:b/>
          <w:bCs/>
          <w:kern w:val="44"/>
          <w:sz w:val="24"/>
          <w:szCs w:val="24"/>
          <w:lang w:eastAsia="zh-CN"/>
        </w:rPr>
        <w:t>15、线上线下一体化便民服务系统—互联网诊疗模块</w:t>
      </w:r>
      <w:bookmarkEnd w:id="77"/>
    </w:p>
    <w:p w14:paraId="3216566A">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15.1医生站融合</w:t>
      </w:r>
    </w:p>
    <w:p w14:paraId="1DFDF9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在门诊医生站可同时为线上、线下患者提供统一的诊疗服务。兼容复用在线预约互联网医院号源、医生在线接诊、查看患者病史记录。</w:t>
      </w:r>
    </w:p>
    <w:p w14:paraId="336B9AA7">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15.2在线诊疗</w:t>
      </w:r>
    </w:p>
    <w:p w14:paraId="4218C04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15.2.1在线诊疗</w:t>
      </w:r>
    </w:p>
    <w:p w14:paraId="4A96165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医生可通过手机随时查看患者信息，快速开具医嘱、记录信息和书写病历，支持常用模板调用、药品开立、检查检验申请等功能，让临床工作更高效、更灵活。</w:t>
      </w:r>
    </w:p>
    <w:p w14:paraId="7AE34B82">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15.2.1.1在线开方（APP）</w:t>
      </w:r>
    </w:p>
    <w:p w14:paraId="7CD4C6D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需支持医生App查阅患者在院期间的就诊记录、病情诊断、医嘱处方、电子病历、检查检验报告、治疗费用诊疗信息；</w:t>
      </w:r>
    </w:p>
    <w:p w14:paraId="09DE0A3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需支持医生在线开具电子处方（药品、检查、检验），需支持提交检查检验申请单；</w:t>
      </w:r>
    </w:p>
    <w:p w14:paraId="263BAD0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需支持对接合理用药系统，自动审方。需支持特殊处方发送药师的人工审核；</w:t>
      </w:r>
    </w:p>
    <w:p w14:paraId="5A6A1B2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需支持医生在线书写电子病历，病历信息同步接入院内系统；</w:t>
      </w:r>
    </w:p>
    <w:p w14:paraId="33A125D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需支持电子病历书写时电子签名；</w:t>
      </w:r>
    </w:p>
    <w:p w14:paraId="4835DEE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诊疗记录、医嘱信息、病历信息、诊断信息等实时保存在院内系统，实现患者线上线下诊疗一体化；</w:t>
      </w:r>
    </w:p>
    <w:p w14:paraId="55B450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需支持在线生成挂号发票、及缴费发票、挂号发票冲红等；</w:t>
      </w:r>
    </w:p>
    <w:p w14:paraId="01908EB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需支持云诊室接诊过程中，对于需要线下面诊的患者，可根据医生的门诊排班，为患者申请加号。患者在线缴纳挂号费用后，可直接到门诊就诊；</w:t>
      </w:r>
    </w:p>
    <w:p w14:paraId="21C0432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需支持云诊室接诊过程中，对于符合住院条件的患者，在线开立电子住院证。患者按照医院的入院流程，办理住院；</w:t>
      </w:r>
    </w:p>
    <w:p w14:paraId="67DBD60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需支持线上查看处方、检查检验申请单、指引单、缴费申请单等。</w:t>
      </w:r>
    </w:p>
    <w:p w14:paraId="77AEA0BF">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15.2.2患者管理</w:t>
      </w:r>
    </w:p>
    <w:p w14:paraId="0159AB96">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15.2.2.1门诊患者管理</w:t>
      </w:r>
    </w:p>
    <w:p w14:paraId="6818580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需支持以日历形式查看个人门诊排班的患者预约信息。查看患者基本信息、预约信息、病史记录等。</w:t>
      </w:r>
    </w:p>
    <w:p w14:paraId="08F704A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15.2.2.2住院患者管理</w:t>
      </w:r>
    </w:p>
    <w:p w14:paraId="077956E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需支持查看个人及本科室的在院患者信息；</w:t>
      </w:r>
    </w:p>
    <w:p w14:paraId="5506A6A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需支持查看患者基本信息、床位信息、医保信息、费用明细、诊断信息、电子病历、检查检验报告等信息；</w:t>
      </w:r>
    </w:p>
    <w:p w14:paraId="7B34B90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需支持按入院时间、科室等条件筛选患者记录。</w:t>
      </w:r>
    </w:p>
    <w:p w14:paraId="30ABF3C7">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15.2.2.3出院患者管理</w:t>
      </w:r>
    </w:p>
    <w:p w14:paraId="4FB3DAD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需支持查看个人及本科室出院患者信息。</w:t>
      </w:r>
    </w:p>
    <w:p w14:paraId="41DFDAE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需支持查看患者基本信息、床位信息、医保信息、费用明细、诊断信息、电子病历、护理记录、检查检验报告等信息；</w:t>
      </w:r>
    </w:p>
    <w:p w14:paraId="43DE87F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需支持按出院时间、科室等条件筛选患者记录。</w:t>
      </w:r>
    </w:p>
    <w:p w14:paraId="4B14099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15.2.2.4关注患者管理</w:t>
      </w:r>
    </w:p>
    <w:p w14:paraId="5ABFE7E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需支持对重点患者的关注、取消关注处理；</w:t>
      </w:r>
    </w:p>
    <w:p w14:paraId="0F3055C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需支持查看已关注的患者列表，调阅患者的病史记录。</w:t>
      </w:r>
    </w:p>
    <w:p w14:paraId="4C583485">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15.2.2.5患者基本信息</w:t>
      </w:r>
    </w:p>
    <w:p w14:paraId="6EE3C21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需支持查看患者姓名、性别、年龄、职业、家庭住址、电话号码、身份类型、门诊号、住院号等基本信息。支持在线拨打患者电话，联系患者。</w:t>
      </w:r>
    </w:p>
    <w:p w14:paraId="329A865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15.2.2.6病史信息查阅</w:t>
      </w:r>
    </w:p>
    <w:p w14:paraId="6D1F72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需支持实时查阅门诊患者、住院患者、出院患者的就诊记录、电子病历、门诊处方、长期医嘱、临时医嘱、检查报告、检验报告全面的诊疗数据。</w:t>
      </w:r>
    </w:p>
    <w:p w14:paraId="6A7183A9">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15.2.2.7医嘱信息查询</w:t>
      </w:r>
    </w:p>
    <w:p w14:paraId="1FD4DC8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时查阅患者的门诊处方、住院长期医嘱、住院临时医嘱信息。包括医嘱名称、医嘱类型、开立医生、开立时间、用法用量、执行护士、执行时间、执行状态等。支持按医嘱状态的特殊颜色分类，支持展示/隐藏作废医嘱信息。</w:t>
      </w:r>
    </w:p>
    <w:p w14:paraId="441C5991">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15.2.2.8患者搜索</w:t>
      </w:r>
    </w:p>
    <w:p w14:paraId="0EA4F09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需支持通过门诊号、住院号、时间区间、分组标签、患者姓名等条件快速搜索患者。</w:t>
      </w:r>
    </w:p>
    <w:p w14:paraId="68AD727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15.2.3电子病历夹</w:t>
      </w:r>
    </w:p>
    <w:p w14:paraId="610D3B3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患者个人电子病历夹，实现近1年内全场景诊疗数据的自动整合与集中管理。覆盖门诊就诊、住院治疗、互联网医院问诊等多渠道就医记录，通过标准化数据接口自动归集每次诊疗过程中的核心信息，包括但不限于：</w:t>
      </w:r>
    </w:p>
    <w:p w14:paraId="53A65E3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需支持病历文书：门诊病历、住院病案首页、病程记录、出院小结等结构化/非结构化病历资料；</w:t>
      </w:r>
    </w:p>
    <w:p w14:paraId="307A24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需支持诊疗凭证：电子处方（含药品名称、用法用量、开具时间）、检查报告单（影像检查、超声、内镜等）、检验结果（血常规、生化指标、病原学检测等）；</w:t>
      </w:r>
    </w:p>
    <w:p w14:paraId="58C9A56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需支持费用明细：门诊缴费记录、住院费用清单、医保结算信息、自费项目明细等。</w:t>
      </w:r>
    </w:p>
    <w:p w14:paraId="4ADBA4A8">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15.3处方流转</w:t>
      </w:r>
    </w:p>
    <w:p w14:paraId="6748900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需支持慢性病患者移动端选择慢性病处方申请开方，经过医生开立通过后，药品通过快递配送到患者手中。支持互联网医院申请中药处方的代煎服务，由物流配送到家。</w:t>
      </w:r>
    </w:p>
    <w:p w14:paraId="65C9616F">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15.4健康咨询</w:t>
      </w:r>
    </w:p>
    <w:p w14:paraId="79ABCED0">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15.4.1科普宣教中心</w:t>
      </w:r>
    </w:p>
    <w:p w14:paraId="4F2A0C8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科普宣教中心是面向患者及家属提供健康知识服务的重要平台，主要承担疾病科普、就医指导、康复教育和健康管理等工作。为患者提供疾病预防、诊疗流程、用药安全、术后康复、心理支持等方面的科普内容，帮助患者更好地理解病情、配合治疗、提升自我管理能力。加强医患沟通，提高患者就医体验，促进医院服务质量的持续提升。</w:t>
      </w:r>
    </w:p>
    <w:p w14:paraId="1B307B54">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15.4.1.1科普宣教查阅</w:t>
      </w:r>
    </w:p>
    <w:p w14:paraId="2DF813E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科普宣教查阅功能为患者及家属提供便捷、权威的健康知识检索与浏览服务，帮助其在就医全流程中随时获取与疾病、检查、治疗、用药、康复等相关的科普内容。该功能通过分类清晰的知识库、智能检索、个性化推荐等方式，让用户能够快速找到所需的健康资讯、宣教视频、图文指南和常见问题解答，从而提升对病情的理解，增强自我管理能力，改善就医体验。</w:t>
      </w:r>
    </w:p>
    <w:p w14:paraId="211FEB85">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15.4.1.1.1科普知识</w:t>
      </w:r>
    </w:p>
    <w:p w14:paraId="609B110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需支持患者分类查看各类健康资讯、患教资料、专家专栏等最新资讯及信息；</w:t>
      </w:r>
    </w:p>
    <w:p w14:paraId="37EA015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需支持患者对科普资料收藏、分享、点赞等操作；</w:t>
      </w:r>
    </w:p>
    <w:p w14:paraId="2742CD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需支持跳转专家首页，查阅专家资料，以实现内容的广泛传播，让更多患者受益，同时提升医院品牌形象。</w:t>
      </w:r>
    </w:p>
    <w:p w14:paraId="48D3D391">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15.4.1.1.2健康测评</w:t>
      </w:r>
    </w:p>
    <w:p w14:paraId="0168308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需支持给患者提供便利的健康测评小工具（BMI自测、预产期自测、乙肝自测、吸烟危害自测等），以便患者可对个人健康情况进行了解和评估。</w:t>
      </w:r>
    </w:p>
    <w:p w14:paraId="15197BA4">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15.4.1.1.3健康百科</w:t>
      </w:r>
    </w:p>
    <w:p w14:paraId="0DA8ED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需支持给患者提供系统、便利的科普知识和工具，如急救知识、药品知识、疾病知识、化验单解读知识、疫苗接种知识及工具等。</w:t>
      </w:r>
    </w:p>
    <w:p w14:paraId="24AF82E0">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15.4.1.2科普宣教发布</w:t>
      </w:r>
    </w:p>
    <w:p w14:paraId="7C3C925E">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15.4.1.2.1科普宣教查阅</w:t>
      </w:r>
    </w:p>
    <w:p w14:paraId="3AC811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需支持医生查阅全院医生分享的文章、视频等科普资料。</w:t>
      </w:r>
    </w:p>
    <w:p w14:paraId="2847D8AB">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15.4.1.2.2科普宣教管理</w:t>
      </w:r>
    </w:p>
    <w:p w14:paraId="674FF27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需支持医生在线创建文本、图片、音视频、PDF等多种形式的科普信息；</w:t>
      </w:r>
    </w:p>
    <w:p w14:paraId="01165B2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需支持医生管理个人科普资料，比如临时保存、提交审核、发布后撤回、删除等；</w:t>
      </w:r>
    </w:p>
    <w:p w14:paraId="51B30A4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需支持查看个人科普资料的发布数量、点赞数量、分享数量、阅读数量等数据的统计。</w:t>
      </w:r>
    </w:p>
    <w:p w14:paraId="5C9D56D3">
      <w:pPr>
        <w:keepNext/>
        <w:keepLines/>
        <w:numPr>
          <w:ilvl w:val="3"/>
          <w:numId w:val="0"/>
        </w:numPr>
        <w:overflowPunct w:val="0"/>
        <w:topLinePunct/>
        <w:autoSpaceDE/>
        <w:autoSpaceDN/>
        <w:spacing w:line="360" w:lineRule="auto"/>
        <w:ind w:left="864" w:hanging="864"/>
        <w:jc w:val="both"/>
        <w:outlineLvl w:val="3"/>
        <w:rPr>
          <w:rFonts w:hint="eastAsia"/>
          <w:b/>
          <w:bCs/>
          <w:kern w:val="2"/>
          <w:sz w:val="24"/>
          <w:szCs w:val="24"/>
          <w:lang w:eastAsia="zh-CN"/>
        </w:rPr>
      </w:pPr>
      <w:r>
        <w:rPr>
          <w:rFonts w:hint="eastAsia"/>
          <w:b/>
          <w:bCs/>
          <w:kern w:val="2"/>
          <w:sz w:val="24"/>
          <w:szCs w:val="24"/>
          <w:lang w:eastAsia="zh-CN"/>
        </w:rPr>
        <w:t>15.4.1.3科普宣教管理</w:t>
      </w:r>
    </w:p>
    <w:p w14:paraId="1B18C195">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15.4.1.3.1宣教管理</w:t>
      </w:r>
    </w:p>
    <w:p w14:paraId="1FC73E4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需支持科普资讯的分类管理，包括分类名称、顺序、级别等定义和设置；</w:t>
      </w:r>
    </w:p>
    <w:p w14:paraId="39AE139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需支持科普资讯的发布管理，包括发布、撤回、删除；</w:t>
      </w:r>
    </w:p>
    <w:p w14:paraId="66339A1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需支持在线审核医生发布的科普材料，通过后可正式发布科普专栏。审核失败时向医生发送失败通知，需支持医生在线修改后重新审核。</w:t>
      </w:r>
    </w:p>
    <w:p w14:paraId="64AA802D">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15.4.1.3.2资讯同步</w:t>
      </w:r>
    </w:p>
    <w:p w14:paraId="7C041D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需支持对接医院官微、业务科室的订阅号、公众号内相关的科普宣教信息，进行自动同步、归集；</w:t>
      </w:r>
    </w:p>
    <w:p w14:paraId="44F85169">
      <w:pPr>
        <w:keepNext/>
        <w:keepLines/>
        <w:numPr>
          <w:ilvl w:val="4"/>
          <w:numId w:val="0"/>
        </w:numPr>
        <w:overflowPunct w:val="0"/>
        <w:topLinePunct/>
        <w:autoSpaceDE/>
        <w:autoSpaceDN/>
        <w:spacing w:line="360" w:lineRule="auto"/>
        <w:ind w:left="1008" w:hanging="1008"/>
        <w:jc w:val="both"/>
        <w:outlineLvl w:val="4"/>
        <w:rPr>
          <w:rFonts w:hint="eastAsia"/>
          <w:b/>
          <w:bCs/>
          <w:kern w:val="2"/>
          <w:sz w:val="24"/>
          <w:szCs w:val="24"/>
          <w:lang w:eastAsia="zh-CN"/>
        </w:rPr>
      </w:pPr>
      <w:r>
        <w:rPr>
          <w:rFonts w:hint="eastAsia"/>
          <w:b/>
          <w:bCs/>
          <w:kern w:val="2"/>
          <w:sz w:val="24"/>
          <w:szCs w:val="24"/>
          <w:lang w:eastAsia="zh-CN"/>
        </w:rPr>
        <w:t>15.4.1.3.3宣教统计</w:t>
      </w:r>
    </w:p>
    <w:p w14:paraId="0558007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需支持按科室、医生、科普分类统计数据，需支持多维度的排名分析。</w:t>
      </w:r>
    </w:p>
    <w:p w14:paraId="1C15939E">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15.5数据信息同步</w:t>
      </w:r>
    </w:p>
    <w:p w14:paraId="02CCE07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对接各线上、线下业务系统，本地话开发实现诊断信息线上线下同步；新建病历信息线上线下同步；新建医嘱信息线上线下同步；新建患者检查检验申请线上线下同步；新建诊疗预约信息线上线下同步；新建患者体检报告线上线下同步；新建患者就诊履历线上线下同步。</w:t>
      </w:r>
    </w:p>
    <w:p w14:paraId="08CB83A2">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8" w:name="_Toc14497"/>
      <w:r>
        <w:rPr>
          <w:rFonts w:hint="eastAsia"/>
          <w:b/>
          <w:bCs/>
          <w:kern w:val="44"/>
          <w:sz w:val="24"/>
          <w:szCs w:val="24"/>
          <w:lang w:eastAsia="zh-CN"/>
        </w:rPr>
        <w:t>16、线上线下一体化便民服务系统—智慧排程模块</w:t>
      </w:r>
      <w:bookmarkEnd w:id="78"/>
    </w:p>
    <w:p w14:paraId="028587E5">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16.1智能排程</w:t>
      </w:r>
    </w:p>
    <w:p w14:paraId="57BAFC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基于患者个人信息和医疗需求的智能推荐：医院系统根据患者的个人信息、就诊目的、检查项目等因素，智能分析和推荐患者的行动优先级和就诊路线。例如，对于需要进行急诊检查的患者，系统会优先安排他们前往相应的科室，并提供快速通道，以缩短等待时间。</w:t>
      </w:r>
    </w:p>
    <w:p w14:paraId="3B74A9E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检查、检验优先顺序：系统分析患者所需进行的各项检查和检验项目的优先级，根据医生的建议和医院的排程情况，智能安排患者的就诊顺序。例如，对于需要进行紧急检查或检验的患者，系统会优先安排他们前往相应的检查科室。</w:t>
      </w:r>
    </w:p>
    <w:p w14:paraId="05A77EE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各科室排队情况等影响因素：系统会实时监测各个科室的排队情况、就诊状况等因素，结合患者的具体情况，智能调整就诊路线，避免拥堵和等待时间过长的情况发生。例如，在某科室排队等待时间较长时，系统会推荐患者前往其他科室就诊。</w:t>
      </w:r>
    </w:p>
    <w:p w14:paraId="05BC384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提供个性化的就诊路线：根据患者的具体情况和医疗需求，系统为每位患者提供个性化的就诊路线和行动优先级。</w:t>
      </w:r>
    </w:p>
    <w:p w14:paraId="20C83697">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79" w:name="_Toc26573"/>
      <w:r>
        <w:rPr>
          <w:rFonts w:hint="eastAsia"/>
          <w:b/>
          <w:bCs/>
          <w:kern w:val="44"/>
          <w:sz w:val="24"/>
          <w:szCs w:val="24"/>
          <w:lang w:eastAsia="zh-CN"/>
        </w:rPr>
        <w:t>17、线上线下一体化便民服务系统—体检与健康管理模块</w:t>
      </w:r>
      <w:bookmarkEnd w:id="79"/>
    </w:p>
    <w:p w14:paraId="3BE3122D">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17.1体检与健康管理</w:t>
      </w:r>
    </w:p>
    <w:p w14:paraId="113D21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需支持体检预约：用户可以通过医院或健康管理平台进行体检预约。系统提供便捷的预约界面，用户可以选择适合自己时间的体检时间段，并根据个人需求选择不同的体检套餐；</w:t>
      </w:r>
    </w:p>
    <w:p w14:paraId="713E5E2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需支持体检报告查询：用户在完成体检后，可以通过线上平台查询体检报告。系统提供简洁明了的查询界面，用户可以方便地查看自己的体检结果；</w:t>
      </w:r>
    </w:p>
    <w:p w14:paraId="00AE857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需支持体检报告解读：系统提供体检报告的详细解读功能，用户可以查看每项指标的具体含义和参考范围，并根据解读结果了解自己的健康状况；</w:t>
      </w:r>
    </w:p>
    <w:p w14:paraId="4241E4F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需支持健康管理：基于用户的体检报告和个人健康数据，系统对用户进行健康程度测评。根据测评结果，系统制定个性化的健康管理计划，包括健康饮食、运动调节等方面的建议；</w:t>
      </w:r>
    </w:p>
    <w:p w14:paraId="74FAACC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需支持健康方案指导：系统根据用户的健康管理需求，提供针对性的健康方案指导。这些方案可以根据用户的实际情况进行调整，以确保方案的有效性和可操作性；</w:t>
      </w:r>
    </w:p>
    <w:p w14:paraId="4FC439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需支持执行记录与反馈：用户可以在系统中记录自己执行健康方案的情况，并实时跟踪自己的健康数据。系统会根据用户的执行情况提供实时反馈和建议，帮助用户更好地管理自己的健康。</w:t>
      </w:r>
    </w:p>
    <w:p w14:paraId="35E07A1D">
      <w:pPr>
        <w:keepNext/>
        <w:keepLines/>
        <w:overflowPunct w:val="0"/>
        <w:topLinePunct/>
        <w:autoSpaceDE/>
        <w:autoSpaceDN/>
        <w:spacing w:line="360" w:lineRule="auto"/>
        <w:jc w:val="both"/>
        <w:outlineLvl w:val="0"/>
        <w:rPr>
          <w:rFonts w:hint="eastAsia"/>
          <w:b/>
          <w:bCs/>
          <w:kern w:val="44"/>
          <w:sz w:val="24"/>
          <w:szCs w:val="24"/>
          <w:lang w:eastAsia="zh-CN"/>
        </w:rPr>
      </w:pPr>
      <w:bookmarkStart w:id="80" w:name="_Toc11168"/>
      <w:r>
        <w:rPr>
          <w:rFonts w:hint="eastAsia"/>
          <w:b/>
          <w:bCs/>
          <w:kern w:val="44"/>
          <w:sz w:val="24"/>
          <w:szCs w:val="24"/>
          <w:lang w:eastAsia="zh-CN"/>
        </w:rPr>
        <w:t>18、应用软件开发</w:t>
      </w:r>
      <w:bookmarkEnd w:id="80"/>
    </w:p>
    <w:p w14:paraId="7FB98498">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18.1多模态门诊医生站模块</w:t>
      </w:r>
    </w:p>
    <w:p w14:paraId="0B20C82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18.1.1门诊医生设置</w:t>
      </w:r>
    </w:p>
    <w:p w14:paraId="03AB9A0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【布局切换】系统以（患者列表、医嘱、病历、诊断）四大核心功能为基础构建差异化的界面布局，提供3种不同的布局样式，可按使用习惯快速切换布局。</w:t>
      </w:r>
    </w:p>
    <w:p w14:paraId="693FA1F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【记忆布局】可调整布局样式内各医疗资源控件的大小，可根据医生设置单个控件大小自动记忆布局设置，当再次进入医生站时，默认按上次布局结构进行界面呈现。</w:t>
      </w:r>
    </w:p>
    <w:p w14:paraId="4934F112">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18.1.2患者信息管理</w:t>
      </w:r>
    </w:p>
    <w:p w14:paraId="0F111AC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需支持流行病筛查表；</w:t>
      </w:r>
    </w:p>
    <w:p w14:paraId="1E3E0D7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需支持复诊预约管理；</w:t>
      </w:r>
    </w:p>
    <w:p w14:paraId="4D96F2F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需支持协同医疗等功能；</w:t>
      </w:r>
    </w:p>
    <w:p w14:paraId="32F3765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需支持门诊患者列表与叫号队列整合。</w:t>
      </w:r>
    </w:p>
    <w:p w14:paraId="411009E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18.1.3医嘱管理</w:t>
      </w:r>
    </w:p>
    <w:p w14:paraId="1F58A70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需支持医嘱看诊序列与疾病诊断关联；</w:t>
      </w:r>
    </w:p>
    <w:p w14:paraId="270C95A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需支持医嘱特病看诊序列应用；</w:t>
      </w:r>
    </w:p>
    <w:p w14:paraId="28D606E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需支持医嘱特病看诊序列规则管理。</w:t>
      </w:r>
    </w:p>
    <w:p w14:paraId="35D3A096">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18.1.4处方开立</w:t>
      </w:r>
    </w:p>
    <w:p w14:paraId="12C47E1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需支持药品医嘱展示药品说明和项目内涵开发；</w:t>
      </w:r>
    </w:p>
    <w:p w14:paraId="172561B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需支持医保用药限制规则开发；</w:t>
      </w:r>
    </w:p>
    <w:p w14:paraId="10236A6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需支持医保固定比例报销处方打印；</w:t>
      </w:r>
    </w:p>
    <w:p w14:paraId="39B5A39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需支持院外开立；</w:t>
      </w:r>
    </w:p>
    <w:p w14:paraId="0852D91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需支持合理用药互动审方；</w:t>
      </w:r>
    </w:p>
    <w:p w14:paraId="6D5E0D8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需支持断药查询；</w:t>
      </w:r>
    </w:p>
    <w:p w14:paraId="4C3A08A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需支持医保医嘱序列与普通医嘱序列变转化开发。</w:t>
      </w:r>
    </w:p>
    <w:p w14:paraId="6969C37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18.1.5检查检验开立</w:t>
      </w:r>
    </w:p>
    <w:p w14:paraId="197C377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需支持在医生站无缝衔接检查检验流程，与各家检查检验系统的申请接口、报告接口做对接；</w:t>
      </w:r>
    </w:p>
    <w:p w14:paraId="4D68D9E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需支持检查多种申请单创建；</w:t>
      </w:r>
    </w:p>
    <w:p w14:paraId="4A7B33B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需支持常用检查检验项目查询；</w:t>
      </w:r>
    </w:p>
    <w:p w14:paraId="737B453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需支持医生自定义录入备注项目信息；</w:t>
      </w:r>
    </w:p>
    <w:p w14:paraId="5B1C7F5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需支持流行病相关检验开发；</w:t>
      </w:r>
    </w:p>
    <w:p w14:paraId="6F4D22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需支持诊间检查预约。</w:t>
      </w:r>
    </w:p>
    <w:p w14:paraId="7D431DB7">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18.1.6门诊病历</w:t>
      </w:r>
    </w:p>
    <w:p w14:paraId="12D7FA7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结合我院检查检验系统繁多、接口实现方式各异，数据模式多样的现状：开发接口适配多个业务系统支持多模态门诊病历、患者基本信息一元化管控、异构数据治理后的结构化病历信息存储、梳理病历完整性校验规则并形成管控机制、根据各科室专科病历特点定制病历单元弹出分支流程、北京CA移动端签名、病历定时自动存储、对院外用药情况进行统一管理门诊病历保存时校验代开药信息、转诊记录等。</w:t>
      </w:r>
    </w:p>
    <w:p w14:paraId="02B1040C">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18.1.7报告查看</w:t>
      </w:r>
    </w:p>
    <w:p w14:paraId="5BF4FF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需支持我院检查检验系统繁多、与各系统做数据对接：</w:t>
      </w:r>
    </w:p>
    <w:p w14:paraId="60ED36E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需支持检查检验危急值查看。</w:t>
      </w:r>
    </w:p>
    <w:p w14:paraId="075F8A6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18.1.8模板管理</w:t>
      </w:r>
    </w:p>
    <w:p w14:paraId="774CF5B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需支持病历数据的结构化存储、多元化录入和一元化管理，满足多模态专科模板定制、质控管理需求；</w:t>
      </w:r>
    </w:p>
    <w:p w14:paraId="5E7A7F8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需支持定制开发模版元素引用功能、病历复用元素设置。</w:t>
      </w:r>
    </w:p>
    <w:p w14:paraId="1C7C7F52">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18.2多模态急诊医生站模块</w:t>
      </w:r>
    </w:p>
    <w:p w14:paraId="6F2D359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18.2.1急诊入出抢管理</w:t>
      </w:r>
    </w:p>
    <w:p w14:paraId="346EDD8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需支持扩展留抢登记功能、离抢登记功能，能让用户快速便捷的管理急诊科患者，以便书写“医疗记录”以及记录患者信息；</w:t>
      </w:r>
    </w:p>
    <w:p w14:paraId="1C34F92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需支持急诊医生工作量于绩效指标规则管理及查询。</w:t>
      </w:r>
    </w:p>
    <w:p w14:paraId="3748269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需支持医生个人指标统计。</w:t>
      </w:r>
    </w:p>
    <w:p w14:paraId="65FD3044">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18.2.2留观病历</w:t>
      </w:r>
    </w:p>
    <w:p w14:paraId="3D31907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需支持留观医嘱开立；</w:t>
      </w:r>
    </w:p>
    <w:p w14:paraId="3181324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需支持留观病历记录；</w:t>
      </w:r>
    </w:p>
    <w:p w14:paraId="447294F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需支持全科留观病历查询。</w:t>
      </w:r>
    </w:p>
    <w:p w14:paraId="7ACA03B9">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18.2.3床位信息查询</w:t>
      </w:r>
    </w:p>
    <w:p w14:paraId="32FDC64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需支持实现留观床位管理等功能；</w:t>
      </w:r>
    </w:p>
    <w:p w14:paraId="4CAD0F4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需支持信息丰富的床位信息查询；</w:t>
      </w:r>
    </w:p>
    <w:p w14:paraId="262FDD1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需支持通过床位定位急抢患者。</w:t>
      </w:r>
    </w:p>
    <w:p w14:paraId="15410A48">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18.3多模态住院医生站模块</w:t>
      </w:r>
    </w:p>
    <w:p w14:paraId="7B34209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18.3.1住院医生站</w:t>
      </w:r>
    </w:p>
    <w:p w14:paraId="19D3B9D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住院患者列表功能，通过供多种过滤方式(分管、全科、受邀会诊、授权患者、已转科、已出院、危重、手术、临床路径、自定义)来快速过滤出想查看的患者，实现了根据时间、病区字段快速过滤患者及排序的功能。</w:t>
      </w:r>
    </w:p>
    <w:p w14:paraId="6A8D5DB8">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18.3.2住院医嘱管理</w:t>
      </w:r>
    </w:p>
    <w:p w14:paraId="4C515C45">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需支持药品医嘱展示药品说明和项目内涵开发；</w:t>
      </w:r>
    </w:p>
    <w:p w14:paraId="684DA9A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需支持医保用药限制规则开发；</w:t>
      </w:r>
    </w:p>
    <w:p w14:paraId="0671EBF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需支持医保固定比例报销处方打印；</w:t>
      </w:r>
    </w:p>
    <w:p w14:paraId="5B765871">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需支持院外开立；</w:t>
      </w:r>
    </w:p>
    <w:p w14:paraId="662BCE9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需支持合理用药互动审方；</w:t>
      </w:r>
    </w:p>
    <w:p w14:paraId="39A1C4D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需支持断药查询；</w:t>
      </w:r>
    </w:p>
    <w:p w14:paraId="0E0905E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需支持医保医嘱序列与普通医嘱序列变转化开发。</w:t>
      </w:r>
    </w:p>
    <w:p w14:paraId="0B33752A">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18.3.3检查检验开立</w:t>
      </w:r>
    </w:p>
    <w:p w14:paraId="5022795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需支持在医生站无缝衔接检查检验流程，与各家检查检验系统的申请接口、报告接口做对接；</w:t>
      </w:r>
    </w:p>
    <w:p w14:paraId="5596CBF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需支持常用检查检验项目查询；</w:t>
      </w:r>
    </w:p>
    <w:p w14:paraId="151B7AC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需支持医生自定义录入备注项目信息；</w:t>
      </w:r>
    </w:p>
    <w:p w14:paraId="5A41F90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需支持诊间检查预约；</w:t>
      </w:r>
    </w:p>
    <w:p w14:paraId="2FFBB8D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需支持通过电子申请单与各检查、检验系统对接，实时反馈执行状态，实现预约统一管理。</w:t>
      </w:r>
    </w:p>
    <w:p w14:paraId="66EE0F0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18.3.4住院报告查看</w:t>
      </w:r>
    </w:p>
    <w:p w14:paraId="55C2747A">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需支持对接检查检验系统，获取报告信息；</w:t>
      </w:r>
    </w:p>
    <w:p w14:paraId="1FFB415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需支持根据我院危急值管理流程，定制医生站整合。</w:t>
      </w:r>
    </w:p>
    <w:p w14:paraId="05076CD9">
      <w:pPr>
        <w:keepNext/>
        <w:keepLines/>
        <w:numPr>
          <w:ilvl w:val="1"/>
          <w:numId w:val="0"/>
        </w:numPr>
        <w:overflowPunct w:val="0"/>
        <w:topLinePunct/>
        <w:autoSpaceDE/>
        <w:autoSpaceDN/>
        <w:spacing w:line="360" w:lineRule="auto"/>
        <w:ind w:left="576" w:hanging="576"/>
        <w:jc w:val="both"/>
        <w:outlineLvl w:val="1"/>
        <w:rPr>
          <w:rFonts w:hint="eastAsia"/>
          <w:b/>
          <w:bCs/>
          <w:kern w:val="2"/>
          <w:sz w:val="24"/>
          <w:szCs w:val="24"/>
          <w:lang w:eastAsia="zh-CN"/>
        </w:rPr>
      </w:pPr>
      <w:r>
        <w:rPr>
          <w:rFonts w:hint="eastAsia"/>
          <w:b/>
          <w:bCs/>
          <w:kern w:val="2"/>
          <w:sz w:val="24"/>
          <w:szCs w:val="24"/>
          <w:lang w:eastAsia="zh-CN"/>
        </w:rPr>
        <w:t>18.4基于多模态临床医生应用系统的物价系统改造</w:t>
      </w:r>
    </w:p>
    <w:p w14:paraId="08E76F11">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18.4.1物价字典增加、维护</w:t>
      </w:r>
    </w:p>
    <w:p w14:paraId="319C956D">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需支持诊疗收费项目（药品、检查、检验、诊疗等）的价格维护，维护医嘱术语字典、物价字典、术语与物价对照，且支持字典与医嘱术语管理流程联动。需支持数据导入、数据导出、历史过程数据管理。</w:t>
      </w:r>
    </w:p>
    <w:p w14:paraId="5F1D3D8E">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18.4.2医保接口对接</w:t>
      </w:r>
    </w:p>
    <w:p w14:paraId="7FCF4AF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需支持医保字典对照、数据导入、数据导出。需支持完成多模态临床医生应用系统与医保接口对接。其中医保接口的对接，重点兼容原有医保接口功能等与医保相关功能。</w:t>
      </w:r>
    </w:p>
    <w:p w14:paraId="4E7B285D">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18.4.3历史数据迁移</w:t>
      </w:r>
    </w:p>
    <w:p w14:paraId="65C85AC3">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结合我院医保接口实际使用情况，制定数据迁移策略，开发迁移工具并实施历史数据迁移。满足医保字典对照、数据导入、数据导出等与医保相关功能等。历史数据迁移重点兼容原有历史诊疗数据持续管理。</w:t>
      </w:r>
    </w:p>
    <w:p w14:paraId="524EE905">
      <w:pPr>
        <w:keepNext/>
        <w:keepLines/>
        <w:numPr>
          <w:ilvl w:val="2"/>
          <w:numId w:val="0"/>
        </w:numPr>
        <w:overflowPunct w:val="0"/>
        <w:topLinePunct/>
        <w:autoSpaceDE/>
        <w:autoSpaceDN/>
        <w:spacing w:line="360" w:lineRule="auto"/>
        <w:ind w:left="720" w:hanging="720"/>
        <w:jc w:val="both"/>
        <w:outlineLvl w:val="2"/>
        <w:rPr>
          <w:rFonts w:hint="eastAsia"/>
          <w:b/>
          <w:bCs/>
          <w:kern w:val="2"/>
          <w:sz w:val="24"/>
          <w:szCs w:val="24"/>
          <w:lang w:eastAsia="zh-CN"/>
        </w:rPr>
      </w:pPr>
      <w:r>
        <w:rPr>
          <w:rFonts w:hint="eastAsia"/>
          <w:b/>
          <w:bCs/>
          <w:kern w:val="2"/>
          <w:sz w:val="24"/>
          <w:szCs w:val="24"/>
          <w:lang w:eastAsia="zh-CN"/>
        </w:rPr>
        <w:t>18.4.4物价字典调价</w:t>
      </w:r>
    </w:p>
    <w:p w14:paraId="384E3A2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需支持立即调价、定时调价等功能。</w:t>
      </w:r>
    </w:p>
    <w:p w14:paraId="2C1A0C7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需支持支持与医嘱术语管理流程联动、开发符合我院物价管理制度的调价功能。</w:t>
      </w:r>
    </w:p>
    <w:p w14:paraId="7E5CF556">
      <w:pPr>
        <w:keepNext/>
        <w:keepLines/>
        <w:overflowPunct w:val="0"/>
        <w:topLinePunct/>
        <w:autoSpaceDE/>
        <w:autoSpaceDN/>
        <w:spacing w:line="360" w:lineRule="auto"/>
        <w:jc w:val="both"/>
        <w:outlineLvl w:val="0"/>
        <w:rPr>
          <w:rFonts w:hint="eastAsia"/>
          <w:b/>
          <w:bCs/>
          <w:kern w:val="44"/>
          <w:sz w:val="24"/>
          <w:szCs w:val="24"/>
          <w:lang w:eastAsia="zh-CN"/>
        </w:rPr>
      </w:pPr>
      <w:bookmarkStart w:id="81" w:name="_Toc12814"/>
      <w:r>
        <w:rPr>
          <w:rFonts w:hint="eastAsia"/>
          <w:b/>
          <w:bCs/>
          <w:kern w:val="44"/>
          <w:sz w:val="24"/>
          <w:szCs w:val="24"/>
          <w:lang w:eastAsia="zh-CN"/>
        </w:rPr>
        <w:t>19、信息系统集成</w:t>
      </w:r>
      <w:bookmarkEnd w:id="81"/>
    </w:p>
    <w:p w14:paraId="4F3CE8B7">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1、多模态门诊医生站</w:t>
      </w:r>
    </w:p>
    <w:p w14:paraId="6EB893B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需实现原有门诊医生站与其他系统的接口；</w:t>
      </w:r>
    </w:p>
    <w:p w14:paraId="3A07A82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需满足院内各类上报平台接口对接。</w:t>
      </w:r>
    </w:p>
    <w:p w14:paraId="52CA9D89">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2、多模态急诊医生站</w:t>
      </w:r>
    </w:p>
    <w:p w14:paraId="420A618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需实现原有急诊医生站以及急诊HIS与其他系统的接口；</w:t>
      </w:r>
    </w:p>
    <w:p w14:paraId="234CE3FF">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需满足院内各类上报平台接口对接；</w:t>
      </w:r>
    </w:p>
    <w:p w14:paraId="57D36096">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需对接电子病历系统；</w:t>
      </w:r>
    </w:p>
    <w:p w14:paraId="632D481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需支持对接医技系统，调阅检查，检验报告信息；</w:t>
      </w:r>
    </w:p>
    <w:p w14:paraId="5B345068">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需支持对接疾病上报系统，提供传染病上报数据；</w:t>
      </w:r>
    </w:p>
    <w:p w14:paraId="00FD97C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需支持对接平台系统，提供急诊患者数据；</w:t>
      </w:r>
    </w:p>
    <w:p w14:paraId="1BB35ECB">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需支持对接不良事件系统，提供上报数据。</w:t>
      </w:r>
    </w:p>
    <w:p w14:paraId="4B485482">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3、多模态住院医生站</w:t>
      </w:r>
    </w:p>
    <w:p w14:paraId="30DEDE80">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需实现原有住院医生站以及住院HIS与其他系统的接口；</w:t>
      </w:r>
    </w:p>
    <w:p w14:paraId="710A996E">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需满足院内各类上报平台接口对接。</w:t>
      </w:r>
    </w:p>
    <w:p w14:paraId="3EAD155C">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4.需按院内数据标准做数据管理。</w:t>
      </w:r>
    </w:p>
    <w:p w14:paraId="111942C4">
      <w:pPr>
        <w:overflowPunct w:val="0"/>
        <w:topLinePunct/>
        <w:autoSpaceDE/>
        <w:autoSpaceDN/>
        <w:spacing w:line="360" w:lineRule="auto"/>
        <w:ind w:firstLine="480" w:firstLineChars="200"/>
        <w:jc w:val="both"/>
        <w:rPr>
          <w:rFonts w:hint="eastAsia"/>
          <w:kern w:val="2"/>
          <w:sz w:val="24"/>
          <w:szCs w:val="24"/>
          <w:lang w:eastAsia="zh-CN"/>
        </w:rPr>
      </w:pPr>
      <w:r>
        <w:rPr>
          <w:rFonts w:hint="eastAsia"/>
          <w:kern w:val="2"/>
          <w:sz w:val="24"/>
          <w:szCs w:val="24"/>
          <w:lang w:eastAsia="zh-CN"/>
        </w:rPr>
        <w:t>5.本项目建设相关的第三方配合接口对接费用。</w:t>
      </w:r>
    </w:p>
    <w:p w14:paraId="1123129A">
      <w:pPr>
        <w:keepNext/>
        <w:keepLines/>
        <w:overflowPunct w:val="0"/>
        <w:topLinePunct/>
        <w:autoSpaceDE/>
        <w:autoSpaceDN/>
        <w:spacing w:line="360" w:lineRule="auto"/>
        <w:jc w:val="both"/>
        <w:outlineLvl w:val="0"/>
        <w:rPr>
          <w:rFonts w:hint="eastAsia"/>
          <w:b/>
          <w:bCs/>
          <w:kern w:val="44"/>
          <w:sz w:val="24"/>
          <w:szCs w:val="24"/>
          <w:lang w:eastAsia="zh-CN"/>
        </w:rPr>
      </w:pPr>
      <w:bookmarkStart w:id="82" w:name="_Toc5956"/>
      <w:r>
        <w:rPr>
          <w:rFonts w:hint="eastAsia"/>
          <w:b/>
          <w:bCs/>
          <w:kern w:val="44"/>
          <w:sz w:val="24"/>
          <w:szCs w:val="24"/>
          <w:lang w:eastAsia="zh-CN"/>
        </w:rPr>
        <w:t>（四）项目实施及服务要求</w:t>
      </w:r>
      <w:bookmarkEnd w:id="82"/>
    </w:p>
    <w:p w14:paraId="098D56AB">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83" w:name="_Toc29589"/>
      <w:r>
        <w:rPr>
          <w:rFonts w:hint="eastAsia"/>
          <w:b/>
          <w:bCs/>
          <w:kern w:val="44"/>
          <w:sz w:val="24"/>
          <w:szCs w:val="24"/>
          <w:lang w:eastAsia="zh-CN"/>
        </w:rPr>
        <w:t>1、项目建设进度要求</w:t>
      </w:r>
      <w:bookmarkEnd w:id="83"/>
    </w:p>
    <w:p w14:paraId="0E42A4DB">
      <w:pPr>
        <w:keepNext/>
        <w:keepLines/>
        <w:overflowPunct w:val="0"/>
        <w:topLinePunct/>
        <w:autoSpaceDE/>
        <w:autoSpaceDN/>
        <w:spacing w:line="360" w:lineRule="auto"/>
        <w:ind w:left="444" w:leftChars="202" w:firstLine="24" w:firstLineChars="10"/>
        <w:jc w:val="both"/>
        <w:outlineLvl w:val="0"/>
        <w:rPr>
          <w:rFonts w:hint="eastAsia"/>
          <w:kern w:val="44"/>
          <w:sz w:val="24"/>
          <w:szCs w:val="24"/>
          <w:lang w:eastAsia="zh-CN"/>
        </w:rPr>
      </w:pPr>
      <w:bookmarkStart w:id="84" w:name="_Toc6772"/>
      <w:r>
        <w:rPr>
          <w:rFonts w:hint="eastAsia"/>
          <w:kern w:val="44"/>
          <w:sz w:val="24"/>
          <w:szCs w:val="24"/>
          <w:lang w:eastAsia="zh-CN"/>
        </w:rPr>
        <w:t>合同签订后450日内完成初步验收，经过不少于3个月试运行，并对项目进行过程中</w:t>
      </w:r>
      <w:bookmarkEnd w:id="84"/>
    </w:p>
    <w:p w14:paraId="2DBB2B05">
      <w:pPr>
        <w:keepNext/>
        <w:keepLines/>
        <w:overflowPunct w:val="0"/>
        <w:topLinePunct/>
        <w:autoSpaceDE/>
        <w:autoSpaceDN/>
        <w:spacing w:line="360" w:lineRule="auto"/>
        <w:jc w:val="both"/>
        <w:outlineLvl w:val="0"/>
        <w:rPr>
          <w:rFonts w:hint="eastAsia"/>
          <w:kern w:val="44"/>
          <w:sz w:val="24"/>
          <w:szCs w:val="24"/>
          <w:lang w:eastAsia="zh-CN"/>
        </w:rPr>
      </w:pPr>
      <w:bookmarkStart w:id="85" w:name="_Toc4941"/>
      <w:r>
        <w:rPr>
          <w:rFonts w:hint="eastAsia"/>
          <w:kern w:val="44"/>
          <w:sz w:val="24"/>
          <w:szCs w:val="24"/>
          <w:lang w:eastAsia="zh-CN"/>
        </w:rPr>
        <w:t>的文档进行有效的管理，接受用户方对项目各阶段评估分析和监督管理。</w:t>
      </w:r>
      <w:bookmarkEnd w:id="85"/>
    </w:p>
    <w:p w14:paraId="006E20E8">
      <w:pPr>
        <w:keepNext/>
        <w:keepLines/>
        <w:overflowPunct w:val="0"/>
        <w:topLinePunct/>
        <w:autoSpaceDE/>
        <w:autoSpaceDN/>
        <w:spacing w:line="360" w:lineRule="auto"/>
        <w:ind w:left="444" w:leftChars="202" w:firstLine="24" w:firstLineChars="10"/>
        <w:jc w:val="both"/>
        <w:outlineLvl w:val="0"/>
        <w:rPr>
          <w:rFonts w:hint="eastAsia"/>
          <w:kern w:val="44"/>
          <w:sz w:val="24"/>
          <w:szCs w:val="24"/>
          <w:lang w:eastAsia="zh-CN"/>
        </w:rPr>
      </w:pPr>
      <w:bookmarkStart w:id="86" w:name="_Toc15762"/>
      <w:r>
        <w:rPr>
          <w:rFonts w:hint="eastAsia"/>
          <w:kern w:val="44"/>
          <w:sz w:val="24"/>
          <w:szCs w:val="24"/>
          <w:lang w:eastAsia="zh-CN"/>
        </w:rPr>
        <w:t>需要提供完善的实施交付文档（包括但不限于：需求调研报告、项目建设方案、项目</w:t>
      </w:r>
      <w:bookmarkEnd w:id="86"/>
    </w:p>
    <w:p w14:paraId="1BF11FB4">
      <w:pPr>
        <w:keepNext/>
        <w:keepLines/>
        <w:overflowPunct w:val="0"/>
        <w:topLinePunct/>
        <w:autoSpaceDE/>
        <w:autoSpaceDN/>
        <w:spacing w:line="360" w:lineRule="auto"/>
        <w:jc w:val="both"/>
        <w:outlineLvl w:val="0"/>
        <w:rPr>
          <w:rFonts w:hint="eastAsia"/>
          <w:kern w:val="44"/>
          <w:sz w:val="24"/>
          <w:szCs w:val="24"/>
          <w:lang w:eastAsia="zh-CN"/>
        </w:rPr>
      </w:pPr>
      <w:bookmarkStart w:id="87" w:name="_Toc10437"/>
      <w:r>
        <w:rPr>
          <w:rFonts w:hint="eastAsia"/>
          <w:kern w:val="44"/>
          <w:sz w:val="24"/>
          <w:szCs w:val="24"/>
          <w:lang w:eastAsia="zh-CN"/>
        </w:rPr>
        <w:t>实施计划、项目测试方案、项目测试用例、项目测试报告、系统部署方案、系统安装手册、用户使用手册、用户培训材料（包括短视频及其他形式的培训资料）、系统上线报告）系统功能符合需求，运行平稳，通过第三方软件测评和安全测评后，需提交验收文档资料（包括：项目验收申请报告、用户需求说明书、项目实施计划说明书、操作手册、用户手册等），并进行最终验收。</w:t>
      </w:r>
      <w:bookmarkEnd w:id="87"/>
    </w:p>
    <w:p w14:paraId="0C59F172">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88" w:name="_Toc28630"/>
      <w:r>
        <w:rPr>
          <w:rFonts w:hint="eastAsia"/>
          <w:b/>
          <w:bCs/>
          <w:kern w:val="44"/>
          <w:sz w:val="24"/>
          <w:szCs w:val="24"/>
          <w:lang w:eastAsia="zh-CN"/>
        </w:rPr>
        <w:t>2、项目团队人员数量及资质要求</w:t>
      </w:r>
      <w:bookmarkEnd w:id="88"/>
    </w:p>
    <w:p w14:paraId="7190521A">
      <w:pPr>
        <w:keepNext/>
        <w:keepLines/>
        <w:overflowPunct w:val="0"/>
        <w:topLinePunct/>
        <w:autoSpaceDE/>
        <w:autoSpaceDN/>
        <w:spacing w:line="360" w:lineRule="auto"/>
        <w:ind w:left="444" w:leftChars="202" w:firstLine="24" w:firstLineChars="10"/>
        <w:jc w:val="both"/>
        <w:outlineLvl w:val="0"/>
        <w:rPr>
          <w:rFonts w:hint="eastAsia"/>
          <w:kern w:val="44"/>
          <w:sz w:val="24"/>
          <w:szCs w:val="24"/>
          <w:lang w:eastAsia="zh-CN"/>
        </w:rPr>
      </w:pPr>
      <w:bookmarkStart w:id="89" w:name="_Toc27798"/>
      <w:r>
        <w:rPr>
          <w:rFonts w:hint="eastAsia"/>
          <w:kern w:val="44"/>
          <w:sz w:val="24"/>
          <w:szCs w:val="24"/>
          <w:lang w:eastAsia="zh-CN"/>
        </w:rPr>
        <w:t>项目团队应包括项目经理1名，具备高级项目经理管理资质，五年以上同类项目管理工作经验，并全权代表供应商执行各项技术及管理工作。其他人员8名，须为供应商正式员工，三年以上同类项目工作经验。</w:t>
      </w:r>
      <w:bookmarkEnd w:id="89"/>
    </w:p>
    <w:p w14:paraId="48AAB408">
      <w:pPr>
        <w:keepNext/>
        <w:keepLines/>
        <w:overflowPunct w:val="0"/>
        <w:topLinePunct/>
        <w:autoSpaceDE/>
        <w:autoSpaceDN/>
        <w:spacing w:line="360" w:lineRule="auto"/>
        <w:ind w:left="420" w:hanging="420"/>
        <w:jc w:val="both"/>
        <w:outlineLvl w:val="0"/>
        <w:rPr>
          <w:rFonts w:hint="eastAsia"/>
          <w:b/>
          <w:bCs/>
          <w:kern w:val="44"/>
          <w:sz w:val="24"/>
          <w:szCs w:val="24"/>
          <w:lang w:eastAsia="zh-CN"/>
        </w:rPr>
      </w:pPr>
      <w:bookmarkStart w:id="90" w:name="_Toc31921"/>
      <w:r>
        <w:rPr>
          <w:rFonts w:hint="eastAsia"/>
          <w:b/>
          <w:bCs/>
          <w:kern w:val="44"/>
          <w:sz w:val="24"/>
          <w:szCs w:val="24"/>
          <w:lang w:eastAsia="zh-CN"/>
        </w:rPr>
        <w:t>3、售后服务年限标准要求</w:t>
      </w:r>
      <w:bookmarkEnd w:id="90"/>
    </w:p>
    <w:p w14:paraId="57C96D73">
      <w:pPr>
        <w:widowControl/>
        <w:adjustRightInd w:val="0"/>
        <w:snapToGrid w:val="0"/>
        <w:spacing w:line="360" w:lineRule="auto"/>
        <w:rPr>
          <w:rFonts w:hint="eastAsia"/>
          <w:sz w:val="24"/>
          <w:szCs w:val="24"/>
          <w:lang w:eastAsia="zh-CN"/>
        </w:rPr>
      </w:pPr>
      <w:r>
        <w:rPr>
          <w:rFonts w:hint="eastAsia"/>
          <w:sz w:val="24"/>
          <w:szCs w:val="24"/>
          <w:lang w:eastAsia="zh-CN"/>
        </w:rPr>
        <w:t>3.1免费运维期限：</w:t>
      </w:r>
    </w:p>
    <w:p w14:paraId="6578A6BF">
      <w:pPr>
        <w:widowControl/>
        <w:adjustRightInd w:val="0"/>
        <w:snapToGrid w:val="0"/>
        <w:spacing w:line="360" w:lineRule="auto"/>
        <w:rPr>
          <w:rFonts w:hint="eastAsia"/>
          <w:sz w:val="24"/>
          <w:szCs w:val="24"/>
          <w:lang w:eastAsia="zh-CN"/>
        </w:rPr>
      </w:pPr>
      <w:r>
        <w:rPr>
          <w:rFonts w:hint="eastAsia"/>
          <w:sz w:val="24"/>
          <w:szCs w:val="24"/>
          <w:lang w:eastAsia="zh-CN"/>
        </w:rPr>
        <w:t>自项目最终验收合格后不少于3年，免费运维期满每年维保费用不高于原合同额5%。</w:t>
      </w:r>
    </w:p>
    <w:p w14:paraId="60A1E2A6">
      <w:pPr>
        <w:widowControl/>
        <w:adjustRightInd w:val="0"/>
        <w:snapToGrid w:val="0"/>
        <w:spacing w:line="360" w:lineRule="auto"/>
        <w:rPr>
          <w:rFonts w:hint="eastAsia"/>
          <w:sz w:val="24"/>
          <w:szCs w:val="24"/>
          <w:lang w:eastAsia="zh-CN"/>
        </w:rPr>
      </w:pPr>
      <w:r>
        <w:rPr>
          <w:rFonts w:hint="eastAsia"/>
          <w:sz w:val="24"/>
          <w:szCs w:val="24"/>
          <w:lang w:eastAsia="zh-CN"/>
        </w:rPr>
        <w:t>3.2免费运维期内需提供不少于1名驻场运维服务工程师，服务内容为系统日常运维管理（包括技术巡查服务、日常运行维护、接口对接等，具体运维工作要求），但不包括软件定制化需求开发。</w:t>
      </w:r>
    </w:p>
    <w:p w14:paraId="3D80DE69">
      <w:pPr>
        <w:widowControl/>
        <w:adjustRightInd w:val="0"/>
        <w:snapToGrid w:val="0"/>
        <w:spacing w:line="360" w:lineRule="auto"/>
        <w:rPr>
          <w:rFonts w:hint="eastAsia"/>
          <w:sz w:val="24"/>
          <w:szCs w:val="24"/>
          <w:lang w:eastAsia="zh-CN"/>
        </w:rPr>
      </w:pPr>
      <w:r>
        <w:rPr>
          <w:rFonts w:hint="eastAsia"/>
          <w:sz w:val="24"/>
          <w:szCs w:val="24"/>
          <w:lang w:eastAsia="zh-CN"/>
        </w:rPr>
        <w:t>3.3免费运维期内提供服务要求如下：</w:t>
      </w:r>
    </w:p>
    <w:p w14:paraId="13E12F66">
      <w:pPr>
        <w:widowControl/>
        <w:adjustRightInd w:val="0"/>
        <w:snapToGrid w:val="0"/>
        <w:spacing w:line="360" w:lineRule="auto"/>
        <w:ind w:firstLine="480" w:firstLineChars="200"/>
        <w:rPr>
          <w:rFonts w:hint="eastAsia"/>
          <w:sz w:val="24"/>
          <w:szCs w:val="24"/>
          <w:lang w:eastAsia="zh-CN"/>
        </w:rPr>
      </w:pPr>
      <w:r>
        <w:rPr>
          <w:rFonts w:hint="eastAsia"/>
          <w:sz w:val="24"/>
          <w:szCs w:val="24"/>
          <w:lang w:eastAsia="zh-CN"/>
        </w:rPr>
        <w:t>1、提供7*24小时技术支持。</w:t>
      </w:r>
    </w:p>
    <w:p w14:paraId="40E419F2">
      <w:pPr>
        <w:widowControl/>
        <w:adjustRightInd w:val="0"/>
        <w:snapToGrid w:val="0"/>
        <w:spacing w:line="360" w:lineRule="auto"/>
        <w:ind w:firstLine="480" w:firstLineChars="200"/>
        <w:rPr>
          <w:rFonts w:hint="eastAsia"/>
          <w:sz w:val="24"/>
          <w:szCs w:val="24"/>
          <w:lang w:eastAsia="zh-CN"/>
        </w:rPr>
      </w:pPr>
      <w:r>
        <w:rPr>
          <w:rFonts w:hint="eastAsia"/>
          <w:sz w:val="24"/>
          <w:szCs w:val="24"/>
          <w:lang w:eastAsia="zh-CN"/>
        </w:rPr>
        <w:t>2、驻场时间内，5分钟响应，30分钟解决问题。</w:t>
      </w:r>
    </w:p>
    <w:p w14:paraId="09C4341B">
      <w:pPr>
        <w:widowControl/>
        <w:adjustRightInd w:val="0"/>
        <w:snapToGrid w:val="0"/>
        <w:spacing w:line="360" w:lineRule="auto"/>
        <w:ind w:firstLine="480" w:firstLineChars="200"/>
        <w:rPr>
          <w:rFonts w:hint="eastAsia"/>
          <w:sz w:val="24"/>
          <w:szCs w:val="24"/>
          <w:lang w:eastAsia="zh-CN"/>
        </w:rPr>
      </w:pPr>
      <w:r>
        <w:rPr>
          <w:rFonts w:hint="eastAsia"/>
          <w:sz w:val="24"/>
          <w:szCs w:val="24"/>
          <w:lang w:eastAsia="zh-CN"/>
        </w:rPr>
        <w:t>3、非驻场时间内，10分钟响应，1小时解决问题。</w:t>
      </w:r>
    </w:p>
    <w:p w14:paraId="470FA575">
      <w:pPr>
        <w:widowControl/>
        <w:adjustRightInd w:val="0"/>
        <w:snapToGrid w:val="0"/>
        <w:spacing w:line="360" w:lineRule="auto"/>
        <w:ind w:firstLine="480" w:firstLineChars="200"/>
        <w:rPr>
          <w:rFonts w:hint="eastAsia"/>
          <w:sz w:val="24"/>
          <w:szCs w:val="24"/>
          <w:lang w:eastAsia="zh-CN"/>
        </w:rPr>
      </w:pPr>
      <w:r>
        <w:rPr>
          <w:rFonts w:hint="eastAsia"/>
          <w:sz w:val="24"/>
          <w:szCs w:val="24"/>
          <w:lang w:eastAsia="zh-CN"/>
        </w:rPr>
        <w:t>4、驻场工程师或远程无法解决的问题，需派高级别工程师2小时内到达现场。</w:t>
      </w:r>
    </w:p>
    <w:p w14:paraId="3E4B5571">
      <w:pPr>
        <w:widowControl/>
        <w:adjustRightInd w:val="0"/>
        <w:snapToGrid w:val="0"/>
        <w:spacing w:before="120" w:beforeLines="50" w:line="360" w:lineRule="auto"/>
        <w:rPr>
          <w:rFonts w:hint="eastAsia"/>
          <w:b/>
          <w:bCs/>
          <w:sz w:val="24"/>
          <w:szCs w:val="24"/>
          <w:lang w:eastAsia="zh-CN"/>
        </w:rPr>
      </w:pPr>
      <w:r>
        <w:rPr>
          <w:rFonts w:hint="eastAsia"/>
          <w:b/>
          <w:bCs/>
          <w:sz w:val="24"/>
          <w:szCs w:val="24"/>
          <w:lang w:eastAsia="zh-CN"/>
        </w:rPr>
        <w:t>2.2 采购标的需满足的服务标准、期限、效率等要求；</w:t>
      </w:r>
    </w:p>
    <w:p w14:paraId="6B19A504">
      <w:pPr>
        <w:spacing w:line="486" w:lineRule="exact"/>
        <w:contextualSpacing/>
        <w:rPr>
          <w:rFonts w:hint="eastAsia"/>
          <w:szCs w:val="24"/>
          <w:lang w:eastAsia="zh-CN"/>
        </w:rPr>
      </w:pPr>
      <w:r>
        <w:rPr>
          <w:rFonts w:hint="eastAsia"/>
          <w:sz w:val="24"/>
          <w:szCs w:val="24"/>
          <w:lang w:eastAsia="zh-CN"/>
        </w:rPr>
        <w:t>详见 需满足的质量、安全、技术规格、物理特性等要求。</w:t>
      </w:r>
    </w:p>
    <w:p w14:paraId="51DC89E8">
      <w:pPr>
        <w:tabs>
          <w:tab w:val="left" w:pos="900"/>
        </w:tabs>
        <w:spacing w:before="120" w:beforeLines="50" w:line="360" w:lineRule="auto"/>
        <w:ind w:firstLine="482" w:firstLineChars="200"/>
        <w:rPr>
          <w:rFonts w:hint="eastAsia"/>
          <w:b/>
          <w:bCs/>
          <w:sz w:val="24"/>
          <w:szCs w:val="24"/>
          <w:lang w:eastAsia="zh-CN"/>
        </w:rPr>
      </w:pPr>
      <w:r>
        <w:rPr>
          <w:rFonts w:hint="eastAsia"/>
          <w:b/>
          <w:bCs/>
          <w:sz w:val="24"/>
          <w:szCs w:val="24"/>
          <w:lang w:eastAsia="zh-CN"/>
        </w:rPr>
        <w:t>2.3为落实政府采购政策需满足的要求；</w:t>
      </w:r>
    </w:p>
    <w:p w14:paraId="14A36213">
      <w:pPr>
        <w:tabs>
          <w:tab w:val="left" w:pos="900"/>
        </w:tabs>
        <w:spacing w:line="360" w:lineRule="auto"/>
        <w:ind w:firstLine="480" w:firstLineChars="200"/>
        <w:rPr>
          <w:rFonts w:hint="eastAsia"/>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5AF62FBE">
      <w:pPr>
        <w:tabs>
          <w:tab w:val="left" w:pos="900"/>
        </w:tabs>
        <w:spacing w:line="360" w:lineRule="auto"/>
        <w:ind w:firstLine="480" w:firstLineChars="200"/>
        <w:rPr>
          <w:rFonts w:hint="eastAsia"/>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319278BF">
      <w:pPr>
        <w:tabs>
          <w:tab w:val="left" w:pos="900"/>
        </w:tabs>
        <w:spacing w:line="360" w:lineRule="auto"/>
        <w:ind w:firstLine="480" w:firstLineChars="200"/>
        <w:rPr>
          <w:rFonts w:hint="eastAsia"/>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5B2F005E">
      <w:pPr>
        <w:autoSpaceDE/>
        <w:autoSpaceDN/>
        <w:spacing w:line="360" w:lineRule="auto"/>
        <w:ind w:firstLine="480" w:firstLineChars="200"/>
        <w:rPr>
          <w:rFonts w:hint="eastAsia"/>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352DECD7">
      <w:pPr>
        <w:autoSpaceDE/>
        <w:autoSpaceDN/>
        <w:spacing w:before="20" w:line="360" w:lineRule="auto"/>
        <w:ind w:firstLine="480" w:firstLineChars="200"/>
        <w:rPr>
          <w:rFonts w:hint="eastAsia"/>
          <w:b/>
          <w:bCs/>
          <w:sz w:val="24"/>
          <w:szCs w:val="24"/>
          <w:lang w:eastAsia="zh-CN"/>
        </w:rPr>
      </w:pPr>
      <w:r>
        <w:rPr>
          <w:rFonts w:hint="eastAsia"/>
          <w:sz w:val="24"/>
          <w:szCs w:val="24"/>
          <w:lang w:eastAsia="zh-CN"/>
        </w:rPr>
        <w:t>5）实施本国产品标准及相关政策：依据《</w:t>
      </w:r>
      <w:r>
        <w:rPr>
          <w:rFonts w:hint="eastAsia"/>
          <w:color w:val="000000"/>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color w:val="000000"/>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3DE3D404">
      <w:pPr>
        <w:autoSpaceDE/>
        <w:autoSpaceDN/>
        <w:spacing w:before="20" w:line="360" w:lineRule="auto"/>
        <w:ind w:firstLine="482" w:firstLineChars="200"/>
        <w:rPr>
          <w:rFonts w:hint="eastAsia"/>
          <w:b/>
          <w:bCs/>
          <w:sz w:val="24"/>
          <w:szCs w:val="24"/>
          <w:lang w:eastAsia="zh-CN"/>
        </w:rPr>
      </w:pPr>
      <w:r>
        <w:rPr>
          <w:rFonts w:hint="eastAsia"/>
          <w:b/>
          <w:bCs/>
          <w:sz w:val="24"/>
          <w:szCs w:val="24"/>
          <w:lang w:eastAsia="zh-CN"/>
        </w:rPr>
        <w:t>2.4采购标的的其他技术、服务等要求；</w:t>
      </w:r>
    </w:p>
    <w:p w14:paraId="6849641C">
      <w:pPr>
        <w:tabs>
          <w:tab w:val="left" w:pos="900"/>
        </w:tabs>
        <w:spacing w:line="360" w:lineRule="auto"/>
        <w:ind w:firstLine="480" w:firstLineChars="200"/>
        <w:rPr>
          <w:rFonts w:hint="eastAsia"/>
          <w:iCs/>
          <w:color w:val="FF0000"/>
          <w:sz w:val="24"/>
          <w:szCs w:val="24"/>
          <w:lang w:eastAsia="zh-CN"/>
        </w:rPr>
      </w:pPr>
      <w:r>
        <w:rPr>
          <w:rFonts w:hint="eastAsia"/>
          <w:sz w:val="24"/>
          <w:szCs w:val="24"/>
          <w:lang w:eastAsia="zh-CN"/>
        </w:rPr>
        <w:t>投标人须提供总体设计方案、功能设计方案、项目实施方案、培训方案、售后服务方案、历史数据利用方案等。</w:t>
      </w:r>
      <w:r>
        <w:rPr>
          <w:rFonts w:hint="eastAsia"/>
          <w:iCs/>
          <w:sz w:val="24"/>
          <w:szCs w:val="24"/>
          <w:lang w:eastAsia="zh-CN"/>
        </w:rPr>
        <w:t xml:space="preserve">  </w:t>
      </w:r>
    </w:p>
    <w:p w14:paraId="62926B06">
      <w:pPr>
        <w:tabs>
          <w:tab w:val="left" w:pos="900"/>
        </w:tabs>
        <w:spacing w:before="120" w:beforeLines="50" w:line="360" w:lineRule="auto"/>
        <w:ind w:firstLine="482" w:firstLineChars="200"/>
        <w:rPr>
          <w:rFonts w:hint="eastAsia"/>
          <w:b/>
          <w:sz w:val="24"/>
          <w:szCs w:val="24"/>
          <w:lang w:eastAsia="zh-CN"/>
        </w:rPr>
      </w:pPr>
      <w:r>
        <w:rPr>
          <w:rFonts w:hint="eastAsia"/>
          <w:b/>
          <w:sz w:val="24"/>
          <w:szCs w:val="24"/>
          <w:lang w:eastAsia="zh-CN"/>
        </w:rPr>
        <w:t>3.采购标的的验收标准</w:t>
      </w:r>
    </w:p>
    <w:p w14:paraId="2620B1C1">
      <w:pPr>
        <w:pStyle w:val="21"/>
        <w:spacing w:before="0" w:line="360" w:lineRule="auto"/>
        <w:ind w:left="0" w:firstLine="476"/>
        <w:rPr>
          <w:rFonts w:hint="eastAsia"/>
          <w:sz w:val="24"/>
          <w:lang w:eastAsia="zh-CN"/>
        </w:rPr>
      </w:pPr>
      <w:bookmarkStart w:id="91" w:name="_Toc181860788"/>
      <w:bookmarkStart w:id="92" w:name="_Toc15601"/>
      <w:r>
        <w:rPr>
          <w:rFonts w:hint="eastAsia"/>
          <w:sz w:val="24"/>
          <w:lang w:eastAsia="zh-CN"/>
        </w:rPr>
        <w:t>3.</w:t>
      </w:r>
      <w:r>
        <w:rPr>
          <w:sz w:val="24"/>
          <w:lang w:eastAsia="zh-CN"/>
        </w:rPr>
        <w:t>1</w:t>
      </w:r>
      <w:r>
        <w:rPr>
          <w:rFonts w:hint="eastAsia"/>
          <w:sz w:val="24"/>
          <w:lang w:eastAsia="zh-CN"/>
        </w:rPr>
        <w:t>符合采购人服务范围要求。</w:t>
      </w:r>
      <w:bookmarkEnd w:id="91"/>
      <w:bookmarkEnd w:id="92"/>
    </w:p>
    <w:p w14:paraId="4F4FF428">
      <w:pPr>
        <w:pStyle w:val="21"/>
        <w:spacing w:before="0" w:line="360" w:lineRule="auto"/>
        <w:ind w:left="0" w:firstLine="476"/>
        <w:rPr>
          <w:rFonts w:hint="eastAsia"/>
          <w:sz w:val="24"/>
          <w:lang w:eastAsia="zh-CN"/>
        </w:rPr>
      </w:pPr>
      <w:bookmarkStart w:id="93" w:name="_Toc26326"/>
      <w:bookmarkStart w:id="94" w:name="_Toc181860789"/>
      <w:r>
        <w:rPr>
          <w:rFonts w:hint="eastAsia"/>
          <w:sz w:val="24"/>
          <w:lang w:eastAsia="zh-CN"/>
        </w:rPr>
        <w:t>3.</w:t>
      </w:r>
      <w:r>
        <w:rPr>
          <w:sz w:val="24"/>
          <w:lang w:eastAsia="zh-CN"/>
        </w:rPr>
        <w:t>2</w:t>
      </w:r>
      <w:r>
        <w:rPr>
          <w:rFonts w:hint="eastAsia"/>
          <w:sz w:val="24"/>
          <w:lang w:eastAsia="zh-CN"/>
        </w:rPr>
        <w:t>供应商配置的硬件设备（如涉及）符合采购人要求。</w:t>
      </w:r>
      <w:bookmarkEnd w:id="93"/>
      <w:bookmarkEnd w:id="94"/>
    </w:p>
    <w:p w14:paraId="49568177">
      <w:pPr>
        <w:pStyle w:val="21"/>
        <w:spacing w:before="0" w:line="360" w:lineRule="auto"/>
        <w:ind w:left="0" w:firstLine="476"/>
        <w:rPr>
          <w:rFonts w:hint="eastAsia"/>
          <w:sz w:val="24"/>
          <w:lang w:eastAsia="zh-CN"/>
        </w:rPr>
      </w:pPr>
      <w:bookmarkStart w:id="95" w:name="_Toc181860790"/>
      <w:bookmarkStart w:id="96" w:name="_Toc11917"/>
      <w:r>
        <w:rPr>
          <w:rFonts w:hint="eastAsia"/>
          <w:sz w:val="24"/>
          <w:lang w:eastAsia="zh-CN"/>
        </w:rPr>
        <w:t>3.</w:t>
      </w:r>
      <w:r>
        <w:rPr>
          <w:sz w:val="24"/>
          <w:lang w:eastAsia="zh-CN"/>
        </w:rPr>
        <w:t>3</w:t>
      </w:r>
      <w:r>
        <w:rPr>
          <w:rFonts w:hint="eastAsia"/>
          <w:sz w:val="24"/>
          <w:lang w:eastAsia="zh-CN"/>
        </w:rPr>
        <w:t>完成采购人要求的工作内容。</w:t>
      </w:r>
      <w:bookmarkEnd w:id="95"/>
      <w:bookmarkEnd w:id="96"/>
    </w:p>
    <w:p w14:paraId="16B19164">
      <w:pPr>
        <w:pStyle w:val="21"/>
        <w:spacing w:before="0" w:line="360" w:lineRule="auto"/>
        <w:ind w:left="0" w:firstLine="476"/>
        <w:rPr>
          <w:rFonts w:hint="eastAsia"/>
          <w:sz w:val="24"/>
          <w:lang w:eastAsia="zh-CN"/>
        </w:rPr>
      </w:pPr>
      <w:bookmarkStart w:id="97" w:name="_Toc32098"/>
      <w:bookmarkStart w:id="98" w:name="_Toc181860791"/>
      <w:r>
        <w:rPr>
          <w:rFonts w:hint="eastAsia"/>
          <w:sz w:val="24"/>
          <w:lang w:eastAsia="zh-CN"/>
        </w:rPr>
        <w:t>3.</w:t>
      </w:r>
      <w:r>
        <w:rPr>
          <w:sz w:val="24"/>
          <w:lang w:eastAsia="zh-CN"/>
        </w:rPr>
        <w:t>4</w:t>
      </w:r>
      <w:r>
        <w:rPr>
          <w:rFonts w:hint="eastAsia"/>
          <w:sz w:val="24"/>
          <w:lang w:eastAsia="zh-CN"/>
        </w:rPr>
        <w:t>达到采购人要求的服务和质量标准</w:t>
      </w:r>
      <w:bookmarkEnd w:id="97"/>
      <w:bookmarkEnd w:id="98"/>
      <w:r>
        <w:rPr>
          <w:rFonts w:hint="eastAsia"/>
          <w:sz w:val="24"/>
          <w:lang w:eastAsia="zh-CN"/>
        </w:rPr>
        <w:t>。</w:t>
      </w:r>
    </w:p>
    <w:p w14:paraId="35237708">
      <w:pPr>
        <w:autoSpaceDE/>
        <w:autoSpaceDN/>
        <w:adjustRightInd w:val="0"/>
        <w:spacing w:line="560" w:lineRule="exact"/>
        <w:jc w:val="center"/>
        <w:textAlignment w:val="baseline"/>
        <w:outlineLvl w:val="0"/>
        <w:rPr>
          <w:rFonts w:hint="eastAsia"/>
          <w:b/>
          <w:bCs/>
          <w:sz w:val="36"/>
          <w:szCs w:val="36"/>
          <w:lang w:eastAsia="zh-CN"/>
        </w:rPr>
        <w:sectPr>
          <w:headerReference r:id="rId3" w:type="default"/>
          <w:footerReference r:id="rId4" w:type="default"/>
          <w:pgSz w:w="11910" w:h="16840"/>
          <w:pgMar w:top="1100" w:right="920" w:bottom="1080" w:left="1580" w:header="879" w:footer="892" w:gutter="0"/>
          <w:cols w:space="720" w:num="1"/>
        </w:sectPr>
      </w:pPr>
    </w:p>
    <w:p w14:paraId="6D57F6FF"/>
    <w:p w14:paraId="0EDA2257">
      <w:pPr>
        <w:pStyle w:val="4"/>
        <w:tabs>
          <w:tab w:val="left" w:pos="1630"/>
        </w:tabs>
        <w:spacing w:line="460" w:lineRule="exact"/>
        <w:ind w:left="8"/>
        <w:jc w:val="center"/>
        <w:rPr>
          <w:b/>
          <w:bCs/>
        </w:rPr>
      </w:pPr>
      <w:r>
        <w:rPr>
          <w:rFonts w:hint="eastAsia"/>
          <w:b/>
          <w:bCs/>
          <w:lang w:val="en-US" w:eastAsia="zh-CN"/>
        </w:rPr>
        <w:t>03包</w:t>
      </w:r>
      <w:r>
        <w:rPr>
          <w:rFonts w:hint="eastAsia"/>
          <w:b/>
          <w:bCs/>
        </w:rPr>
        <w:t>采购需求</w:t>
      </w:r>
    </w:p>
    <w:p w14:paraId="5E5E8CC1"/>
    <w:p w14:paraId="112F373E">
      <w:pPr>
        <w:pStyle w:val="7"/>
        <w:spacing w:before="1"/>
        <w:ind w:left="121"/>
        <w:rPr>
          <w:b/>
          <w:bCs/>
        </w:rPr>
      </w:pPr>
      <w:r>
        <w:rPr>
          <w:rFonts w:hint="eastAsia"/>
          <w:b/>
          <w:bCs/>
        </w:rPr>
        <w:t>一、采购标的</w:t>
      </w:r>
    </w:p>
    <w:p w14:paraId="43990401">
      <w:pPr>
        <w:pStyle w:val="15"/>
        <w:tabs>
          <w:tab w:val="left" w:pos="470"/>
          <w:tab w:val="left" w:pos="7040"/>
        </w:tabs>
        <w:spacing w:before="154" w:line="360"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12"/>
        <w:tblW w:w="92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733"/>
      </w:tblGrid>
      <w:tr w14:paraId="3DAC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vAlign w:val="center"/>
          </w:tcPr>
          <w:p w14:paraId="42203005">
            <w:pPr>
              <w:pStyle w:val="16"/>
              <w:jc w:val="center"/>
              <w:rPr>
                <w:b/>
                <w:bCs/>
                <w:sz w:val="24"/>
                <w:szCs w:val="24"/>
                <w:lang w:eastAsia="zh-CN"/>
              </w:rPr>
            </w:pPr>
            <w:r>
              <w:rPr>
                <w:rFonts w:hint="eastAsia"/>
                <w:b/>
                <w:bCs/>
                <w:sz w:val="24"/>
                <w:szCs w:val="24"/>
                <w:lang w:eastAsia="zh-CN"/>
              </w:rPr>
              <w:t>包号</w:t>
            </w:r>
          </w:p>
        </w:tc>
        <w:tc>
          <w:tcPr>
            <w:tcW w:w="1083" w:type="dxa"/>
            <w:tcBorders>
              <w:top w:val="single" w:color="000000" w:sz="4" w:space="0"/>
              <w:left w:val="single" w:color="000000" w:sz="4" w:space="0"/>
              <w:bottom w:val="single" w:color="000000" w:sz="4" w:space="0"/>
              <w:right w:val="single" w:color="000000" w:sz="4" w:space="0"/>
            </w:tcBorders>
            <w:vAlign w:val="center"/>
          </w:tcPr>
          <w:p w14:paraId="43B637C1">
            <w:pPr>
              <w:pStyle w:val="16"/>
              <w:jc w:val="center"/>
              <w:rPr>
                <w:b/>
                <w:bCs/>
                <w:sz w:val="24"/>
                <w:szCs w:val="24"/>
                <w:lang w:eastAsia="zh-CN"/>
              </w:rPr>
            </w:pPr>
            <w:r>
              <w:rPr>
                <w:rFonts w:hint="eastAsia"/>
                <w:b/>
                <w:bCs/>
                <w:sz w:val="24"/>
                <w:szCs w:val="24"/>
                <w:lang w:eastAsia="zh-CN"/>
              </w:rPr>
              <w:t>品目号</w:t>
            </w:r>
          </w:p>
        </w:tc>
        <w:tc>
          <w:tcPr>
            <w:tcW w:w="2569" w:type="dxa"/>
            <w:tcBorders>
              <w:top w:val="single" w:color="000000" w:sz="4" w:space="0"/>
              <w:left w:val="single" w:color="000000" w:sz="4" w:space="0"/>
              <w:bottom w:val="single" w:color="000000" w:sz="4" w:space="0"/>
              <w:right w:val="single" w:color="000000" w:sz="4" w:space="0"/>
            </w:tcBorders>
            <w:vAlign w:val="center"/>
          </w:tcPr>
          <w:p w14:paraId="4902C5C2">
            <w:pPr>
              <w:pStyle w:val="16"/>
              <w:jc w:val="center"/>
              <w:rPr>
                <w:b/>
                <w:bCs/>
                <w:sz w:val="24"/>
                <w:szCs w:val="24"/>
                <w:lang w:eastAsia="zh-CN"/>
              </w:rPr>
            </w:pPr>
            <w:r>
              <w:rPr>
                <w:rFonts w:hint="eastAsia"/>
                <w:b/>
                <w:bCs/>
                <w:sz w:val="24"/>
                <w:szCs w:val="24"/>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vAlign w:val="center"/>
          </w:tcPr>
          <w:p w14:paraId="0F16F481">
            <w:pPr>
              <w:pStyle w:val="16"/>
              <w:jc w:val="center"/>
              <w:rPr>
                <w:b/>
                <w:bCs/>
                <w:sz w:val="24"/>
                <w:szCs w:val="24"/>
              </w:rPr>
            </w:pPr>
            <w:r>
              <w:rPr>
                <w:rFonts w:hint="eastAsia"/>
                <w:b/>
                <w:bCs/>
                <w:sz w:val="24"/>
                <w:szCs w:val="24"/>
              </w:rPr>
              <w:t>数量</w:t>
            </w:r>
          </w:p>
          <w:p w14:paraId="727950D0">
            <w:pPr>
              <w:pStyle w:val="16"/>
              <w:jc w:val="center"/>
              <w:rPr>
                <w:b/>
                <w:bCs/>
                <w:sz w:val="24"/>
                <w:szCs w:val="24"/>
              </w:rPr>
            </w:pPr>
            <w:r>
              <w:rPr>
                <w:rFonts w:hint="eastAsia"/>
                <w:b/>
                <w:bCs/>
                <w:sz w:val="24"/>
                <w:szCs w:val="24"/>
              </w:rPr>
              <w:t>（台/套）</w:t>
            </w:r>
          </w:p>
        </w:tc>
        <w:tc>
          <w:tcPr>
            <w:tcW w:w="1733" w:type="dxa"/>
            <w:tcBorders>
              <w:top w:val="single" w:color="000000" w:sz="4" w:space="0"/>
              <w:left w:val="single" w:color="000000" w:sz="4" w:space="0"/>
              <w:bottom w:val="single" w:color="000000" w:sz="4" w:space="0"/>
              <w:right w:val="single" w:color="000000" w:sz="4" w:space="0"/>
            </w:tcBorders>
            <w:vAlign w:val="center"/>
          </w:tcPr>
          <w:p w14:paraId="234D21C9">
            <w:pPr>
              <w:pStyle w:val="16"/>
              <w:jc w:val="center"/>
              <w:rPr>
                <w:b/>
                <w:bCs/>
                <w:sz w:val="24"/>
                <w:szCs w:val="24"/>
                <w:lang w:eastAsia="zh-CN"/>
              </w:rPr>
            </w:pPr>
            <w:r>
              <w:rPr>
                <w:rFonts w:hint="eastAsia"/>
                <w:b/>
                <w:bCs/>
                <w:sz w:val="24"/>
                <w:szCs w:val="24"/>
                <w:lang w:eastAsia="zh-CN"/>
              </w:rPr>
              <w:t>是否允许采购进口产品</w:t>
            </w:r>
          </w:p>
        </w:tc>
        <w:tc>
          <w:tcPr>
            <w:tcW w:w="1733" w:type="dxa"/>
            <w:tcBorders>
              <w:top w:val="single" w:color="000000" w:sz="4" w:space="0"/>
              <w:left w:val="single" w:color="000000" w:sz="4" w:space="0"/>
              <w:bottom w:val="single" w:color="000000" w:sz="4" w:space="0"/>
              <w:right w:val="single" w:color="000000" w:sz="4" w:space="0"/>
            </w:tcBorders>
            <w:vAlign w:val="center"/>
          </w:tcPr>
          <w:p w14:paraId="40D1193D">
            <w:pPr>
              <w:pStyle w:val="16"/>
              <w:jc w:val="center"/>
              <w:rPr>
                <w:b/>
                <w:bCs/>
                <w:sz w:val="24"/>
                <w:szCs w:val="24"/>
                <w:lang w:eastAsia="zh-CN"/>
              </w:rPr>
            </w:pPr>
            <w:r>
              <w:rPr>
                <w:rFonts w:hint="eastAsia"/>
                <w:b/>
                <w:bCs/>
                <w:sz w:val="24"/>
                <w:szCs w:val="24"/>
                <w:lang w:eastAsia="zh-CN"/>
              </w:rPr>
              <w:t>质保期</w:t>
            </w:r>
          </w:p>
        </w:tc>
      </w:tr>
      <w:tr w14:paraId="5FCE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top w:val="single" w:color="000000" w:sz="4" w:space="0"/>
              <w:left w:val="single" w:color="000000" w:sz="4" w:space="0"/>
              <w:right w:val="single" w:color="000000" w:sz="4" w:space="0"/>
            </w:tcBorders>
            <w:vAlign w:val="center"/>
          </w:tcPr>
          <w:p w14:paraId="5683B609">
            <w:pPr>
              <w:pStyle w:val="16"/>
              <w:jc w:val="center"/>
              <w:rPr>
                <w:sz w:val="24"/>
                <w:szCs w:val="24"/>
                <w:lang w:eastAsia="zh-CN"/>
              </w:rPr>
            </w:pPr>
            <w:r>
              <w:rPr>
                <w:rFonts w:hint="eastAsia"/>
                <w:sz w:val="24"/>
                <w:szCs w:val="24"/>
                <w:lang w:eastAsia="zh-CN"/>
              </w:rPr>
              <w:t>3</w:t>
            </w:r>
          </w:p>
        </w:tc>
        <w:tc>
          <w:tcPr>
            <w:tcW w:w="1083" w:type="dxa"/>
            <w:tcBorders>
              <w:top w:val="single" w:color="000000" w:sz="4" w:space="0"/>
              <w:left w:val="single" w:color="000000" w:sz="4" w:space="0"/>
              <w:bottom w:val="single" w:color="000000" w:sz="4" w:space="0"/>
              <w:right w:val="single" w:color="000000" w:sz="4" w:space="0"/>
            </w:tcBorders>
            <w:vAlign w:val="center"/>
          </w:tcPr>
          <w:p w14:paraId="4D4921E1">
            <w:pPr>
              <w:pStyle w:val="16"/>
              <w:jc w:val="center"/>
              <w:rPr>
                <w:sz w:val="24"/>
                <w:szCs w:val="24"/>
                <w:lang w:eastAsia="zh-CN"/>
              </w:rPr>
            </w:pPr>
            <w:r>
              <w:rPr>
                <w:rFonts w:hint="eastAsia"/>
                <w:sz w:val="24"/>
                <w:szCs w:val="24"/>
                <w:lang w:eastAsia="zh-CN"/>
              </w:rPr>
              <w:t>3-1</w:t>
            </w:r>
          </w:p>
        </w:tc>
        <w:tc>
          <w:tcPr>
            <w:tcW w:w="2569" w:type="dxa"/>
            <w:tcBorders>
              <w:top w:val="single" w:color="000000" w:sz="4" w:space="0"/>
              <w:left w:val="single" w:color="000000" w:sz="4" w:space="0"/>
              <w:bottom w:val="single" w:color="000000" w:sz="4" w:space="0"/>
              <w:right w:val="single" w:color="000000" w:sz="4" w:space="0"/>
            </w:tcBorders>
            <w:vAlign w:val="center"/>
          </w:tcPr>
          <w:p w14:paraId="18FAC163">
            <w:pPr>
              <w:widowControl/>
              <w:jc w:val="center"/>
              <w:textAlignment w:val="center"/>
              <w:rPr>
                <w:sz w:val="24"/>
                <w:szCs w:val="24"/>
                <w:lang w:eastAsia="zh-CN"/>
              </w:rPr>
            </w:pPr>
            <w:r>
              <w:rPr>
                <w:rFonts w:hint="eastAsia"/>
                <w:sz w:val="24"/>
                <w:szCs w:val="24"/>
                <w:lang w:eastAsia="zh-CN"/>
              </w:rPr>
              <w:t>终端集中管理系统</w:t>
            </w:r>
          </w:p>
        </w:tc>
        <w:tc>
          <w:tcPr>
            <w:tcW w:w="1293" w:type="dxa"/>
            <w:tcBorders>
              <w:top w:val="single" w:color="000000" w:sz="4" w:space="0"/>
              <w:left w:val="single" w:color="000000" w:sz="4" w:space="0"/>
              <w:bottom w:val="single" w:color="000000" w:sz="4" w:space="0"/>
              <w:right w:val="single" w:color="000000" w:sz="4" w:space="0"/>
            </w:tcBorders>
            <w:vAlign w:val="center"/>
          </w:tcPr>
          <w:p w14:paraId="0C34434E">
            <w:pPr>
              <w:widowControl/>
              <w:jc w:val="center"/>
              <w:textAlignment w:val="center"/>
              <w:rPr>
                <w:sz w:val="24"/>
                <w:szCs w:val="24"/>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279C1161">
            <w:pPr>
              <w:widowControl/>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415C455E">
            <w:pPr>
              <w:pStyle w:val="16"/>
              <w:jc w:val="center"/>
              <w:rPr>
                <w:sz w:val="24"/>
                <w:szCs w:val="24"/>
                <w:lang w:eastAsia="zh-CN"/>
              </w:rPr>
            </w:pPr>
            <w:r>
              <w:rPr>
                <w:rFonts w:hint="eastAsia"/>
                <w:sz w:val="24"/>
                <w:szCs w:val="24"/>
                <w:lang w:eastAsia="zh-CN"/>
              </w:rPr>
              <w:t>三年</w:t>
            </w:r>
          </w:p>
        </w:tc>
      </w:tr>
      <w:tr w14:paraId="2783B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trPr>
        <w:tc>
          <w:tcPr>
            <w:tcW w:w="823" w:type="dxa"/>
            <w:vMerge w:val="continue"/>
            <w:tcBorders>
              <w:left w:val="single" w:color="000000" w:sz="4" w:space="0"/>
              <w:right w:val="single" w:color="000000" w:sz="4" w:space="0"/>
            </w:tcBorders>
            <w:vAlign w:val="center"/>
          </w:tcPr>
          <w:p w14:paraId="02948CCE">
            <w:pPr>
              <w:pStyle w:val="16"/>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9029148">
            <w:pPr>
              <w:pStyle w:val="16"/>
              <w:jc w:val="center"/>
              <w:rPr>
                <w:sz w:val="24"/>
                <w:szCs w:val="24"/>
                <w:lang w:eastAsia="zh-CN"/>
              </w:rPr>
            </w:pPr>
            <w:r>
              <w:rPr>
                <w:rFonts w:hint="eastAsia"/>
                <w:sz w:val="24"/>
                <w:szCs w:val="24"/>
                <w:lang w:eastAsia="zh-CN"/>
              </w:rPr>
              <w:t>3-2</w:t>
            </w:r>
          </w:p>
        </w:tc>
        <w:tc>
          <w:tcPr>
            <w:tcW w:w="2569" w:type="dxa"/>
            <w:tcBorders>
              <w:top w:val="single" w:color="000000" w:sz="4" w:space="0"/>
              <w:left w:val="single" w:color="000000" w:sz="4" w:space="0"/>
              <w:bottom w:val="single" w:color="000000" w:sz="4" w:space="0"/>
              <w:right w:val="single" w:color="000000" w:sz="4" w:space="0"/>
            </w:tcBorders>
            <w:vAlign w:val="center"/>
          </w:tcPr>
          <w:p w14:paraId="7E620FA1">
            <w:pPr>
              <w:widowControl/>
              <w:jc w:val="center"/>
              <w:textAlignment w:val="center"/>
              <w:rPr>
                <w:sz w:val="24"/>
                <w:szCs w:val="24"/>
                <w:lang w:eastAsia="zh-CN"/>
              </w:rPr>
            </w:pPr>
            <w:r>
              <w:rPr>
                <w:rFonts w:hint="eastAsia"/>
                <w:sz w:val="24"/>
                <w:szCs w:val="24"/>
                <w:lang w:eastAsia="zh-CN"/>
              </w:rPr>
              <w:t>移动端安全管理平台</w:t>
            </w:r>
          </w:p>
        </w:tc>
        <w:tc>
          <w:tcPr>
            <w:tcW w:w="1293" w:type="dxa"/>
            <w:tcBorders>
              <w:top w:val="single" w:color="000000" w:sz="4" w:space="0"/>
              <w:left w:val="single" w:color="000000" w:sz="4" w:space="0"/>
              <w:bottom w:val="single" w:color="000000" w:sz="4" w:space="0"/>
              <w:right w:val="single" w:color="000000" w:sz="4" w:space="0"/>
            </w:tcBorders>
            <w:vAlign w:val="center"/>
          </w:tcPr>
          <w:p w14:paraId="7B5FF0D2">
            <w:pPr>
              <w:widowControl/>
              <w:jc w:val="center"/>
              <w:textAlignment w:val="center"/>
              <w:rPr>
                <w:sz w:val="24"/>
                <w:szCs w:val="24"/>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3B7636F4">
            <w:pPr>
              <w:widowControl/>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617290B5">
            <w:pPr>
              <w:jc w:val="center"/>
              <w:rPr>
                <w:sz w:val="24"/>
                <w:szCs w:val="24"/>
                <w:lang w:eastAsia="zh-CN"/>
              </w:rPr>
            </w:pPr>
            <w:r>
              <w:rPr>
                <w:rFonts w:hint="eastAsia"/>
                <w:sz w:val="24"/>
                <w:szCs w:val="24"/>
                <w:lang w:eastAsia="zh-CN"/>
              </w:rPr>
              <w:t>三年</w:t>
            </w:r>
          </w:p>
        </w:tc>
      </w:tr>
      <w:tr w14:paraId="7DAB9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vAlign w:val="center"/>
          </w:tcPr>
          <w:p w14:paraId="4554FD90">
            <w:pPr>
              <w:pStyle w:val="16"/>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C007DCC">
            <w:pPr>
              <w:pStyle w:val="16"/>
              <w:jc w:val="center"/>
              <w:rPr>
                <w:sz w:val="24"/>
                <w:szCs w:val="24"/>
                <w:lang w:eastAsia="zh-CN"/>
              </w:rPr>
            </w:pPr>
            <w:r>
              <w:rPr>
                <w:rFonts w:hint="eastAsia"/>
                <w:sz w:val="24"/>
                <w:szCs w:val="24"/>
                <w:lang w:eastAsia="zh-CN"/>
              </w:rPr>
              <w:t>3-3</w:t>
            </w:r>
          </w:p>
        </w:tc>
        <w:tc>
          <w:tcPr>
            <w:tcW w:w="2569" w:type="dxa"/>
            <w:tcBorders>
              <w:top w:val="single" w:color="000000" w:sz="4" w:space="0"/>
              <w:left w:val="single" w:color="000000" w:sz="4" w:space="0"/>
              <w:bottom w:val="single" w:color="000000" w:sz="4" w:space="0"/>
              <w:right w:val="single" w:color="000000" w:sz="4" w:space="0"/>
            </w:tcBorders>
            <w:vAlign w:val="center"/>
          </w:tcPr>
          <w:p w14:paraId="5F24BFD8">
            <w:pPr>
              <w:widowControl/>
              <w:jc w:val="center"/>
              <w:textAlignment w:val="center"/>
              <w:rPr>
                <w:sz w:val="24"/>
                <w:szCs w:val="24"/>
                <w:lang w:eastAsia="zh-CN"/>
              </w:rPr>
            </w:pPr>
            <w:r>
              <w:rPr>
                <w:rFonts w:hint="eastAsia"/>
                <w:sz w:val="24"/>
                <w:szCs w:val="24"/>
                <w:lang w:eastAsia="zh-CN"/>
              </w:rPr>
              <w:t>身份鉴别-双因素系统</w:t>
            </w:r>
          </w:p>
        </w:tc>
        <w:tc>
          <w:tcPr>
            <w:tcW w:w="1293" w:type="dxa"/>
            <w:tcBorders>
              <w:top w:val="single" w:color="000000" w:sz="4" w:space="0"/>
              <w:left w:val="single" w:color="000000" w:sz="4" w:space="0"/>
              <w:bottom w:val="single" w:color="000000" w:sz="4" w:space="0"/>
              <w:right w:val="single" w:color="000000" w:sz="4" w:space="0"/>
            </w:tcBorders>
            <w:vAlign w:val="center"/>
          </w:tcPr>
          <w:p w14:paraId="481423AB">
            <w:pPr>
              <w:widowControl/>
              <w:jc w:val="center"/>
              <w:textAlignment w:val="center"/>
              <w:rPr>
                <w:sz w:val="24"/>
                <w:szCs w:val="24"/>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vAlign w:val="center"/>
          </w:tcPr>
          <w:p w14:paraId="1F52584A">
            <w:pPr>
              <w:widowControl/>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vAlign w:val="center"/>
          </w:tcPr>
          <w:p w14:paraId="230F1753">
            <w:pPr>
              <w:jc w:val="center"/>
              <w:rPr>
                <w:sz w:val="24"/>
                <w:szCs w:val="24"/>
                <w:lang w:eastAsia="zh-CN"/>
              </w:rPr>
            </w:pPr>
            <w:r>
              <w:rPr>
                <w:rFonts w:hint="eastAsia"/>
                <w:sz w:val="24"/>
                <w:szCs w:val="24"/>
                <w:lang w:eastAsia="zh-CN"/>
              </w:rPr>
              <w:t>三年</w:t>
            </w:r>
          </w:p>
        </w:tc>
      </w:tr>
    </w:tbl>
    <w:p w14:paraId="26E114AC">
      <w:pPr>
        <w:pStyle w:val="17"/>
        <w:tabs>
          <w:tab w:val="left" w:pos="1197"/>
        </w:tabs>
        <w:spacing w:before="0" w:line="360" w:lineRule="auto"/>
        <w:ind w:left="0" w:right="233" w:firstLine="0"/>
        <w:jc w:val="both"/>
        <w:rPr>
          <w:b/>
          <w:bCs/>
          <w:sz w:val="24"/>
          <w:lang w:eastAsia="zh-CN"/>
        </w:rPr>
      </w:pPr>
      <w:r>
        <w:rPr>
          <w:rFonts w:hint="eastAsia"/>
          <w:b/>
          <w:bCs/>
          <w:sz w:val="24"/>
          <w:lang w:eastAsia="zh-CN"/>
        </w:rPr>
        <w:t>二、商务要求</w:t>
      </w:r>
    </w:p>
    <w:p w14:paraId="14487030">
      <w:pPr>
        <w:pStyle w:val="17"/>
        <w:tabs>
          <w:tab w:val="left" w:pos="1197"/>
        </w:tabs>
        <w:spacing w:before="0" w:line="360" w:lineRule="auto"/>
        <w:ind w:left="0" w:right="233" w:firstLine="0"/>
        <w:jc w:val="both"/>
        <w:rPr>
          <w:b/>
          <w:bCs/>
          <w:sz w:val="24"/>
          <w:szCs w:val="24"/>
          <w:lang w:eastAsia="zh-CN"/>
        </w:rPr>
      </w:pPr>
      <w:r>
        <w:rPr>
          <w:rFonts w:hint="eastAsia"/>
          <w:b/>
          <w:bCs/>
          <w:sz w:val="24"/>
          <w:szCs w:val="24"/>
          <w:lang w:eastAsia="zh-CN"/>
        </w:rPr>
        <w:t>1.1.交货时间和地点：</w:t>
      </w:r>
    </w:p>
    <w:p w14:paraId="07EF3178">
      <w:pPr>
        <w:pStyle w:val="17"/>
        <w:tabs>
          <w:tab w:val="left" w:pos="1197"/>
        </w:tabs>
        <w:spacing w:before="0" w:line="360" w:lineRule="auto"/>
        <w:ind w:left="0" w:right="233" w:firstLine="0"/>
        <w:jc w:val="both"/>
        <w:rPr>
          <w:sz w:val="24"/>
          <w:szCs w:val="24"/>
          <w:lang w:eastAsia="zh-CN"/>
        </w:rPr>
      </w:pPr>
      <w:r>
        <w:rPr>
          <w:rFonts w:hint="eastAsia"/>
          <w:sz w:val="24"/>
          <w:szCs w:val="24"/>
          <w:lang w:eastAsia="zh-CN"/>
        </w:rPr>
        <w:t>★1.1 交货时间：签订合同后30个自然日内(需提供承诺函并加盖投标人公章)</w:t>
      </w:r>
    </w:p>
    <w:p w14:paraId="601FECDF">
      <w:pPr>
        <w:pStyle w:val="17"/>
        <w:tabs>
          <w:tab w:val="left" w:pos="1197"/>
        </w:tabs>
        <w:spacing w:before="0" w:line="360" w:lineRule="auto"/>
        <w:ind w:left="0" w:right="233" w:firstLine="240" w:firstLineChars="100"/>
        <w:jc w:val="both"/>
        <w:rPr>
          <w:sz w:val="24"/>
          <w:szCs w:val="24"/>
          <w:lang w:eastAsia="zh-CN"/>
        </w:rPr>
      </w:pPr>
      <w:r>
        <w:rPr>
          <w:rFonts w:hint="eastAsia"/>
          <w:sz w:val="24"/>
          <w:szCs w:val="24"/>
          <w:lang w:eastAsia="zh-CN"/>
        </w:rPr>
        <w:t>1.2 交货地点：首都医科大学附属北京天坛医院指定地点。</w:t>
      </w:r>
    </w:p>
    <w:p w14:paraId="39D0977F">
      <w:pPr>
        <w:pStyle w:val="17"/>
        <w:tabs>
          <w:tab w:val="left" w:pos="1197"/>
        </w:tabs>
        <w:spacing w:before="0" w:line="360" w:lineRule="auto"/>
        <w:ind w:left="0" w:right="233" w:firstLine="0"/>
        <w:jc w:val="both"/>
        <w:rPr>
          <w:sz w:val="24"/>
          <w:szCs w:val="24"/>
          <w:lang w:eastAsia="zh-CN"/>
        </w:rPr>
      </w:pPr>
      <w:r>
        <w:rPr>
          <w:rFonts w:hint="eastAsia"/>
          <w:b/>
          <w:bCs/>
          <w:sz w:val="24"/>
          <w:szCs w:val="24"/>
          <w:lang w:eastAsia="zh-CN"/>
        </w:rPr>
        <w:t>2.付款条件（进度和方式）</w:t>
      </w:r>
      <w:r>
        <w:rPr>
          <w:rFonts w:hint="eastAsia"/>
          <w:sz w:val="24"/>
          <w:szCs w:val="24"/>
          <w:lang w:eastAsia="zh-CN"/>
        </w:rPr>
        <w:t>：</w:t>
      </w:r>
    </w:p>
    <w:p w14:paraId="6B1D7DA1">
      <w:pPr>
        <w:pStyle w:val="17"/>
        <w:tabs>
          <w:tab w:val="left" w:pos="1197"/>
        </w:tabs>
        <w:spacing w:before="0" w:line="360" w:lineRule="auto"/>
        <w:ind w:right="233"/>
        <w:jc w:val="both"/>
        <w:rPr>
          <w:sz w:val="24"/>
          <w:szCs w:val="24"/>
          <w:lang w:eastAsia="zh-CN"/>
        </w:rPr>
      </w:pPr>
      <w:r>
        <w:rPr>
          <w:rFonts w:hint="eastAsia"/>
          <w:sz w:val="24"/>
          <w:szCs w:val="24"/>
          <w:lang w:eastAsia="zh-CN"/>
        </w:rPr>
        <w:t>详见“拟签订的合同文本”。</w:t>
      </w:r>
    </w:p>
    <w:p w14:paraId="12BF7FE5">
      <w:pPr>
        <w:pStyle w:val="17"/>
        <w:tabs>
          <w:tab w:val="left" w:pos="1197"/>
        </w:tabs>
        <w:spacing w:before="0" w:line="360" w:lineRule="auto"/>
        <w:ind w:left="0" w:right="233" w:firstLine="0"/>
        <w:jc w:val="both"/>
        <w:rPr>
          <w:b/>
          <w:bCs/>
          <w:sz w:val="24"/>
          <w:szCs w:val="24"/>
          <w:lang w:eastAsia="zh-CN"/>
        </w:rPr>
      </w:pPr>
      <w:r>
        <w:rPr>
          <w:rFonts w:hint="eastAsia"/>
          <w:b/>
          <w:bCs/>
          <w:sz w:val="24"/>
          <w:szCs w:val="24"/>
          <w:lang w:eastAsia="zh-CN"/>
        </w:rPr>
        <w:t>3.包装和运输（如适用，须满足《关于印发〈商品包装政府采购需求标准（试行）〉、〈快递包装政府采购需求标准（试行）〉的通知》（财办库﹝2020﹞123号））</w:t>
      </w:r>
    </w:p>
    <w:p w14:paraId="6A8ADC17">
      <w:pPr>
        <w:pStyle w:val="17"/>
        <w:tabs>
          <w:tab w:val="left" w:pos="1197"/>
        </w:tabs>
        <w:spacing w:before="0" w:line="360" w:lineRule="auto"/>
        <w:ind w:left="0" w:right="233" w:firstLine="0"/>
        <w:jc w:val="both"/>
        <w:rPr>
          <w:b/>
          <w:bCs/>
          <w:sz w:val="24"/>
          <w:szCs w:val="24"/>
          <w:lang w:eastAsia="zh-CN"/>
        </w:rPr>
      </w:pPr>
      <w:r>
        <w:rPr>
          <w:rFonts w:hint="eastAsia"/>
          <w:b/>
          <w:bCs/>
          <w:sz w:val="24"/>
          <w:szCs w:val="24"/>
          <w:lang w:eastAsia="zh-CN"/>
        </w:rPr>
        <w:t>4.质保服务：</w:t>
      </w:r>
    </w:p>
    <w:p w14:paraId="6CCA5F5E">
      <w:pPr>
        <w:spacing w:line="360" w:lineRule="auto"/>
        <w:contextualSpacing/>
        <w:rPr>
          <w:sz w:val="24"/>
          <w:szCs w:val="24"/>
          <w:lang w:eastAsia="zh-CN"/>
        </w:rPr>
      </w:pPr>
      <w:r>
        <w:rPr>
          <w:rFonts w:hint="eastAsia"/>
          <w:sz w:val="24"/>
          <w:szCs w:val="24"/>
          <w:lang w:eastAsia="zh-CN"/>
        </w:rPr>
        <w:t>项目所有货物提供原厂3年维保服务并提供厂商售后服务承诺函原件。</w:t>
      </w:r>
    </w:p>
    <w:p w14:paraId="0114FE12">
      <w:pPr>
        <w:spacing w:line="360" w:lineRule="auto"/>
        <w:contextualSpacing/>
        <w:rPr>
          <w:b/>
          <w:bCs/>
          <w:sz w:val="24"/>
          <w:szCs w:val="24"/>
          <w:lang w:eastAsia="zh-CN"/>
        </w:rPr>
      </w:pPr>
      <w:r>
        <w:rPr>
          <w:rFonts w:hint="eastAsia"/>
          <w:b/>
          <w:bCs/>
          <w:sz w:val="24"/>
          <w:szCs w:val="24"/>
          <w:lang w:eastAsia="zh-CN"/>
        </w:rPr>
        <w:t>三、技术要求</w:t>
      </w:r>
    </w:p>
    <w:p w14:paraId="40BA6784">
      <w:pPr>
        <w:spacing w:line="360" w:lineRule="auto"/>
        <w:ind w:firstLine="241" w:firstLineChars="100"/>
        <w:contextualSpacing/>
        <w:rPr>
          <w:b/>
          <w:bCs/>
          <w:sz w:val="24"/>
          <w:szCs w:val="24"/>
          <w:lang w:eastAsia="zh-CN"/>
        </w:rPr>
      </w:pPr>
      <w:r>
        <w:rPr>
          <w:rFonts w:hint="eastAsia"/>
          <w:b/>
          <w:bCs/>
          <w:sz w:val="24"/>
          <w:szCs w:val="24"/>
          <w:lang w:eastAsia="zh-CN"/>
        </w:rPr>
        <w:t>1. 基本要求</w:t>
      </w:r>
    </w:p>
    <w:p w14:paraId="774606F3">
      <w:pPr>
        <w:spacing w:line="360" w:lineRule="auto"/>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19B143C5">
      <w:pPr>
        <w:adjustRightInd w:val="0"/>
        <w:spacing w:line="360" w:lineRule="auto"/>
        <w:ind w:firstLine="480" w:firstLineChars="200"/>
        <w:rPr>
          <w:sz w:val="24"/>
          <w:szCs w:val="24"/>
          <w:lang w:eastAsia="zh-CN"/>
        </w:rPr>
      </w:pPr>
      <w:r>
        <w:rPr>
          <w:rFonts w:hint="eastAsia"/>
          <w:sz w:val="24"/>
          <w:szCs w:val="24"/>
          <w:lang w:eastAsia="zh-CN"/>
        </w:rPr>
        <w:t>本次招标采购是为</w:t>
      </w:r>
      <w:r>
        <w:rPr>
          <w:rFonts w:hint="eastAsia"/>
          <w:kern w:val="2"/>
          <w:sz w:val="24"/>
          <w:szCs w:val="24"/>
          <w:lang w:eastAsia="zh-CN"/>
        </w:rPr>
        <w:t>首都医科大学附属北京天坛医院多模态临床医生应用系统及线上线下一体化便民服务系统建设配备所需安全系统</w:t>
      </w:r>
      <w:r>
        <w:rPr>
          <w:rFonts w:hint="eastAsia"/>
          <w:sz w:val="24"/>
          <w:szCs w:val="24"/>
          <w:lang w:eastAsia="zh-CN"/>
        </w:rPr>
        <w:t>，供应商应根据招标文件所提出的技术规格和服务要求，综合考虑所投货物的适用性，选择具有最佳性能价格比的货物前来投标。以先进的技术、优良的服务和优惠的价格，充分显示自己的竞争实力。</w:t>
      </w:r>
    </w:p>
    <w:p w14:paraId="4AB97FA9">
      <w:pPr>
        <w:spacing w:line="360" w:lineRule="auto"/>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088751B5">
      <w:pPr>
        <w:autoSpaceDE/>
        <w:autoSpaceDN/>
        <w:spacing w:line="360" w:lineRule="auto"/>
        <w:ind w:left="240" w:leftChars="109" w:firstLine="240" w:firstLineChars="100"/>
        <w:rPr>
          <w:sz w:val="24"/>
          <w:szCs w:val="24"/>
          <w:lang w:eastAsia="zh-CN"/>
        </w:rPr>
      </w:pPr>
      <w:r>
        <w:rPr>
          <w:rFonts w:hint="eastAsia"/>
          <w:sz w:val="24"/>
          <w:szCs w:val="24"/>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2D04B78F">
      <w:pPr>
        <w:spacing w:before="120" w:beforeLines="50" w:line="360" w:lineRule="auto"/>
        <w:ind w:firstLine="241" w:firstLineChars="100"/>
        <w:contextualSpacing/>
        <w:rPr>
          <w:b/>
          <w:bCs/>
          <w:sz w:val="24"/>
          <w:szCs w:val="24"/>
          <w:lang w:eastAsia="zh-CN"/>
        </w:rPr>
      </w:pPr>
      <w:r>
        <w:rPr>
          <w:rFonts w:hint="eastAsia"/>
          <w:b/>
          <w:bCs/>
          <w:sz w:val="24"/>
          <w:szCs w:val="24"/>
          <w:lang w:eastAsia="zh-CN"/>
        </w:rPr>
        <w:t>2.服务内容及要求/货物技术要求</w:t>
      </w:r>
    </w:p>
    <w:p w14:paraId="18D6334C">
      <w:pPr>
        <w:widowControl/>
        <w:spacing w:line="360" w:lineRule="auto"/>
        <w:ind w:left="-1" w:firstLine="241" w:firstLineChars="100"/>
        <w:contextualSpacing/>
        <w:rPr>
          <w:b/>
          <w:bCs/>
          <w:sz w:val="24"/>
          <w:szCs w:val="24"/>
          <w:lang w:eastAsia="zh-CN"/>
        </w:rPr>
      </w:pPr>
      <w:r>
        <w:rPr>
          <w:rFonts w:hint="eastAsia"/>
          <w:b/>
          <w:bCs/>
          <w:sz w:val="24"/>
          <w:szCs w:val="24"/>
          <w:lang w:eastAsia="zh-CN"/>
        </w:rPr>
        <w:t>2.1 采购标的需满足的性能、材料、结构、外观、质量、安全、技术规格、物理特性等要求；</w:t>
      </w:r>
    </w:p>
    <w:p w14:paraId="7281EF18">
      <w:pPr>
        <w:pStyle w:val="6"/>
        <w:spacing w:before="0" w:line="360" w:lineRule="auto"/>
        <w:jc w:val="both"/>
        <w:rPr>
          <w:b/>
          <w:bCs/>
          <w:sz w:val="24"/>
          <w:szCs w:val="24"/>
          <w:lang w:eastAsia="zh-CN"/>
        </w:rPr>
      </w:pPr>
      <w:bookmarkStart w:id="99" w:name="_Toc216859452"/>
      <w:r>
        <w:rPr>
          <w:rFonts w:hint="eastAsia"/>
          <w:b/>
          <w:bCs/>
          <w:sz w:val="24"/>
          <w:szCs w:val="24"/>
          <w:lang w:eastAsia="zh-CN"/>
        </w:rPr>
        <w:t>（一）终端集中管理系统：数量1套</w:t>
      </w:r>
      <w:bookmarkEnd w:id="99"/>
    </w:p>
    <w:tbl>
      <w:tblPr>
        <w:tblStyle w:val="12"/>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055"/>
        <w:gridCol w:w="5488"/>
        <w:gridCol w:w="1971"/>
      </w:tblGrid>
      <w:tr w14:paraId="5EC4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704" w:type="dxa"/>
            <w:vAlign w:val="center"/>
          </w:tcPr>
          <w:p w14:paraId="60C6B110">
            <w:pPr>
              <w:jc w:val="center"/>
              <w:rPr>
                <w:b/>
                <w:bCs/>
                <w:sz w:val="24"/>
                <w:szCs w:val="24"/>
              </w:rPr>
            </w:pPr>
            <w:r>
              <w:rPr>
                <w:rFonts w:hint="eastAsia"/>
                <w:b/>
                <w:bCs/>
                <w:sz w:val="24"/>
                <w:szCs w:val="24"/>
              </w:rPr>
              <w:t>序号</w:t>
            </w:r>
          </w:p>
        </w:tc>
        <w:tc>
          <w:tcPr>
            <w:tcW w:w="992" w:type="dxa"/>
            <w:vAlign w:val="center"/>
          </w:tcPr>
          <w:p w14:paraId="499E016E">
            <w:pPr>
              <w:jc w:val="center"/>
              <w:rPr>
                <w:b/>
                <w:bCs/>
                <w:sz w:val="24"/>
                <w:szCs w:val="24"/>
              </w:rPr>
            </w:pPr>
            <w:r>
              <w:rPr>
                <w:rFonts w:hint="eastAsia"/>
                <w:b/>
                <w:bCs/>
                <w:sz w:val="24"/>
                <w:szCs w:val="24"/>
              </w:rPr>
              <w:t>重要性</w:t>
            </w:r>
          </w:p>
        </w:tc>
        <w:tc>
          <w:tcPr>
            <w:tcW w:w="1055" w:type="dxa"/>
            <w:vAlign w:val="center"/>
          </w:tcPr>
          <w:p w14:paraId="1EB59502">
            <w:pPr>
              <w:jc w:val="center"/>
              <w:rPr>
                <w:b/>
                <w:bCs/>
                <w:sz w:val="24"/>
                <w:szCs w:val="24"/>
              </w:rPr>
            </w:pPr>
            <w:r>
              <w:rPr>
                <w:rFonts w:hint="eastAsia"/>
                <w:b/>
                <w:bCs/>
                <w:sz w:val="24"/>
                <w:szCs w:val="24"/>
              </w:rPr>
              <w:t>指标项</w:t>
            </w:r>
          </w:p>
        </w:tc>
        <w:tc>
          <w:tcPr>
            <w:tcW w:w="5488" w:type="dxa"/>
            <w:vAlign w:val="center"/>
          </w:tcPr>
          <w:p w14:paraId="73E8E7B7">
            <w:pPr>
              <w:jc w:val="center"/>
              <w:rPr>
                <w:b/>
                <w:bCs/>
                <w:sz w:val="24"/>
                <w:szCs w:val="24"/>
              </w:rPr>
            </w:pPr>
            <w:r>
              <w:rPr>
                <w:rFonts w:hint="eastAsia"/>
                <w:b/>
                <w:bCs/>
                <w:sz w:val="24"/>
                <w:szCs w:val="24"/>
              </w:rPr>
              <w:t>指标要求</w:t>
            </w:r>
          </w:p>
        </w:tc>
        <w:tc>
          <w:tcPr>
            <w:tcW w:w="1971" w:type="dxa"/>
            <w:vAlign w:val="center"/>
          </w:tcPr>
          <w:p w14:paraId="4CDAA8D8">
            <w:pPr>
              <w:jc w:val="center"/>
              <w:rPr>
                <w:b/>
                <w:bCs/>
                <w:sz w:val="24"/>
                <w:szCs w:val="24"/>
              </w:rPr>
            </w:pPr>
            <w:r>
              <w:rPr>
                <w:rFonts w:hint="eastAsia"/>
                <w:b/>
                <w:bCs/>
                <w:sz w:val="24"/>
                <w:szCs w:val="24"/>
              </w:rPr>
              <w:t>证明材料要求</w:t>
            </w:r>
          </w:p>
        </w:tc>
      </w:tr>
      <w:tr w14:paraId="44FB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04" w:type="dxa"/>
            <w:noWrap/>
            <w:vAlign w:val="center"/>
          </w:tcPr>
          <w:p w14:paraId="43A839FF">
            <w:pPr>
              <w:jc w:val="center"/>
              <w:rPr>
                <w:sz w:val="24"/>
                <w:szCs w:val="24"/>
              </w:rPr>
            </w:pPr>
            <w:r>
              <w:rPr>
                <w:rFonts w:hint="eastAsia"/>
                <w:sz w:val="24"/>
                <w:szCs w:val="24"/>
              </w:rPr>
              <w:t>1</w:t>
            </w:r>
          </w:p>
        </w:tc>
        <w:tc>
          <w:tcPr>
            <w:tcW w:w="992" w:type="dxa"/>
            <w:noWrap/>
            <w:vAlign w:val="center"/>
          </w:tcPr>
          <w:p w14:paraId="39036903">
            <w:pPr>
              <w:jc w:val="center"/>
              <w:rPr>
                <w:sz w:val="24"/>
                <w:szCs w:val="24"/>
              </w:rPr>
            </w:pPr>
            <w:r>
              <w:rPr>
                <w:rFonts w:hint="eastAsia"/>
                <w:sz w:val="24"/>
                <w:szCs w:val="24"/>
              </w:rPr>
              <w:t>★</w:t>
            </w:r>
          </w:p>
        </w:tc>
        <w:tc>
          <w:tcPr>
            <w:tcW w:w="1055" w:type="dxa"/>
            <w:vMerge w:val="restart"/>
            <w:vAlign w:val="center"/>
          </w:tcPr>
          <w:p w14:paraId="1F8FF62E">
            <w:pPr>
              <w:jc w:val="center"/>
              <w:rPr>
                <w:sz w:val="24"/>
                <w:szCs w:val="24"/>
              </w:rPr>
            </w:pPr>
            <w:r>
              <w:rPr>
                <w:rFonts w:hint="eastAsia"/>
                <w:sz w:val="24"/>
                <w:szCs w:val="24"/>
              </w:rPr>
              <w:t>平台架构</w:t>
            </w:r>
          </w:p>
        </w:tc>
        <w:tc>
          <w:tcPr>
            <w:tcW w:w="5488" w:type="dxa"/>
            <w:vAlign w:val="center"/>
          </w:tcPr>
          <w:p w14:paraId="19E27A9A">
            <w:pPr>
              <w:rPr>
                <w:sz w:val="24"/>
                <w:szCs w:val="24"/>
              </w:rPr>
            </w:pPr>
            <w:r>
              <w:rPr>
                <w:rFonts w:hint="eastAsia"/>
                <w:sz w:val="24"/>
                <w:szCs w:val="24"/>
              </w:rPr>
              <w:t>硬件规格：</w:t>
            </w:r>
            <w:r>
              <w:rPr>
                <w:rFonts w:hint="eastAsia"/>
                <w:sz w:val="24"/>
                <w:szCs w:val="24"/>
              </w:rPr>
              <w:br w:type="textWrapping"/>
            </w:r>
            <w:r>
              <w:rPr>
                <w:rFonts w:hint="eastAsia"/>
                <w:sz w:val="24"/>
                <w:szCs w:val="24"/>
              </w:rPr>
              <w:t>1）冗余电源，6个千兆网口；</w:t>
            </w:r>
            <w:r>
              <w:rPr>
                <w:rFonts w:hint="eastAsia"/>
                <w:sz w:val="24"/>
                <w:szCs w:val="24"/>
              </w:rPr>
              <w:br w:type="textWrapping"/>
            </w:r>
            <w:r>
              <w:rPr>
                <w:rFonts w:hint="eastAsia"/>
                <w:sz w:val="24"/>
                <w:szCs w:val="24"/>
              </w:rPr>
              <w:t>2）最大支持20000台终端准入控制；</w:t>
            </w:r>
            <w:r>
              <w:rPr>
                <w:rFonts w:hint="eastAsia"/>
                <w:sz w:val="24"/>
                <w:szCs w:val="24"/>
              </w:rPr>
              <w:br w:type="textWrapping"/>
            </w:r>
            <w:r>
              <w:rPr>
                <w:rFonts w:hint="eastAsia"/>
                <w:sz w:val="24"/>
                <w:szCs w:val="24"/>
              </w:rPr>
              <w:t>3）基于EOU(EAP over UDP) 的网络准入控制及URL和POP3重定向提醒功能；</w:t>
            </w:r>
            <w:r>
              <w:rPr>
                <w:rFonts w:hint="eastAsia"/>
                <w:sz w:val="24"/>
                <w:szCs w:val="24"/>
              </w:rPr>
              <w:br w:type="textWrapping"/>
            </w:r>
            <w:r>
              <w:rPr>
                <w:rFonts w:hint="eastAsia"/>
                <w:sz w:val="24"/>
                <w:szCs w:val="24"/>
              </w:rPr>
              <w:t>4）支持路由、端口镜像、NAT模式；</w:t>
            </w:r>
          </w:p>
        </w:tc>
        <w:tc>
          <w:tcPr>
            <w:tcW w:w="1971" w:type="dxa"/>
            <w:vAlign w:val="center"/>
          </w:tcPr>
          <w:p w14:paraId="3E03D6B9">
            <w:pPr>
              <w:rPr>
                <w:sz w:val="24"/>
                <w:szCs w:val="24"/>
                <w:lang w:eastAsia="zh-CN"/>
              </w:rPr>
            </w:pPr>
            <w:r>
              <w:rPr>
                <w:rFonts w:hint="eastAsia"/>
                <w:sz w:val="24"/>
                <w:szCs w:val="24"/>
                <w:lang w:eastAsia="zh-CN"/>
              </w:rPr>
              <w:t>是（包括但不限于白皮书、官网等官方证明材料）</w:t>
            </w:r>
          </w:p>
        </w:tc>
      </w:tr>
      <w:tr w14:paraId="012F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04" w:type="dxa"/>
            <w:noWrap/>
            <w:vAlign w:val="center"/>
          </w:tcPr>
          <w:p w14:paraId="26DB9426">
            <w:pPr>
              <w:jc w:val="center"/>
              <w:rPr>
                <w:sz w:val="24"/>
                <w:szCs w:val="24"/>
              </w:rPr>
            </w:pPr>
            <w:r>
              <w:rPr>
                <w:rFonts w:hint="eastAsia"/>
                <w:sz w:val="24"/>
                <w:szCs w:val="24"/>
              </w:rPr>
              <w:t>2</w:t>
            </w:r>
          </w:p>
        </w:tc>
        <w:tc>
          <w:tcPr>
            <w:tcW w:w="992" w:type="dxa"/>
            <w:noWrap/>
            <w:vAlign w:val="center"/>
          </w:tcPr>
          <w:p w14:paraId="77F184EA">
            <w:pPr>
              <w:jc w:val="center"/>
              <w:rPr>
                <w:sz w:val="24"/>
                <w:szCs w:val="24"/>
              </w:rPr>
            </w:pPr>
            <w:r>
              <w:rPr>
                <w:rFonts w:hint="eastAsia"/>
                <w:sz w:val="24"/>
                <w:szCs w:val="24"/>
              </w:rPr>
              <w:t>★</w:t>
            </w:r>
          </w:p>
        </w:tc>
        <w:tc>
          <w:tcPr>
            <w:tcW w:w="1055" w:type="dxa"/>
            <w:vMerge w:val="continue"/>
            <w:vAlign w:val="center"/>
          </w:tcPr>
          <w:p w14:paraId="52BC3B4C">
            <w:pPr>
              <w:jc w:val="center"/>
              <w:rPr>
                <w:sz w:val="24"/>
                <w:szCs w:val="24"/>
              </w:rPr>
            </w:pPr>
          </w:p>
        </w:tc>
        <w:tc>
          <w:tcPr>
            <w:tcW w:w="5488" w:type="dxa"/>
            <w:vAlign w:val="center"/>
          </w:tcPr>
          <w:p w14:paraId="1475870A">
            <w:pPr>
              <w:rPr>
                <w:sz w:val="24"/>
                <w:szCs w:val="24"/>
              </w:rPr>
            </w:pPr>
            <w:r>
              <w:rPr>
                <w:rFonts w:hint="eastAsia"/>
                <w:sz w:val="24"/>
                <w:szCs w:val="24"/>
                <w:lang w:eastAsia="zh-CN"/>
              </w:rPr>
              <w:t>支持网络准入控制、终端安全自检、软件管理、文件操作审计等功能模块一体化管理，一个管控平台，一个客户端。一个管控平台可同时管理国产化终端和Windows终端。</w:t>
            </w:r>
            <w:r>
              <w:rPr>
                <w:rFonts w:hint="eastAsia"/>
                <w:sz w:val="24"/>
                <w:szCs w:val="24"/>
              </w:rPr>
              <w:t>支持分级、分区域管理。</w:t>
            </w:r>
          </w:p>
        </w:tc>
        <w:tc>
          <w:tcPr>
            <w:tcW w:w="1971" w:type="dxa"/>
            <w:vAlign w:val="center"/>
          </w:tcPr>
          <w:p w14:paraId="363FC09C">
            <w:pPr>
              <w:rPr>
                <w:sz w:val="24"/>
                <w:szCs w:val="24"/>
                <w:lang w:eastAsia="zh-CN"/>
              </w:rPr>
            </w:pPr>
            <w:r>
              <w:rPr>
                <w:rFonts w:hint="eastAsia"/>
                <w:sz w:val="24"/>
                <w:szCs w:val="24"/>
                <w:lang w:eastAsia="zh-CN"/>
              </w:rPr>
              <w:t>是（包括但不限于白皮书、官网等官方证明材料）</w:t>
            </w:r>
          </w:p>
        </w:tc>
      </w:tr>
      <w:tr w14:paraId="7EA4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4" w:type="dxa"/>
            <w:noWrap/>
            <w:vAlign w:val="center"/>
          </w:tcPr>
          <w:p w14:paraId="662184D5">
            <w:pPr>
              <w:jc w:val="center"/>
              <w:rPr>
                <w:sz w:val="24"/>
                <w:szCs w:val="24"/>
              </w:rPr>
            </w:pPr>
            <w:r>
              <w:rPr>
                <w:rFonts w:hint="eastAsia"/>
                <w:sz w:val="24"/>
                <w:szCs w:val="24"/>
              </w:rPr>
              <w:t>3</w:t>
            </w:r>
          </w:p>
        </w:tc>
        <w:tc>
          <w:tcPr>
            <w:tcW w:w="992" w:type="dxa"/>
            <w:noWrap/>
            <w:vAlign w:val="center"/>
          </w:tcPr>
          <w:p w14:paraId="79C0A605">
            <w:pPr>
              <w:jc w:val="center"/>
              <w:rPr>
                <w:sz w:val="24"/>
                <w:szCs w:val="24"/>
              </w:rPr>
            </w:pPr>
            <w:r>
              <w:rPr>
                <w:rFonts w:hint="eastAsia"/>
                <w:sz w:val="24"/>
                <w:szCs w:val="24"/>
              </w:rPr>
              <w:t>★</w:t>
            </w:r>
          </w:p>
        </w:tc>
        <w:tc>
          <w:tcPr>
            <w:tcW w:w="1055" w:type="dxa"/>
            <w:vMerge w:val="continue"/>
            <w:vAlign w:val="center"/>
          </w:tcPr>
          <w:p w14:paraId="189035AE">
            <w:pPr>
              <w:jc w:val="center"/>
              <w:rPr>
                <w:sz w:val="24"/>
                <w:szCs w:val="24"/>
              </w:rPr>
            </w:pPr>
          </w:p>
        </w:tc>
        <w:tc>
          <w:tcPr>
            <w:tcW w:w="5488" w:type="dxa"/>
            <w:vAlign w:val="center"/>
          </w:tcPr>
          <w:p w14:paraId="1668F462">
            <w:pPr>
              <w:rPr>
                <w:sz w:val="24"/>
                <w:szCs w:val="24"/>
                <w:lang w:eastAsia="zh-CN"/>
              </w:rPr>
            </w:pPr>
            <w:r>
              <w:rPr>
                <w:rFonts w:hint="eastAsia"/>
                <w:sz w:val="24"/>
                <w:szCs w:val="24"/>
                <w:lang w:eastAsia="zh-CN"/>
              </w:rPr>
              <w:t>满足不低于4000点终端管控授权；终端安全基线核查能力、终端安全自检、软件管理、文件操作审计。</w:t>
            </w:r>
          </w:p>
        </w:tc>
        <w:tc>
          <w:tcPr>
            <w:tcW w:w="1971" w:type="dxa"/>
            <w:vAlign w:val="center"/>
          </w:tcPr>
          <w:p w14:paraId="0CE81E74">
            <w:pPr>
              <w:rPr>
                <w:sz w:val="24"/>
                <w:szCs w:val="24"/>
                <w:lang w:eastAsia="zh-CN"/>
              </w:rPr>
            </w:pPr>
            <w:r>
              <w:rPr>
                <w:rFonts w:hint="eastAsia"/>
                <w:sz w:val="24"/>
                <w:szCs w:val="24"/>
                <w:lang w:eastAsia="zh-CN"/>
              </w:rPr>
              <w:t>是（包括但不限于白皮书、官网等官方证明材料）</w:t>
            </w:r>
          </w:p>
        </w:tc>
      </w:tr>
      <w:tr w14:paraId="7985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4" w:type="dxa"/>
            <w:noWrap/>
            <w:vAlign w:val="center"/>
          </w:tcPr>
          <w:p w14:paraId="3DAEF90E">
            <w:pPr>
              <w:jc w:val="center"/>
              <w:rPr>
                <w:sz w:val="24"/>
                <w:szCs w:val="24"/>
              </w:rPr>
            </w:pPr>
            <w:r>
              <w:rPr>
                <w:rFonts w:hint="eastAsia"/>
                <w:sz w:val="24"/>
                <w:szCs w:val="24"/>
              </w:rPr>
              <w:t>4</w:t>
            </w:r>
          </w:p>
        </w:tc>
        <w:tc>
          <w:tcPr>
            <w:tcW w:w="992" w:type="dxa"/>
            <w:noWrap/>
            <w:vAlign w:val="center"/>
          </w:tcPr>
          <w:p w14:paraId="59405633">
            <w:pPr>
              <w:jc w:val="center"/>
              <w:rPr>
                <w:sz w:val="24"/>
                <w:szCs w:val="24"/>
              </w:rPr>
            </w:pPr>
          </w:p>
        </w:tc>
        <w:tc>
          <w:tcPr>
            <w:tcW w:w="1055" w:type="dxa"/>
            <w:vAlign w:val="center"/>
          </w:tcPr>
          <w:p w14:paraId="7107B0C5">
            <w:pPr>
              <w:jc w:val="center"/>
              <w:rPr>
                <w:sz w:val="24"/>
                <w:szCs w:val="24"/>
              </w:rPr>
            </w:pPr>
            <w:r>
              <w:rPr>
                <w:rFonts w:hint="eastAsia"/>
                <w:sz w:val="24"/>
                <w:szCs w:val="24"/>
              </w:rPr>
              <w:t>网络资源访问控制</w:t>
            </w:r>
          </w:p>
        </w:tc>
        <w:tc>
          <w:tcPr>
            <w:tcW w:w="5488" w:type="dxa"/>
            <w:vAlign w:val="center"/>
          </w:tcPr>
          <w:p w14:paraId="48419D54">
            <w:pPr>
              <w:rPr>
                <w:sz w:val="24"/>
                <w:szCs w:val="24"/>
                <w:lang w:eastAsia="zh-CN"/>
              </w:rPr>
            </w:pPr>
            <w:r>
              <w:rPr>
                <w:rFonts w:hint="eastAsia"/>
                <w:sz w:val="24"/>
                <w:szCs w:val="24"/>
                <w:lang w:eastAsia="zh-CN"/>
              </w:rPr>
              <w:t>支持根据进程特征项、进程特征值、方向、协议、IP/域名、端口范围等执行条件对网络进行审计与管控。支持DNS黑白名单控制；</w:t>
            </w:r>
          </w:p>
        </w:tc>
        <w:tc>
          <w:tcPr>
            <w:tcW w:w="1971" w:type="dxa"/>
            <w:noWrap/>
            <w:vAlign w:val="center"/>
          </w:tcPr>
          <w:p w14:paraId="36B9BE5B">
            <w:pPr>
              <w:jc w:val="center"/>
              <w:rPr>
                <w:sz w:val="24"/>
                <w:szCs w:val="24"/>
                <w:lang w:eastAsia="zh-CN"/>
              </w:rPr>
            </w:pPr>
          </w:p>
        </w:tc>
      </w:tr>
      <w:tr w14:paraId="3E1E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04" w:type="dxa"/>
            <w:noWrap/>
            <w:vAlign w:val="center"/>
          </w:tcPr>
          <w:p w14:paraId="026F7257">
            <w:pPr>
              <w:jc w:val="center"/>
              <w:rPr>
                <w:sz w:val="24"/>
                <w:szCs w:val="24"/>
              </w:rPr>
            </w:pPr>
            <w:r>
              <w:rPr>
                <w:rFonts w:hint="eastAsia"/>
                <w:sz w:val="24"/>
                <w:szCs w:val="24"/>
              </w:rPr>
              <w:t>5</w:t>
            </w:r>
          </w:p>
        </w:tc>
        <w:tc>
          <w:tcPr>
            <w:tcW w:w="992" w:type="dxa"/>
            <w:noWrap/>
            <w:vAlign w:val="center"/>
          </w:tcPr>
          <w:p w14:paraId="5832B88F">
            <w:pPr>
              <w:jc w:val="center"/>
              <w:rPr>
                <w:sz w:val="24"/>
                <w:szCs w:val="24"/>
              </w:rPr>
            </w:pPr>
          </w:p>
        </w:tc>
        <w:tc>
          <w:tcPr>
            <w:tcW w:w="1055" w:type="dxa"/>
            <w:vAlign w:val="center"/>
          </w:tcPr>
          <w:p w14:paraId="3A9306F8">
            <w:pPr>
              <w:jc w:val="center"/>
              <w:rPr>
                <w:sz w:val="24"/>
                <w:szCs w:val="24"/>
              </w:rPr>
            </w:pPr>
            <w:r>
              <w:rPr>
                <w:rFonts w:hint="eastAsia"/>
                <w:sz w:val="24"/>
                <w:szCs w:val="24"/>
              </w:rPr>
              <w:t>终端安全基线管理</w:t>
            </w:r>
          </w:p>
        </w:tc>
        <w:tc>
          <w:tcPr>
            <w:tcW w:w="5488" w:type="dxa"/>
            <w:vAlign w:val="center"/>
          </w:tcPr>
          <w:p w14:paraId="2FB45520">
            <w:pPr>
              <w:rPr>
                <w:sz w:val="24"/>
                <w:szCs w:val="24"/>
                <w:lang w:eastAsia="zh-CN"/>
              </w:rPr>
            </w:pPr>
            <w:r>
              <w:rPr>
                <w:rFonts w:hint="eastAsia"/>
                <w:sz w:val="24"/>
                <w:szCs w:val="24"/>
                <w:lang w:eastAsia="zh-CN"/>
              </w:rPr>
              <w:t>支持对密码策略、默认共享、防病毒软件安装情况等终端环境、配置、服务进行检查；执行定期系统自检计划；支持对终端配置和环境进行检查，包括DNS检查、加域信息检查、系统账户密码长时间未修改检查。支持自定义检查项，对终端的注册表、文件、操作系统版本、进程、服务进行检查，同时，可对以上检查条件进行任务组合检查。</w:t>
            </w:r>
          </w:p>
        </w:tc>
        <w:tc>
          <w:tcPr>
            <w:tcW w:w="1971" w:type="dxa"/>
            <w:noWrap/>
            <w:vAlign w:val="center"/>
          </w:tcPr>
          <w:p w14:paraId="5B9C347C">
            <w:pPr>
              <w:jc w:val="center"/>
              <w:rPr>
                <w:sz w:val="24"/>
                <w:szCs w:val="24"/>
                <w:lang w:eastAsia="zh-CN"/>
              </w:rPr>
            </w:pPr>
          </w:p>
        </w:tc>
      </w:tr>
      <w:tr w14:paraId="18E6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704" w:type="dxa"/>
            <w:noWrap/>
            <w:vAlign w:val="center"/>
          </w:tcPr>
          <w:p w14:paraId="6B7AF42A">
            <w:pPr>
              <w:jc w:val="center"/>
              <w:rPr>
                <w:sz w:val="24"/>
                <w:szCs w:val="24"/>
              </w:rPr>
            </w:pPr>
            <w:r>
              <w:rPr>
                <w:rFonts w:hint="eastAsia"/>
                <w:sz w:val="24"/>
                <w:szCs w:val="24"/>
              </w:rPr>
              <w:t>6</w:t>
            </w:r>
          </w:p>
        </w:tc>
        <w:tc>
          <w:tcPr>
            <w:tcW w:w="992" w:type="dxa"/>
            <w:noWrap/>
            <w:vAlign w:val="center"/>
          </w:tcPr>
          <w:p w14:paraId="437E7920">
            <w:pPr>
              <w:jc w:val="center"/>
              <w:rPr>
                <w:sz w:val="24"/>
                <w:szCs w:val="24"/>
              </w:rPr>
            </w:pPr>
          </w:p>
        </w:tc>
        <w:tc>
          <w:tcPr>
            <w:tcW w:w="1055" w:type="dxa"/>
            <w:vAlign w:val="center"/>
          </w:tcPr>
          <w:p w14:paraId="16277A9D">
            <w:pPr>
              <w:jc w:val="center"/>
              <w:rPr>
                <w:sz w:val="24"/>
                <w:szCs w:val="24"/>
              </w:rPr>
            </w:pPr>
            <w:r>
              <w:rPr>
                <w:rFonts w:hint="eastAsia"/>
                <w:sz w:val="24"/>
                <w:szCs w:val="24"/>
              </w:rPr>
              <w:t>软件管理</w:t>
            </w:r>
          </w:p>
        </w:tc>
        <w:tc>
          <w:tcPr>
            <w:tcW w:w="5488" w:type="dxa"/>
            <w:vAlign w:val="center"/>
          </w:tcPr>
          <w:p w14:paraId="72E4EA93">
            <w:pPr>
              <w:rPr>
                <w:sz w:val="24"/>
                <w:szCs w:val="24"/>
                <w:lang w:eastAsia="zh-CN"/>
              </w:rPr>
            </w:pPr>
            <w:r>
              <w:rPr>
                <w:rFonts w:hint="eastAsia"/>
                <w:sz w:val="24"/>
                <w:szCs w:val="24"/>
                <w:lang w:eastAsia="zh-CN"/>
              </w:rPr>
              <w:t>支持对已安装软件黑白名单进行违规处理。支持通过进程名称、进程文件MD5、进程文件CRC校验值等对绿色软件黑白名单管理；支持正版软件采购订单的统一管理，包含但不限于软件名称、软件版本、授权类型、订单编号、供应商订单、购买日期、购买价格、PO上传、发票上传、许可上传、购买数量、lLicense类型、是否降级、到期时间、序列号信息、授权机器信息等。</w:t>
            </w:r>
          </w:p>
        </w:tc>
        <w:tc>
          <w:tcPr>
            <w:tcW w:w="1971" w:type="dxa"/>
            <w:noWrap/>
            <w:vAlign w:val="center"/>
          </w:tcPr>
          <w:p w14:paraId="79320AF5">
            <w:pPr>
              <w:jc w:val="center"/>
              <w:rPr>
                <w:sz w:val="24"/>
                <w:szCs w:val="24"/>
                <w:lang w:eastAsia="zh-CN"/>
              </w:rPr>
            </w:pPr>
          </w:p>
        </w:tc>
      </w:tr>
      <w:tr w14:paraId="4940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04" w:type="dxa"/>
            <w:noWrap/>
            <w:vAlign w:val="center"/>
          </w:tcPr>
          <w:p w14:paraId="25219815">
            <w:pPr>
              <w:jc w:val="center"/>
              <w:rPr>
                <w:sz w:val="24"/>
                <w:szCs w:val="24"/>
              </w:rPr>
            </w:pPr>
            <w:r>
              <w:rPr>
                <w:rFonts w:hint="eastAsia"/>
                <w:sz w:val="24"/>
                <w:szCs w:val="24"/>
              </w:rPr>
              <w:t>7</w:t>
            </w:r>
          </w:p>
        </w:tc>
        <w:tc>
          <w:tcPr>
            <w:tcW w:w="992" w:type="dxa"/>
            <w:noWrap/>
            <w:vAlign w:val="center"/>
          </w:tcPr>
          <w:p w14:paraId="26E10326">
            <w:pPr>
              <w:jc w:val="center"/>
              <w:rPr>
                <w:sz w:val="24"/>
                <w:szCs w:val="24"/>
              </w:rPr>
            </w:pPr>
            <w:r>
              <w:rPr>
                <w:rFonts w:hint="eastAsia"/>
                <w:sz w:val="24"/>
                <w:szCs w:val="24"/>
              </w:rPr>
              <w:t>#</w:t>
            </w:r>
          </w:p>
        </w:tc>
        <w:tc>
          <w:tcPr>
            <w:tcW w:w="1055" w:type="dxa"/>
            <w:vAlign w:val="center"/>
          </w:tcPr>
          <w:p w14:paraId="33387C20">
            <w:pPr>
              <w:jc w:val="center"/>
              <w:rPr>
                <w:sz w:val="24"/>
                <w:szCs w:val="24"/>
              </w:rPr>
            </w:pPr>
            <w:r>
              <w:rPr>
                <w:rFonts w:hint="eastAsia"/>
                <w:sz w:val="24"/>
                <w:szCs w:val="24"/>
              </w:rPr>
              <w:t>文件操作审计</w:t>
            </w:r>
          </w:p>
        </w:tc>
        <w:tc>
          <w:tcPr>
            <w:tcW w:w="5488" w:type="dxa"/>
            <w:vAlign w:val="center"/>
          </w:tcPr>
          <w:p w14:paraId="0CE46645">
            <w:pPr>
              <w:rPr>
                <w:sz w:val="24"/>
                <w:szCs w:val="24"/>
                <w:lang w:eastAsia="zh-CN"/>
              </w:rPr>
            </w:pPr>
            <w:r>
              <w:rPr>
                <w:rFonts w:hint="eastAsia"/>
                <w:sz w:val="24"/>
                <w:szCs w:val="24"/>
                <w:lang w:eastAsia="zh-CN"/>
              </w:rPr>
              <w:t>支持对文件的读、写、复制、剪切、创建、删除、另存为、新建、重命名等动作进行监控；支持管控终端上的文件操作，文件源或目的为本地硬盘、移动存储介质（U盘、移动硬盘、SD卡）、安卓智能设备通过ADB方式、网络共享、mstsc远程桌面或其他存储设备，可以进行禁止、审计、备份等管控操作。</w:t>
            </w:r>
          </w:p>
        </w:tc>
        <w:tc>
          <w:tcPr>
            <w:tcW w:w="1971" w:type="dxa"/>
            <w:vAlign w:val="center"/>
          </w:tcPr>
          <w:p w14:paraId="2E6CE3D4">
            <w:pPr>
              <w:jc w:val="center"/>
              <w:rPr>
                <w:sz w:val="24"/>
                <w:szCs w:val="24"/>
                <w:lang w:eastAsia="zh-CN"/>
              </w:rPr>
            </w:pPr>
            <w:r>
              <w:rPr>
                <w:rFonts w:hint="eastAsia"/>
                <w:sz w:val="24"/>
                <w:szCs w:val="24"/>
                <w:lang w:eastAsia="zh-CN"/>
              </w:rPr>
              <w:t>是（包括但不限于白皮书、官网等官方证明材料）</w:t>
            </w:r>
          </w:p>
        </w:tc>
      </w:tr>
      <w:tr w14:paraId="0567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noWrap/>
            <w:vAlign w:val="center"/>
          </w:tcPr>
          <w:p w14:paraId="7D4A2DED">
            <w:pPr>
              <w:jc w:val="center"/>
              <w:rPr>
                <w:sz w:val="24"/>
                <w:szCs w:val="24"/>
              </w:rPr>
            </w:pPr>
            <w:r>
              <w:rPr>
                <w:rFonts w:hint="eastAsia"/>
                <w:sz w:val="24"/>
                <w:szCs w:val="24"/>
              </w:rPr>
              <w:t>8</w:t>
            </w:r>
          </w:p>
        </w:tc>
        <w:tc>
          <w:tcPr>
            <w:tcW w:w="992" w:type="dxa"/>
            <w:noWrap/>
            <w:vAlign w:val="center"/>
          </w:tcPr>
          <w:p w14:paraId="35D77781">
            <w:pPr>
              <w:jc w:val="center"/>
              <w:rPr>
                <w:sz w:val="24"/>
                <w:szCs w:val="24"/>
              </w:rPr>
            </w:pPr>
            <w:r>
              <w:rPr>
                <w:rFonts w:hint="eastAsia"/>
                <w:sz w:val="24"/>
                <w:szCs w:val="24"/>
              </w:rPr>
              <w:t>#</w:t>
            </w:r>
          </w:p>
        </w:tc>
        <w:tc>
          <w:tcPr>
            <w:tcW w:w="1055" w:type="dxa"/>
            <w:vMerge w:val="restart"/>
            <w:vAlign w:val="center"/>
          </w:tcPr>
          <w:p w14:paraId="67E77660">
            <w:pPr>
              <w:jc w:val="center"/>
              <w:rPr>
                <w:sz w:val="24"/>
                <w:szCs w:val="24"/>
              </w:rPr>
            </w:pPr>
            <w:r>
              <w:rPr>
                <w:rFonts w:hint="eastAsia"/>
                <w:sz w:val="24"/>
                <w:szCs w:val="24"/>
              </w:rPr>
              <w:t>联动对接</w:t>
            </w:r>
          </w:p>
        </w:tc>
        <w:tc>
          <w:tcPr>
            <w:tcW w:w="5488" w:type="dxa"/>
            <w:vAlign w:val="center"/>
          </w:tcPr>
          <w:p w14:paraId="33ACF79F">
            <w:pPr>
              <w:rPr>
                <w:sz w:val="24"/>
                <w:szCs w:val="24"/>
                <w:lang w:eastAsia="zh-CN"/>
              </w:rPr>
            </w:pPr>
            <w:r>
              <w:rPr>
                <w:rFonts w:hint="eastAsia"/>
                <w:sz w:val="24"/>
                <w:szCs w:val="24"/>
                <w:lang w:eastAsia="zh-CN"/>
              </w:rPr>
              <w:t>支持与现有环境中的终端安全管理平台进行分级管理联动，可对本次建设的平台下发策略强制执行，统一调度网络准入控制、终端管控能力。</w:t>
            </w:r>
          </w:p>
        </w:tc>
        <w:tc>
          <w:tcPr>
            <w:tcW w:w="1971" w:type="dxa"/>
            <w:vAlign w:val="center"/>
          </w:tcPr>
          <w:p w14:paraId="007794C3">
            <w:pPr>
              <w:jc w:val="center"/>
              <w:rPr>
                <w:sz w:val="24"/>
                <w:szCs w:val="24"/>
              </w:rPr>
            </w:pPr>
            <w:r>
              <w:rPr>
                <w:rFonts w:hint="eastAsia"/>
                <w:sz w:val="24"/>
                <w:szCs w:val="24"/>
              </w:rPr>
              <w:t>制造商提供承诺函</w:t>
            </w:r>
          </w:p>
        </w:tc>
      </w:tr>
      <w:tr w14:paraId="4E4A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04" w:type="dxa"/>
            <w:noWrap/>
            <w:vAlign w:val="center"/>
          </w:tcPr>
          <w:p w14:paraId="1BEC5338">
            <w:pPr>
              <w:jc w:val="center"/>
              <w:rPr>
                <w:sz w:val="24"/>
                <w:szCs w:val="24"/>
              </w:rPr>
            </w:pPr>
            <w:r>
              <w:rPr>
                <w:rFonts w:hint="eastAsia"/>
                <w:sz w:val="24"/>
                <w:szCs w:val="24"/>
              </w:rPr>
              <w:t>9</w:t>
            </w:r>
          </w:p>
        </w:tc>
        <w:tc>
          <w:tcPr>
            <w:tcW w:w="992" w:type="dxa"/>
            <w:noWrap/>
            <w:vAlign w:val="center"/>
          </w:tcPr>
          <w:p w14:paraId="1602865E">
            <w:pPr>
              <w:jc w:val="center"/>
              <w:rPr>
                <w:sz w:val="24"/>
                <w:szCs w:val="24"/>
              </w:rPr>
            </w:pPr>
            <w:r>
              <w:rPr>
                <w:rFonts w:hint="eastAsia"/>
                <w:sz w:val="24"/>
                <w:szCs w:val="24"/>
              </w:rPr>
              <w:t>#</w:t>
            </w:r>
          </w:p>
        </w:tc>
        <w:tc>
          <w:tcPr>
            <w:tcW w:w="1055" w:type="dxa"/>
            <w:vMerge w:val="continue"/>
            <w:vAlign w:val="center"/>
          </w:tcPr>
          <w:p w14:paraId="20098DFE">
            <w:pPr>
              <w:jc w:val="center"/>
              <w:rPr>
                <w:sz w:val="24"/>
                <w:szCs w:val="24"/>
              </w:rPr>
            </w:pPr>
          </w:p>
        </w:tc>
        <w:tc>
          <w:tcPr>
            <w:tcW w:w="5488" w:type="dxa"/>
            <w:vAlign w:val="center"/>
          </w:tcPr>
          <w:p w14:paraId="3498E6DA">
            <w:pPr>
              <w:rPr>
                <w:sz w:val="24"/>
                <w:szCs w:val="24"/>
                <w:lang w:eastAsia="zh-CN"/>
              </w:rPr>
            </w:pPr>
            <w:r>
              <w:rPr>
                <w:rFonts w:hint="eastAsia"/>
                <w:sz w:val="24"/>
                <w:szCs w:val="24"/>
                <w:lang w:eastAsia="zh-CN"/>
              </w:rPr>
              <w:t>现有环境中的终端安全管理平台为联软科技合规接入管控系统，已采购部分终端管控，本次需新增终端管控授权，与现有授权叠加后可满足全终端统一管理；本次购买的设备及模块应当支持与现有环境中的终端安全管理平台联动，实现上级平台向下级平台的策略统一下发，包括但不限于：进程安全检测策略、网络资源访问控制策略、终端系统自检策略软件分发任务等。实现下级平台策略执行审计信息的同步，包括但不限于：进程控制审计信息、网络资源访问审计信息、系统自检审计信息、操作员日志等。</w:t>
            </w:r>
          </w:p>
        </w:tc>
        <w:tc>
          <w:tcPr>
            <w:tcW w:w="1971" w:type="dxa"/>
            <w:vAlign w:val="center"/>
          </w:tcPr>
          <w:p w14:paraId="557FF0E8">
            <w:pPr>
              <w:jc w:val="center"/>
              <w:rPr>
                <w:sz w:val="24"/>
                <w:szCs w:val="24"/>
              </w:rPr>
            </w:pPr>
            <w:r>
              <w:rPr>
                <w:rFonts w:hint="eastAsia"/>
                <w:sz w:val="24"/>
                <w:szCs w:val="24"/>
              </w:rPr>
              <w:t>制造商提供承诺函</w:t>
            </w:r>
          </w:p>
        </w:tc>
      </w:tr>
      <w:tr w14:paraId="4640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4" w:type="dxa"/>
            <w:noWrap/>
            <w:vAlign w:val="center"/>
          </w:tcPr>
          <w:p w14:paraId="2A912244">
            <w:pPr>
              <w:jc w:val="center"/>
              <w:rPr>
                <w:sz w:val="24"/>
                <w:szCs w:val="24"/>
              </w:rPr>
            </w:pPr>
            <w:r>
              <w:rPr>
                <w:rFonts w:hint="eastAsia"/>
                <w:sz w:val="24"/>
                <w:szCs w:val="24"/>
              </w:rPr>
              <w:t>10</w:t>
            </w:r>
          </w:p>
        </w:tc>
        <w:tc>
          <w:tcPr>
            <w:tcW w:w="992" w:type="dxa"/>
            <w:noWrap/>
            <w:vAlign w:val="center"/>
          </w:tcPr>
          <w:p w14:paraId="28D7A68D">
            <w:pPr>
              <w:jc w:val="center"/>
              <w:rPr>
                <w:sz w:val="24"/>
                <w:szCs w:val="24"/>
              </w:rPr>
            </w:pPr>
            <w:r>
              <w:rPr>
                <w:rFonts w:hint="eastAsia"/>
                <w:sz w:val="24"/>
                <w:szCs w:val="24"/>
              </w:rPr>
              <w:t>#</w:t>
            </w:r>
          </w:p>
        </w:tc>
        <w:tc>
          <w:tcPr>
            <w:tcW w:w="1055" w:type="dxa"/>
            <w:vAlign w:val="center"/>
          </w:tcPr>
          <w:p w14:paraId="1AE666C1">
            <w:pPr>
              <w:jc w:val="center"/>
              <w:rPr>
                <w:sz w:val="24"/>
                <w:szCs w:val="24"/>
              </w:rPr>
            </w:pPr>
            <w:r>
              <w:rPr>
                <w:rFonts w:hint="eastAsia"/>
                <w:sz w:val="24"/>
                <w:szCs w:val="24"/>
              </w:rPr>
              <w:t>产品资质</w:t>
            </w:r>
          </w:p>
        </w:tc>
        <w:tc>
          <w:tcPr>
            <w:tcW w:w="5488" w:type="dxa"/>
            <w:vAlign w:val="center"/>
          </w:tcPr>
          <w:p w14:paraId="3230BE76">
            <w:pPr>
              <w:rPr>
                <w:sz w:val="24"/>
                <w:szCs w:val="24"/>
                <w:lang w:eastAsia="zh-CN"/>
              </w:rPr>
            </w:pPr>
            <w:r>
              <w:rPr>
                <w:rFonts w:hint="eastAsia"/>
                <w:sz w:val="24"/>
                <w:szCs w:val="24"/>
                <w:lang w:eastAsia="zh-CN"/>
              </w:rPr>
              <w:t>所投产品须具备国家版权局颁发的《计算机软件著作权登记证书》。</w:t>
            </w:r>
          </w:p>
        </w:tc>
        <w:tc>
          <w:tcPr>
            <w:tcW w:w="1971" w:type="dxa"/>
            <w:noWrap/>
            <w:vAlign w:val="center"/>
          </w:tcPr>
          <w:p w14:paraId="3EA2A7FB">
            <w:pPr>
              <w:jc w:val="center"/>
              <w:rPr>
                <w:sz w:val="24"/>
                <w:szCs w:val="24"/>
              </w:rPr>
            </w:pPr>
            <w:r>
              <w:rPr>
                <w:rFonts w:hint="eastAsia"/>
                <w:sz w:val="24"/>
                <w:szCs w:val="24"/>
              </w:rPr>
              <w:t>是</w:t>
            </w:r>
          </w:p>
        </w:tc>
      </w:tr>
    </w:tbl>
    <w:p w14:paraId="4479BB24">
      <w:pPr>
        <w:rPr>
          <w:sz w:val="24"/>
          <w:szCs w:val="24"/>
        </w:rPr>
      </w:pPr>
    </w:p>
    <w:p w14:paraId="11B2647A">
      <w:pPr>
        <w:pStyle w:val="6"/>
        <w:rPr>
          <w:sz w:val="24"/>
          <w:szCs w:val="24"/>
        </w:rPr>
      </w:pPr>
    </w:p>
    <w:p w14:paraId="7A55152C">
      <w:pPr>
        <w:pStyle w:val="6"/>
        <w:spacing w:line="360" w:lineRule="auto"/>
        <w:jc w:val="both"/>
        <w:rPr>
          <w:b/>
          <w:bCs/>
          <w:sz w:val="24"/>
          <w:szCs w:val="24"/>
          <w:lang w:eastAsia="zh-CN"/>
        </w:rPr>
      </w:pPr>
      <w:bookmarkStart w:id="100" w:name="_Toc216859454"/>
      <w:r>
        <w:rPr>
          <w:rFonts w:hint="eastAsia"/>
          <w:b/>
          <w:bCs/>
          <w:sz w:val="24"/>
          <w:szCs w:val="24"/>
          <w:lang w:eastAsia="zh-CN"/>
        </w:rPr>
        <w:t>（二）移动端安全管理平台：数量1套</w:t>
      </w:r>
      <w:bookmarkEnd w:id="100"/>
    </w:p>
    <w:tbl>
      <w:tblPr>
        <w:tblStyle w:val="12"/>
        <w:tblW w:w="10367" w:type="dxa"/>
        <w:jc w:val="center"/>
        <w:tblLayout w:type="fixed"/>
        <w:tblCellMar>
          <w:top w:w="0" w:type="dxa"/>
          <w:left w:w="108" w:type="dxa"/>
          <w:bottom w:w="0" w:type="dxa"/>
          <w:right w:w="108" w:type="dxa"/>
        </w:tblCellMar>
      </w:tblPr>
      <w:tblGrid>
        <w:gridCol w:w="851"/>
        <w:gridCol w:w="992"/>
        <w:gridCol w:w="965"/>
        <w:gridCol w:w="5315"/>
        <w:gridCol w:w="2244"/>
      </w:tblGrid>
      <w:tr w14:paraId="04129070">
        <w:tblPrEx>
          <w:tblCellMar>
            <w:top w:w="0" w:type="dxa"/>
            <w:left w:w="108" w:type="dxa"/>
            <w:bottom w:w="0" w:type="dxa"/>
            <w:right w:w="108" w:type="dxa"/>
          </w:tblCellMar>
        </w:tblPrEx>
        <w:trPr>
          <w:trHeight w:val="255" w:hRule="atLeast"/>
          <w:tblHeader/>
          <w:jc w:val="center"/>
        </w:trPr>
        <w:tc>
          <w:tcPr>
            <w:tcW w:w="851" w:type="dxa"/>
            <w:tcBorders>
              <w:top w:val="single" w:color="auto" w:sz="4" w:space="0"/>
              <w:left w:val="single" w:color="auto" w:sz="4" w:space="0"/>
              <w:bottom w:val="single" w:color="auto" w:sz="4" w:space="0"/>
              <w:right w:val="single" w:color="auto" w:sz="4" w:space="0"/>
            </w:tcBorders>
            <w:shd w:val="clear" w:color="000000" w:fill="A6A6A6"/>
            <w:vAlign w:val="center"/>
          </w:tcPr>
          <w:p w14:paraId="28DCB833">
            <w:pPr>
              <w:widowControl/>
              <w:jc w:val="center"/>
              <w:rPr>
                <w:b/>
                <w:bCs/>
                <w:sz w:val="24"/>
                <w:szCs w:val="24"/>
              </w:rPr>
            </w:pPr>
            <w:r>
              <w:rPr>
                <w:rFonts w:hint="eastAsia"/>
                <w:b/>
                <w:bCs/>
                <w:sz w:val="24"/>
                <w:szCs w:val="24"/>
              </w:rPr>
              <w:t>序号</w:t>
            </w:r>
          </w:p>
        </w:tc>
        <w:tc>
          <w:tcPr>
            <w:tcW w:w="992" w:type="dxa"/>
            <w:tcBorders>
              <w:top w:val="single" w:color="auto" w:sz="4" w:space="0"/>
              <w:left w:val="nil"/>
              <w:bottom w:val="single" w:color="auto" w:sz="4" w:space="0"/>
              <w:right w:val="single" w:color="auto" w:sz="4" w:space="0"/>
            </w:tcBorders>
            <w:shd w:val="clear" w:color="000000" w:fill="A6A6A6"/>
            <w:vAlign w:val="center"/>
          </w:tcPr>
          <w:p w14:paraId="5437CE21">
            <w:pPr>
              <w:widowControl/>
              <w:jc w:val="center"/>
              <w:rPr>
                <w:b/>
                <w:bCs/>
                <w:sz w:val="24"/>
                <w:szCs w:val="24"/>
              </w:rPr>
            </w:pPr>
            <w:r>
              <w:rPr>
                <w:rFonts w:hint="eastAsia"/>
                <w:b/>
                <w:bCs/>
                <w:sz w:val="24"/>
                <w:szCs w:val="24"/>
              </w:rPr>
              <w:t>重要性</w:t>
            </w:r>
          </w:p>
        </w:tc>
        <w:tc>
          <w:tcPr>
            <w:tcW w:w="965" w:type="dxa"/>
            <w:tcBorders>
              <w:top w:val="single" w:color="auto" w:sz="4" w:space="0"/>
              <w:left w:val="nil"/>
              <w:bottom w:val="single" w:color="auto" w:sz="4" w:space="0"/>
              <w:right w:val="single" w:color="auto" w:sz="4" w:space="0"/>
            </w:tcBorders>
            <w:shd w:val="clear" w:color="000000" w:fill="A6A6A6"/>
            <w:vAlign w:val="center"/>
          </w:tcPr>
          <w:p w14:paraId="4514E240">
            <w:pPr>
              <w:widowControl/>
              <w:jc w:val="center"/>
              <w:rPr>
                <w:b/>
                <w:bCs/>
                <w:sz w:val="24"/>
                <w:szCs w:val="24"/>
              </w:rPr>
            </w:pPr>
            <w:r>
              <w:rPr>
                <w:rFonts w:hint="eastAsia"/>
                <w:b/>
                <w:bCs/>
                <w:sz w:val="24"/>
                <w:szCs w:val="24"/>
              </w:rPr>
              <w:t>指标项</w:t>
            </w:r>
          </w:p>
        </w:tc>
        <w:tc>
          <w:tcPr>
            <w:tcW w:w="5315" w:type="dxa"/>
            <w:tcBorders>
              <w:top w:val="single" w:color="auto" w:sz="4" w:space="0"/>
              <w:left w:val="nil"/>
              <w:bottom w:val="single" w:color="auto" w:sz="4" w:space="0"/>
              <w:right w:val="single" w:color="auto" w:sz="4" w:space="0"/>
            </w:tcBorders>
            <w:shd w:val="clear" w:color="000000" w:fill="A6A6A6"/>
            <w:vAlign w:val="center"/>
          </w:tcPr>
          <w:p w14:paraId="58DC3149">
            <w:pPr>
              <w:widowControl/>
              <w:jc w:val="center"/>
              <w:rPr>
                <w:b/>
                <w:bCs/>
                <w:sz w:val="24"/>
                <w:szCs w:val="24"/>
              </w:rPr>
            </w:pPr>
            <w:r>
              <w:rPr>
                <w:rFonts w:hint="eastAsia"/>
                <w:b/>
                <w:bCs/>
                <w:sz w:val="24"/>
                <w:szCs w:val="24"/>
              </w:rPr>
              <w:t>指标要求</w:t>
            </w:r>
          </w:p>
        </w:tc>
        <w:tc>
          <w:tcPr>
            <w:tcW w:w="2244" w:type="dxa"/>
            <w:tcBorders>
              <w:top w:val="single" w:color="auto" w:sz="4" w:space="0"/>
              <w:left w:val="nil"/>
              <w:bottom w:val="single" w:color="auto" w:sz="4" w:space="0"/>
              <w:right w:val="single" w:color="auto" w:sz="4" w:space="0"/>
            </w:tcBorders>
            <w:shd w:val="clear" w:color="000000" w:fill="A6A6A6"/>
            <w:vAlign w:val="center"/>
          </w:tcPr>
          <w:p w14:paraId="50668C6B">
            <w:pPr>
              <w:widowControl/>
              <w:jc w:val="center"/>
              <w:rPr>
                <w:b/>
                <w:bCs/>
                <w:sz w:val="24"/>
                <w:szCs w:val="24"/>
              </w:rPr>
            </w:pPr>
            <w:r>
              <w:rPr>
                <w:rFonts w:hint="eastAsia"/>
                <w:b/>
                <w:bCs/>
                <w:sz w:val="24"/>
                <w:szCs w:val="24"/>
              </w:rPr>
              <w:t>证明材料要求</w:t>
            </w:r>
          </w:p>
        </w:tc>
      </w:tr>
      <w:tr w14:paraId="159437DD">
        <w:tblPrEx>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ign w:val="center"/>
          </w:tcPr>
          <w:p w14:paraId="3316FD2D">
            <w:pPr>
              <w:widowControl/>
              <w:jc w:val="center"/>
              <w:rPr>
                <w:sz w:val="24"/>
                <w:szCs w:val="24"/>
              </w:rPr>
            </w:pPr>
            <w:r>
              <w:rPr>
                <w:rFonts w:hint="eastAsia"/>
                <w:sz w:val="24"/>
                <w:szCs w:val="24"/>
              </w:rPr>
              <w:t>1</w:t>
            </w:r>
          </w:p>
        </w:tc>
        <w:tc>
          <w:tcPr>
            <w:tcW w:w="992" w:type="dxa"/>
            <w:tcBorders>
              <w:top w:val="nil"/>
              <w:left w:val="nil"/>
              <w:bottom w:val="single" w:color="auto" w:sz="4" w:space="0"/>
              <w:right w:val="single" w:color="auto" w:sz="4" w:space="0"/>
            </w:tcBorders>
            <w:noWrap/>
            <w:vAlign w:val="center"/>
          </w:tcPr>
          <w:p w14:paraId="2BB6D832">
            <w:pPr>
              <w:widowControl/>
              <w:jc w:val="center"/>
              <w:rPr>
                <w:sz w:val="24"/>
                <w:szCs w:val="24"/>
              </w:rPr>
            </w:pPr>
            <w:r>
              <w:rPr>
                <w:rFonts w:hint="eastAsia"/>
                <w:sz w:val="24"/>
                <w:szCs w:val="24"/>
              </w:rPr>
              <w:t>★</w:t>
            </w:r>
          </w:p>
        </w:tc>
        <w:tc>
          <w:tcPr>
            <w:tcW w:w="965" w:type="dxa"/>
            <w:vMerge w:val="restart"/>
            <w:tcBorders>
              <w:top w:val="nil"/>
              <w:left w:val="single" w:color="auto" w:sz="4" w:space="0"/>
              <w:bottom w:val="single" w:color="000000" w:sz="4" w:space="0"/>
              <w:right w:val="single" w:color="auto" w:sz="4" w:space="0"/>
            </w:tcBorders>
            <w:noWrap/>
            <w:vAlign w:val="center"/>
          </w:tcPr>
          <w:p w14:paraId="01260AC1">
            <w:pPr>
              <w:widowControl/>
              <w:jc w:val="center"/>
              <w:rPr>
                <w:sz w:val="24"/>
                <w:szCs w:val="24"/>
              </w:rPr>
            </w:pPr>
            <w:r>
              <w:rPr>
                <w:rFonts w:hint="eastAsia"/>
                <w:sz w:val="24"/>
                <w:szCs w:val="24"/>
              </w:rPr>
              <w:t>平台架构</w:t>
            </w:r>
          </w:p>
        </w:tc>
        <w:tc>
          <w:tcPr>
            <w:tcW w:w="5315" w:type="dxa"/>
            <w:tcBorders>
              <w:top w:val="nil"/>
              <w:left w:val="nil"/>
              <w:bottom w:val="single" w:color="auto" w:sz="4" w:space="0"/>
              <w:right w:val="single" w:color="auto" w:sz="4" w:space="0"/>
            </w:tcBorders>
            <w:vAlign w:val="center"/>
          </w:tcPr>
          <w:p w14:paraId="357AE21D">
            <w:pPr>
              <w:widowControl/>
              <w:rPr>
                <w:sz w:val="24"/>
                <w:szCs w:val="24"/>
                <w:lang w:eastAsia="zh-CN"/>
              </w:rPr>
            </w:pPr>
            <w:r>
              <w:rPr>
                <w:rFonts w:hint="eastAsia"/>
                <w:sz w:val="24"/>
                <w:szCs w:val="24"/>
                <w:lang w:eastAsia="zh-CN"/>
              </w:rPr>
              <w:t>管理平台：冗余电源，4 个千兆网口；最大支持 5000 台移动设备的管理；</w:t>
            </w:r>
          </w:p>
        </w:tc>
        <w:tc>
          <w:tcPr>
            <w:tcW w:w="2244" w:type="dxa"/>
            <w:tcBorders>
              <w:top w:val="nil"/>
              <w:left w:val="nil"/>
              <w:bottom w:val="single" w:color="auto" w:sz="4" w:space="0"/>
              <w:right w:val="single" w:color="auto" w:sz="4" w:space="0"/>
            </w:tcBorders>
            <w:vAlign w:val="center"/>
          </w:tcPr>
          <w:p w14:paraId="4361EF01">
            <w:pPr>
              <w:widowControl/>
              <w:jc w:val="center"/>
              <w:rPr>
                <w:color w:val="000000"/>
                <w:sz w:val="24"/>
                <w:szCs w:val="24"/>
                <w:lang w:eastAsia="zh-CN"/>
              </w:rPr>
            </w:pPr>
            <w:r>
              <w:rPr>
                <w:rFonts w:hint="eastAsia"/>
                <w:color w:val="000000"/>
                <w:sz w:val="24"/>
                <w:szCs w:val="24"/>
                <w:lang w:eastAsia="zh-CN"/>
              </w:rPr>
              <w:t>是（包括但不限于白皮书、官网等官方证明材料）</w:t>
            </w:r>
          </w:p>
        </w:tc>
      </w:tr>
      <w:tr w14:paraId="69E41E61">
        <w:tblPrEx>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ign w:val="center"/>
          </w:tcPr>
          <w:p w14:paraId="69A82159">
            <w:pPr>
              <w:widowControl/>
              <w:jc w:val="center"/>
              <w:rPr>
                <w:sz w:val="24"/>
                <w:szCs w:val="24"/>
              </w:rPr>
            </w:pPr>
            <w:r>
              <w:rPr>
                <w:rFonts w:hint="eastAsia"/>
                <w:sz w:val="24"/>
                <w:szCs w:val="24"/>
              </w:rPr>
              <w:t>2</w:t>
            </w:r>
          </w:p>
        </w:tc>
        <w:tc>
          <w:tcPr>
            <w:tcW w:w="992" w:type="dxa"/>
            <w:tcBorders>
              <w:top w:val="nil"/>
              <w:left w:val="nil"/>
              <w:bottom w:val="single" w:color="auto" w:sz="4" w:space="0"/>
              <w:right w:val="single" w:color="auto" w:sz="4" w:space="0"/>
            </w:tcBorders>
            <w:noWrap/>
            <w:vAlign w:val="center"/>
          </w:tcPr>
          <w:p w14:paraId="7F228165">
            <w:pPr>
              <w:widowControl/>
              <w:jc w:val="center"/>
              <w:rPr>
                <w:sz w:val="24"/>
                <w:szCs w:val="24"/>
              </w:rPr>
            </w:pPr>
            <w:r>
              <w:rPr>
                <w:rFonts w:hint="eastAsia"/>
                <w:sz w:val="24"/>
                <w:szCs w:val="24"/>
              </w:rPr>
              <w:t>#</w:t>
            </w:r>
          </w:p>
        </w:tc>
        <w:tc>
          <w:tcPr>
            <w:tcW w:w="965" w:type="dxa"/>
            <w:vMerge w:val="continue"/>
            <w:tcBorders>
              <w:top w:val="nil"/>
              <w:left w:val="single" w:color="auto" w:sz="4" w:space="0"/>
              <w:bottom w:val="single" w:color="000000" w:sz="4" w:space="0"/>
              <w:right w:val="single" w:color="auto" w:sz="4" w:space="0"/>
            </w:tcBorders>
            <w:vAlign w:val="center"/>
          </w:tcPr>
          <w:p w14:paraId="0C41B279">
            <w:pPr>
              <w:widowControl/>
              <w:jc w:val="center"/>
              <w:rPr>
                <w:sz w:val="24"/>
                <w:szCs w:val="24"/>
              </w:rPr>
            </w:pPr>
          </w:p>
        </w:tc>
        <w:tc>
          <w:tcPr>
            <w:tcW w:w="5315" w:type="dxa"/>
            <w:tcBorders>
              <w:top w:val="nil"/>
              <w:left w:val="nil"/>
              <w:bottom w:val="single" w:color="auto" w:sz="4" w:space="0"/>
              <w:right w:val="single" w:color="auto" w:sz="4" w:space="0"/>
            </w:tcBorders>
            <w:vAlign w:val="center"/>
          </w:tcPr>
          <w:p w14:paraId="0E6ACFF1">
            <w:pPr>
              <w:widowControl/>
              <w:rPr>
                <w:sz w:val="24"/>
                <w:szCs w:val="24"/>
                <w:lang w:eastAsia="zh-CN"/>
              </w:rPr>
            </w:pPr>
            <w:r>
              <w:rPr>
                <w:rFonts w:hint="eastAsia"/>
                <w:sz w:val="24"/>
                <w:szCs w:val="24"/>
                <w:lang w:eastAsia="zh-CN"/>
              </w:rPr>
              <w:t>安全网关：冗余电源，4 个千兆网口；支持 8000 个并发连接数；实现业务隐身，本地可信代理和网关代理建立应用级安全隧道，解决传统传输方案弱网断线、网络切换重连耗时等用户体验性问题；</w:t>
            </w:r>
          </w:p>
        </w:tc>
        <w:tc>
          <w:tcPr>
            <w:tcW w:w="2244" w:type="dxa"/>
            <w:tcBorders>
              <w:top w:val="nil"/>
              <w:left w:val="nil"/>
              <w:bottom w:val="single" w:color="auto" w:sz="4" w:space="0"/>
              <w:right w:val="single" w:color="auto" w:sz="4" w:space="0"/>
            </w:tcBorders>
            <w:vAlign w:val="center"/>
          </w:tcPr>
          <w:p w14:paraId="32DF22EC">
            <w:pPr>
              <w:widowControl/>
              <w:jc w:val="center"/>
              <w:rPr>
                <w:color w:val="000000"/>
                <w:sz w:val="24"/>
                <w:szCs w:val="24"/>
                <w:lang w:eastAsia="zh-CN"/>
              </w:rPr>
            </w:pPr>
            <w:r>
              <w:rPr>
                <w:rFonts w:hint="eastAsia"/>
                <w:color w:val="000000"/>
                <w:sz w:val="24"/>
                <w:szCs w:val="24"/>
                <w:lang w:eastAsia="zh-CN"/>
              </w:rPr>
              <w:t>是（包括但不限于白皮书、官网等官方证明材料）</w:t>
            </w:r>
          </w:p>
        </w:tc>
      </w:tr>
      <w:tr w14:paraId="6984196A">
        <w:tblPrEx>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ign w:val="center"/>
          </w:tcPr>
          <w:p w14:paraId="789205CF">
            <w:pPr>
              <w:widowControl/>
              <w:jc w:val="center"/>
              <w:rPr>
                <w:sz w:val="24"/>
                <w:szCs w:val="24"/>
              </w:rPr>
            </w:pPr>
            <w:r>
              <w:rPr>
                <w:rFonts w:hint="eastAsia"/>
                <w:sz w:val="24"/>
                <w:szCs w:val="24"/>
              </w:rPr>
              <w:t>3</w:t>
            </w:r>
          </w:p>
        </w:tc>
        <w:tc>
          <w:tcPr>
            <w:tcW w:w="992" w:type="dxa"/>
            <w:tcBorders>
              <w:top w:val="nil"/>
              <w:left w:val="nil"/>
              <w:bottom w:val="single" w:color="auto" w:sz="4" w:space="0"/>
              <w:right w:val="single" w:color="auto" w:sz="4" w:space="0"/>
            </w:tcBorders>
            <w:noWrap/>
            <w:vAlign w:val="center"/>
          </w:tcPr>
          <w:p w14:paraId="1C81BDA1">
            <w:pPr>
              <w:widowControl/>
              <w:jc w:val="center"/>
              <w:rPr>
                <w:sz w:val="24"/>
                <w:szCs w:val="24"/>
              </w:rPr>
            </w:pPr>
            <w:r>
              <w:rPr>
                <w:rFonts w:hint="eastAsia"/>
                <w:sz w:val="24"/>
                <w:szCs w:val="24"/>
              </w:rPr>
              <w:t>#</w:t>
            </w:r>
          </w:p>
        </w:tc>
        <w:tc>
          <w:tcPr>
            <w:tcW w:w="965" w:type="dxa"/>
            <w:vMerge w:val="continue"/>
            <w:tcBorders>
              <w:top w:val="nil"/>
              <w:left w:val="single" w:color="auto" w:sz="4" w:space="0"/>
              <w:bottom w:val="single" w:color="000000" w:sz="4" w:space="0"/>
              <w:right w:val="single" w:color="auto" w:sz="4" w:space="0"/>
            </w:tcBorders>
            <w:vAlign w:val="center"/>
          </w:tcPr>
          <w:p w14:paraId="618E6767">
            <w:pPr>
              <w:widowControl/>
              <w:jc w:val="center"/>
              <w:rPr>
                <w:sz w:val="24"/>
                <w:szCs w:val="24"/>
              </w:rPr>
            </w:pPr>
          </w:p>
        </w:tc>
        <w:tc>
          <w:tcPr>
            <w:tcW w:w="5315" w:type="dxa"/>
            <w:tcBorders>
              <w:top w:val="nil"/>
              <w:left w:val="nil"/>
              <w:bottom w:val="single" w:color="auto" w:sz="4" w:space="0"/>
              <w:right w:val="single" w:color="auto" w:sz="4" w:space="0"/>
            </w:tcBorders>
            <w:vAlign w:val="center"/>
          </w:tcPr>
          <w:p w14:paraId="1E3A40D7">
            <w:pPr>
              <w:widowControl/>
              <w:rPr>
                <w:sz w:val="24"/>
                <w:szCs w:val="24"/>
                <w:lang w:eastAsia="zh-CN"/>
              </w:rPr>
            </w:pPr>
            <w:r>
              <w:rPr>
                <w:rFonts w:hint="eastAsia"/>
                <w:sz w:val="24"/>
                <w:szCs w:val="24"/>
                <w:lang w:eastAsia="zh-CN"/>
              </w:rPr>
              <w:t>满足1500个移动设备管理授权</w:t>
            </w:r>
          </w:p>
        </w:tc>
        <w:tc>
          <w:tcPr>
            <w:tcW w:w="2244" w:type="dxa"/>
            <w:tcBorders>
              <w:top w:val="nil"/>
              <w:left w:val="nil"/>
              <w:bottom w:val="single" w:color="auto" w:sz="4" w:space="0"/>
              <w:right w:val="single" w:color="auto" w:sz="4" w:space="0"/>
            </w:tcBorders>
            <w:vAlign w:val="center"/>
          </w:tcPr>
          <w:p w14:paraId="3635D279">
            <w:pPr>
              <w:widowControl/>
              <w:jc w:val="center"/>
              <w:rPr>
                <w:color w:val="000000"/>
                <w:sz w:val="24"/>
                <w:szCs w:val="24"/>
                <w:lang w:eastAsia="zh-CN"/>
              </w:rPr>
            </w:pPr>
            <w:r>
              <w:rPr>
                <w:rFonts w:hint="eastAsia"/>
                <w:color w:val="000000"/>
                <w:sz w:val="24"/>
                <w:szCs w:val="24"/>
                <w:lang w:eastAsia="zh-CN"/>
              </w:rPr>
              <w:t>是（包括但不限于白皮书、官网等官方证明材料）</w:t>
            </w:r>
          </w:p>
        </w:tc>
      </w:tr>
      <w:tr w14:paraId="61EC7C46">
        <w:tblPrEx>
          <w:tblCellMar>
            <w:top w:w="0" w:type="dxa"/>
            <w:left w:w="108" w:type="dxa"/>
            <w:bottom w:w="0" w:type="dxa"/>
            <w:right w:w="108" w:type="dxa"/>
          </w:tblCellMar>
        </w:tblPrEx>
        <w:trPr>
          <w:trHeight w:val="1020" w:hRule="atLeast"/>
          <w:jc w:val="center"/>
        </w:trPr>
        <w:tc>
          <w:tcPr>
            <w:tcW w:w="851" w:type="dxa"/>
            <w:tcBorders>
              <w:top w:val="nil"/>
              <w:left w:val="single" w:color="auto" w:sz="4" w:space="0"/>
              <w:bottom w:val="single" w:color="auto" w:sz="4" w:space="0"/>
              <w:right w:val="single" w:color="auto" w:sz="4" w:space="0"/>
            </w:tcBorders>
            <w:noWrap/>
            <w:vAlign w:val="center"/>
          </w:tcPr>
          <w:p w14:paraId="3036AD0A">
            <w:pPr>
              <w:widowControl/>
              <w:jc w:val="center"/>
              <w:rPr>
                <w:sz w:val="24"/>
                <w:szCs w:val="24"/>
              </w:rPr>
            </w:pPr>
            <w:r>
              <w:rPr>
                <w:rFonts w:hint="eastAsia"/>
                <w:sz w:val="24"/>
                <w:szCs w:val="24"/>
              </w:rPr>
              <w:t>4</w:t>
            </w:r>
          </w:p>
        </w:tc>
        <w:tc>
          <w:tcPr>
            <w:tcW w:w="992" w:type="dxa"/>
            <w:tcBorders>
              <w:top w:val="nil"/>
              <w:left w:val="nil"/>
              <w:bottom w:val="single" w:color="auto" w:sz="4" w:space="0"/>
              <w:right w:val="single" w:color="auto" w:sz="4" w:space="0"/>
            </w:tcBorders>
            <w:noWrap/>
            <w:vAlign w:val="center"/>
          </w:tcPr>
          <w:p w14:paraId="6E91B8C0">
            <w:pPr>
              <w:widowControl/>
              <w:jc w:val="center"/>
              <w:rPr>
                <w:sz w:val="24"/>
                <w:szCs w:val="24"/>
              </w:rPr>
            </w:pPr>
          </w:p>
        </w:tc>
        <w:tc>
          <w:tcPr>
            <w:tcW w:w="965" w:type="dxa"/>
            <w:vMerge w:val="restart"/>
            <w:tcBorders>
              <w:top w:val="nil"/>
              <w:left w:val="single" w:color="auto" w:sz="4" w:space="0"/>
              <w:bottom w:val="single" w:color="auto" w:sz="4" w:space="0"/>
              <w:right w:val="single" w:color="auto" w:sz="4" w:space="0"/>
            </w:tcBorders>
            <w:noWrap/>
            <w:vAlign w:val="center"/>
          </w:tcPr>
          <w:p w14:paraId="5A218060">
            <w:pPr>
              <w:widowControl/>
              <w:jc w:val="center"/>
              <w:rPr>
                <w:sz w:val="24"/>
                <w:szCs w:val="24"/>
              </w:rPr>
            </w:pPr>
            <w:r>
              <w:rPr>
                <w:rFonts w:hint="eastAsia"/>
                <w:sz w:val="24"/>
                <w:szCs w:val="24"/>
              </w:rPr>
              <w:t>设备安全管理</w:t>
            </w:r>
          </w:p>
        </w:tc>
        <w:tc>
          <w:tcPr>
            <w:tcW w:w="5315" w:type="dxa"/>
            <w:tcBorders>
              <w:top w:val="nil"/>
              <w:left w:val="nil"/>
              <w:bottom w:val="single" w:color="auto" w:sz="4" w:space="0"/>
              <w:right w:val="single" w:color="auto" w:sz="4" w:space="0"/>
            </w:tcBorders>
            <w:vAlign w:val="center"/>
          </w:tcPr>
          <w:p w14:paraId="5F299288">
            <w:pPr>
              <w:widowControl/>
              <w:rPr>
                <w:sz w:val="24"/>
                <w:szCs w:val="24"/>
                <w:lang w:eastAsia="zh-CN"/>
              </w:rPr>
            </w:pPr>
            <w:r>
              <w:rPr>
                <w:rFonts w:hint="eastAsia"/>
                <w:sz w:val="24"/>
                <w:szCs w:val="24"/>
                <w:lang w:eastAsia="zh-CN"/>
              </w:rPr>
              <w:t>支持通过管理平台对移动设备下发实时控制指令，包括远程擦除企业数据、清除/解锁密码、启用/禁用摄像头、远程截屏、开/关安全隧道、远程定位设备、锁定设备、远程关机等；</w:t>
            </w:r>
            <w:r>
              <w:rPr>
                <w:rFonts w:hint="eastAsia"/>
                <w:sz w:val="24"/>
                <w:szCs w:val="24"/>
                <w:lang w:eastAsia="zh-CN"/>
              </w:rPr>
              <w:br w:type="textWrapping"/>
            </w:r>
            <w:r>
              <w:rPr>
                <w:rFonts w:hint="eastAsia"/>
                <w:sz w:val="24"/>
                <w:szCs w:val="24"/>
                <w:lang w:eastAsia="zh-CN"/>
              </w:rPr>
              <w:t>支持添加安全桌面，锁定前台无法退出，仅允许企业应用商店安装的应用和授权的应用使用，可限制给指定人员电话和短信功能。</w:t>
            </w:r>
          </w:p>
        </w:tc>
        <w:tc>
          <w:tcPr>
            <w:tcW w:w="2244" w:type="dxa"/>
            <w:tcBorders>
              <w:top w:val="nil"/>
              <w:left w:val="nil"/>
              <w:bottom w:val="single" w:color="auto" w:sz="4" w:space="0"/>
              <w:right w:val="single" w:color="auto" w:sz="4" w:space="0"/>
            </w:tcBorders>
            <w:noWrap/>
            <w:vAlign w:val="center"/>
          </w:tcPr>
          <w:p w14:paraId="1DC60327">
            <w:pPr>
              <w:widowControl/>
              <w:jc w:val="center"/>
              <w:rPr>
                <w:sz w:val="24"/>
                <w:szCs w:val="24"/>
                <w:lang w:eastAsia="zh-CN"/>
              </w:rPr>
            </w:pPr>
          </w:p>
        </w:tc>
      </w:tr>
      <w:tr w14:paraId="0FF02C26">
        <w:tblPrEx>
          <w:tblCellMar>
            <w:top w:w="0" w:type="dxa"/>
            <w:left w:w="108" w:type="dxa"/>
            <w:bottom w:w="0" w:type="dxa"/>
            <w:right w:w="108" w:type="dxa"/>
          </w:tblCellMar>
        </w:tblPrEx>
        <w:trPr>
          <w:trHeight w:val="255" w:hRule="atLeast"/>
          <w:jc w:val="center"/>
        </w:trPr>
        <w:tc>
          <w:tcPr>
            <w:tcW w:w="851" w:type="dxa"/>
            <w:tcBorders>
              <w:top w:val="nil"/>
              <w:left w:val="single" w:color="auto" w:sz="4" w:space="0"/>
              <w:bottom w:val="single" w:color="auto" w:sz="4" w:space="0"/>
              <w:right w:val="single" w:color="auto" w:sz="4" w:space="0"/>
            </w:tcBorders>
            <w:noWrap/>
            <w:vAlign w:val="center"/>
          </w:tcPr>
          <w:p w14:paraId="442D637E">
            <w:pPr>
              <w:widowControl/>
              <w:jc w:val="center"/>
              <w:rPr>
                <w:sz w:val="24"/>
                <w:szCs w:val="24"/>
              </w:rPr>
            </w:pPr>
            <w:r>
              <w:rPr>
                <w:rFonts w:hint="eastAsia"/>
                <w:sz w:val="24"/>
                <w:szCs w:val="24"/>
              </w:rPr>
              <w:t>5</w:t>
            </w:r>
          </w:p>
        </w:tc>
        <w:tc>
          <w:tcPr>
            <w:tcW w:w="992" w:type="dxa"/>
            <w:tcBorders>
              <w:top w:val="nil"/>
              <w:left w:val="nil"/>
              <w:bottom w:val="single" w:color="auto" w:sz="4" w:space="0"/>
              <w:right w:val="single" w:color="auto" w:sz="4" w:space="0"/>
            </w:tcBorders>
            <w:noWrap/>
            <w:vAlign w:val="center"/>
          </w:tcPr>
          <w:p w14:paraId="5AABB139">
            <w:pPr>
              <w:widowControl/>
              <w:jc w:val="center"/>
              <w:rPr>
                <w:sz w:val="24"/>
                <w:szCs w:val="24"/>
              </w:rPr>
            </w:pPr>
            <w:r>
              <w:rPr>
                <w:rFonts w:hint="eastAsia"/>
                <w:sz w:val="24"/>
                <w:szCs w:val="24"/>
              </w:rPr>
              <w:t>#</w:t>
            </w:r>
          </w:p>
        </w:tc>
        <w:tc>
          <w:tcPr>
            <w:tcW w:w="965" w:type="dxa"/>
            <w:vMerge w:val="continue"/>
            <w:tcBorders>
              <w:top w:val="nil"/>
              <w:left w:val="single" w:color="auto" w:sz="4" w:space="0"/>
              <w:bottom w:val="single" w:color="auto" w:sz="4" w:space="0"/>
              <w:right w:val="single" w:color="auto" w:sz="4" w:space="0"/>
            </w:tcBorders>
            <w:vAlign w:val="center"/>
          </w:tcPr>
          <w:p w14:paraId="7F1C8763">
            <w:pPr>
              <w:widowControl/>
              <w:jc w:val="center"/>
              <w:rPr>
                <w:sz w:val="24"/>
                <w:szCs w:val="24"/>
              </w:rPr>
            </w:pPr>
          </w:p>
        </w:tc>
        <w:tc>
          <w:tcPr>
            <w:tcW w:w="5315" w:type="dxa"/>
            <w:tcBorders>
              <w:top w:val="nil"/>
              <w:left w:val="nil"/>
              <w:bottom w:val="single" w:color="auto" w:sz="4" w:space="0"/>
              <w:right w:val="single" w:color="auto" w:sz="4" w:space="0"/>
            </w:tcBorders>
            <w:vAlign w:val="center"/>
          </w:tcPr>
          <w:p w14:paraId="3662FD18">
            <w:pPr>
              <w:widowControl/>
              <w:rPr>
                <w:sz w:val="24"/>
                <w:szCs w:val="24"/>
                <w:lang w:eastAsia="zh-CN"/>
              </w:rPr>
            </w:pPr>
            <w:r>
              <w:rPr>
                <w:rFonts w:hint="eastAsia"/>
                <w:sz w:val="24"/>
                <w:szCs w:val="24"/>
                <w:lang w:eastAsia="zh-CN"/>
              </w:rPr>
              <w:t>提供确保与现有准入系统进行联动的书面承诺</w:t>
            </w:r>
          </w:p>
        </w:tc>
        <w:tc>
          <w:tcPr>
            <w:tcW w:w="2244" w:type="dxa"/>
            <w:tcBorders>
              <w:top w:val="nil"/>
              <w:left w:val="nil"/>
              <w:bottom w:val="single" w:color="auto" w:sz="4" w:space="0"/>
              <w:right w:val="single" w:color="auto" w:sz="4" w:space="0"/>
            </w:tcBorders>
            <w:vAlign w:val="center"/>
          </w:tcPr>
          <w:p w14:paraId="4C50BEB6">
            <w:pPr>
              <w:widowControl/>
              <w:jc w:val="center"/>
              <w:rPr>
                <w:sz w:val="24"/>
                <w:szCs w:val="24"/>
              </w:rPr>
            </w:pPr>
            <w:r>
              <w:rPr>
                <w:rFonts w:hint="eastAsia"/>
                <w:sz w:val="24"/>
                <w:szCs w:val="24"/>
              </w:rPr>
              <w:t>制造商提供承诺函</w:t>
            </w:r>
          </w:p>
        </w:tc>
      </w:tr>
      <w:tr w14:paraId="62ED15AC">
        <w:tblPrEx>
          <w:tblCellMar>
            <w:top w:w="0" w:type="dxa"/>
            <w:left w:w="108" w:type="dxa"/>
            <w:bottom w:w="0" w:type="dxa"/>
            <w:right w:w="108" w:type="dxa"/>
          </w:tblCellMar>
        </w:tblPrEx>
        <w:trPr>
          <w:trHeight w:val="765" w:hRule="atLeast"/>
          <w:jc w:val="center"/>
        </w:trPr>
        <w:tc>
          <w:tcPr>
            <w:tcW w:w="851" w:type="dxa"/>
            <w:tcBorders>
              <w:top w:val="nil"/>
              <w:left w:val="single" w:color="auto" w:sz="4" w:space="0"/>
              <w:bottom w:val="single" w:color="auto" w:sz="4" w:space="0"/>
              <w:right w:val="single" w:color="auto" w:sz="4" w:space="0"/>
            </w:tcBorders>
            <w:noWrap/>
            <w:vAlign w:val="center"/>
          </w:tcPr>
          <w:p w14:paraId="5402C4B5">
            <w:pPr>
              <w:widowControl/>
              <w:jc w:val="center"/>
              <w:rPr>
                <w:sz w:val="24"/>
                <w:szCs w:val="24"/>
              </w:rPr>
            </w:pPr>
            <w:r>
              <w:rPr>
                <w:rFonts w:hint="eastAsia"/>
                <w:sz w:val="24"/>
                <w:szCs w:val="24"/>
              </w:rPr>
              <w:t>6</w:t>
            </w:r>
          </w:p>
        </w:tc>
        <w:tc>
          <w:tcPr>
            <w:tcW w:w="992" w:type="dxa"/>
            <w:tcBorders>
              <w:top w:val="nil"/>
              <w:left w:val="nil"/>
              <w:bottom w:val="single" w:color="auto" w:sz="4" w:space="0"/>
              <w:right w:val="single" w:color="auto" w:sz="4" w:space="0"/>
            </w:tcBorders>
            <w:noWrap/>
            <w:vAlign w:val="center"/>
          </w:tcPr>
          <w:p w14:paraId="1DBBFA8D">
            <w:pPr>
              <w:widowControl/>
              <w:jc w:val="center"/>
              <w:rPr>
                <w:sz w:val="24"/>
                <w:szCs w:val="24"/>
              </w:rPr>
            </w:pPr>
            <w:r>
              <w:rPr>
                <w:rFonts w:hint="eastAsia"/>
                <w:sz w:val="24"/>
                <w:szCs w:val="24"/>
              </w:rPr>
              <w:t>#</w:t>
            </w:r>
          </w:p>
        </w:tc>
        <w:tc>
          <w:tcPr>
            <w:tcW w:w="965" w:type="dxa"/>
            <w:vMerge w:val="continue"/>
            <w:tcBorders>
              <w:top w:val="nil"/>
              <w:left w:val="single" w:color="auto" w:sz="4" w:space="0"/>
              <w:bottom w:val="single" w:color="auto" w:sz="4" w:space="0"/>
              <w:right w:val="single" w:color="auto" w:sz="4" w:space="0"/>
            </w:tcBorders>
            <w:vAlign w:val="center"/>
          </w:tcPr>
          <w:p w14:paraId="149885A4">
            <w:pPr>
              <w:widowControl/>
              <w:jc w:val="center"/>
              <w:rPr>
                <w:sz w:val="24"/>
                <w:szCs w:val="24"/>
              </w:rPr>
            </w:pPr>
          </w:p>
        </w:tc>
        <w:tc>
          <w:tcPr>
            <w:tcW w:w="5315" w:type="dxa"/>
            <w:tcBorders>
              <w:top w:val="nil"/>
              <w:left w:val="nil"/>
              <w:bottom w:val="single" w:color="auto" w:sz="4" w:space="0"/>
              <w:right w:val="single" w:color="auto" w:sz="4" w:space="0"/>
            </w:tcBorders>
            <w:vAlign w:val="center"/>
          </w:tcPr>
          <w:p w14:paraId="54CA47CB">
            <w:pPr>
              <w:widowControl/>
              <w:rPr>
                <w:sz w:val="24"/>
                <w:szCs w:val="24"/>
                <w:lang w:eastAsia="zh-CN"/>
              </w:rPr>
            </w:pPr>
            <w:r>
              <w:rPr>
                <w:rFonts w:hint="eastAsia"/>
                <w:sz w:val="24"/>
                <w:szCs w:val="24"/>
                <w:lang w:eastAsia="zh-CN"/>
              </w:rPr>
              <w:t>策略下发方式支持用户动态标签和设备动态标签下发，支持配置多条动态计算规则，并可以选择“与”、“或〞条件嵌套，可支持的条件变量包括但不限于：设备ID、IMEI、IDFA、序列号、设备名称、设备型号、品牌、操作系统、操作系统版本、设备类型、设备归属、自动通过审批等；</w:t>
            </w:r>
          </w:p>
        </w:tc>
        <w:tc>
          <w:tcPr>
            <w:tcW w:w="2244" w:type="dxa"/>
            <w:tcBorders>
              <w:top w:val="nil"/>
              <w:left w:val="nil"/>
              <w:bottom w:val="single" w:color="auto" w:sz="4" w:space="0"/>
              <w:right w:val="single" w:color="auto" w:sz="4" w:space="0"/>
            </w:tcBorders>
            <w:vAlign w:val="center"/>
          </w:tcPr>
          <w:p w14:paraId="05A1DA3F">
            <w:pPr>
              <w:widowControl/>
              <w:jc w:val="center"/>
              <w:rPr>
                <w:color w:val="000000"/>
                <w:sz w:val="24"/>
                <w:szCs w:val="24"/>
                <w:lang w:eastAsia="zh-CN"/>
              </w:rPr>
            </w:pPr>
            <w:r>
              <w:rPr>
                <w:rFonts w:hint="eastAsia"/>
                <w:color w:val="000000"/>
                <w:sz w:val="24"/>
                <w:szCs w:val="24"/>
                <w:lang w:eastAsia="zh-CN"/>
              </w:rPr>
              <w:t>是（包括但不限于白皮书、官网等官方证明材料）</w:t>
            </w:r>
          </w:p>
        </w:tc>
      </w:tr>
      <w:tr w14:paraId="0118A2EA">
        <w:tblPrEx>
          <w:tblCellMar>
            <w:top w:w="0" w:type="dxa"/>
            <w:left w:w="108" w:type="dxa"/>
            <w:bottom w:w="0" w:type="dxa"/>
            <w:right w:w="108" w:type="dxa"/>
          </w:tblCellMar>
        </w:tblPrEx>
        <w:trPr>
          <w:trHeight w:val="1020" w:hRule="atLeast"/>
          <w:jc w:val="center"/>
        </w:trPr>
        <w:tc>
          <w:tcPr>
            <w:tcW w:w="851" w:type="dxa"/>
            <w:tcBorders>
              <w:top w:val="nil"/>
              <w:left w:val="single" w:color="auto" w:sz="4" w:space="0"/>
              <w:bottom w:val="single" w:color="auto" w:sz="4" w:space="0"/>
              <w:right w:val="single" w:color="auto" w:sz="4" w:space="0"/>
            </w:tcBorders>
            <w:noWrap/>
            <w:vAlign w:val="center"/>
          </w:tcPr>
          <w:p w14:paraId="38F20C95">
            <w:pPr>
              <w:widowControl/>
              <w:jc w:val="center"/>
              <w:rPr>
                <w:sz w:val="24"/>
                <w:szCs w:val="24"/>
              </w:rPr>
            </w:pPr>
            <w:r>
              <w:rPr>
                <w:rFonts w:hint="eastAsia"/>
                <w:sz w:val="24"/>
                <w:szCs w:val="24"/>
              </w:rPr>
              <w:t>7</w:t>
            </w:r>
          </w:p>
        </w:tc>
        <w:tc>
          <w:tcPr>
            <w:tcW w:w="992" w:type="dxa"/>
            <w:tcBorders>
              <w:top w:val="nil"/>
              <w:left w:val="nil"/>
              <w:bottom w:val="single" w:color="auto" w:sz="4" w:space="0"/>
              <w:right w:val="single" w:color="auto" w:sz="4" w:space="0"/>
            </w:tcBorders>
            <w:noWrap/>
            <w:vAlign w:val="center"/>
          </w:tcPr>
          <w:p w14:paraId="285D4634">
            <w:pPr>
              <w:widowControl/>
              <w:jc w:val="center"/>
              <w:rPr>
                <w:sz w:val="24"/>
                <w:szCs w:val="24"/>
              </w:rPr>
            </w:pPr>
            <w:r>
              <w:rPr>
                <w:rFonts w:hint="eastAsia"/>
                <w:sz w:val="24"/>
                <w:szCs w:val="24"/>
              </w:rPr>
              <w:t>#</w:t>
            </w:r>
          </w:p>
        </w:tc>
        <w:tc>
          <w:tcPr>
            <w:tcW w:w="965" w:type="dxa"/>
            <w:vMerge w:val="continue"/>
            <w:tcBorders>
              <w:top w:val="nil"/>
              <w:left w:val="single" w:color="auto" w:sz="4" w:space="0"/>
              <w:bottom w:val="single" w:color="auto" w:sz="4" w:space="0"/>
              <w:right w:val="single" w:color="auto" w:sz="4" w:space="0"/>
            </w:tcBorders>
            <w:vAlign w:val="center"/>
          </w:tcPr>
          <w:p w14:paraId="5650F290">
            <w:pPr>
              <w:widowControl/>
              <w:jc w:val="center"/>
              <w:rPr>
                <w:sz w:val="24"/>
                <w:szCs w:val="24"/>
              </w:rPr>
            </w:pPr>
          </w:p>
        </w:tc>
        <w:tc>
          <w:tcPr>
            <w:tcW w:w="5315" w:type="dxa"/>
            <w:tcBorders>
              <w:top w:val="nil"/>
              <w:left w:val="nil"/>
              <w:bottom w:val="single" w:color="auto" w:sz="4" w:space="0"/>
              <w:right w:val="single" w:color="auto" w:sz="4" w:space="0"/>
            </w:tcBorders>
            <w:vAlign w:val="center"/>
          </w:tcPr>
          <w:p w14:paraId="32F76735">
            <w:pPr>
              <w:widowControl/>
              <w:rPr>
                <w:sz w:val="24"/>
                <w:szCs w:val="24"/>
                <w:lang w:eastAsia="zh-CN"/>
              </w:rPr>
            </w:pPr>
            <w:r>
              <w:rPr>
                <w:rFonts w:hint="eastAsia"/>
                <w:sz w:val="24"/>
                <w:szCs w:val="24"/>
                <w:lang w:eastAsia="zh-CN"/>
              </w:rPr>
              <w:t>安全事件自动化响应，无需人工干预，提高安全事件处置的效率：</w:t>
            </w:r>
            <w:r>
              <w:rPr>
                <w:rFonts w:hint="eastAsia"/>
                <w:sz w:val="24"/>
                <w:szCs w:val="24"/>
                <w:lang w:eastAsia="zh-CN"/>
              </w:rPr>
              <w:br w:type="textWrapping"/>
            </w:r>
            <w:r>
              <w:rPr>
                <w:rFonts w:hint="eastAsia"/>
                <w:sz w:val="24"/>
                <w:szCs w:val="24"/>
                <w:lang w:eastAsia="zh-CN"/>
              </w:rPr>
              <w:t>1）支持添加多个节点并自定义触发节点的执行动作，系统根据定义的触点执行阻止访问或强制修补等动作，包括是否允许用户访问门户、是否设置设备黑名单、是否开启响铃、是否开启设备隧道，是否开启用户隧道以及是否解锁设备等；</w:t>
            </w:r>
          </w:p>
        </w:tc>
        <w:tc>
          <w:tcPr>
            <w:tcW w:w="2244" w:type="dxa"/>
            <w:tcBorders>
              <w:top w:val="nil"/>
              <w:left w:val="nil"/>
              <w:bottom w:val="single" w:color="auto" w:sz="4" w:space="0"/>
              <w:right w:val="single" w:color="auto" w:sz="4" w:space="0"/>
            </w:tcBorders>
            <w:vAlign w:val="center"/>
          </w:tcPr>
          <w:p w14:paraId="45B84598">
            <w:pPr>
              <w:widowControl/>
              <w:jc w:val="center"/>
              <w:rPr>
                <w:color w:val="000000"/>
                <w:sz w:val="24"/>
                <w:szCs w:val="24"/>
                <w:lang w:eastAsia="zh-CN"/>
              </w:rPr>
            </w:pPr>
            <w:r>
              <w:rPr>
                <w:rFonts w:hint="eastAsia"/>
                <w:color w:val="000000"/>
                <w:sz w:val="24"/>
                <w:szCs w:val="24"/>
                <w:lang w:eastAsia="zh-CN"/>
              </w:rPr>
              <w:t>是（包括但不限于白皮书、官网等官方证明材料）</w:t>
            </w:r>
          </w:p>
        </w:tc>
      </w:tr>
      <w:tr w14:paraId="53ECEEAC">
        <w:tblPrEx>
          <w:tblCellMar>
            <w:top w:w="0" w:type="dxa"/>
            <w:left w:w="108" w:type="dxa"/>
            <w:bottom w:w="0" w:type="dxa"/>
            <w:right w:w="108" w:type="dxa"/>
          </w:tblCellMar>
        </w:tblPrEx>
        <w:trPr>
          <w:trHeight w:val="1275" w:hRule="atLeast"/>
          <w:jc w:val="center"/>
        </w:trPr>
        <w:tc>
          <w:tcPr>
            <w:tcW w:w="851" w:type="dxa"/>
            <w:tcBorders>
              <w:top w:val="nil"/>
              <w:left w:val="single" w:color="auto" w:sz="4" w:space="0"/>
              <w:bottom w:val="single" w:color="auto" w:sz="4" w:space="0"/>
              <w:right w:val="single" w:color="auto" w:sz="4" w:space="0"/>
            </w:tcBorders>
            <w:noWrap/>
            <w:vAlign w:val="center"/>
          </w:tcPr>
          <w:p w14:paraId="69DD7C3B">
            <w:pPr>
              <w:widowControl/>
              <w:jc w:val="center"/>
              <w:rPr>
                <w:sz w:val="24"/>
                <w:szCs w:val="24"/>
              </w:rPr>
            </w:pPr>
            <w:r>
              <w:rPr>
                <w:rFonts w:hint="eastAsia"/>
                <w:sz w:val="24"/>
                <w:szCs w:val="24"/>
              </w:rPr>
              <w:t>8</w:t>
            </w:r>
          </w:p>
        </w:tc>
        <w:tc>
          <w:tcPr>
            <w:tcW w:w="992" w:type="dxa"/>
            <w:tcBorders>
              <w:top w:val="nil"/>
              <w:left w:val="nil"/>
              <w:bottom w:val="single" w:color="auto" w:sz="4" w:space="0"/>
              <w:right w:val="single" w:color="auto" w:sz="4" w:space="0"/>
            </w:tcBorders>
            <w:noWrap/>
            <w:vAlign w:val="center"/>
          </w:tcPr>
          <w:p w14:paraId="60422FA7">
            <w:pPr>
              <w:widowControl/>
              <w:jc w:val="center"/>
              <w:rPr>
                <w:sz w:val="24"/>
                <w:szCs w:val="24"/>
              </w:rPr>
            </w:pPr>
          </w:p>
        </w:tc>
        <w:tc>
          <w:tcPr>
            <w:tcW w:w="965" w:type="dxa"/>
            <w:vMerge w:val="restart"/>
            <w:tcBorders>
              <w:top w:val="nil"/>
              <w:left w:val="single" w:color="auto" w:sz="4" w:space="0"/>
              <w:bottom w:val="single" w:color="auto" w:sz="4" w:space="0"/>
              <w:right w:val="single" w:color="auto" w:sz="4" w:space="0"/>
            </w:tcBorders>
            <w:vAlign w:val="center"/>
          </w:tcPr>
          <w:p w14:paraId="2EE7E193">
            <w:pPr>
              <w:widowControl/>
              <w:jc w:val="center"/>
              <w:rPr>
                <w:sz w:val="24"/>
                <w:szCs w:val="24"/>
              </w:rPr>
            </w:pPr>
            <w:r>
              <w:rPr>
                <w:rFonts w:hint="eastAsia"/>
                <w:sz w:val="24"/>
                <w:szCs w:val="24"/>
              </w:rPr>
              <w:t>应用安全管理</w:t>
            </w:r>
          </w:p>
        </w:tc>
        <w:tc>
          <w:tcPr>
            <w:tcW w:w="5315" w:type="dxa"/>
            <w:tcBorders>
              <w:top w:val="nil"/>
              <w:left w:val="nil"/>
              <w:bottom w:val="single" w:color="auto" w:sz="4" w:space="0"/>
              <w:right w:val="single" w:color="auto" w:sz="4" w:space="0"/>
            </w:tcBorders>
            <w:vAlign w:val="center"/>
          </w:tcPr>
          <w:p w14:paraId="1B6E6FCB">
            <w:pPr>
              <w:widowControl/>
              <w:rPr>
                <w:sz w:val="24"/>
                <w:szCs w:val="24"/>
                <w:lang w:eastAsia="zh-CN"/>
              </w:rPr>
            </w:pPr>
            <w:r>
              <w:rPr>
                <w:rFonts w:hint="eastAsia"/>
                <w:sz w:val="24"/>
                <w:szCs w:val="24"/>
                <w:lang w:eastAsia="zh-CN"/>
              </w:rPr>
              <w:t>支持应用上架审核流程，规范应用管理流程。1）支持在管理控制台发起应用上架申请；2）支持配置应用发布范围；3）支持配置应用发布时间；4）支持配置审核人员角色；5）支持配置应用上架描述，包括：应用介绍、版本信息、版本号等；</w:t>
            </w:r>
            <w:r>
              <w:rPr>
                <w:rFonts w:hint="eastAsia"/>
                <w:sz w:val="24"/>
                <w:szCs w:val="24"/>
                <w:lang w:eastAsia="zh-CN"/>
              </w:rPr>
              <w:br w:type="textWrapping"/>
            </w:r>
            <w:r>
              <w:rPr>
                <w:rFonts w:hint="eastAsia"/>
                <w:sz w:val="24"/>
                <w:szCs w:val="24"/>
                <w:lang w:eastAsia="zh-CN"/>
              </w:rPr>
              <w:t>支持增量更新：应用商店中的原生应用升级采用增量更新方式，只下载更新增量部分，安全门户自身也支持增量更新；EMM会自动生成该应用的不同版本差分包。</w:t>
            </w:r>
          </w:p>
        </w:tc>
        <w:tc>
          <w:tcPr>
            <w:tcW w:w="2244" w:type="dxa"/>
            <w:tcBorders>
              <w:top w:val="nil"/>
              <w:left w:val="nil"/>
              <w:bottom w:val="single" w:color="auto" w:sz="4" w:space="0"/>
              <w:right w:val="single" w:color="auto" w:sz="4" w:space="0"/>
            </w:tcBorders>
            <w:noWrap/>
            <w:vAlign w:val="center"/>
          </w:tcPr>
          <w:p w14:paraId="6F49E290">
            <w:pPr>
              <w:widowControl/>
              <w:jc w:val="center"/>
              <w:rPr>
                <w:sz w:val="24"/>
                <w:szCs w:val="24"/>
                <w:lang w:eastAsia="zh-CN"/>
              </w:rPr>
            </w:pPr>
          </w:p>
        </w:tc>
      </w:tr>
      <w:tr w14:paraId="6A207667">
        <w:tblPrEx>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ign w:val="center"/>
          </w:tcPr>
          <w:p w14:paraId="4068C9EA">
            <w:pPr>
              <w:widowControl/>
              <w:jc w:val="center"/>
              <w:rPr>
                <w:sz w:val="24"/>
                <w:szCs w:val="24"/>
              </w:rPr>
            </w:pPr>
            <w:r>
              <w:rPr>
                <w:rFonts w:hint="eastAsia"/>
                <w:sz w:val="24"/>
                <w:szCs w:val="24"/>
              </w:rPr>
              <w:t>9</w:t>
            </w:r>
          </w:p>
        </w:tc>
        <w:tc>
          <w:tcPr>
            <w:tcW w:w="992" w:type="dxa"/>
            <w:tcBorders>
              <w:top w:val="nil"/>
              <w:left w:val="nil"/>
              <w:bottom w:val="single" w:color="auto" w:sz="4" w:space="0"/>
              <w:right w:val="single" w:color="auto" w:sz="4" w:space="0"/>
            </w:tcBorders>
            <w:noWrap/>
            <w:vAlign w:val="center"/>
          </w:tcPr>
          <w:p w14:paraId="64AE97FF">
            <w:pPr>
              <w:widowControl/>
              <w:jc w:val="center"/>
              <w:rPr>
                <w:sz w:val="24"/>
                <w:szCs w:val="24"/>
              </w:rPr>
            </w:pPr>
          </w:p>
        </w:tc>
        <w:tc>
          <w:tcPr>
            <w:tcW w:w="965" w:type="dxa"/>
            <w:vMerge w:val="continue"/>
            <w:tcBorders>
              <w:top w:val="nil"/>
              <w:left w:val="single" w:color="auto" w:sz="4" w:space="0"/>
              <w:bottom w:val="single" w:color="auto" w:sz="4" w:space="0"/>
              <w:right w:val="single" w:color="auto" w:sz="4" w:space="0"/>
            </w:tcBorders>
            <w:vAlign w:val="center"/>
          </w:tcPr>
          <w:p w14:paraId="22BBB78E">
            <w:pPr>
              <w:widowControl/>
              <w:jc w:val="center"/>
              <w:rPr>
                <w:sz w:val="24"/>
                <w:szCs w:val="24"/>
              </w:rPr>
            </w:pPr>
          </w:p>
        </w:tc>
        <w:tc>
          <w:tcPr>
            <w:tcW w:w="5315" w:type="dxa"/>
            <w:tcBorders>
              <w:top w:val="nil"/>
              <w:left w:val="nil"/>
              <w:bottom w:val="single" w:color="auto" w:sz="4" w:space="0"/>
              <w:right w:val="single" w:color="auto" w:sz="4" w:space="0"/>
            </w:tcBorders>
            <w:shd w:val="clear" w:color="000000" w:fill="FFFFFF"/>
            <w:vAlign w:val="center"/>
          </w:tcPr>
          <w:p w14:paraId="1A2E2675">
            <w:pPr>
              <w:widowControl/>
              <w:rPr>
                <w:sz w:val="24"/>
                <w:szCs w:val="24"/>
                <w:lang w:eastAsia="zh-CN"/>
              </w:rPr>
            </w:pPr>
            <w:r>
              <w:rPr>
                <w:rFonts w:hint="eastAsia"/>
                <w:sz w:val="24"/>
                <w:szCs w:val="24"/>
                <w:lang w:eastAsia="zh-CN"/>
              </w:rPr>
              <w:t>系统支持多版本的Apk并行推送，并提供应用商店应用版本回退功能，支持将客户端已下发的高版本应用回退到低版本</w:t>
            </w:r>
          </w:p>
        </w:tc>
        <w:tc>
          <w:tcPr>
            <w:tcW w:w="2244" w:type="dxa"/>
            <w:tcBorders>
              <w:top w:val="nil"/>
              <w:left w:val="nil"/>
              <w:bottom w:val="single" w:color="auto" w:sz="4" w:space="0"/>
              <w:right w:val="single" w:color="auto" w:sz="4" w:space="0"/>
            </w:tcBorders>
            <w:noWrap/>
            <w:vAlign w:val="center"/>
          </w:tcPr>
          <w:p w14:paraId="2E1A73BC">
            <w:pPr>
              <w:widowControl/>
              <w:jc w:val="center"/>
              <w:rPr>
                <w:sz w:val="24"/>
                <w:szCs w:val="24"/>
                <w:lang w:eastAsia="zh-CN"/>
              </w:rPr>
            </w:pPr>
          </w:p>
        </w:tc>
      </w:tr>
      <w:tr w14:paraId="630A0411">
        <w:tblPrEx>
          <w:tblCellMar>
            <w:top w:w="0" w:type="dxa"/>
            <w:left w:w="108" w:type="dxa"/>
            <w:bottom w:w="0" w:type="dxa"/>
            <w:right w:w="108" w:type="dxa"/>
          </w:tblCellMar>
        </w:tblPrEx>
        <w:trPr>
          <w:trHeight w:val="510" w:hRule="atLeast"/>
          <w:jc w:val="center"/>
        </w:trPr>
        <w:tc>
          <w:tcPr>
            <w:tcW w:w="851" w:type="dxa"/>
            <w:tcBorders>
              <w:top w:val="nil"/>
              <w:left w:val="single" w:color="auto" w:sz="4" w:space="0"/>
              <w:bottom w:val="single" w:color="auto" w:sz="4" w:space="0"/>
              <w:right w:val="single" w:color="auto" w:sz="4" w:space="0"/>
            </w:tcBorders>
            <w:noWrap/>
            <w:vAlign w:val="center"/>
          </w:tcPr>
          <w:p w14:paraId="5AE4D5B1">
            <w:pPr>
              <w:widowControl/>
              <w:jc w:val="center"/>
              <w:rPr>
                <w:sz w:val="24"/>
                <w:szCs w:val="24"/>
              </w:rPr>
            </w:pPr>
            <w:r>
              <w:rPr>
                <w:rFonts w:hint="eastAsia"/>
                <w:sz w:val="24"/>
                <w:szCs w:val="24"/>
              </w:rPr>
              <w:t>10</w:t>
            </w:r>
          </w:p>
        </w:tc>
        <w:tc>
          <w:tcPr>
            <w:tcW w:w="992" w:type="dxa"/>
            <w:tcBorders>
              <w:top w:val="nil"/>
              <w:left w:val="nil"/>
              <w:bottom w:val="single" w:color="auto" w:sz="4" w:space="0"/>
              <w:right w:val="single" w:color="auto" w:sz="4" w:space="0"/>
            </w:tcBorders>
            <w:noWrap/>
            <w:vAlign w:val="center"/>
          </w:tcPr>
          <w:p w14:paraId="77539F95">
            <w:pPr>
              <w:widowControl/>
              <w:jc w:val="center"/>
              <w:rPr>
                <w:sz w:val="24"/>
                <w:szCs w:val="24"/>
              </w:rPr>
            </w:pPr>
            <w:r>
              <w:rPr>
                <w:rFonts w:hint="eastAsia"/>
                <w:sz w:val="24"/>
                <w:szCs w:val="24"/>
              </w:rPr>
              <w:t>#</w:t>
            </w:r>
          </w:p>
        </w:tc>
        <w:tc>
          <w:tcPr>
            <w:tcW w:w="965" w:type="dxa"/>
            <w:vMerge w:val="restart"/>
            <w:tcBorders>
              <w:top w:val="nil"/>
              <w:left w:val="single" w:color="auto" w:sz="4" w:space="0"/>
              <w:bottom w:val="single" w:color="auto" w:sz="4" w:space="0"/>
              <w:right w:val="single" w:color="auto" w:sz="4" w:space="0"/>
            </w:tcBorders>
            <w:vAlign w:val="center"/>
          </w:tcPr>
          <w:p w14:paraId="2B7B4AB2">
            <w:pPr>
              <w:widowControl/>
              <w:jc w:val="center"/>
              <w:rPr>
                <w:sz w:val="24"/>
                <w:szCs w:val="24"/>
              </w:rPr>
            </w:pPr>
            <w:r>
              <w:rPr>
                <w:rFonts w:hint="eastAsia"/>
                <w:sz w:val="24"/>
                <w:szCs w:val="24"/>
              </w:rPr>
              <w:t>组织用户管理</w:t>
            </w:r>
          </w:p>
        </w:tc>
        <w:tc>
          <w:tcPr>
            <w:tcW w:w="5315" w:type="dxa"/>
            <w:tcBorders>
              <w:top w:val="nil"/>
              <w:left w:val="nil"/>
              <w:bottom w:val="single" w:color="auto" w:sz="4" w:space="0"/>
              <w:right w:val="single" w:color="auto" w:sz="4" w:space="0"/>
            </w:tcBorders>
            <w:vAlign w:val="center"/>
          </w:tcPr>
          <w:p w14:paraId="567D6F56">
            <w:pPr>
              <w:widowControl/>
              <w:rPr>
                <w:sz w:val="24"/>
                <w:szCs w:val="24"/>
                <w:lang w:eastAsia="zh-CN"/>
              </w:rPr>
            </w:pPr>
            <w:r>
              <w:rPr>
                <w:rFonts w:hint="eastAsia"/>
                <w:sz w:val="24"/>
                <w:szCs w:val="24"/>
                <w:lang w:eastAsia="zh-CN"/>
              </w:rPr>
              <w:t>激活认证方式，支持多认证源接入认证并按顺序进行认证，如系统内置用户、LDAP服务器用户、CAS认证和Radius用户；</w:t>
            </w:r>
          </w:p>
        </w:tc>
        <w:tc>
          <w:tcPr>
            <w:tcW w:w="2244" w:type="dxa"/>
            <w:tcBorders>
              <w:top w:val="nil"/>
              <w:left w:val="nil"/>
              <w:bottom w:val="single" w:color="auto" w:sz="4" w:space="0"/>
              <w:right w:val="single" w:color="auto" w:sz="4" w:space="0"/>
            </w:tcBorders>
            <w:vAlign w:val="center"/>
          </w:tcPr>
          <w:p w14:paraId="73BE1827">
            <w:pPr>
              <w:widowControl/>
              <w:jc w:val="center"/>
              <w:rPr>
                <w:color w:val="000000"/>
                <w:sz w:val="24"/>
                <w:szCs w:val="24"/>
                <w:lang w:eastAsia="zh-CN"/>
              </w:rPr>
            </w:pPr>
            <w:r>
              <w:rPr>
                <w:rFonts w:hint="eastAsia"/>
                <w:color w:val="000000"/>
                <w:sz w:val="24"/>
                <w:szCs w:val="24"/>
                <w:lang w:eastAsia="zh-CN"/>
              </w:rPr>
              <w:t>是（包括但不限于白皮书、官网等官方证明材料）</w:t>
            </w:r>
          </w:p>
        </w:tc>
      </w:tr>
      <w:tr w14:paraId="0E5C44B9">
        <w:tblPrEx>
          <w:tblCellMar>
            <w:top w:w="0" w:type="dxa"/>
            <w:left w:w="108" w:type="dxa"/>
            <w:bottom w:w="0" w:type="dxa"/>
            <w:right w:w="108" w:type="dxa"/>
          </w:tblCellMar>
        </w:tblPrEx>
        <w:trPr>
          <w:trHeight w:val="765" w:hRule="atLeast"/>
          <w:jc w:val="center"/>
        </w:trPr>
        <w:tc>
          <w:tcPr>
            <w:tcW w:w="851" w:type="dxa"/>
            <w:tcBorders>
              <w:top w:val="nil"/>
              <w:left w:val="single" w:color="auto" w:sz="4" w:space="0"/>
              <w:bottom w:val="single" w:color="auto" w:sz="4" w:space="0"/>
              <w:right w:val="single" w:color="auto" w:sz="4" w:space="0"/>
            </w:tcBorders>
            <w:noWrap/>
            <w:vAlign w:val="center"/>
          </w:tcPr>
          <w:p w14:paraId="6497E708">
            <w:pPr>
              <w:widowControl/>
              <w:jc w:val="center"/>
              <w:rPr>
                <w:sz w:val="24"/>
                <w:szCs w:val="24"/>
              </w:rPr>
            </w:pPr>
            <w:r>
              <w:rPr>
                <w:rFonts w:hint="eastAsia"/>
                <w:sz w:val="24"/>
                <w:szCs w:val="24"/>
              </w:rPr>
              <w:t>11</w:t>
            </w:r>
          </w:p>
        </w:tc>
        <w:tc>
          <w:tcPr>
            <w:tcW w:w="992" w:type="dxa"/>
            <w:tcBorders>
              <w:top w:val="nil"/>
              <w:left w:val="nil"/>
              <w:bottom w:val="single" w:color="auto" w:sz="4" w:space="0"/>
              <w:right w:val="single" w:color="auto" w:sz="4" w:space="0"/>
            </w:tcBorders>
            <w:noWrap/>
            <w:vAlign w:val="center"/>
          </w:tcPr>
          <w:p w14:paraId="7E7F52BF">
            <w:pPr>
              <w:widowControl/>
              <w:jc w:val="center"/>
              <w:rPr>
                <w:sz w:val="24"/>
                <w:szCs w:val="24"/>
              </w:rPr>
            </w:pPr>
          </w:p>
        </w:tc>
        <w:tc>
          <w:tcPr>
            <w:tcW w:w="965" w:type="dxa"/>
            <w:vMerge w:val="continue"/>
            <w:tcBorders>
              <w:top w:val="nil"/>
              <w:left w:val="single" w:color="auto" w:sz="4" w:space="0"/>
              <w:bottom w:val="single" w:color="auto" w:sz="4" w:space="0"/>
              <w:right w:val="single" w:color="auto" w:sz="4" w:space="0"/>
            </w:tcBorders>
            <w:vAlign w:val="center"/>
          </w:tcPr>
          <w:p w14:paraId="739A88D5">
            <w:pPr>
              <w:widowControl/>
              <w:jc w:val="center"/>
              <w:rPr>
                <w:sz w:val="24"/>
                <w:szCs w:val="24"/>
              </w:rPr>
            </w:pPr>
          </w:p>
        </w:tc>
        <w:tc>
          <w:tcPr>
            <w:tcW w:w="5315" w:type="dxa"/>
            <w:tcBorders>
              <w:top w:val="nil"/>
              <w:left w:val="nil"/>
              <w:bottom w:val="single" w:color="auto" w:sz="4" w:space="0"/>
              <w:right w:val="single" w:color="auto" w:sz="4" w:space="0"/>
            </w:tcBorders>
            <w:vAlign w:val="center"/>
          </w:tcPr>
          <w:p w14:paraId="1D1E3903">
            <w:pPr>
              <w:widowControl/>
              <w:rPr>
                <w:sz w:val="24"/>
                <w:szCs w:val="24"/>
                <w:lang w:eastAsia="zh-CN"/>
              </w:rPr>
            </w:pPr>
            <w:r>
              <w:rPr>
                <w:rFonts w:hint="eastAsia"/>
                <w:sz w:val="24"/>
                <w:szCs w:val="24"/>
                <w:lang w:eastAsia="zh-CN"/>
              </w:rPr>
              <w:t>为便于管理和运维，支持对用户的扩展属性如办公地点、办公电话、年龄、学历等属性进行自定义控件，包括多行文本、数字、单选框、多选框等；</w:t>
            </w:r>
            <w:r>
              <w:rPr>
                <w:rFonts w:hint="eastAsia"/>
                <w:sz w:val="24"/>
                <w:szCs w:val="24"/>
                <w:lang w:eastAsia="zh-CN"/>
              </w:rPr>
              <w:br w:type="textWrapping"/>
            </w:r>
            <w:r>
              <w:rPr>
                <w:rFonts w:hint="eastAsia"/>
                <w:sz w:val="24"/>
                <w:szCs w:val="24"/>
                <w:lang w:eastAsia="zh-CN"/>
              </w:rPr>
              <w:t>支持创建日报、周报、月报、季报模板，报表模板内容可自定义；</w:t>
            </w:r>
          </w:p>
        </w:tc>
        <w:tc>
          <w:tcPr>
            <w:tcW w:w="2244" w:type="dxa"/>
            <w:tcBorders>
              <w:top w:val="nil"/>
              <w:left w:val="nil"/>
              <w:bottom w:val="single" w:color="auto" w:sz="4" w:space="0"/>
              <w:right w:val="single" w:color="auto" w:sz="4" w:space="0"/>
            </w:tcBorders>
            <w:noWrap/>
            <w:vAlign w:val="center"/>
          </w:tcPr>
          <w:p w14:paraId="0BB12635">
            <w:pPr>
              <w:widowControl/>
              <w:jc w:val="center"/>
              <w:rPr>
                <w:sz w:val="24"/>
                <w:szCs w:val="24"/>
                <w:lang w:eastAsia="zh-CN"/>
              </w:rPr>
            </w:pPr>
          </w:p>
        </w:tc>
      </w:tr>
      <w:tr w14:paraId="73908A1A">
        <w:tblPrEx>
          <w:tblCellMar>
            <w:top w:w="0" w:type="dxa"/>
            <w:left w:w="108" w:type="dxa"/>
            <w:bottom w:w="0" w:type="dxa"/>
            <w:right w:w="108" w:type="dxa"/>
          </w:tblCellMar>
        </w:tblPrEx>
        <w:trPr>
          <w:trHeight w:val="255" w:hRule="atLeast"/>
          <w:jc w:val="center"/>
        </w:trPr>
        <w:tc>
          <w:tcPr>
            <w:tcW w:w="851" w:type="dxa"/>
            <w:tcBorders>
              <w:top w:val="nil"/>
              <w:left w:val="single" w:color="auto" w:sz="4" w:space="0"/>
              <w:bottom w:val="single" w:color="auto" w:sz="4" w:space="0"/>
              <w:right w:val="single" w:color="auto" w:sz="4" w:space="0"/>
            </w:tcBorders>
            <w:noWrap/>
            <w:vAlign w:val="center"/>
          </w:tcPr>
          <w:p w14:paraId="13AE73D6">
            <w:pPr>
              <w:widowControl/>
              <w:jc w:val="center"/>
              <w:rPr>
                <w:sz w:val="24"/>
                <w:szCs w:val="24"/>
              </w:rPr>
            </w:pPr>
            <w:r>
              <w:rPr>
                <w:rFonts w:hint="eastAsia"/>
                <w:sz w:val="24"/>
                <w:szCs w:val="24"/>
              </w:rPr>
              <w:t>12</w:t>
            </w:r>
          </w:p>
        </w:tc>
        <w:tc>
          <w:tcPr>
            <w:tcW w:w="992" w:type="dxa"/>
            <w:tcBorders>
              <w:top w:val="nil"/>
              <w:left w:val="nil"/>
              <w:bottom w:val="single" w:color="auto" w:sz="4" w:space="0"/>
              <w:right w:val="single" w:color="auto" w:sz="4" w:space="0"/>
            </w:tcBorders>
            <w:noWrap/>
            <w:vAlign w:val="center"/>
          </w:tcPr>
          <w:p w14:paraId="7C1AD11B">
            <w:pPr>
              <w:widowControl/>
              <w:jc w:val="center"/>
              <w:rPr>
                <w:color w:val="000000"/>
                <w:sz w:val="24"/>
                <w:szCs w:val="24"/>
              </w:rPr>
            </w:pPr>
            <w:r>
              <w:rPr>
                <w:rFonts w:hint="eastAsia"/>
                <w:sz w:val="24"/>
                <w:szCs w:val="24"/>
              </w:rPr>
              <w:t>#</w:t>
            </w:r>
          </w:p>
        </w:tc>
        <w:tc>
          <w:tcPr>
            <w:tcW w:w="965" w:type="dxa"/>
            <w:tcBorders>
              <w:top w:val="nil"/>
              <w:left w:val="nil"/>
              <w:bottom w:val="single" w:color="auto" w:sz="4" w:space="0"/>
              <w:right w:val="single" w:color="auto" w:sz="4" w:space="0"/>
            </w:tcBorders>
            <w:vAlign w:val="center"/>
          </w:tcPr>
          <w:p w14:paraId="2BA76631">
            <w:pPr>
              <w:widowControl/>
              <w:jc w:val="center"/>
              <w:rPr>
                <w:color w:val="000000"/>
                <w:sz w:val="24"/>
                <w:szCs w:val="24"/>
              </w:rPr>
            </w:pPr>
            <w:r>
              <w:rPr>
                <w:rFonts w:hint="eastAsia"/>
                <w:color w:val="000000"/>
                <w:sz w:val="24"/>
                <w:szCs w:val="24"/>
              </w:rPr>
              <w:t>产品资质</w:t>
            </w:r>
          </w:p>
        </w:tc>
        <w:tc>
          <w:tcPr>
            <w:tcW w:w="5315" w:type="dxa"/>
            <w:tcBorders>
              <w:top w:val="nil"/>
              <w:left w:val="nil"/>
              <w:bottom w:val="single" w:color="auto" w:sz="4" w:space="0"/>
              <w:right w:val="single" w:color="auto" w:sz="4" w:space="0"/>
            </w:tcBorders>
            <w:vAlign w:val="center"/>
          </w:tcPr>
          <w:p w14:paraId="5E9144A6">
            <w:pPr>
              <w:widowControl/>
              <w:rPr>
                <w:color w:val="000000"/>
                <w:sz w:val="24"/>
                <w:szCs w:val="24"/>
                <w:lang w:eastAsia="zh-CN"/>
              </w:rPr>
            </w:pPr>
            <w:r>
              <w:rPr>
                <w:rFonts w:hint="eastAsia"/>
                <w:color w:val="000000"/>
                <w:sz w:val="24"/>
                <w:szCs w:val="24"/>
                <w:lang w:eastAsia="zh-CN"/>
              </w:rPr>
              <w:t>所投产品须具备国家版权局颁发的《计算机软件著作权登记证书》。</w:t>
            </w:r>
          </w:p>
        </w:tc>
        <w:tc>
          <w:tcPr>
            <w:tcW w:w="2244" w:type="dxa"/>
            <w:tcBorders>
              <w:top w:val="nil"/>
              <w:left w:val="nil"/>
              <w:bottom w:val="single" w:color="auto" w:sz="4" w:space="0"/>
              <w:right w:val="single" w:color="auto" w:sz="4" w:space="0"/>
            </w:tcBorders>
            <w:noWrap/>
            <w:vAlign w:val="center"/>
          </w:tcPr>
          <w:p w14:paraId="28C30CEF">
            <w:pPr>
              <w:widowControl/>
              <w:jc w:val="center"/>
              <w:rPr>
                <w:color w:val="000000"/>
                <w:sz w:val="24"/>
                <w:szCs w:val="24"/>
              </w:rPr>
            </w:pPr>
            <w:r>
              <w:rPr>
                <w:rFonts w:hint="eastAsia"/>
                <w:color w:val="000000"/>
                <w:sz w:val="24"/>
                <w:szCs w:val="24"/>
              </w:rPr>
              <w:t>是</w:t>
            </w:r>
          </w:p>
        </w:tc>
      </w:tr>
    </w:tbl>
    <w:p w14:paraId="170459DD">
      <w:pPr>
        <w:jc w:val="center"/>
        <w:rPr>
          <w:b/>
          <w:bCs/>
          <w:sz w:val="24"/>
          <w:szCs w:val="24"/>
        </w:rPr>
      </w:pPr>
    </w:p>
    <w:p w14:paraId="3E876C04">
      <w:pPr>
        <w:jc w:val="center"/>
        <w:rPr>
          <w:b/>
          <w:bCs/>
          <w:sz w:val="24"/>
          <w:szCs w:val="24"/>
        </w:rPr>
      </w:pPr>
    </w:p>
    <w:p w14:paraId="39C61467">
      <w:pPr>
        <w:pStyle w:val="6"/>
        <w:spacing w:line="360" w:lineRule="auto"/>
        <w:jc w:val="both"/>
        <w:rPr>
          <w:b/>
          <w:bCs/>
          <w:sz w:val="24"/>
          <w:szCs w:val="24"/>
          <w:lang w:eastAsia="zh-CN"/>
        </w:rPr>
      </w:pPr>
      <w:bookmarkStart w:id="101" w:name="_Toc216859455"/>
      <w:r>
        <w:rPr>
          <w:rFonts w:hint="eastAsia"/>
          <w:b/>
          <w:bCs/>
          <w:sz w:val="24"/>
          <w:szCs w:val="24"/>
          <w:lang w:eastAsia="zh-CN"/>
        </w:rPr>
        <w:t>（三）身份鉴别-双因素系统：数量1套</w:t>
      </w:r>
      <w:bookmarkEnd w:id="101"/>
    </w:p>
    <w:tbl>
      <w:tblPr>
        <w:tblStyle w:val="12"/>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03"/>
        <w:gridCol w:w="1062"/>
        <w:gridCol w:w="6067"/>
        <w:gridCol w:w="1070"/>
      </w:tblGrid>
      <w:tr w14:paraId="7667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3" w:type="dxa"/>
            <w:vAlign w:val="center"/>
          </w:tcPr>
          <w:p w14:paraId="16FCF7F5">
            <w:pPr>
              <w:jc w:val="center"/>
              <w:rPr>
                <w:b/>
                <w:bCs/>
                <w:sz w:val="24"/>
                <w:szCs w:val="24"/>
              </w:rPr>
            </w:pPr>
            <w:r>
              <w:rPr>
                <w:rFonts w:hint="eastAsia"/>
                <w:b/>
                <w:bCs/>
                <w:sz w:val="24"/>
                <w:szCs w:val="24"/>
              </w:rPr>
              <w:t>序号</w:t>
            </w:r>
          </w:p>
        </w:tc>
        <w:tc>
          <w:tcPr>
            <w:tcW w:w="1103" w:type="dxa"/>
            <w:vAlign w:val="center"/>
          </w:tcPr>
          <w:p w14:paraId="048D2BDB">
            <w:pPr>
              <w:jc w:val="center"/>
              <w:rPr>
                <w:b/>
                <w:bCs/>
                <w:sz w:val="24"/>
                <w:szCs w:val="24"/>
              </w:rPr>
            </w:pPr>
            <w:r>
              <w:rPr>
                <w:rFonts w:hint="eastAsia"/>
                <w:b/>
                <w:bCs/>
                <w:sz w:val="24"/>
                <w:szCs w:val="24"/>
              </w:rPr>
              <w:t>重要性</w:t>
            </w:r>
          </w:p>
        </w:tc>
        <w:tc>
          <w:tcPr>
            <w:tcW w:w="1062" w:type="dxa"/>
            <w:vAlign w:val="center"/>
          </w:tcPr>
          <w:p w14:paraId="7FF71F56">
            <w:pPr>
              <w:jc w:val="center"/>
              <w:rPr>
                <w:b/>
                <w:bCs/>
                <w:sz w:val="24"/>
                <w:szCs w:val="24"/>
              </w:rPr>
            </w:pPr>
            <w:r>
              <w:rPr>
                <w:rFonts w:hint="eastAsia"/>
                <w:b/>
                <w:bCs/>
                <w:sz w:val="24"/>
                <w:szCs w:val="24"/>
              </w:rPr>
              <w:t>指标项</w:t>
            </w:r>
          </w:p>
        </w:tc>
        <w:tc>
          <w:tcPr>
            <w:tcW w:w="6067" w:type="dxa"/>
            <w:vAlign w:val="center"/>
          </w:tcPr>
          <w:p w14:paraId="6637ED65">
            <w:pPr>
              <w:jc w:val="center"/>
              <w:rPr>
                <w:b/>
                <w:bCs/>
                <w:sz w:val="24"/>
                <w:szCs w:val="24"/>
              </w:rPr>
            </w:pPr>
            <w:r>
              <w:rPr>
                <w:rFonts w:hint="eastAsia"/>
                <w:b/>
                <w:bCs/>
                <w:sz w:val="24"/>
                <w:szCs w:val="24"/>
              </w:rPr>
              <w:t>指标要求</w:t>
            </w:r>
          </w:p>
        </w:tc>
        <w:tc>
          <w:tcPr>
            <w:tcW w:w="1070" w:type="dxa"/>
            <w:vAlign w:val="center"/>
          </w:tcPr>
          <w:p w14:paraId="2199C1DF">
            <w:pPr>
              <w:jc w:val="center"/>
              <w:rPr>
                <w:b/>
                <w:bCs/>
                <w:sz w:val="24"/>
                <w:szCs w:val="24"/>
              </w:rPr>
            </w:pPr>
            <w:r>
              <w:rPr>
                <w:rFonts w:hint="eastAsia"/>
                <w:b/>
                <w:bCs/>
                <w:sz w:val="24"/>
                <w:szCs w:val="24"/>
              </w:rPr>
              <w:t>证明材料要求</w:t>
            </w:r>
          </w:p>
        </w:tc>
      </w:tr>
      <w:tr w14:paraId="6AE8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FED06BE">
            <w:pPr>
              <w:pStyle w:val="15"/>
              <w:numPr>
                <w:ilvl w:val="0"/>
                <w:numId w:val="10"/>
              </w:numPr>
              <w:spacing w:after="160" w:line="278" w:lineRule="auto"/>
              <w:contextualSpacing/>
              <w:jc w:val="center"/>
              <w:rPr>
                <w:color w:val="000000"/>
                <w:sz w:val="24"/>
                <w:szCs w:val="24"/>
              </w:rPr>
            </w:pPr>
          </w:p>
        </w:tc>
        <w:tc>
          <w:tcPr>
            <w:tcW w:w="1103" w:type="dxa"/>
            <w:vAlign w:val="center"/>
          </w:tcPr>
          <w:p w14:paraId="72ED30C3">
            <w:pPr>
              <w:jc w:val="center"/>
              <w:rPr>
                <w:sz w:val="24"/>
                <w:szCs w:val="24"/>
              </w:rPr>
            </w:pPr>
            <w:r>
              <w:rPr>
                <w:rFonts w:hint="eastAsia"/>
                <w:sz w:val="24"/>
                <w:szCs w:val="24"/>
              </w:rPr>
              <w:t>#</w:t>
            </w:r>
          </w:p>
        </w:tc>
        <w:tc>
          <w:tcPr>
            <w:tcW w:w="1062" w:type="dxa"/>
            <w:vAlign w:val="center"/>
          </w:tcPr>
          <w:p w14:paraId="46069D5E">
            <w:pPr>
              <w:jc w:val="center"/>
              <w:rPr>
                <w:sz w:val="24"/>
                <w:szCs w:val="24"/>
              </w:rPr>
            </w:pPr>
            <w:r>
              <w:rPr>
                <w:rFonts w:hint="eastAsia"/>
                <w:sz w:val="24"/>
                <w:szCs w:val="24"/>
              </w:rPr>
              <w:t>基础配置</w:t>
            </w:r>
          </w:p>
        </w:tc>
        <w:tc>
          <w:tcPr>
            <w:tcW w:w="6067" w:type="dxa"/>
            <w:vAlign w:val="center"/>
          </w:tcPr>
          <w:p w14:paraId="6404AD0E">
            <w:pPr>
              <w:rPr>
                <w:sz w:val="24"/>
                <w:szCs w:val="24"/>
                <w:lang w:eastAsia="zh-CN"/>
              </w:rPr>
            </w:pPr>
            <w:r>
              <w:rPr>
                <w:rFonts w:hint="eastAsia"/>
                <w:sz w:val="24"/>
                <w:szCs w:val="24"/>
                <w:lang w:eastAsia="zh-CN"/>
              </w:rPr>
              <w:t>操作系统支持主流Linux操作系统，基于linux的长期稳定版：如redhat、centos、Ubuntu等，支持国产操作系统：如麒麟、统信、欧拉、UEPL等；</w:t>
            </w:r>
          </w:p>
        </w:tc>
        <w:tc>
          <w:tcPr>
            <w:tcW w:w="1070" w:type="dxa"/>
            <w:vAlign w:val="center"/>
          </w:tcPr>
          <w:p w14:paraId="1CC6DE93">
            <w:pPr>
              <w:jc w:val="center"/>
              <w:rPr>
                <w:sz w:val="24"/>
                <w:szCs w:val="24"/>
              </w:rPr>
            </w:pPr>
            <w:r>
              <w:rPr>
                <w:rFonts w:hint="eastAsia"/>
                <w:sz w:val="24"/>
                <w:szCs w:val="24"/>
              </w:rPr>
              <w:t>否</w:t>
            </w:r>
          </w:p>
        </w:tc>
      </w:tr>
      <w:tr w14:paraId="20FD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05C6104">
            <w:pPr>
              <w:pStyle w:val="15"/>
              <w:numPr>
                <w:ilvl w:val="0"/>
                <w:numId w:val="10"/>
              </w:numPr>
              <w:spacing w:after="160" w:line="278" w:lineRule="auto"/>
              <w:contextualSpacing/>
              <w:jc w:val="center"/>
              <w:rPr>
                <w:color w:val="000000"/>
                <w:sz w:val="24"/>
                <w:szCs w:val="24"/>
              </w:rPr>
            </w:pPr>
          </w:p>
        </w:tc>
        <w:tc>
          <w:tcPr>
            <w:tcW w:w="1103" w:type="dxa"/>
            <w:vAlign w:val="center"/>
          </w:tcPr>
          <w:p w14:paraId="207542AD">
            <w:pPr>
              <w:jc w:val="center"/>
              <w:rPr>
                <w:sz w:val="24"/>
                <w:szCs w:val="24"/>
              </w:rPr>
            </w:pPr>
            <w:r>
              <w:rPr>
                <w:rFonts w:hint="eastAsia"/>
                <w:sz w:val="24"/>
                <w:szCs w:val="24"/>
              </w:rPr>
              <w:t>★</w:t>
            </w:r>
          </w:p>
        </w:tc>
        <w:tc>
          <w:tcPr>
            <w:tcW w:w="1062" w:type="dxa"/>
            <w:vAlign w:val="center"/>
          </w:tcPr>
          <w:p w14:paraId="136FB92C">
            <w:pPr>
              <w:jc w:val="center"/>
              <w:rPr>
                <w:sz w:val="24"/>
                <w:szCs w:val="24"/>
              </w:rPr>
            </w:pPr>
            <w:r>
              <w:rPr>
                <w:rFonts w:hint="eastAsia"/>
                <w:sz w:val="24"/>
                <w:szCs w:val="24"/>
              </w:rPr>
              <w:t>授权配置要求</w:t>
            </w:r>
          </w:p>
        </w:tc>
        <w:tc>
          <w:tcPr>
            <w:tcW w:w="6067" w:type="dxa"/>
            <w:vAlign w:val="center"/>
          </w:tcPr>
          <w:p w14:paraId="088FB3F2">
            <w:pPr>
              <w:rPr>
                <w:sz w:val="24"/>
                <w:szCs w:val="24"/>
                <w:lang w:eastAsia="zh-CN"/>
              </w:rPr>
            </w:pPr>
            <w:r>
              <w:rPr>
                <w:rFonts w:hint="eastAsia"/>
                <w:sz w:val="24"/>
                <w:szCs w:val="24"/>
                <w:lang w:eastAsia="zh-CN"/>
              </w:rPr>
              <w:t>系统支持&gt;500用户数，响应性能&gt;400TPS；包含3年技术支持服务</w:t>
            </w:r>
          </w:p>
        </w:tc>
        <w:tc>
          <w:tcPr>
            <w:tcW w:w="1070" w:type="dxa"/>
            <w:vAlign w:val="center"/>
          </w:tcPr>
          <w:p w14:paraId="2DF0CFB7">
            <w:pPr>
              <w:jc w:val="center"/>
              <w:rPr>
                <w:sz w:val="24"/>
                <w:szCs w:val="24"/>
              </w:rPr>
            </w:pPr>
            <w:r>
              <w:rPr>
                <w:rFonts w:hint="eastAsia"/>
                <w:sz w:val="24"/>
                <w:szCs w:val="24"/>
              </w:rPr>
              <w:t>否</w:t>
            </w:r>
          </w:p>
        </w:tc>
      </w:tr>
      <w:tr w14:paraId="4193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2A723C8">
            <w:pPr>
              <w:pStyle w:val="15"/>
              <w:numPr>
                <w:ilvl w:val="0"/>
                <w:numId w:val="10"/>
              </w:numPr>
              <w:spacing w:after="160" w:line="278" w:lineRule="auto"/>
              <w:contextualSpacing/>
              <w:jc w:val="center"/>
              <w:rPr>
                <w:color w:val="000000"/>
                <w:sz w:val="24"/>
                <w:szCs w:val="24"/>
              </w:rPr>
            </w:pPr>
          </w:p>
        </w:tc>
        <w:tc>
          <w:tcPr>
            <w:tcW w:w="1103" w:type="dxa"/>
            <w:vAlign w:val="center"/>
          </w:tcPr>
          <w:p w14:paraId="7E0C67D7">
            <w:pPr>
              <w:jc w:val="center"/>
              <w:rPr>
                <w:sz w:val="24"/>
                <w:szCs w:val="24"/>
              </w:rPr>
            </w:pPr>
            <w:r>
              <w:rPr>
                <w:rFonts w:hint="eastAsia"/>
                <w:sz w:val="24"/>
                <w:szCs w:val="24"/>
              </w:rPr>
              <w:t>#</w:t>
            </w:r>
          </w:p>
        </w:tc>
        <w:tc>
          <w:tcPr>
            <w:tcW w:w="1062" w:type="dxa"/>
            <w:vAlign w:val="center"/>
          </w:tcPr>
          <w:p w14:paraId="1E480C76">
            <w:pPr>
              <w:jc w:val="center"/>
              <w:rPr>
                <w:sz w:val="24"/>
                <w:szCs w:val="24"/>
              </w:rPr>
            </w:pPr>
            <w:r>
              <w:rPr>
                <w:rFonts w:hint="eastAsia"/>
                <w:sz w:val="24"/>
                <w:szCs w:val="24"/>
              </w:rPr>
              <w:t>技术架构</w:t>
            </w:r>
          </w:p>
        </w:tc>
        <w:tc>
          <w:tcPr>
            <w:tcW w:w="6067" w:type="dxa"/>
            <w:vAlign w:val="center"/>
          </w:tcPr>
          <w:p w14:paraId="1C9A84B0">
            <w:pPr>
              <w:rPr>
                <w:sz w:val="24"/>
                <w:szCs w:val="24"/>
                <w:lang w:eastAsia="zh-CN"/>
              </w:rPr>
            </w:pPr>
            <w:r>
              <w:rPr>
                <w:rFonts w:hint="eastAsia"/>
                <w:sz w:val="24"/>
                <w:szCs w:val="24"/>
                <w:lang w:eastAsia="zh-CN"/>
              </w:rPr>
              <w:t>支持集中式部署、双机热备、异地多活分布式等高可用架构；</w:t>
            </w:r>
          </w:p>
        </w:tc>
        <w:tc>
          <w:tcPr>
            <w:tcW w:w="1070" w:type="dxa"/>
            <w:vAlign w:val="center"/>
          </w:tcPr>
          <w:p w14:paraId="56FC0CDE">
            <w:pPr>
              <w:jc w:val="center"/>
              <w:rPr>
                <w:sz w:val="24"/>
                <w:szCs w:val="24"/>
              </w:rPr>
            </w:pPr>
            <w:r>
              <w:rPr>
                <w:rFonts w:hint="eastAsia"/>
                <w:sz w:val="24"/>
                <w:szCs w:val="24"/>
              </w:rPr>
              <w:t>是</w:t>
            </w:r>
          </w:p>
        </w:tc>
      </w:tr>
      <w:tr w14:paraId="1015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4689DCB2">
            <w:pPr>
              <w:pStyle w:val="15"/>
              <w:numPr>
                <w:ilvl w:val="0"/>
                <w:numId w:val="10"/>
              </w:numPr>
              <w:spacing w:after="160" w:line="278" w:lineRule="auto"/>
              <w:contextualSpacing/>
              <w:jc w:val="center"/>
              <w:rPr>
                <w:color w:val="000000"/>
                <w:sz w:val="24"/>
                <w:szCs w:val="24"/>
              </w:rPr>
            </w:pPr>
          </w:p>
        </w:tc>
        <w:tc>
          <w:tcPr>
            <w:tcW w:w="1103" w:type="dxa"/>
            <w:vAlign w:val="center"/>
          </w:tcPr>
          <w:p w14:paraId="3AD6E20D">
            <w:pPr>
              <w:jc w:val="center"/>
              <w:rPr>
                <w:sz w:val="24"/>
                <w:szCs w:val="24"/>
              </w:rPr>
            </w:pPr>
            <w:r>
              <w:rPr>
                <w:rFonts w:hint="eastAsia"/>
                <w:sz w:val="24"/>
                <w:szCs w:val="24"/>
              </w:rPr>
              <w:t>#</w:t>
            </w:r>
          </w:p>
        </w:tc>
        <w:tc>
          <w:tcPr>
            <w:tcW w:w="1062" w:type="dxa"/>
            <w:vAlign w:val="center"/>
          </w:tcPr>
          <w:p w14:paraId="0090FB23">
            <w:pPr>
              <w:jc w:val="center"/>
              <w:rPr>
                <w:sz w:val="24"/>
                <w:szCs w:val="24"/>
              </w:rPr>
            </w:pPr>
            <w:r>
              <w:rPr>
                <w:rFonts w:hint="eastAsia"/>
                <w:sz w:val="24"/>
                <w:szCs w:val="24"/>
              </w:rPr>
              <w:t>产品资质要求</w:t>
            </w:r>
          </w:p>
        </w:tc>
        <w:tc>
          <w:tcPr>
            <w:tcW w:w="6067" w:type="dxa"/>
            <w:vAlign w:val="center"/>
          </w:tcPr>
          <w:p w14:paraId="437A05B2">
            <w:pPr>
              <w:rPr>
                <w:sz w:val="24"/>
                <w:szCs w:val="24"/>
                <w:lang w:eastAsia="zh-CN"/>
              </w:rPr>
            </w:pPr>
            <w:r>
              <w:rPr>
                <w:rFonts w:hint="eastAsia"/>
                <w:sz w:val="24"/>
                <w:szCs w:val="24"/>
                <w:lang w:eastAsia="zh-CN"/>
              </w:rPr>
              <w:t>国密资质的产品标准和技术要求符合《GM/T 0021动态口令密码应用技术规范》和 《GM/T 0028密码模块安全技术要求》；</w:t>
            </w:r>
          </w:p>
        </w:tc>
        <w:tc>
          <w:tcPr>
            <w:tcW w:w="1070" w:type="dxa"/>
            <w:vAlign w:val="center"/>
          </w:tcPr>
          <w:p w14:paraId="49C52708">
            <w:pPr>
              <w:jc w:val="center"/>
              <w:rPr>
                <w:sz w:val="24"/>
                <w:szCs w:val="24"/>
              </w:rPr>
            </w:pPr>
            <w:r>
              <w:rPr>
                <w:rFonts w:hint="eastAsia"/>
                <w:sz w:val="24"/>
                <w:szCs w:val="24"/>
              </w:rPr>
              <w:t>是</w:t>
            </w:r>
          </w:p>
        </w:tc>
      </w:tr>
      <w:tr w14:paraId="51FD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8C12EF0">
            <w:pPr>
              <w:pStyle w:val="15"/>
              <w:numPr>
                <w:ilvl w:val="0"/>
                <w:numId w:val="10"/>
              </w:numPr>
              <w:spacing w:after="160" w:line="278" w:lineRule="auto"/>
              <w:contextualSpacing/>
              <w:jc w:val="center"/>
              <w:rPr>
                <w:color w:val="000000"/>
                <w:sz w:val="24"/>
                <w:szCs w:val="24"/>
              </w:rPr>
            </w:pPr>
          </w:p>
        </w:tc>
        <w:tc>
          <w:tcPr>
            <w:tcW w:w="1103" w:type="dxa"/>
            <w:vAlign w:val="center"/>
          </w:tcPr>
          <w:p w14:paraId="4807338F">
            <w:pPr>
              <w:jc w:val="center"/>
              <w:rPr>
                <w:sz w:val="24"/>
                <w:szCs w:val="24"/>
              </w:rPr>
            </w:pPr>
          </w:p>
        </w:tc>
        <w:tc>
          <w:tcPr>
            <w:tcW w:w="1062" w:type="dxa"/>
            <w:vMerge w:val="restart"/>
            <w:vAlign w:val="center"/>
          </w:tcPr>
          <w:p w14:paraId="39959748">
            <w:pPr>
              <w:jc w:val="center"/>
              <w:rPr>
                <w:sz w:val="24"/>
                <w:szCs w:val="24"/>
              </w:rPr>
            </w:pPr>
            <w:r>
              <w:rPr>
                <w:rFonts w:hint="eastAsia"/>
                <w:sz w:val="24"/>
                <w:szCs w:val="24"/>
              </w:rPr>
              <w:t>基础功能模块</w:t>
            </w:r>
          </w:p>
        </w:tc>
        <w:tc>
          <w:tcPr>
            <w:tcW w:w="6067" w:type="dxa"/>
            <w:vAlign w:val="center"/>
          </w:tcPr>
          <w:p w14:paraId="6D201975">
            <w:pPr>
              <w:pStyle w:val="16"/>
              <w:spacing w:line="324" w:lineRule="exact"/>
              <w:rPr>
                <w:sz w:val="24"/>
                <w:szCs w:val="24"/>
                <w:lang w:eastAsia="zh-CN"/>
              </w:rPr>
            </w:pPr>
            <w:r>
              <w:rPr>
                <w:rFonts w:hint="eastAsia"/>
                <w:sz w:val="24"/>
                <w:szCs w:val="24"/>
                <w:lang w:eastAsia="zh-CN"/>
              </w:rPr>
              <w:t>支持在账号认证基础之上，增加动态密码，实现双重因子认证，</w:t>
            </w:r>
          </w:p>
        </w:tc>
        <w:tc>
          <w:tcPr>
            <w:tcW w:w="1070" w:type="dxa"/>
            <w:vAlign w:val="center"/>
          </w:tcPr>
          <w:p w14:paraId="6B215ECB">
            <w:pPr>
              <w:jc w:val="center"/>
              <w:rPr>
                <w:sz w:val="24"/>
                <w:szCs w:val="24"/>
              </w:rPr>
            </w:pPr>
            <w:r>
              <w:rPr>
                <w:rFonts w:hint="eastAsia"/>
                <w:sz w:val="24"/>
                <w:szCs w:val="24"/>
              </w:rPr>
              <w:t>否</w:t>
            </w:r>
          </w:p>
        </w:tc>
      </w:tr>
      <w:tr w14:paraId="30A2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C7E6099">
            <w:pPr>
              <w:pStyle w:val="15"/>
              <w:numPr>
                <w:ilvl w:val="0"/>
                <w:numId w:val="10"/>
              </w:numPr>
              <w:spacing w:after="160" w:line="278" w:lineRule="auto"/>
              <w:contextualSpacing/>
              <w:jc w:val="center"/>
              <w:rPr>
                <w:color w:val="000000"/>
                <w:sz w:val="24"/>
                <w:szCs w:val="24"/>
              </w:rPr>
            </w:pPr>
          </w:p>
        </w:tc>
        <w:tc>
          <w:tcPr>
            <w:tcW w:w="1103" w:type="dxa"/>
            <w:vAlign w:val="center"/>
          </w:tcPr>
          <w:p w14:paraId="4B124FAA">
            <w:pPr>
              <w:jc w:val="center"/>
              <w:rPr>
                <w:sz w:val="24"/>
                <w:szCs w:val="24"/>
              </w:rPr>
            </w:pPr>
            <w:r>
              <w:rPr>
                <w:rFonts w:hint="eastAsia"/>
                <w:sz w:val="24"/>
                <w:szCs w:val="24"/>
              </w:rPr>
              <w:t>#</w:t>
            </w:r>
          </w:p>
        </w:tc>
        <w:tc>
          <w:tcPr>
            <w:tcW w:w="1062" w:type="dxa"/>
            <w:vMerge w:val="continue"/>
            <w:vAlign w:val="center"/>
          </w:tcPr>
          <w:p w14:paraId="7B7F267C">
            <w:pPr>
              <w:jc w:val="center"/>
              <w:rPr>
                <w:sz w:val="24"/>
                <w:szCs w:val="24"/>
              </w:rPr>
            </w:pPr>
          </w:p>
        </w:tc>
        <w:tc>
          <w:tcPr>
            <w:tcW w:w="6067" w:type="dxa"/>
            <w:vAlign w:val="center"/>
          </w:tcPr>
          <w:p w14:paraId="44CF4A7E">
            <w:pPr>
              <w:pStyle w:val="16"/>
              <w:spacing w:line="324" w:lineRule="exact"/>
              <w:rPr>
                <w:sz w:val="24"/>
                <w:szCs w:val="24"/>
                <w:lang w:eastAsia="zh-CN"/>
              </w:rPr>
            </w:pPr>
            <w:r>
              <w:rPr>
                <w:rFonts w:hint="eastAsia"/>
                <w:sz w:val="24"/>
                <w:szCs w:val="24"/>
                <w:lang w:eastAsia="zh-CN"/>
              </w:rPr>
              <w:t>系统平台要求包含标准 Radius 功能，支持虚拟化、VPN、堡垒机、</w:t>
            </w:r>
          </w:p>
          <w:p w14:paraId="36CB0A7D">
            <w:pPr>
              <w:pStyle w:val="16"/>
              <w:spacing w:line="324" w:lineRule="exact"/>
              <w:rPr>
                <w:sz w:val="24"/>
                <w:szCs w:val="24"/>
                <w:lang w:eastAsia="zh-CN"/>
              </w:rPr>
            </w:pPr>
            <w:r>
              <w:rPr>
                <w:rFonts w:hint="eastAsia"/>
                <w:sz w:val="24"/>
                <w:szCs w:val="24"/>
                <w:lang w:eastAsia="zh-CN"/>
              </w:rPr>
              <w:t>服务器等应用场景设备 Radius 对接；</w:t>
            </w:r>
          </w:p>
        </w:tc>
        <w:tc>
          <w:tcPr>
            <w:tcW w:w="1070" w:type="dxa"/>
            <w:vAlign w:val="center"/>
          </w:tcPr>
          <w:p w14:paraId="2372B439">
            <w:pPr>
              <w:jc w:val="center"/>
              <w:rPr>
                <w:sz w:val="24"/>
                <w:szCs w:val="24"/>
              </w:rPr>
            </w:pPr>
            <w:r>
              <w:rPr>
                <w:rFonts w:hint="eastAsia"/>
                <w:sz w:val="24"/>
                <w:szCs w:val="24"/>
              </w:rPr>
              <w:t>否</w:t>
            </w:r>
          </w:p>
        </w:tc>
      </w:tr>
      <w:tr w14:paraId="3D33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02A8F666">
            <w:pPr>
              <w:pStyle w:val="15"/>
              <w:numPr>
                <w:ilvl w:val="0"/>
                <w:numId w:val="10"/>
              </w:numPr>
              <w:spacing w:after="160" w:line="278" w:lineRule="auto"/>
              <w:contextualSpacing/>
              <w:jc w:val="center"/>
              <w:rPr>
                <w:color w:val="000000"/>
                <w:sz w:val="24"/>
                <w:szCs w:val="24"/>
              </w:rPr>
            </w:pPr>
          </w:p>
        </w:tc>
        <w:tc>
          <w:tcPr>
            <w:tcW w:w="1103" w:type="dxa"/>
            <w:vAlign w:val="center"/>
          </w:tcPr>
          <w:p w14:paraId="61ADF14F">
            <w:pPr>
              <w:jc w:val="center"/>
              <w:rPr>
                <w:sz w:val="24"/>
                <w:szCs w:val="24"/>
              </w:rPr>
            </w:pPr>
          </w:p>
        </w:tc>
        <w:tc>
          <w:tcPr>
            <w:tcW w:w="1062" w:type="dxa"/>
            <w:vMerge w:val="continue"/>
            <w:vAlign w:val="center"/>
          </w:tcPr>
          <w:p w14:paraId="19010B5A">
            <w:pPr>
              <w:jc w:val="center"/>
              <w:rPr>
                <w:sz w:val="24"/>
                <w:szCs w:val="24"/>
              </w:rPr>
            </w:pPr>
          </w:p>
        </w:tc>
        <w:tc>
          <w:tcPr>
            <w:tcW w:w="6067" w:type="dxa"/>
            <w:vAlign w:val="center"/>
          </w:tcPr>
          <w:p w14:paraId="771FDC9B">
            <w:pPr>
              <w:pStyle w:val="16"/>
              <w:spacing w:line="324" w:lineRule="exact"/>
              <w:rPr>
                <w:sz w:val="24"/>
                <w:szCs w:val="24"/>
                <w:lang w:eastAsia="zh-CN"/>
              </w:rPr>
            </w:pPr>
            <w:r>
              <w:rPr>
                <w:rFonts w:hint="eastAsia"/>
                <w:sz w:val="24"/>
                <w:szCs w:val="24"/>
                <w:lang w:eastAsia="zh-CN"/>
              </w:rPr>
              <w:t>遵循轻型目录访问协议LDAP V2 和V3，提供统一目录用户，提供基于LDAP的目录用户统一认证能力</w:t>
            </w:r>
          </w:p>
        </w:tc>
        <w:tc>
          <w:tcPr>
            <w:tcW w:w="1070" w:type="dxa"/>
            <w:vAlign w:val="center"/>
          </w:tcPr>
          <w:p w14:paraId="2FC5854D">
            <w:pPr>
              <w:jc w:val="center"/>
              <w:rPr>
                <w:sz w:val="24"/>
                <w:szCs w:val="24"/>
              </w:rPr>
            </w:pPr>
            <w:r>
              <w:rPr>
                <w:rFonts w:hint="eastAsia"/>
                <w:sz w:val="24"/>
                <w:szCs w:val="24"/>
              </w:rPr>
              <w:t>是</w:t>
            </w:r>
          </w:p>
        </w:tc>
      </w:tr>
      <w:tr w14:paraId="52B9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5DE82DD">
            <w:pPr>
              <w:pStyle w:val="15"/>
              <w:numPr>
                <w:ilvl w:val="0"/>
                <w:numId w:val="10"/>
              </w:numPr>
              <w:spacing w:after="160" w:line="278" w:lineRule="auto"/>
              <w:contextualSpacing/>
              <w:jc w:val="center"/>
              <w:rPr>
                <w:color w:val="000000"/>
                <w:sz w:val="24"/>
                <w:szCs w:val="24"/>
              </w:rPr>
            </w:pPr>
          </w:p>
        </w:tc>
        <w:tc>
          <w:tcPr>
            <w:tcW w:w="1103" w:type="dxa"/>
            <w:vAlign w:val="center"/>
          </w:tcPr>
          <w:p w14:paraId="53967BB3">
            <w:pPr>
              <w:jc w:val="center"/>
              <w:rPr>
                <w:sz w:val="24"/>
                <w:szCs w:val="24"/>
              </w:rPr>
            </w:pPr>
          </w:p>
        </w:tc>
        <w:tc>
          <w:tcPr>
            <w:tcW w:w="1062" w:type="dxa"/>
            <w:vMerge w:val="continue"/>
            <w:vAlign w:val="center"/>
          </w:tcPr>
          <w:p w14:paraId="17318811">
            <w:pPr>
              <w:jc w:val="center"/>
              <w:rPr>
                <w:sz w:val="24"/>
                <w:szCs w:val="24"/>
              </w:rPr>
            </w:pPr>
          </w:p>
        </w:tc>
        <w:tc>
          <w:tcPr>
            <w:tcW w:w="6067" w:type="dxa"/>
            <w:vAlign w:val="center"/>
          </w:tcPr>
          <w:p w14:paraId="00291071">
            <w:pPr>
              <w:pStyle w:val="16"/>
              <w:spacing w:line="324" w:lineRule="exact"/>
              <w:rPr>
                <w:sz w:val="24"/>
                <w:szCs w:val="24"/>
                <w:lang w:eastAsia="zh-CN"/>
              </w:rPr>
            </w:pPr>
            <w:r>
              <w:rPr>
                <w:rFonts w:hint="eastAsia"/>
                <w:sz w:val="24"/>
                <w:szCs w:val="24"/>
                <w:lang w:eastAsia="zh-CN"/>
              </w:rPr>
              <w:t>支持LDAP服务访问权限策略，可提供只读、读写权限，支持只有指定人/组织/组才有指定的权限，防止域中任一账号均可同步整个域账号造成的人员信息泄露，尤其是组织架构、手机号、邮箱等敏感信息。</w:t>
            </w:r>
          </w:p>
        </w:tc>
        <w:tc>
          <w:tcPr>
            <w:tcW w:w="1070" w:type="dxa"/>
            <w:vAlign w:val="center"/>
          </w:tcPr>
          <w:p w14:paraId="22613A8D">
            <w:pPr>
              <w:jc w:val="center"/>
              <w:rPr>
                <w:sz w:val="24"/>
                <w:szCs w:val="24"/>
              </w:rPr>
            </w:pPr>
            <w:r>
              <w:rPr>
                <w:rFonts w:hint="eastAsia"/>
                <w:sz w:val="24"/>
                <w:szCs w:val="24"/>
              </w:rPr>
              <w:t>是</w:t>
            </w:r>
          </w:p>
        </w:tc>
      </w:tr>
      <w:tr w14:paraId="23DD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270829E9">
            <w:pPr>
              <w:pStyle w:val="15"/>
              <w:numPr>
                <w:ilvl w:val="0"/>
                <w:numId w:val="10"/>
              </w:numPr>
              <w:spacing w:after="160" w:line="278" w:lineRule="auto"/>
              <w:contextualSpacing/>
              <w:jc w:val="center"/>
              <w:rPr>
                <w:color w:val="000000"/>
                <w:sz w:val="24"/>
                <w:szCs w:val="24"/>
              </w:rPr>
            </w:pPr>
          </w:p>
        </w:tc>
        <w:tc>
          <w:tcPr>
            <w:tcW w:w="1103" w:type="dxa"/>
            <w:vAlign w:val="center"/>
          </w:tcPr>
          <w:p w14:paraId="229D9681">
            <w:pPr>
              <w:jc w:val="center"/>
              <w:rPr>
                <w:sz w:val="24"/>
                <w:szCs w:val="24"/>
              </w:rPr>
            </w:pPr>
          </w:p>
        </w:tc>
        <w:tc>
          <w:tcPr>
            <w:tcW w:w="1062" w:type="dxa"/>
            <w:vMerge w:val="restart"/>
            <w:vAlign w:val="center"/>
          </w:tcPr>
          <w:p w14:paraId="351A3F59">
            <w:pPr>
              <w:jc w:val="center"/>
              <w:rPr>
                <w:sz w:val="24"/>
                <w:szCs w:val="24"/>
              </w:rPr>
            </w:pPr>
            <w:r>
              <w:rPr>
                <w:rFonts w:hint="eastAsia"/>
                <w:sz w:val="24"/>
                <w:szCs w:val="24"/>
              </w:rPr>
              <w:t>应用场景</w:t>
            </w:r>
          </w:p>
        </w:tc>
        <w:tc>
          <w:tcPr>
            <w:tcW w:w="6067" w:type="dxa"/>
            <w:vAlign w:val="center"/>
          </w:tcPr>
          <w:p w14:paraId="103182F3">
            <w:pPr>
              <w:pStyle w:val="16"/>
              <w:spacing w:line="324" w:lineRule="exact"/>
              <w:rPr>
                <w:sz w:val="24"/>
                <w:szCs w:val="24"/>
                <w:lang w:eastAsia="zh-CN"/>
              </w:rPr>
            </w:pPr>
            <w:r>
              <w:rPr>
                <w:rFonts w:hint="eastAsia"/>
                <w:sz w:val="24"/>
                <w:szCs w:val="24"/>
                <w:lang w:eastAsia="zh-CN"/>
              </w:rPr>
              <w:t>支持现有网络环境，包括但不限于堡垒机、云桌面、零信任等</w:t>
            </w:r>
          </w:p>
        </w:tc>
        <w:tc>
          <w:tcPr>
            <w:tcW w:w="1070" w:type="dxa"/>
            <w:vAlign w:val="center"/>
          </w:tcPr>
          <w:p w14:paraId="26F576AD">
            <w:pPr>
              <w:jc w:val="center"/>
              <w:rPr>
                <w:sz w:val="24"/>
                <w:szCs w:val="24"/>
              </w:rPr>
            </w:pPr>
            <w:r>
              <w:rPr>
                <w:rFonts w:hint="eastAsia"/>
                <w:sz w:val="24"/>
                <w:szCs w:val="24"/>
              </w:rPr>
              <w:t>否</w:t>
            </w:r>
          </w:p>
        </w:tc>
      </w:tr>
      <w:tr w14:paraId="3DB8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4089CFBF">
            <w:pPr>
              <w:pStyle w:val="15"/>
              <w:numPr>
                <w:ilvl w:val="0"/>
                <w:numId w:val="10"/>
              </w:numPr>
              <w:spacing w:after="160" w:line="278" w:lineRule="auto"/>
              <w:contextualSpacing/>
              <w:jc w:val="center"/>
              <w:rPr>
                <w:color w:val="000000"/>
                <w:sz w:val="24"/>
                <w:szCs w:val="24"/>
              </w:rPr>
            </w:pPr>
          </w:p>
        </w:tc>
        <w:tc>
          <w:tcPr>
            <w:tcW w:w="1103" w:type="dxa"/>
            <w:vAlign w:val="center"/>
          </w:tcPr>
          <w:p w14:paraId="50C032B1">
            <w:pPr>
              <w:jc w:val="center"/>
              <w:rPr>
                <w:sz w:val="24"/>
                <w:szCs w:val="24"/>
              </w:rPr>
            </w:pPr>
          </w:p>
        </w:tc>
        <w:tc>
          <w:tcPr>
            <w:tcW w:w="1062" w:type="dxa"/>
            <w:vMerge w:val="continue"/>
            <w:vAlign w:val="center"/>
          </w:tcPr>
          <w:p w14:paraId="42DD80DA">
            <w:pPr>
              <w:jc w:val="center"/>
              <w:rPr>
                <w:sz w:val="24"/>
                <w:szCs w:val="24"/>
              </w:rPr>
            </w:pPr>
          </w:p>
        </w:tc>
        <w:tc>
          <w:tcPr>
            <w:tcW w:w="6067" w:type="dxa"/>
            <w:vAlign w:val="center"/>
          </w:tcPr>
          <w:p w14:paraId="7B5191AA">
            <w:pPr>
              <w:pStyle w:val="16"/>
              <w:spacing w:line="324" w:lineRule="exact"/>
              <w:rPr>
                <w:sz w:val="24"/>
                <w:szCs w:val="24"/>
                <w:lang w:eastAsia="zh-CN"/>
              </w:rPr>
            </w:pPr>
            <w:r>
              <w:rPr>
                <w:rFonts w:hint="eastAsia"/>
                <w:sz w:val="24"/>
                <w:szCs w:val="24"/>
                <w:lang w:eastAsia="zh-CN"/>
              </w:rPr>
              <w:t>支持未注册双因素认证用户禁止登录；</w:t>
            </w:r>
          </w:p>
        </w:tc>
        <w:tc>
          <w:tcPr>
            <w:tcW w:w="1070" w:type="dxa"/>
            <w:vAlign w:val="center"/>
          </w:tcPr>
          <w:p w14:paraId="08F865B4">
            <w:pPr>
              <w:jc w:val="center"/>
              <w:rPr>
                <w:sz w:val="24"/>
                <w:szCs w:val="24"/>
              </w:rPr>
            </w:pPr>
            <w:r>
              <w:rPr>
                <w:rFonts w:hint="eastAsia"/>
                <w:sz w:val="24"/>
                <w:szCs w:val="24"/>
              </w:rPr>
              <w:t>否</w:t>
            </w:r>
          </w:p>
        </w:tc>
      </w:tr>
      <w:tr w14:paraId="7978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A890006">
            <w:pPr>
              <w:pStyle w:val="15"/>
              <w:numPr>
                <w:ilvl w:val="0"/>
                <w:numId w:val="10"/>
              </w:numPr>
              <w:spacing w:after="160" w:line="278" w:lineRule="auto"/>
              <w:contextualSpacing/>
              <w:jc w:val="center"/>
              <w:rPr>
                <w:color w:val="000000"/>
                <w:sz w:val="24"/>
                <w:szCs w:val="24"/>
              </w:rPr>
            </w:pPr>
          </w:p>
        </w:tc>
        <w:tc>
          <w:tcPr>
            <w:tcW w:w="1103" w:type="dxa"/>
            <w:vAlign w:val="center"/>
          </w:tcPr>
          <w:p w14:paraId="39B7C1BB">
            <w:pPr>
              <w:jc w:val="center"/>
              <w:rPr>
                <w:sz w:val="24"/>
                <w:szCs w:val="24"/>
              </w:rPr>
            </w:pPr>
          </w:p>
        </w:tc>
        <w:tc>
          <w:tcPr>
            <w:tcW w:w="1062" w:type="dxa"/>
            <w:vMerge w:val="continue"/>
            <w:vAlign w:val="center"/>
          </w:tcPr>
          <w:p w14:paraId="36CFD036">
            <w:pPr>
              <w:jc w:val="center"/>
              <w:rPr>
                <w:sz w:val="24"/>
                <w:szCs w:val="24"/>
              </w:rPr>
            </w:pPr>
          </w:p>
        </w:tc>
        <w:tc>
          <w:tcPr>
            <w:tcW w:w="6067" w:type="dxa"/>
            <w:vAlign w:val="center"/>
          </w:tcPr>
          <w:p w14:paraId="1C6995FE">
            <w:pPr>
              <w:pStyle w:val="16"/>
              <w:spacing w:line="324" w:lineRule="exact"/>
              <w:rPr>
                <w:sz w:val="24"/>
                <w:szCs w:val="24"/>
                <w:lang w:eastAsia="zh-CN"/>
              </w:rPr>
            </w:pPr>
            <w:r>
              <w:rPr>
                <w:rFonts w:hint="eastAsia"/>
                <w:sz w:val="24"/>
                <w:szCs w:val="24"/>
                <w:lang w:eastAsia="zh-CN"/>
              </w:rPr>
              <w:t>支持使用短信令牌、邮件令牌、企业微信/飞书/钉钉等即时发送类动态码登录；</w:t>
            </w:r>
          </w:p>
        </w:tc>
        <w:tc>
          <w:tcPr>
            <w:tcW w:w="1070" w:type="dxa"/>
            <w:vAlign w:val="center"/>
          </w:tcPr>
          <w:p w14:paraId="21905E79">
            <w:pPr>
              <w:jc w:val="center"/>
              <w:rPr>
                <w:sz w:val="24"/>
                <w:szCs w:val="24"/>
              </w:rPr>
            </w:pPr>
            <w:r>
              <w:rPr>
                <w:rFonts w:hint="eastAsia"/>
                <w:sz w:val="24"/>
                <w:szCs w:val="24"/>
              </w:rPr>
              <w:t>否</w:t>
            </w:r>
          </w:p>
        </w:tc>
      </w:tr>
      <w:tr w14:paraId="48EC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1F7C25A6">
            <w:pPr>
              <w:pStyle w:val="15"/>
              <w:numPr>
                <w:ilvl w:val="0"/>
                <w:numId w:val="10"/>
              </w:numPr>
              <w:spacing w:after="160" w:line="278" w:lineRule="auto"/>
              <w:contextualSpacing/>
              <w:jc w:val="center"/>
              <w:rPr>
                <w:color w:val="000000"/>
                <w:sz w:val="24"/>
                <w:szCs w:val="24"/>
              </w:rPr>
            </w:pPr>
          </w:p>
        </w:tc>
        <w:tc>
          <w:tcPr>
            <w:tcW w:w="1103" w:type="dxa"/>
            <w:vAlign w:val="center"/>
          </w:tcPr>
          <w:p w14:paraId="4A783B33">
            <w:pPr>
              <w:jc w:val="center"/>
              <w:rPr>
                <w:sz w:val="24"/>
                <w:szCs w:val="24"/>
              </w:rPr>
            </w:pPr>
          </w:p>
        </w:tc>
        <w:tc>
          <w:tcPr>
            <w:tcW w:w="1062" w:type="dxa"/>
            <w:vMerge w:val="continue"/>
            <w:vAlign w:val="center"/>
          </w:tcPr>
          <w:p w14:paraId="083A2413">
            <w:pPr>
              <w:jc w:val="center"/>
              <w:rPr>
                <w:sz w:val="24"/>
                <w:szCs w:val="24"/>
              </w:rPr>
            </w:pPr>
          </w:p>
        </w:tc>
        <w:tc>
          <w:tcPr>
            <w:tcW w:w="6067" w:type="dxa"/>
            <w:vAlign w:val="center"/>
          </w:tcPr>
          <w:p w14:paraId="67B203E4">
            <w:pPr>
              <w:pStyle w:val="16"/>
              <w:spacing w:line="324" w:lineRule="exact"/>
              <w:rPr>
                <w:sz w:val="24"/>
                <w:szCs w:val="24"/>
                <w:lang w:eastAsia="zh-CN"/>
              </w:rPr>
            </w:pPr>
            <w:r>
              <w:rPr>
                <w:rFonts w:hint="eastAsia"/>
                <w:sz w:val="24"/>
                <w:szCs w:val="24"/>
                <w:lang w:eastAsia="zh-CN"/>
              </w:rPr>
              <w:t>支持使用手机APP、硬件令牌符合具备国密SM3算法；</w:t>
            </w:r>
          </w:p>
        </w:tc>
        <w:tc>
          <w:tcPr>
            <w:tcW w:w="1070" w:type="dxa"/>
            <w:vAlign w:val="center"/>
          </w:tcPr>
          <w:p w14:paraId="2B155A04">
            <w:pPr>
              <w:jc w:val="center"/>
              <w:rPr>
                <w:sz w:val="24"/>
                <w:szCs w:val="24"/>
              </w:rPr>
            </w:pPr>
            <w:r>
              <w:rPr>
                <w:rFonts w:hint="eastAsia"/>
                <w:sz w:val="24"/>
                <w:szCs w:val="24"/>
              </w:rPr>
              <w:t>否</w:t>
            </w:r>
          </w:p>
        </w:tc>
      </w:tr>
      <w:tr w14:paraId="295D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56B4A227">
            <w:pPr>
              <w:pStyle w:val="15"/>
              <w:numPr>
                <w:ilvl w:val="0"/>
                <w:numId w:val="10"/>
              </w:numPr>
              <w:spacing w:after="160" w:line="278" w:lineRule="auto"/>
              <w:contextualSpacing/>
              <w:jc w:val="center"/>
              <w:rPr>
                <w:color w:val="000000"/>
                <w:sz w:val="24"/>
                <w:szCs w:val="24"/>
              </w:rPr>
            </w:pPr>
          </w:p>
        </w:tc>
        <w:tc>
          <w:tcPr>
            <w:tcW w:w="1103" w:type="dxa"/>
            <w:vAlign w:val="center"/>
          </w:tcPr>
          <w:p w14:paraId="4A9169A3">
            <w:pPr>
              <w:jc w:val="center"/>
              <w:rPr>
                <w:color w:val="000000"/>
                <w:sz w:val="24"/>
                <w:szCs w:val="24"/>
              </w:rPr>
            </w:pPr>
          </w:p>
        </w:tc>
        <w:tc>
          <w:tcPr>
            <w:tcW w:w="1062" w:type="dxa"/>
            <w:vMerge w:val="restart"/>
            <w:vAlign w:val="center"/>
          </w:tcPr>
          <w:p w14:paraId="5073C390">
            <w:pPr>
              <w:jc w:val="center"/>
              <w:rPr>
                <w:sz w:val="24"/>
                <w:szCs w:val="24"/>
              </w:rPr>
            </w:pPr>
            <w:r>
              <w:rPr>
                <w:rFonts w:hint="eastAsia"/>
                <w:sz w:val="24"/>
                <w:szCs w:val="24"/>
              </w:rPr>
              <w:t>令牌管理</w:t>
            </w:r>
          </w:p>
        </w:tc>
        <w:tc>
          <w:tcPr>
            <w:tcW w:w="6067" w:type="dxa"/>
            <w:vAlign w:val="center"/>
          </w:tcPr>
          <w:p w14:paraId="6E0A7941">
            <w:pPr>
              <w:pStyle w:val="16"/>
              <w:spacing w:line="324" w:lineRule="exact"/>
              <w:rPr>
                <w:sz w:val="24"/>
                <w:szCs w:val="24"/>
              </w:rPr>
            </w:pPr>
            <w:r>
              <w:rPr>
                <w:rFonts w:hint="eastAsia"/>
                <w:sz w:val="24"/>
                <w:szCs w:val="24"/>
              </w:rPr>
              <w:t>支持硬件令牌、短信令牌、APP令牌、微信小程序令牌；</w:t>
            </w:r>
          </w:p>
        </w:tc>
        <w:tc>
          <w:tcPr>
            <w:tcW w:w="1070" w:type="dxa"/>
            <w:vAlign w:val="center"/>
          </w:tcPr>
          <w:p w14:paraId="7DD53522">
            <w:pPr>
              <w:jc w:val="center"/>
              <w:rPr>
                <w:sz w:val="24"/>
                <w:szCs w:val="24"/>
              </w:rPr>
            </w:pPr>
            <w:r>
              <w:rPr>
                <w:rFonts w:hint="eastAsia"/>
                <w:sz w:val="24"/>
                <w:szCs w:val="24"/>
              </w:rPr>
              <w:t>否</w:t>
            </w:r>
          </w:p>
        </w:tc>
      </w:tr>
      <w:tr w14:paraId="7EE4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0E56F608">
            <w:pPr>
              <w:pStyle w:val="15"/>
              <w:numPr>
                <w:ilvl w:val="0"/>
                <w:numId w:val="10"/>
              </w:numPr>
              <w:spacing w:after="160" w:line="278" w:lineRule="auto"/>
              <w:contextualSpacing/>
              <w:jc w:val="center"/>
              <w:rPr>
                <w:color w:val="000000"/>
                <w:sz w:val="24"/>
                <w:szCs w:val="24"/>
              </w:rPr>
            </w:pPr>
          </w:p>
        </w:tc>
        <w:tc>
          <w:tcPr>
            <w:tcW w:w="1103" w:type="dxa"/>
            <w:vAlign w:val="center"/>
          </w:tcPr>
          <w:p w14:paraId="6E82DD9D">
            <w:pPr>
              <w:jc w:val="center"/>
              <w:rPr>
                <w:color w:val="000000"/>
                <w:sz w:val="24"/>
                <w:szCs w:val="24"/>
              </w:rPr>
            </w:pPr>
          </w:p>
        </w:tc>
        <w:tc>
          <w:tcPr>
            <w:tcW w:w="1062" w:type="dxa"/>
            <w:vMerge w:val="continue"/>
            <w:vAlign w:val="center"/>
          </w:tcPr>
          <w:p w14:paraId="038D7A05">
            <w:pPr>
              <w:jc w:val="center"/>
              <w:rPr>
                <w:sz w:val="24"/>
                <w:szCs w:val="24"/>
              </w:rPr>
            </w:pPr>
          </w:p>
        </w:tc>
        <w:tc>
          <w:tcPr>
            <w:tcW w:w="6067" w:type="dxa"/>
            <w:vAlign w:val="center"/>
          </w:tcPr>
          <w:p w14:paraId="70859534">
            <w:pPr>
              <w:pStyle w:val="16"/>
              <w:spacing w:line="324" w:lineRule="exact"/>
              <w:rPr>
                <w:sz w:val="24"/>
                <w:szCs w:val="24"/>
                <w:lang w:eastAsia="zh-CN"/>
              </w:rPr>
            </w:pPr>
            <w:r>
              <w:rPr>
                <w:rFonts w:hint="eastAsia"/>
                <w:sz w:val="24"/>
                <w:szCs w:val="24"/>
                <w:lang w:eastAsia="zh-CN"/>
              </w:rPr>
              <w:t>支持H5令牌，集成至企微/钉钉/飞书/Welink等常见APP的工作台，且支持将动态密码直接发送到消息列表；</w:t>
            </w:r>
          </w:p>
        </w:tc>
        <w:tc>
          <w:tcPr>
            <w:tcW w:w="1070" w:type="dxa"/>
            <w:vAlign w:val="center"/>
          </w:tcPr>
          <w:p w14:paraId="225FD966">
            <w:pPr>
              <w:jc w:val="center"/>
              <w:rPr>
                <w:sz w:val="24"/>
                <w:szCs w:val="24"/>
              </w:rPr>
            </w:pPr>
            <w:r>
              <w:rPr>
                <w:rFonts w:hint="eastAsia"/>
                <w:sz w:val="24"/>
                <w:szCs w:val="24"/>
              </w:rPr>
              <w:t>否</w:t>
            </w:r>
          </w:p>
        </w:tc>
      </w:tr>
      <w:tr w14:paraId="7689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1950E22E">
            <w:pPr>
              <w:pStyle w:val="15"/>
              <w:numPr>
                <w:ilvl w:val="0"/>
                <w:numId w:val="10"/>
              </w:numPr>
              <w:spacing w:after="160" w:line="278" w:lineRule="auto"/>
              <w:contextualSpacing/>
              <w:jc w:val="center"/>
              <w:rPr>
                <w:color w:val="000000"/>
                <w:sz w:val="24"/>
                <w:szCs w:val="24"/>
              </w:rPr>
            </w:pPr>
          </w:p>
        </w:tc>
        <w:tc>
          <w:tcPr>
            <w:tcW w:w="1103" w:type="dxa"/>
            <w:vAlign w:val="center"/>
          </w:tcPr>
          <w:p w14:paraId="126AED85">
            <w:pPr>
              <w:jc w:val="center"/>
              <w:rPr>
                <w:color w:val="000000"/>
                <w:sz w:val="24"/>
                <w:szCs w:val="24"/>
              </w:rPr>
            </w:pPr>
          </w:p>
        </w:tc>
        <w:tc>
          <w:tcPr>
            <w:tcW w:w="1062" w:type="dxa"/>
            <w:vMerge w:val="continue"/>
            <w:vAlign w:val="center"/>
          </w:tcPr>
          <w:p w14:paraId="5486539C">
            <w:pPr>
              <w:jc w:val="center"/>
              <w:rPr>
                <w:sz w:val="24"/>
                <w:szCs w:val="24"/>
              </w:rPr>
            </w:pPr>
          </w:p>
        </w:tc>
        <w:tc>
          <w:tcPr>
            <w:tcW w:w="6067" w:type="dxa"/>
            <w:vAlign w:val="center"/>
          </w:tcPr>
          <w:p w14:paraId="03D8004A">
            <w:pPr>
              <w:pStyle w:val="16"/>
              <w:spacing w:line="324" w:lineRule="exact"/>
              <w:rPr>
                <w:sz w:val="24"/>
                <w:szCs w:val="24"/>
                <w:lang w:eastAsia="zh-CN"/>
              </w:rPr>
            </w:pPr>
            <w:r>
              <w:rPr>
                <w:rFonts w:hint="eastAsia"/>
                <w:sz w:val="24"/>
                <w:szCs w:val="24"/>
                <w:lang w:eastAsia="zh-CN"/>
              </w:rPr>
              <w:t>支持令牌唯一性（仅允许被一个手机设备激活）；支持令牌云同步，以实现自动找回；支持令牌云擦除，管理员后端擦除令牌后，用户APP中将无法再查看该令牌；</w:t>
            </w:r>
          </w:p>
        </w:tc>
        <w:tc>
          <w:tcPr>
            <w:tcW w:w="1070" w:type="dxa"/>
            <w:vAlign w:val="center"/>
          </w:tcPr>
          <w:p w14:paraId="503B0188">
            <w:pPr>
              <w:jc w:val="center"/>
              <w:rPr>
                <w:sz w:val="24"/>
                <w:szCs w:val="24"/>
              </w:rPr>
            </w:pPr>
            <w:r>
              <w:rPr>
                <w:rFonts w:hint="eastAsia"/>
                <w:sz w:val="24"/>
                <w:szCs w:val="24"/>
              </w:rPr>
              <w:t>否</w:t>
            </w:r>
          </w:p>
        </w:tc>
      </w:tr>
      <w:tr w14:paraId="2E6E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0F13DDB3">
            <w:pPr>
              <w:pStyle w:val="15"/>
              <w:numPr>
                <w:ilvl w:val="0"/>
                <w:numId w:val="10"/>
              </w:numPr>
              <w:spacing w:after="160" w:line="278" w:lineRule="auto"/>
              <w:contextualSpacing/>
              <w:jc w:val="center"/>
              <w:rPr>
                <w:color w:val="000000"/>
                <w:sz w:val="24"/>
                <w:szCs w:val="24"/>
              </w:rPr>
            </w:pPr>
          </w:p>
        </w:tc>
        <w:tc>
          <w:tcPr>
            <w:tcW w:w="1103" w:type="dxa"/>
            <w:vAlign w:val="center"/>
          </w:tcPr>
          <w:p w14:paraId="435AAF56">
            <w:pPr>
              <w:jc w:val="center"/>
              <w:rPr>
                <w:color w:val="000000"/>
                <w:sz w:val="24"/>
                <w:szCs w:val="24"/>
              </w:rPr>
            </w:pPr>
          </w:p>
        </w:tc>
        <w:tc>
          <w:tcPr>
            <w:tcW w:w="1062" w:type="dxa"/>
            <w:vMerge w:val="continue"/>
            <w:vAlign w:val="center"/>
          </w:tcPr>
          <w:p w14:paraId="775B9E8E">
            <w:pPr>
              <w:jc w:val="center"/>
              <w:rPr>
                <w:sz w:val="24"/>
                <w:szCs w:val="24"/>
              </w:rPr>
            </w:pPr>
          </w:p>
        </w:tc>
        <w:tc>
          <w:tcPr>
            <w:tcW w:w="6067" w:type="dxa"/>
            <w:vAlign w:val="center"/>
          </w:tcPr>
          <w:p w14:paraId="4643BB68">
            <w:pPr>
              <w:pStyle w:val="16"/>
              <w:spacing w:line="324" w:lineRule="exact"/>
              <w:rPr>
                <w:sz w:val="24"/>
                <w:szCs w:val="24"/>
                <w:lang w:eastAsia="zh-CN"/>
              </w:rPr>
            </w:pPr>
            <w:r>
              <w:rPr>
                <w:rFonts w:hint="eastAsia"/>
                <w:sz w:val="24"/>
                <w:szCs w:val="24"/>
                <w:lang w:eastAsia="zh-CN"/>
              </w:rPr>
              <w:t>支持根据需要设置是否禁止手机APP令牌重复激活；</w:t>
            </w:r>
          </w:p>
        </w:tc>
        <w:tc>
          <w:tcPr>
            <w:tcW w:w="1070" w:type="dxa"/>
            <w:vAlign w:val="center"/>
          </w:tcPr>
          <w:p w14:paraId="4E4C7C3F">
            <w:pPr>
              <w:jc w:val="center"/>
              <w:rPr>
                <w:sz w:val="24"/>
                <w:szCs w:val="24"/>
              </w:rPr>
            </w:pPr>
            <w:r>
              <w:rPr>
                <w:rFonts w:hint="eastAsia"/>
                <w:sz w:val="24"/>
                <w:szCs w:val="24"/>
              </w:rPr>
              <w:t>否</w:t>
            </w:r>
          </w:p>
        </w:tc>
      </w:tr>
      <w:tr w14:paraId="3720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45F9FA7F">
            <w:pPr>
              <w:pStyle w:val="15"/>
              <w:numPr>
                <w:ilvl w:val="0"/>
                <w:numId w:val="10"/>
              </w:numPr>
              <w:spacing w:after="160" w:line="278" w:lineRule="auto"/>
              <w:contextualSpacing/>
              <w:jc w:val="center"/>
              <w:rPr>
                <w:color w:val="000000"/>
                <w:sz w:val="24"/>
                <w:szCs w:val="24"/>
              </w:rPr>
            </w:pPr>
          </w:p>
        </w:tc>
        <w:tc>
          <w:tcPr>
            <w:tcW w:w="1103" w:type="dxa"/>
            <w:vAlign w:val="center"/>
          </w:tcPr>
          <w:p w14:paraId="318269DF">
            <w:pPr>
              <w:jc w:val="center"/>
              <w:rPr>
                <w:color w:val="000000"/>
                <w:sz w:val="24"/>
                <w:szCs w:val="24"/>
              </w:rPr>
            </w:pPr>
          </w:p>
        </w:tc>
        <w:tc>
          <w:tcPr>
            <w:tcW w:w="1062" w:type="dxa"/>
            <w:vMerge w:val="continue"/>
            <w:vAlign w:val="center"/>
          </w:tcPr>
          <w:p w14:paraId="1349740C">
            <w:pPr>
              <w:jc w:val="center"/>
              <w:rPr>
                <w:sz w:val="24"/>
                <w:szCs w:val="24"/>
              </w:rPr>
            </w:pPr>
          </w:p>
        </w:tc>
        <w:tc>
          <w:tcPr>
            <w:tcW w:w="6067" w:type="dxa"/>
            <w:vAlign w:val="center"/>
          </w:tcPr>
          <w:p w14:paraId="1CAD2E4F">
            <w:pPr>
              <w:pStyle w:val="16"/>
              <w:spacing w:line="324" w:lineRule="exact"/>
              <w:rPr>
                <w:sz w:val="24"/>
                <w:szCs w:val="24"/>
                <w:lang w:eastAsia="zh-CN"/>
              </w:rPr>
            </w:pPr>
            <w:r>
              <w:rPr>
                <w:rFonts w:hint="eastAsia"/>
                <w:sz w:val="24"/>
                <w:szCs w:val="24"/>
                <w:lang w:eastAsia="zh-CN"/>
              </w:rPr>
              <w:t>手机APP支持pin码、扫脸、指纹等解锁方式，并支持找回PIN码；</w:t>
            </w:r>
          </w:p>
        </w:tc>
        <w:tc>
          <w:tcPr>
            <w:tcW w:w="1070" w:type="dxa"/>
            <w:vAlign w:val="center"/>
          </w:tcPr>
          <w:p w14:paraId="68A8AEAE">
            <w:pPr>
              <w:jc w:val="center"/>
              <w:rPr>
                <w:sz w:val="24"/>
                <w:szCs w:val="24"/>
              </w:rPr>
            </w:pPr>
            <w:r>
              <w:rPr>
                <w:rFonts w:hint="eastAsia"/>
                <w:sz w:val="24"/>
                <w:szCs w:val="24"/>
              </w:rPr>
              <w:t>否</w:t>
            </w:r>
          </w:p>
        </w:tc>
      </w:tr>
      <w:tr w14:paraId="1150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483D6C01">
            <w:pPr>
              <w:pStyle w:val="15"/>
              <w:numPr>
                <w:ilvl w:val="0"/>
                <w:numId w:val="10"/>
              </w:numPr>
              <w:spacing w:after="160" w:line="278" w:lineRule="auto"/>
              <w:contextualSpacing/>
              <w:jc w:val="center"/>
              <w:rPr>
                <w:color w:val="000000"/>
                <w:sz w:val="24"/>
                <w:szCs w:val="24"/>
              </w:rPr>
            </w:pPr>
          </w:p>
        </w:tc>
        <w:tc>
          <w:tcPr>
            <w:tcW w:w="1103" w:type="dxa"/>
            <w:vAlign w:val="center"/>
          </w:tcPr>
          <w:p w14:paraId="7A103371">
            <w:pPr>
              <w:jc w:val="center"/>
              <w:rPr>
                <w:color w:val="000000"/>
                <w:sz w:val="24"/>
                <w:szCs w:val="24"/>
              </w:rPr>
            </w:pPr>
          </w:p>
        </w:tc>
        <w:tc>
          <w:tcPr>
            <w:tcW w:w="1062" w:type="dxa"/>
            <w:vAlign w:val="center"/>
          </w:tcPr>
          <w:p w14:paraId="1B7F3D8C">
            <w:pPr>
              <w:jc w:val="center"/>
              <w:rPr>
                <w:sz w:val="24"/>
                <w:szCs w:val="24"/>
              </w:rPr>
            </w:pPr>
            <w:r>
              <w:rPr>
                <w:rFonts w:hint="eastAsia"/>
                <w:sz w:val="24"/>
                <w:szCs w:val="24"/>
              </w:rPr>
              <w:t>用户管理</w:t>
            </w:r>
          </w:p>
        </w:tc>
        <w:tc>
          <w:tcPr>
            <w:tcW w:w="6067" w:type="dxa"/>
            <w:vAlign w:val="center"/>
          </w:tcPr>
          <w:p w14:paraId="7DB56A86">
            <w:pPr>
              <w:pStyle w:val="16"/>
              <w:spacing w:line="324" w:lineRule="exact"/>
              <w:rPr>
                <w:sz w:val="24"/>
                <w:szCs w:val="24"/>
                <w:lang w:eastAsia="zh-CN"/>
              </w:rPr>
            </w:pPr>
            <w:r>
              <w:rPr>
                <w:rFonts w:hint="eastAsia"/>
                <w:sz w:val="24"/>
                <w:szCs w:val="24"/>
                <w:lang w:eastAsia="zh-CN"/>
              </w:rPr>
              <w:t>支持本地自建普通账号、自建LDAP目录账号等；</w:t>
            </w:r>
          </w:p>
        </w:tc>
        <w:tc>
          <w:tcPr>
            <w:tcW w:w="1070" w:type="dxa"/>
            <w:vAlign w:val="center"/>
          </w:tcPr>
          <w:p w14:paraId="14A529A5">
            <w:pPr>
              <w:jc w:val="center"/>
              <w:rPr>
                <w:sz w:val="24"/>
                <w:szCs w:val="24"/>
              </w:rPr>
            </w:pPr>
            <w:r>
              <w:rPr>
                <w:rFonts w:hint="eastAsia"/>
                <w:sz w:val="24"/>
                <w:szCs w:val="24"/>
              </w:rPr>
              <w:t>否</w:t>
            </w:r>
          </w:p>
        </w:tc>
      </w:tr>
      <w:tr w14:paraId="04DE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5F01FE47">
            <w:pPr>
              <w:pStyle w:val="15"/>
              <w:numPr>
                <w:ilvl w:val="0"/>
                <w:numId w:val="10"/>
              </w:numPr>
              <w:spacing w:after="160" w:line="278" w:lineRule="auto"/>
              <w:contextualSpacing/>
              <w:jc w:val="center"/>
              <w:rPr>
                <w:color w:val="000000"/>
                <w:sz w:val="24"/>
                <w:szCs w:val="24"/>
              </w:rPr>
            </w:pPr>
          </w:p>
        </w:tc>
        <w:tc>
          <w:tcPr>
            <w:tcW w:w="1103" w:type="dxa"/>
            <w:vAlign w:val="center"/>
          </w:tcPr>
          <w:p w14:paraId="6C493806">
            <w:pPr>
              <w:jc w:val="center"/>
              <w:rPr>
                <w:color w:val="000000"/>
                <w:sz w:val="24"/>
                <w:szCs w:val="24"/>
              </w:rPr>
            </w:pPr>
            <w:r>
              <w:rPr>
                <w:rFonts w:hint="eastAsia"/>
                <w:sz w:val="24"/>
                <w:szCs w:val="24"/>
              </w:rPr>
              <w:t>#</w:t>
            </w:r>
          </w:p>
        </w:tc>
        <w:tc>
          <w:tcPr>
            <w:tcW w:w="1062" w:type="dxa"/>
            <w:vMerge w:val="restart"/>
            <w:vAlign w:val="center"/>
          </w:tcPr>
          <w:p w14:paraId="08297AAB">
            <w:pPr>
              <w:jc w:val="center"/>
              <w:rPr>
                <w:sz w:val="24"/>
                <w:szCs w:val="24"/>
              </w:rPr>
            </w:pPr>
            <w:r>
              <w:rPr>
                <w:rFonts w:hint="eastAsia"/>
                <w:sz w:val="24"/>
                <w:szCs w:val="24"/>
              </w:rPr>
              <w:t>自服务平台</w:t>
            </w:r>
          </w:p>
        </w:tc>
        <w:tc>
          <w:tcPr>
            <w:tcW w:w="6067" w:type="dxa"/>
            <w:vAlign w:val="center"/>
          </w:tcPr>
          <w:p w14:paraId="6C97AFD3">
            <w:pPr>
              <w:pStyle w:val="16"/>
              <w:spacing w:line="324" w:lineRule="exact"/>
              <w:rPr>
                <w:sz w:val="24"/>
                <w:szCs w:val="24"/>
                <w:lang w:eastAsia="zh-CN"/>
              </w:rPr>
            </w:pPr>
            <w:r>
              <w:rPr>
                <w:rFonts w:hint="eastAsia"/>
                <w:sz w:val="24"/>
                <w:szCs w:val="24"/>
                <w:lang w:eastAsia="zh-CN"/>
              </w:rPr>
              <w:t>支持用户修改密码、重置密码、解锁账号；</w:t>
            </w:r>
          </w:p>
        </w:tc>
        <w:tc>
          <w:tcPr>
            <w:tcW w:w="1070" w:type="dxa"/>
            <w:vAlign w:val="center"/>
          </w:tcPr>
          <w:p w14:paraId="2EBF1E73">
            <w:pPr>
              <w:jc w:val="center"/>
              <w:rPr>
                <w:sz w:val="24"/>
                <w:szCs w:val="24"/>
              </w:rPr>
            </w:pPr>
            <w:r>
              <w:rPr>
                <w:rFonts w:hint="eastAsia"/>
                <w:sz w:val="24"/>
                <w:szCs w:val="24"/>
              </w:rPr>
              <w:t>是</w:t>
            </w:r>
          </w:p>
        </w:tc>
      </w:tr>
      <w:tr w14:paraId="0A1F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09B41D33">
            <w:pPr>
              <w:pStyle w:val="15"/>
              <w:numPr>
                <w:ilvl w:val="0"/>
                <w:numId w:val="10"/>
              </w:numPr>
              <w:spacing w:after="160" w:line="278" w:lineRule="auto"/>
              <w:contextualSpacing/>
              <w:jc w:val="center"/>
              <w:rPr>
                <w:color w:val="000000"/>
                <w:sz w:val="24"/>
                <w:szCs w:val="24"/>
              </w:rPr>
            </w:pPr>
          </w:p>
        </w:tc>
        <w:tc>
          <w:tcPr>
            <w:tcW w:w="1103" w:type="dxa"/>
            <w:vAlign w:val="center"/>
          </w:tcPr>
          <w:p w14:paraId="5F36421E">
            <w:pPr>
              <w:jc w:val="center"/>
              <w:rPr>
                <w:color w:val="000000"/>
                <w:sz w:val="24"/>
                <w:szCs w:val="24"/>
              </w:rPr>
            </w:pPr>
          </w:p>
        </w:tc>
        <w:tc>
          <w:tcPr>
            <w:tcW w:w="1062" w:type="dxa"/>
            <w:vMerge w:val="continue"/>
            <w:vAlign w:val="center"/>
          </w:tcPr>
          <w:p w14:paraId="63478C9B">
            <w:pPr>
              <w:jc w:val="center"/>
              <w:rPr>
                <w:sz w:val="24"/>
                <w:szCs w:val="24"/>
              </w:rPr>
            </w:pPr>
          </w:p>
        </w:tc>
        <w:tc>
          <w:tcPr>
            <w:tcW w:w="6067" w:type="dxa"/>
            <w:vAlign w:val="center"/>
          </w:tcPr>
          <w:p w14:paraId="58A52299">
            <w:pPr>
              <w:pStyle w:val="16"/>
              <w:spacing w:line="324" w:lineRule="exact"/>
              <w:rPr>
                <w:sz w:val="24"/>
                <w:szCs w:val="24"/>
                <w:lang w:eastAsia="zh-CN"/>
              </w:rPr>
            </w:pPr>
            <w:r>
              <w:rPr>
                <w:rFonts w:hint="eastAsia"/>
                <w:sz w:val="24"/>
                <w:szCs w:val="24"/>
                <w:lang w:eastAsia="zh-CN"/>
              </w:rPr>
              <w:t>支持管理员根据需要配置是否开启自服务，以及自服务菜单功能可配置；</w:t>
            </w:r>
          </w:p>
        </w:tc>
        <w:tc>
          <w:tcPr>
            <w:tcW w:w="1070" w:type="dxa"/>
            <w:vAlign w:val="center"/>
          </w:tcPr>
          <w:p w14:paraId="51B6B7FB">
            <w:pPr>
              <w:jc w:val="center"/>
              <w:rPr>
                <w:sz w:val="24"/>
                <w:szCs w:val="24"/>
              </w:rPr>
            </w:pPr>
            <w:r>
              <w:rPr>
                <w:rFonts w:hint="eastAsia"/>
                <w:sz w:val="24"/>
                <w:szCs w:val="24"/>
              </w:rPr>
              <w:t>否</w:t>
            </w:r>
          </w:p>
        </w:tc>
      </w:tr>
      <w:tr w14:paraId="1D66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492DD955">
            <w:pPr>
              <w:pStyle w:val="15"/>
              <w:numPr>
                <w:ilvl w:val="0"/>
                <w:numId w:val="10"/>
              </w:numPr>
              <w:spacing w:after="160" w:line="278" w:lineRule="auto"/>
              <w:contextualSpacing/>
              <w:jc w:val="center"/>
              <w:rPr>
                <w:color w:val="000000"/>
                <w:sz w:val="24"/>
                <w:szCs w:val="24"/>
              </w:rPr>
            </w:pPr>
          </w:p>
        </w:tc>
        <w:tc>
          <w:tcPr>
            <w:tcW w:w="1103" w:type="dxa"/>
            <w:vAlign w:val="center"/>
          </w:tcPr>
          <w:p w14:paraId="7DAABD03">
            <w:pPr>
              <w:jc w:val="center"/>
              <w:rPr>
                <w:color w:val="000000"/>
                <w:sz w:val="24"/>
                <w:szCs w:val="24"/>
              </w:rPr>
            </w:pPr>
          </w:p>
        </w:tc>
        <w:tc>
          <w:tcPr>
            <w:tcW w:w="1062" w:type="dxa"/>
            <w:vMerge w:val="continue"/>
            <w:vAlign w:val="center"/>
          </w:tcPr>
          <w:p w14:paraId="03A31C14">
            <w:pPr>
              <w:jc w:val="center"/>
              <w:rPr>
                <w:sz w:val="24"/>
                <w:szCs w:val="24"/>
              </w:rPr>
            </w:pPr>
          </w:p>
        </w:tc>
        <w:tc>
          <w:tcPr>
            <w:tcW w:w="6067" w:type="dxa"/>
            <w:vAlign w:val="center"/>
          </w:tcPr>
          <w:p w14:paraId="61B489F6">
            <w:pPr>
              <w:pStyle w:val="16"/>
              <w:spacing w:line="324" w:lineRule="exact"/>
              <w:rPr>
                <w:sz w:val="24"/>
                <w:szCs w:val="24"/>
                <w:lang w:eastAsia="zh-CN"/>
              </w:rPr>
            </w:pPr>
            <w:r>
              <w:rPr>
                <w:rFonts w:hint="eastAsia"/>
                <w:sz w:val="24"/>
                <w:szCs w:val="24"/>
                <w:lang w:eastAsia="zh-CN"/>
              </w:rPr>
              <w:t>支持用户自助绑定及解绑令牌，更改手机号登个人信息；</w:t>
            </w:r>
          </w:p>
        </w:tc>
        <w:tc>
          <w:tcPr>
            <w:tcW w:w="1070" w:type="dxa"/>
            <w:vAlign w:val="center"/>
          </w:tcPr>
          <w:p w14:paraId="5596853D">
            <w:pPr>
              <w:jc w:val="center"/>
              <w:rPr>
                <w:sz w:val="24"/>
                <w:szCs w:val="24"/>
              </w:rPr>
            </w:pPr>
            <w:r>
              <w:rPr>
                <w:rFonts w:hint="eastAsia"/>
                <w:sz w:val="24"/>
                <w:szCs w:val="24"/>
              </w:rPr>
              <w:t>否</w:t>
            </w:r>
          </w:p>
        </w:tc>
      </w:tr>
      <w:tr w14:paraId="74DD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DF7FA2E">
            <w:pPr>
              <w:pStyle w:val="15"/>
              <w:numPr>
                <w:ilvl w:val="0"/>
                <w:numId w:val="10"/>
              </w:numPr>
              <w:spacing w:after="160" w:line="278" w:lineRule="auto"/>
              <w:contextualSpacing/>
              <w:jc w:val="center"/>
              <w:rPr>
                <w:color w:val="000000"/>
                <w:sz w:val="24"/>
                <w:szCs w:val="24"/>
              </w:rPr>
            </w:pPr>
          </w:p>
        </w:tc>
        <w:tc>
          <w:tcPr>
            <w:tcW w:w="1103" w:type="dxa"/>
            <w:vAlign w:val="center"/>
          </w:tcPr>
          <w:p w14:paraId="360ABCF0">
            <w:pPr>
              <w:jc w:val="center"/>
              <w:rPr>
                <w:color w:val="000000"/>
                <w:sz w:val="24"/>
                <w:szCs w:val="24"/>
              </w:rPr>
            </w:pPr>
          </w:p>
        </w:tc>
        <w:tc>
          <w:tcPr>
            <w:tcW w:w="1062" w:type="dxa"/>
            <w:vMerge w:val="restart"/>
            <w:vAlign w:val="center"/>
          </w:tcPr>
          <w:p w14:paraId="1234B271">
            <w:pPr>
              <w:jc w:val="center"/>
              <w:rPr>
                <w:sz w:val="24"/>
                <w:szCs w:val="24"/>
              </w:rPr>
            </w:pPr>
            <w:r>
              <w:rPr>
                <w:rFonts w:hint="eastAsia"/>
                <w:sz w:val="24"/>
                <w:szCs w:val="24"/>
              </w:rPr>
              <w:t>认证安全</w:t>
            </w:r>
          </w:p>
        </w:tc>
        <w:tc>
          <w:tcPr>
            <w:tcW w:w="6067" w:type="dxa"/>
            <w:vAlign w:val="center"/>
          </w:tcPr>
          <w:p w14:paraId="6011FAE4">
            <w:pPr>
              <w:pStyle w:val="16"/>
              <w:spacing w:line="324" w:lineRule="exact"/>
              <w:rPr>
                <w:sz w:val="24"/>
                <w:szCs w:val="24"/>
                <w:lang w:eastAsia="zh-CN"/>
              </w:rPr>
            </w:pPr>
            <w:r>
              <w:rPr>
                <w:rFonts w:hint="eastAsia"/>
                <w:sz w:val="24"/>
                <w:szCs w:val="24"/>
                <w:lang w:eastAsia="zh-CN"/>
              </w:rPr>
              <w:t>支持配置密码策略，可以基于用户组（角色）设置密码有效期、密码过期提醒、密码复杂度、历史密码个数等策略，保护用户账号密码安全；</w:t>
            </w:r>
          </w:p>
        </w:tc>
        <w:tc>
          <w:tcPr>
            <w:tcW w:w="1070" w:type="dxa"/>
            <w:vAlign w:val="center"/>
          </w:tcPr>
          <w:p w14:paraId="13EBACFF">
            <w:pPr>
              <w:jc w:val="center"/>
              <w:rPr>
                <w:sz w:val="24"/>
                <w:szCs w:val="24"/>
              </w:rPr>
            </w:pPr>
            <w:r>
              <w:rPr>
                <w:rFonts w:hint="eastAsia"/>
                <w:sz w:val="24"/>
                <w:szCs w:val="24"/>
              </w:rPr>
              <w:t>否</w:t>
            </w:r>
          </w:p>
        </w:tc>
      </w:tr>
      <w:tr w14:paraId="3E71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77DCFB7">
            <w:pPr>
              <w:pStyle w:val="15"/>
              <w:numPr>
                <w:ilvl w:val="0"/>
                <w:numId w:val="10"/>
              </w:numPr>
              <w:spacing w:after="160" w:line="278" w:lineRule="auto"/>
              <w:contextualSpacing/>
              <w:jc w:val="center"/>
              <w:rPr>
                <w:color w:val="000000"/>
                <w:sz w:val="24"/>
                <w:szCs w:val="24"/>
              </w:rPr>
            </w:pPr>
          </w:p>
        </w:tc>
        <w:tc>
          <w:tcPr>
            <w:tcW w:w="1103" w:type="dxa"/>
            <w:vAlign w:val="center"/>
          </w:tcPr>
          <w:p w14:paraId="542D72F2">
            <w:pPr>
              <w:jc w:val="center"/>
              <w:rPr>
                <w:color w:val="000000"/>
                <w:sz w:val="24"/>
                <w:szCs w:val="24"/>
              </w:rPr>
            </w:pPr>
          </w:p>
        </w:tc>
        <w:tc>
          <w:tcPr>
            <w:tcW w:w="1062" w:type="dxa"/>
            <w:vMerge w:val="continue"/>
            <w:vAlign w:val="center"/>
          </w:tcPr>
          <w:p w14:paraId="42893D28">
            <w:pPr>
              <w:jc w:val="center"/>
              <w:rPr>
                <w:sz w:val="24"/>
                <w:szCs w:val="24"/>
              </w:rPr>
            </w:pPr>
          </w:p>
        </w:tc>
        <w:tc>
          <w:tcPr>
            <w:tcW w:w="6067" w:type="dxa"/>
            <w:vAlign w:val="center"/>
          </w:tcPr>
          <w:p w14:paraId="4671ABE4">
            <w:pPr>
              <w:pStyle w:val="16"/>
              <w:spacing w:line="324" w:lineRule="exact"/>
              <w:rPr>
                <w:sz w:val="24"/>
                <w:szCs w:val="24"/>
                <w:lang w:eastAsia="zh-CN"/>
              </w:rPr>
            </w:pPr>
            <w:r>
              <w:rPr>
                <w:rFonts w:hint="eastAsia"/>
                <w:sz w:val="24"/>
                <w:szCs w:val="24"/>
                <w:lang w:eastAsia="zh-CN"/>
              </w:rPr>
              <w:t>支持配置登录保护，根据用户类型创建登录锁定策略，连续失败次数锁定时间或者永久锁定、锁定提醒、密码提醒、登录提醒（邮箱、短信提示），支持攻击干扰，防LDAP已知用户名拒绝服务攻击；</w:t>
            </w:r>
          </w:p>
        </w:tc>
        <w:tc>
          <w:tcPr>
            <w:tcW w:w="1070" w:type="dxa"/>
            <w:vAlign w:val="center"/>
          </w:tcPr>
          <w:p w14:paraId="48D287C5">
            <w:pPr>
              <w:jc w:val="center"/>
              <w:rPr>
                <w:sz w:val="24"/>
                <w:szCs w:val="24"/>
              </w:rPr>
            </w:pPr>
            <w:r>
              <w:rPr>
                <w:rFonts w:hint="eastAsia"/>
                <w:sz w:val="24"/>
                <w:szCs w:val="24"/>
              </w:rPr>
              <w:t>否</w:t>
            </w:r>
          </w:p>
        </w:tc>
      </w:tr>
      <w:tr w14:paraId="09DE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A6CD80B">
            <w:pPr>
              <w:pStyle w:val="15"/>
              <w:numPr>
                <w:ilvl w:val="0"/>
                <w:numId w:val="10"/>
              </w:numPr>
              <w:spacing w:after="160" w:line="278" w:lineRule="auto"/>
              <w:contextualSpacing/>
              <w:jc w:val="center"/>
              <w:rPr>
                <w:color w:val="000000"/>
                <w:sz w:val="24"/>
                <w:szCs w:val="24"/>
              </w:rPr>
            </w:pPr>
          </w:p>
        </w:tc>
        <w:tc>
          <w:tcPr>
            <w:tcW w:w="1103" w:type="dxa"/>
            <w:vAlign w:val="center"/>
          </w:tcPr>
          <w:p w14:paraId="12F8A932">
            <w:pPr>
              <w:jc w:val="center"/>
              <w:rPr>
                <w:color w:val="000000"/>
                <w:sz w:val="24"/>
                <w:szCs w:val="24"/>
              </w:rPr>
            </w:pPr>
            <w:r>
              <w:rPr>
                <w:rFonts w:hint="eastAsia"/>
                <w:sz w:val="24"/>
                <w:szCs w:val="24"/>
              </w:rPr>
              <w:t>#</w:t>
            </w:r>
          </w:p>
        </w:tc>
        <w:tc>
          <w:tcPr>
            <w:tcW w:w="1062" w:type="dxa"/>
            <w:vMerge w:val="continue"/>
            <w:vAlign w:val="center"/>
          </w:tcPr>
          <w:p w14:paraId="57BD54FA">
            <w:pPr>
              <w:jc w:val="center"/>
              <w:rPr>
                <w:sz w:val="24"/>
                <w:szCs w:val="24"/>
              </w:rPr>
            </w:pPr>
          </w:p>
        </w:tc>
        <w:tc>
          <w:tcPr>
            <w:tcW w:w="6067" w:type="dxa"/>
            <w:vAlign w:val="center"/>
          </w:tcPr>
          <w:p w14:paraId="5D49BF2A">
            <w:pPr>
              <w:pStyle w:val="16"/>
              <w:spacing w:line="324" w:lineRule="exact"/>
              <w:rPr>
                <w:sz w:val="24"/>
                <w:szCs w:val="24"/>
                <w:lang w:eastAsia="zh-CN"/>
              </w:rPr>
            </w:pPr>
            <w:r>
              <w:rPr>
                <w:rFonts w:hint="eastAsia"/>
                <w:sz w:val="24"/>
                <w:szCs w:val="24"/>
                <w:lang w:eastAsia="zh-CN"/>
              </w:rPr>
              <w:t>支持配置账号自动禁用，依据用户配置的策略条件，针对登录账号的自动禁用功能；</w:t>
            </w:r>
          </w:p>
        </w:tc>
        <w:tc>
          <w:tcPr>
            <w:tcW w:w="1070" w:type="dxa"/>
            <w:vAlign w:val="center"/>
          </w:tcPr>
          <w:p w14:paraId="1219DFAC">
            <w:pPr>
              <w:jc w:val="center"/>
              <w:rPr>
                <w:sz w:val="24"/>
                <w:szCs w:val="24"/>
              </w:rPr>
            </w:pPr>
            <w:r>
              <w:rPr>
                <w:rFonts w:hint="eastAsia"/>
                <w:sz w:val="24"/>
                <w:szCs w:val="24"/>
              </w:rPr>
              <w:t>否</w:t>
            </w:r>
          </w:p>
        </w:tc>
      </w:tr>
      <w:tr w14:paraId="4B37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EA2191C">
            <w:pPr>
              <w:pStyle w:val="15"/>
              <w:numPr>
                <w:ilvl w:val="0"/>
                <w:numId w:val="10"/>
              </w:numPr>
              <w:spacing w:after="160" w:line="278" w:lineRule="auto"/>
              <w:contextualSpacing/>
              <w:jc w:val="center"/>
              <w:rPr>
                <w:color w:val="000000"/>
                <w:sz w:val="24"/>
                <w:szCs w:val="24"/>
              </w:rPr>
            </w:pPr>
          </w:p>
        </w:tc>
        <w:tc>
          <w:tcPr>
            <w:tcW w:w="1103" w:type="dxa"/>
            <w:vAlign w:val="center"/>
          </w:tcPr>
          <w:p w14:paraId="4576BBCD">
            <w:pPr>
              <w:jc w:val="center"/>
              <w:rPr>
                <w:color w:val="000000"/>
                <w:sz w:val="24"/>
                <w:szCs w:val="24"/>
              </w:rPr>
            </w:pPr>
          </w:p>
        </w:tc>
        <w:tc>
          <w:tcPr>
            <w:tcW w:w="1062" w:type="dxa"/>
            <w:vMerge w:val="continue"/>
            <w:vAlign w:val="center"/>
          </w:tcPr>
          <w:p w14:paraId="317A548F">
            <w:pPr>
              <w:jc w:val="center"/>
              <w:rPr>
                <w:sz w:val="24"/>
                <w:szCs w:val="24"/>
              </w:rPr>
            </w:pPr>
          </w:p>
        </w:tc>
        <w:tc>
          <w:tcPr>
            <w:tcW w:w="6067" w:type="dxa"/>
            <w:vAlign w:val="center"/>
          </w:tcPr>
          <w:p w14:paraId="670A8345">
            <w:pPr>
              <w:pStyle w:val="16"/>
              <w:spacing w:line="324" w:lineRule="exact"/>
              <w:rPr>
                <w:sz w:val="24"/>
                <w:szCs w:val="24"/>
                <w:lang w:eastAsia="zh-CN"/>
              </w:rPr>
            </w:pPr>
            <w:r>
              <w:rPr>
                <w:rFonts w:hint="eastAsia"/>
                <w:sz w:val="24"/>
                <w:szCs w:val="24"/>
                <w:lang w:eastAsia="zh-CN"/>
              </w:rPr>
              <w:t>支持管理员访问认证系统配置IP防火墙，指定终端访问；</w:t>
            </w:r>
          </w:p>
        </w:tc>
        <w:tc>
          <w:tcPr>
            <w:tcW w:w="1070" w:type="dxa"/>
            <w:vAlign w:val="center"/>
          </w:tcPr>
          <w:p w14:paraId="691A2617">
            <w:pPr>
              <w:jc w:val="center"/>
              <w:rPr>
                <w:sz w:val="24"/>
                <w:szCs w:val="24"/>
              </w:rPr>
            </w:pPr>
            <w:r>
              <w:rPr>
                <w:rFonts w:hint="eastAsia"/>
                <w:sz w:val="24"/>
                <w:szCs w:val="24"/>
              </w:rPr>
              <w:t>否</w:t>
            </w:r>
          </w:p>
        </w:tc>
      </w:tr>
      <w:tr w14:paraId="3B53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61233A74">
            <w:pPr>
              <w:pStyle w:val="15"/>
              <w:numPr>
                <w:ilvl w:val="0"/>
                <w:numId w:val="10"/>
              </w:numPr>
              <w:spacing w:after="160" w:line="278" w:lineRule="auto"/>
              <w:contextualSpacing/>
              <w:jc w:val="center"/>
              <w:rPr>
                <w:color w:val="000000"/>
                <w:sz w:val="24"/>
                <w:szCs w:val="24"/>
              </w:rPr>
            </w:pPr>
          </w:p>
        </w:tc>
        <w:tc>
          <w:tcPr>
            <w:tcW w:w="1103" w:type="dxa"/>
            <w:vAlign w:val="center"/>
          </w:tcPr>
          <w:p w14:paraId="455F3C31">
            <w:pPr>
              <w:jc w:val="center"/>
              <w:rPr>
                <w:color w:val="000000"/>
                <w:sz w:val="24"/>
                <w:szCs w:val="24"/>
              </w:rPr>
            </w:pPr>
          </w:p>
        </w:tc>
        <w:tc>
          <w:tcPr>
            <w:tcW w:w="1062" w:type="dxa"/>
            <w:vMerge w:val="continue"/>
            <w:vAlign w:val="center"/>
          </w:tcPr>
          <w:p w14:paraId="38FF4CCD">
            <w:pPr>
              <w:jc w:val="center"/>
              <w:rPr>
                <w:sz w:val="24"/>
                <w:szCs w:val="24"/>
              </w:rPr>
            </w:pPr>
          </w:p>
        </w:tc>
        <w:tc>
          <w:tcPr>
            <w:tcW w:w="6067" w:type="dxa"/>
            <w:vAlign w:val="center"/>
          </w:tcPr>
          <w:p w14:paraId="04E5C93B">
            <w:pPr>
              <w:pStyle w:val="16"/>
              <w:spacing w:line="324" w:lineRule="exact"/>
              <w:rPr>
                <w:sz w:val="24"/>
                <w:szCs w:val="24"/>
                <w:lang w:eastAsia="zh-CN"/>
              </w:rPr>
            </w:pPr>
            <w:r>
              <w:rPr>
                <w:rFonts w:hint="eastAsia"/>
                <w:sz w:val="24"/>
                <w:szCs w:val="24"/>
                <w:lang w:eastAsia="zh-CN"/>
              </w:rPr>
              <w:t>支持HTTPS访问，系统数据传输支持全程密文加密传输，保证数据传输和访问的安全性；</w:t>
            </w:r>
          </w:p>
        </w:tc>
        <w:tc>
          <w:tcPr>
            <w:tcW w:w="1070" w:type="dxa"/>
            <w:vAlign w:val="center"/>
          </w:tcPr>
          <w:p w14:paraId="68231183">
            <w:pPr>
              <w:jc w:val="center"/>
              <w:rPr>
                <w:sz w:val="24"/>
                <w:szCs w:val="24"/>
              </w:rPr>
            </w:pPr>
            <w:r>
              <w:rPr>
                <w:rFonts w:hint="eastAsia"/>
                <w:sz w:val="24"/>
                <w:szCs w:val="24"/>
              </w:rPr>
              <w:t>否</w:t>
            </w:r>
          </w:p>
        </w:tc>
      </w:tr>
      <w:tr w14:paraId="6E4F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7064AE2E">
            <w:pPr>
              <w:pStyle w:val="15"/>
              <w:numPr>
                <w:ilvl w:val="0"/>
                <w:numId w:val="10"/>
              </w:numPr>
              <w:spacing w:after="160" w:line="278" w:lineRule="auto"/>
              <w:contextualSpacing/>
              <w:jc w:val="center"/>
              <w:rPr>
                <w:color w:val="000000"/>
                <w:sz w:val="24"/>
                <w:szCs w:val="24"/>
              </w:rPr>
            </w:pPr>
          </w:p>
        </w:tc>
        <w:tc>
          <w:tcPr>
            <w:tcW w:w="1103" w:type="dxa"/>
            <w:vAlign w:val="center"/>
          </w:tcPr>
          <w:p w14:paraId="6D047FD1">
            <w:pPr>
              <w:jc w:val="center"/>
              <w:rPr>
                <w:color w:val="000000"/>
                <w:sz w:val="24"/>
                <w:szCs w:val="24"/>
              </w:rPr>
            </w:pPr>
          </w:p>
        </w:tc>
        <w:tc>
          <w:tcPr>
            <w:tcW w:w="1062" w:type="dxa"/>
            <w:vMerge w:val="restart"/>
            <w:vAlign w:val="center"/>
          </w:tcPr>
          <w:p w14:paraId="6DB1073C">
            <w:pPr>
              <w:jc w:val="center"/>
              <w:rPr>
                <w:sz w:val="24"/>
                <w:szCs w:val="24"/>
              </w:rPr>
            </w:pPr>
            <w:r>
              <w:rPr>
                <w:rFonts w:hint="eastAsia"/>
                <w:sz w:val="24"/>
                <w:szCs w:val="24"/>
              </w:rPr>
              <w:t>系统管理</w:t>
            </w:r>
          </w:p>
        </w:tc>
        <w:tc>
          <w:tcPr>
            <w:tcW w:w="6067" w:type="dxa"/>
            <w:vAlign w:val="center"/>
          </w:tcPr>
          <w:p w14:paraId="44A491CC">
            <w:pPr>
              <w:pStyle w:val="16"/>
              <w:spacing w:line="324" w:lineRule="exact"/>
              <w:rPr>
                <w:sz w:val="24"/>
                <w:szCs w:val="24"/>
                <w:lang w:eastAsia="zh-CN"/>
              </w:rPr>
            </w:pPr>
            <w:r>
              <w:rPr>
                <w:rFonts w:hint="eastAsia"/>
                <w:sz w:val="24"/>
                <w:szCs w:val="24"/>
                <w:lang w:eastAsia="zh-CN"/>
              </w:rPr>
              <w:t>支持管理员登录开启双因素认证；</w:t>
            </w:r>
          </w:p>
        </w:tc>
        <w:tc>
          <w:tcPr>
            <w:tcW w:w="1070" w:type="dxa"/>
            <w:vAlign w:val="center"/>
          </w:tcPr>
          <w:p w14:paraId="40CAFF72">
            <w:pPr>
              <w:jc w:val="center"/>
              <w:rPr>
                <w:sz w:val="24"/>
                <w:szCs w:val="24"/>
              </w:rPr>
            </w:pPr>
            <w:r>
              <w:rPr>
                <w:rFonts w:hint="eastAsia"/>
                <w:sz w:val="24"/>
                <w:szCs w:val="24"/>
              </w:rPr>
              <w:t>是</w:t>
            </w:r>
          </w:p>
        </w:tc>
      </w:tr>
      <w:tr w14:paraId="7A1C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7D10A77">
            <w:pPr>
              <w:pStyle w:val="15"/>
              <w:numPr>
                <w:ilvl w:val="0"/>
                <w:numId w:val="10"/>
              </w:numPr>
              <w:spacing w:after="160" w:line="278" w:lineRule="auto"/>
              <w:contextualSpacing/>
              <w:jc w:val="center"/>
              <w:rPr>
                <w:color w:val="000000"/>
                <w:sz w:val="24"/>
                <w:szCs w:val="24"/>
              </w:rPr>
            </w:pPr>
          </w:p>
        </w:tc>
        <w:tc>
          <w:tcPr>
            <w:tcW w:w="1103" w:type="dxa"/>
            <w:vAlign w:val="center"/>
          </w:tcPr>
          <w:p w14:paraId="6D588E0D">
            <w:pPr>
              <w:jc w:val="center"/>
              <w:rPr>
                <w:color w:val="000000"/>
                <w:sz w:val="24"/>
                <w:szCs w:val="24"/>
              </w:rPr>
            </w:pPr>
          </w:p>
        </w:tc>
        <w:tc>
          <w:tcPr>
            <w:tcW w:w="1062" w:type="dxa"/>
            <w:vMerge w:val="continue"/>
            <w:vAlign w:val="center"/>
          </w:tcPr>
          <w:p w14:paraId="1B7A8ADC">
            <w:pPr>
              <w:jc w:val="center"/>
              <w:rPr>
                <w:sz w:val="24"/>
                <w:szCs w:val="24"/>
              </w:rPr>
            </w:pPr>
          </w:p>
        </w:tc>
        <w:tc>
          <w:tcPr>
            <w:tcW w:w="6067" w:type="dxa"/>
            <w:vAlign w:val="center"/>
          </w:tcPr>
          <w:p w14:paraId="3463786A">
            <w:pPr>
              <w:pStyle w:val="16"/>
              <w:spacing w:line="324" w:lineRule="exact"/>
              <w:rPr>
                <w:sz w:val="24"/>
                <w:szCs w:val="24"/>
                <w:lang w:eastAsia="zh-CN"/>
              </w:rPr>
            </w:pPr>
            <w:r>
              <w:rPr>
                <w:rFonts w:hint="eastAsia"/>
                <w:sz w:val="24"/>
                <w:szCs w:val="24"/>
                <w:lang w:eastAsia="zh-CN"/>
              </w:rPr>
              <w:t>支持全量日志审计，包括用户登录日志、管理员操作运维日志，以及对接三方审计联动系统，如Syslog等；</w:t>
            </w:r>
          </w:p>
        </w:tc>
        <w:tc>
          <w:tcPr>
            <w:tcW w:w="1070" w:type="dxa"/>
            <w:vAlign w:val="center"/>
          </w:tcPr>
          <w:p w14:paraId="77BFD54B">
            <w:pPr>
              <w:jc w:val="center"/>
              <w:rPr>
                <w:sz w:val="24"/>
                <w:szCs w:val="24"/>
              </w:rPr>
            </w:pPr>
            <w:r>
              <w:rPr>
                <w:rFonts w:hint="eastAsia"/>
                <w:sz w:val="24"/>
                <w:szCs w:val="24"/>
              </w:rPr>
              <w:t>否</w:t>
            </w:r>
          </w:p>
        </w:tc>
      </w:tr>
      <w:tr w14:paraId="4BE5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B738B5F">
            <w:pPr>
              <w:pStyle w:val="15"/>
              <w:numPr>
                <w:ilvl w:val="0"/>
                <w:numId w:val="10"/>
              </w:numPr>
              <w:spacing w:after="160" w:line="278" w:lineRule="auto"/>
              <w:contextualSpacing/>
              <w:jc w:val="center"/>
              <w:rPr>
                <w:color w:val="000000"/>
                <w:sz w:val="24"/>
                <w:szCs w:val="24"/>
              </w:rPr>
            </w:pPr>
          </w:p>
        </w:tc>
        <w:tc>
          <w:tcPr>
            <w:tcW w:w="1103" w:type="dxa"/>
            <w:vAlign w:val="center"/>
          </w:tcPr>
          <w:p w14:paraId="235B1749">
            <w:pPr>
              <w:jc w:val="center"/>
              <w:rPr>
                <w:color w:val="000000"/>
                <w:sz w:val="24"/>
                <w:szCs w:val="24"/>
              </w:rPr>
            </w:pPr>
          </w:p>
        </w:tc>
        <w:tc>
          <w:tcPr>
            <w:tcW w:w="1062" w:type="dxa"/>
            <w:vMerge w:val="continue"/>
            <w:vAlign w:val="center"/>
          </w:tcPr>
          <w:p w14:paraId="54EFB8E3">
            <w:pPr>
              <w:jc w:val="center"/>
              <w:rPr>
                <w:sz w:val="24"/>
                <w:szCs w:val="24"/>
              </w:rPr>
            </w:pPr>
          </w:p>
        </w:tc>
        <w:tc>
          <w:tcPr>
            <w:tcW w:w="6067" w:type="dxa"/>
            <w:vAlign w:val="center"/>
          </w:tcPr>
          <w:p w14:paraId="11CF5820">
            <w:pPr>
              <w:pStyle w:val="16"/>
              <w:spacing w:line="324" w:lineRule="exact"/>
              <w:rPr>
                <w:sz w:val="24"/>
                <w:szCs w:val="24"/>
                <w:lang w:eastAsia="zh-CN"/>
              </w:rPr>
            </w:pPr>
            <w:r>
              <w:rPr>
                <w:rFonts w:hint="eastAsia"/>
                <w:sz w:val="24"/>
                <w:szCs w:val="24"/>
                <w:lang w:eastAsia="zh-CN"/>
              </w:rPr>
              <w:t>支持开放API接口，与三方系统做集成，如账号管理、用户认证、令牌管理等；</w:t>
            </w:r>
          </w:p>
        </w:tc>
        <w:tc>
          <w:tcPr>
            <w:tcW w:w="1070" w:type="dxa"/>
            <w:vAlign w:val="center"/>
          </w:tcPr>
          <w:p w14:paraId="61015149">
            <w:pPr>
              <w:jc w:val="center"/>
              <w:rPr>
                <w:sz w:val="24"/>
                <w:szCs w:val="24"/>
              </w:rPr>
            </w:pPr>
            <w:r>
              <w:rPr>
                <w:rFonts w:hint="eastAsia"/>
                <w:sz w:val="24"/>
                <w:szCs w:val="24"/>
              </w:rPr>
              <w:t>否</w:t>
            </w:r>
          </w:p>
        </w:tc>
      </w:tr>
      <w:tr w14:paraId="658C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Align w:val="center"/>
          </w:tcPr>
          <w:p w14:paraId="3D7F9C62">
            <w:pPr>
              <w:pStyle w:val="15"/>
              <w:numPr>
                <w:ilvl w:val="0"/>
                <w:numId w:val="10"/>
              </w:numPr>
              <w:spacing w:after="160" w:line="278" w:lineRule="auto"/>
              <w:contextualSpacing/>
              <w:jc w:val="center"/>
              <w:rPr>
                <w:color w:val="000000"/>
                <w:sz w:val="24"/>
                <w:szCs w:val="24"/>
              </w:rPr>
            </w:pPr>
          </w:p>
        </w:tc>
        <w:tc>
          <w:tcPr>
            <w:tcW w:w="1103" w:type="dxa"/>
            <w:vAlign w:val="center"/>
          </w:tcPr>
          <w:p w14:paraId="1FE8E92A">
            <w:pPr>
              <w:jc w:val="center"/>
              <w:rPr>
                <w:color w:val="000000"/>
                <w:sz w:val="24"/>
                <w:szCs w:val="24"/>
              </w:rPr>
            </w:pPr>
          </w:p>
        </w:tc>
        <w:tc>
          <w:tcPr>
            <w:tcW w:w="1062" w:type="dxa"/>
            <w:vMerge w:val="continue"/>
            <w:vAlign w:val="center"/>
          </w:tcPr>
          <w:p w14:paraId="69BAB796">
            <w:pPr>
              <w:jc w:val="center"/>
              <w:rPr>
                <w:sz w:val="24"/>
                <w:szCs w:val="24"/>
              </w:rPr>
            </w:pPr>
          </w:p>
        </w:tc>
        <w:tc>
          <w:tcPr>
            <w:tcW w:w="6067" w:type="dxa"/>
            <w:vAlign w:val="center"/>
          </w:tcPr>
          <w:p w14:paraId="3ED842C5">
            <w:pPr>
              <w:pStyle w:val="16"/>
              <w:spacing w:line="324" w:lineRule="exact"/>
              <w:rPr>
                <w:sz w:val="24"/>
                <w:szCs w:val="24"/>
                <w:lang w:eastAsia="zh-CN"/>
              </w:rPr>
            </w:pPr>
            <w:r>
              <w:rPr>
                <w:rFonts w:hint="eastAsia"/>
                <w:sz w:val="24"/>
                <w:szCs w:val="24"/>
                <w:lang w:eastAsia="zh-CN"/>
              </w:rPr>
              <w:t>支持系统平台服务器监控及异常预警，如CPU、内存使用、终端用户账号异常登录等。</w:t>
            </w:r>
          </w:p>
        </w:tc>
        <w:tc>
          <w:tcPr>
            <w:tcW w:w="1070" w:type="dxa"/>
            <w:vAlign w:val="center"/>
          </w:tcPr>
          <w:p w14:paraId="064029C1">
            <w:pPr>
              <w:jc w:val="center"/>
              <w:rPr>
                <w:sz w:val="24"/>
                <w:szCs w:val="24"/>
              </w:rPr>
            </w:pPr>
            <w:r>
              <w:rPr>
                <w:rFonts w:hint="eastAsia"/>
                <w:sz w:val="24"/>
                <w:szCs w:val="24"/>
              </w:rPr>
              <w:t>否</w:t>
            </w:r>
          </w:p>
        </w:tc>
      </w:tr>
    </w:tbl>
    <w:p w14:paraId="683F2756">
      <w:pPr>
        <w:widowControl/>
        <w:adjustRightInd w:val="0"/>
        <w:snapToGrid w:val="0"/>
        <w:spacing w:line="360" w:lineRule="auto"/>
        <w:rPr>
          <w:bCs/>
          <w:sz w:val="24"/>
          <w:lang w:eastAsia="zh-CN"/>
        </w:rPr>
      </w:pPr>
    </w:p>
    <w:p w14:paraId="1DC69DE4">
      <w:pPr>
        <w:widowControl/>
        <w:adjustRightInd w:val="0"/>
        <w:snapToGrid w:val="0"/>
        <w:spacing w:before="120" w:beforeLines="50" w:line="360" w:lineRule="auto"/>
        <w:rPr>
          <w:b/>
          <w:bCs/>
          <w:sz w:val="24"/>
          <w:szCs w:val="24"/>
          <w:lang w:eastAsia="zh-CN"/>
        </w:rPr>
      </w:pPr>
      <w:r>
        <w:rPr>
          <w:rFonts w:hint="eastAsia"/>
          <w:b/>
          <w:bCs/>
          <w:sz w:val="24"/>
          <w:szCs w:val="24"/>
          <w:lang w:eastAsia="zh-CN"/>
        </w:rPr>
        <w:t>2.2 采购标的需满足的服务标准、期限、效率等要求；</w:t>
      </w:r>
    </w:p>
    <w:p w14:paraId="7A583ECA">
      <w:pPr>
        <w:pStyle w:val="5"/>
        <w:spacing w:line="360" w:lineRule="auto"/>
        <w:rPr>
          <w:b/>
          <w:bCs/>
          <w:sz w:val="24"/>
          <w:szCs w:val="24"/>
          <w:lang w:eastAsia="zh-CN"/>
        </w:rPr>
      </w:pPr>
      <w:bookmarkStart w:id="102" w:name="_Toc216859457"/>
      <w:r>
        <w:rPr>
          <w:rFonts w:hint="eastAsia"/>
          <w:b/>
          <w:bCs/>
          <w:sz w:val="24"/>
          <w:szCs w:val="24"/>
          <w:lang w:eastAsia="zh-CN"/>
        </w:rPr>
        <w:t>（一）实施要求</w:t>
      </w:r>
      <w:bookmarkEnd w:id="102"/>
    </w:p>
    <w:p w14:paraId="6948D987">
      <w:pPr>
        <w:pStyle w:val="23"/>
        <w:spacing w:afterLines="0" w:line="360" w:lineRule="auto"/>
        <w:ind w:firstLine="0" w:firstLineChars="0"/>
        <w:rPr>
          <w:rFonts w:ascii="宋体" w:hAnsi="宋体"/>
          <w:sz w:val="24"/>
          <w:szCs w:val="24"/>
          <w:lang w:eastAsia="zh-CN"/>
        </w:rPr>
      </w:pPr>
      <w:r>
        <w:rPr>
          <w:rFonts w:hint="eastAsia" w:ascii="宋体" w:hAnsi="宋体"/>
          <w:sz w:val="24"/>
          <w:szCs w:val="24"/>
          <w:lang w:eastAsia="zh-CN"/>
        </w:rPr>
        <w:t>（1）投标人须负责货物运输、搬运、入库及安装前的现场勘查。医院将组织技术人员对货物进行到货验收、功能验收与性能测试，验收标准以合同及技术规范为准。</w:t>
      </w:r>
    </w:p>
    <w:p w14:paraId="4F22C4CE">
      <w:pPr>
        <w:pStyle w:val="23"/>
        <w:spacing w:afterLines="0" w:line="360" w:lineRule="auto"/>
        <w:ind w:firstLine="0" w:firstLineChars="0"/>
        <w:rPr>
          <w:rFonts w:ascii="宋体" w:hAnsi="宋体"/>
          <w:sz w:val="24"/>
          <w:szCs w:val="24"/>
          <w:lang w:eastAsia="zh-CN"/>
        </w:rPr>
      </w:pPr>
      <w:r>
        <w:rPr>
          <w:rFonts w:hint="eastAsia" w:ascii="宋体" w:hAnsi="宋体"/>
          <w:sz w:val="24"/>
          <w:szCs w:val="24"/>
          <w:lang w:eastAsia="zh-CN"/>
        </w:rPr>
        <w:t>（2）项目实施期间，要求中标服务商安排1名专职项目实施工程师驻场进行现场技术支持及保障，确保系统升级后业务系统的稳定运行（工作日5×8小时驻场保障，其他时间电话响应及远程支持）；</w:t>
      </w:r>
    </w:p>
    <w:p w14:paraId="052AA065">
      <w:pPr>
        <w:pStyle w:val="23"/>
        <w:spacing w:afterLines="0" w:line="360" w:lineRule="auto"/>
        <w:ind w:firstLine="0" w:firstLineChars="0"/>
        <w:rPr>
          <w:rFonts w:ascii="宋体" w:hAnsi="宋体"/>
          <w:sz w:val="24"/>
          <w:szCs w:val="24"/>
          <w:lang w:eastAsia="zh-CN"/>
        </w:rPr>
      </w:pPr>
      <w:r>
        <w:rPr>
          <w:rFonts w:hint="eastAsia" w:ascii="宋体" w:hAnsi="宋体"/>
          <w:sz w:val="24"/>
          <w:szCs w:val="24"/>
          <w:lang w:eastAsia="zh-CN"/>
        </w:rPr>
        <w:t>（3）工程实施完成，验收合格后，中标服务商除提供系统保修服务的同时，还需提供以下服务：</w:t>
      </w:r>
    </w:p>
    <w:p w14:paraId="0DCB8B1D">
      <w:pPr>
        <w:pStyle w:val="23"/>
        <w:spacing w:afterLines="0" w:line="360" w:lineRule="auto"/>
        <w:ind w:left="560" w:firstLine="0" w:firstLineChars="0"/>
        <w:rPr>
          <w:rFonts w:ascii="宋体" w:hAnsi="宋体"/>
          <w:sz w:val="24"/>
          <w:szCs w:val="24"/>
          <w:lang w:eastAsia="zh-CN"/>
        </w:rPr>
      </w:pPr>
      <w:r>
        <w:rPr>
          <w:rFonts w:hint="eastAsia" w:ascii="宋体" w:hAnsi="宋体"/>
          <w:sz w:val="24"/>
          <w:szCs w:val="24"/>
          <w:lang w:eastAsia="zh-CN"/>
        </w:rPr>
        <w:t>1）7×24小时电话响应及现场应急保障服务；</w:t>
      </w:r>
    </w:p>
    <w:p w14:paraId="77BA97C0">
      <w:pPr>
        <w:pStyle w:val="23"/>
        <w:spacing w:afterLines="0" w:line="360" w:lineRule="auto"/>
        <w:ind w:left="560" w:firstLine="0" w:firstLineChars="0"/>
        <w:rPr>
          <w:rFonts w:ascii="宋体" w:hAnsi="宋体"/>
          <w:sz w:val="24"/>
          <w:szCs w:val="24"/>
          <w:lang w:eastAsia="zh-CN"/>
        </w:rPr>
      </w:pPr>
      <w:r>
        <w:rPr>
          <w:rFonts w:hint="eastAsia" w:ascii="宋体" w:hAnsi="宋体"/>
          <w:sz w:val="24"/>
          <w:szCs w:val="24"/>
          <w:lang w:eastAsia="zh-CN"/>
        </w:rPr>
        <w:t>2）每月和重大活动开始前3天进行网络系统整体检查和骨干节点网络系统现场巡检工作，备份系统配置并出具巡检报告；终端安全事件发生时应进行应急支持并协助核查。</w:t>
      </w:r>
    </w:p>
    <w:p w14:paraId="4D1F0AA4">
      <w:pPr>
        <w:pStyle w:val="23"/>
        <w:spacing w:afterLines="0" w:line="360" w:lineRule="auto"/>
        <w:ind w:left="560" w:firstLine="0" w:firstLineChars="0"/>
        <w:rPr>
          <w:rFonts w:ascii="宋体" w:hAnsi="宋体"/>
          <w:sz w:val="24"/>
          <w:szCs w:val="24"/>
          <w:lang w:eastAsia="zh-CN"/>
        </w:rPr>
      </w:pPr>
      <w:r>
        <w:rPr>
          <w:rFonts w:hint="eastAsia" w:ascii="宋体" w:hAnsi="宋体"/>
          <w:sz w:val="24"/>
          <w:szCs w:val="24"/>
          <w:lang w:eastAsia="zh-CN"/>
        </w:rPr>
        <w:t>3）重大节日、重大任务期间提供技术支持和技术人员保障。</w:t>
      </w:r>
    </w:p>
    <w:p w14:paraId="19375925">
      <w:pPr>
        <w:pStyle w:val="5"/>
        <w:spacing w:line="360" w:lineRule="auto"/>
        <w:rPr>
          <w:b/>
          <w:bCs/>
          <w:sz w:val="24"/>
          <w:szCs w:val="24"/>
          <w:lang w:eastAsia="zh-CN"/>
        </w:rPr>
      </w:pPr>
      <w:bookmarkStart w:id="103" w:name="_Toc216859458"/>
      <w:r>
        <w:rPr>
          <w:rFonts w:hint="eastAsia"/>
          <w:b/>
          <w:bCs/>
          <w:sz w:val="24"/>
          <w:szCs w:val="24"/>
          <w:lang w:eastAsia="zh-CN"/>
        </w:rPr>
        <w:t>（二）项目人员数量及资质要求</w:t>
      </w:r>
      <w:bookmarkEnd w:id="103"/>
    </w:p>
    <w:p w14:paraId="563693DC">
      <w:pPr>
        <w:pStyle w:val="23"/>
        <w:spacing w:afterLines="0" w:line="360" w:lineRule="auto"/>
        <w:ind w:firstLine="0" w:firstLineChars="0"/>
        <w:rPr>
          <w:rFonts w:ascii="宋体" w:hAnsi="宋体"/>
          <w:sz w:val="24"/>
          <w:szCs w:val="24"/>
          <w:lang w:eastAsia="zh-CN"/>
        </w:rPr>
      </w:pPr>
      <w:r>
        <w:rPr>
          <w:rFonts w:hint="eastAsia" w:ascii="宋体" w:hAnsi="宋体"/>
          <w:sz w:val="24"/>
          <w:szCs w:val="24"/>
          <w:lang w:eastAsia="zh-CN"/>
        </w:rPr>
        <w:t>（1）要求项目经理1名，项目实施团队技术人员不少于4名；</w:t>
      </w:r>
    </w:p>
    <w:p w14:paraId="641109DF">
      <w:pPr>
        <w:pStyle w:val="23"/>
        <w:spacing w:afterLines="0" w:line="360" w:lineRule="auto"/>
        <w:ind w:firstLine="0" w:firstLineChars="0"/>
        <w:rPr>
          <w:rFonts w:ascii="宋体" w:hAnsi="宋体"/>
          <w:sz w:val="24"/>
          <w:szCs w:val="24"/>
          <w:lang w:eastAsia="zh-CN"/>
        </w:rPr>
      </w:pPr>
      <w:r>
        <w:rPr>
          <w:rFonts w:hint="eastAsia" w:ascii="宋体" w:hAnsi="宋体"/>
          <w:sz w:val="24"/>
          <w:szCs w:val="24"/>
          <w:lang w:eastAsia="zh-CN"/>
        </w:rPr>
        <w:t>（2）实施团队技术人员具备主流网络厂商中级以上认证资质不少于2人，从业时间不低于3年。</w:t>
      </w:r>
    </w:p>
    <w:p w14:paraId="51FE7F0C">
      <w:pPr>
        <w:pStyle w:val="9"/>
        <w:spacing w:before="50" w:line="360" w:lineRule="auto"/>
        <w:rPr>
          <w:rFonts w:hAnsi="宋体" w:cs="宋体"/>
          <w:b/>
          <w:bCs/>
          <w:szCs w:val="24"/>
          <w:lang w:eastAsia="zh-CN"/>
        </w:rPr>
      </w:pPr>
      <w:r>
        <w:rPr>
          <w:rFonts w:hint="eastAsia" w:hAnsi="宋体" w:cs="宋体"/>
          <w:b/>
          <w:bCs/>
          <w:szCs w:val="24"/>
          <w:lang w:eastAsia="zh-CN"/>
        </w:rPr>
        <w:t>（三）采购标的需满足的服务期限要求</w:t>
      </w:r>
    </w:p>
    <w:p w14:paraId="2640FBB7">
      <w:pPr>
        <w:pStyle w:val="9"/>
        <w:spacing w:line="360" w:lineRule="auto"/>
        <w:rPr>
          <w:rFonts w:hAnsi="宋体" w:cs="宋体"/>
          <w:szCs w:val="24"/>
          <w:lang w:eastAsia="zh-CN"/>
        </w:rPr>
      </w:pPr>
      <w:r>
        <w:rPr>
          <w:rFonts w:hint="eastAsia" w:hAnsi="宋体" w:cs="宋体"/>
          <w:szCs w:val="24"/>
          <w:lang w:eastAsia="zh-CN"/>
        </w:rPr>
        <w:t>（1）质量保证期（保修期）及服务要求：</w:t>
      </w:r>
    </w:p>
    <w:p w14:paraId="1F6240D9">
      <w:pPr>
        <w:pStyle w:val="9"/>
        <w:spacing w:line="360" w:lineRule="auto"/>
        <w:ind w:firstLine="240" w:firstLineChars="100"/>
        <w:rPr>
          <w:rFonts w:hAnsi="宋体" w:cs="宋体"/>
          <w:b/>
          <w:bCs/>
          <w:szCs w:val="24"/>
          <w:lang w:eastAsia="zh-CN"/>
        </w:rPr>
      </w:pPr>
      <w:r>
        <w:rPr>
          <w:rFonts w:hint="eastAsia" w:hAnsi="宋体" w:cs="宋体"/>
          <w:szCs w:val="24"/>
          <w:lang w:eastAsia="zh-CN"/>
        </w:rPr>
        <w:t>详见本章“采购需求中商务要求4.质保服务”。</w:t>
      </w:r>
    </w:p>
    <w:p w14:paraId="1F2DB98B">
      <w:pPr>
        <w:tabs>
          <w:tab w:val="left" w:pos="900"/>
        </w:tabs>
        <w:spacing w:before="120" w:beforeLines="50" w:line="360" w:lineRule="auto"/>
        <w:ind w:firstLine="482" w:firstLineChars="200"/>
        <w:rPr>
          <w:b/>
          <w:bCs/>
          <w:sz w:val="24"/>
          <w:szCs w:val="24"/>
          <w:lang w:eastAsia="zh-CN"/>
        </w:rPr>
      </w:pPr>
      <w:r>
        <w:rPr>
          <w:rFonts w:hint="eastAsia"/>
          <w:b/>
          <w:bCs/>
          <w:sz w:val="24"/>
          <w:szCs w:val="24"/>
          <w:lang w:eastAsia="zh-CN"/>
        </w:rPr>
        <w:t>2.3为落实政府采购政策需满足的要求；</w:t>
      </w:r>
    </w:p>
    <w:p w14:paraId="131B9C70">
      <w:pPr>
        <w:tabs>
          <w:tab w:val="left" w:pos="900"/>
        </w:tabs>
        <w:spacing w:line="360" w:lineRule="auto"/>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0F39A253">
      <w:pPr>
        <w:tabs>
          <w:tab w:val="left" w:pos="900"/>
        </w:tabs>
        <w:spacing w:line="360" w:lineRule="auto"/>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0710D5AF">
      <w:pPr>
        <w:tabs>
          <w:tab w:val="left" w:pos="900"/>
        </w:tabs>
        <w:spacing w:line="360" w:lineRule="auto"/>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06886EF">
      <w:pPr>
        <w:autoSpaceDE/>
        <w:autoSpaceDN/>
        <w:spacing w:line="360" w:lineRule="auto"/>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1819B470">
      <w:pPr>
        <w:autoSpaceDE/>
        <w:autoSpaceDN/>
        <w:spacing w:before="20" w:line="360" w:lineRule="auto"/>
        <w:ind w:firstLine="480" w:firstLineChars="200"/>
        <w:rPr>
          <w:b/>
          <w:bCs/>
          <w:sz w:val="24"/>
          <w:szCs w:val="24"/>
          <w:lang w:eastAsia="zh-CN"/>
        </w:rPr>
      </w:pPr>
      <w:r>
        <w:rPr>
          <w:rFonts w:hint="eastAsia"/>
          <w:sz w:val="24"/>
          <w:szCs w:val="24"/>
          <w:lang w:eastAsia="zh-CN"/>
        </w:rPr>
        <w:t>5）实施本国产品标准及相关政策：依据《</w:t>
      </w:r>
      <w:r>
        <w:rPr>
          <w:rFonts w:hint="eastAsia"/>
          <w:color w:val="000000"/>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color w:val="000000"/>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0E2E62B9">
      <w:pPr>
        <w:autoSpaceDE/>
        <w:autoSpaceDN/>
        <w:spacing w:before="20" w:line="360" w:lineRule="auto"/>
        <w:ind w:firstLine="482" w:firstLineChars="200"/>
        <w:rPr>
          <w:b/>
          <w:bCs/>
          <w:sz w:val="24"/>
          <w:szCs w:val="24"/>
          <w:lang w:eastAsia="zh-CN"/>
        </w:rPr>
      </w:pPr>
      <w:r>
        <w:rPr>
          <w:rFonts w:hint="eastAsia"/>
          <w:b/>
          <w:bCs/>
          <w:sz w:val="24"/>
          <w:szCs w:val="24"/>
          <w:lang w:eastAsia="zh-CN"/>
        </w:rPr>
        <w:t>2.4采购标的的其他技术、服务等要求；</w:t>
      </w:r>
    </w:p>
    <w:p w14:paraId="427BAED8">
      <w:pPr>
        <w:tabs>
          <w:tab w:val="left" w:pos="900"/>
        </w:tabs>
        <w:spacing w:line="360" w:lineRule="auto"/>
        <w:ind w:firstLine="482" w:firstLineChars="200"/>
        <w:rPr>
          <w:b/>
          <w:bCs/>
          <w:iCs/>
          <w:sz w:val="24"/>
          <w:szCs w:val="24"/>
          <w:lang w:eastAsia="zh-CN"/>
        </w:rPr>
      </w:pPr>
      <w:r>
        <w:rPr>
          <w:rFonts w:hint="eastAsia"/>
          <w:b/>
          <w:bCs/>
          <w:sz w:val="24"/>
          <w:szCs w:val="24"/>
          <w:lang w:eastAsia="zh-CN"/>
        </w:rPr>
        <w:t>（1）对于技术规格中标注“★”号的技术参数代表实质性指标，不满足该指标项将直接导致投标被拒绝。</w:t>
      </w:r>
    </w:p>
    <w:p w14:paraId="33610E86">
      <w:pPr>
        <w:tabs>
          <w:tab w:val="left" w:pos="900"/>
        </w:tabs>
        <w:spacing w:line="360" w:lineRule="auto"/>
        <w:ind w:firstLine="482" w:firstLineChars="200"/>
        <w:rPr>
          <w:b/>
          <w:bCs/>
          <w:sz w:val="24"/>
          <w:szCs w:val="24"/>
          <w:lang w:eastAsia="zh-CN"/>
        </w:rPr>
      </w:pPr>
      <w:r>
        <w:rPr>
          <w:rFonts w:hint="eastAsia"/>
          <w:b/>
          <w:bCs/>
          <w:sz w:val="24"/>
          <w:szCs w:val="24"/>
          <w:lang w:eastAsia="zh-CN"/>
        </w:rPr>
        <w:t>（2）须在投标文件中提供所投设备油印彩页并加盖公章。</w:t>
      </w:r>
    </w:p>
    <w:p w14:paraId="67F7150D">
      <w:pPr>
        <w:tabs>
          <w:tab w:val="left" w:pos="900"/>
        </w:tabs>
        <w:spacing w:line="360" w:lineRule="auto"/>
        <w:ind w:firstLine="482" w:firstLineChars="200"/>
        <w:rPr>
          <w:b/>
          <w:bCs/>
          <w:iCs/>
          <w:sz w:val="24"/>
          <w:szCs w:val="24"/>
          <w:lang w:eastAsia="zh-CN"/>
        </w:rPr>
      </w:pPr>
      <w:r>
        <w:rPr>
          <w:rFonts w:hint="eastAsia"/>
          <w:b/>
          <w:bCs/>
          <w:sz w:val="24"/>
          <w:szCs w:val="24"/>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需），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b/>
          <w:bCs/>
          <w:iCs/>
          <w:sz w:val="24"/>
          <w:szCs w:val="24"/>
          <w:lang w:eastAsia="zh-CN"/>
        </w:rPr>
        <w:t xml:space="preserve">。 </w:t>
      </w:r>
    </w:p>
    <w:p w14:paraId="4EAEF574">
      <w:pPr>
        <w:tabs>
          <w:tab w:val="left" w:pos="900"/>
        </w:tabs>
        <w:spacing w:line="360" w:lineRule="auto"/>
        <w:ind w:firstLine="480" w:firstLineChars="200"/>
        <w:rPr>
          <w:iCs/>
          <w:sz w:val="24"/>
          <w:szCs w:val="24"/>
          <w:lang w:eastAsia="zh-CN"/>
        </w:rPr>
      </w:pPr>
      <w:r>
        <w:rPr>
          <w:rFonts w:hint="eastAsia"/>
          <w:sz w:val="24"/>
          <w:szCs w:val="24"/>
          <w:lang w:eastAsia="zh-CN"/>
        </w:rPr>
        <w:t>（4）</w:t>
      </w:r>
      <w:r>
        <w:rPr>
          <w:rFonts w:hint="eastAsia"/>
          <w:iCs/>
          <w:sz w:val="24"/>
          <w:szCs w:val="24"/>
          <w:lang w:eastAsia="zh-CN"/>
        </w:rPr>
        <w:t xml:space="preserve">投标人所提供的部件之间及设备之间的连线或接插件均视为设备内部部件，应包含在相应的配置中。 </w:t>
      </w:r>
    </w:p>
    <w:p w14:paraId="6F91FAB1">
      <w:pPr>
        <w:tabs>
          <w:tab w:val="left" w:pos="900"/>
        </w:tabs>
        <w:spacing w:line="360" w:lineRule="auto"/>
        <w:ind w:firstLine="480" w:firstLineChars="200"/>
        <w:rPr>
          <w:iCs/>
          <w:sz w:val="24"/>
          <w:szCs w:val="24"/>
          <w:lang w:eastAsia="zh-CN"/>
        </w:rPr>
      </w:pPr>
      <w:r>
        <w:rPr>
          <w:rFonts w:hint="eastAsia"/>
          <w:sz w:val="24"/>
          <w:szCs w:val="24"/>
          <w:lang w:eastAsia="zh-CN"/>
        </w:rPr>
        <w:t>（5）</w:t>
      </w:r>
      <w:r>
        <w:rPr>
          <w:rFonts w:hint="eastAsia"/>
          <w:iCs/>
          <w:sz w:val="24"/>
          <w:szCs w:val="24"/>
          <w:lang w:eastAsia="zh-CN"/>
        </w:rPr>
        <w:t xml:space="preserve">工作条件：除了在技术规格中另有规定外，投标人提供的一切仪器、设备和系统，应符合下列条件： </w:t>
      </w:r>
    </w:p>
    <w:p w14:paraId="7711C0F4">
      <w:pPr>
        <w:tabs>
          <w:tab w:val="left" w:pos="900"/>
        </w:tabs>
        <w:spacing w:line="360" w:lineRule="auto"/>
        <w:ind w:firstLine="480" w:firstLineChars="200"/>
        <w:rPr>
          <w:iCs/>
          <w:sz w:val="24"/>
          <w:szCs w:val="24"/>
          <w:lang w:eastAsia="zh-CN"/>
        </w:rPr>
      </w:pPr>
      <w:r>
        <w:rPr>
          <w:rFonts w:hint="eastAsia"/>
          <w:iCs/>
          <w:sz w:val="24"/>
          <w:szCs w:val="24"/>
          <w:lang w:eastAsia="zh-CN"/>
        </w:rPr>
        <w:t xml:space="preserve">1）仪器设备的插头要符合中国电工标准。如不符合，则应提供适合仪器插头的插座，必须要有接地。 </w:t>
      </w:r>
    </w:p>
    <w:p w14:paraId="6A157CC6">
      <w:pPr>
        <w:tabs>
          <w:tab w:val="left" w:pos="900"/>
        </w:tabs>
        <w:spacing w:line="360" w:lineRule="auto"/>
        <w:ind w:firstLine="480" w:firstLineChars="200"/>
        <w:rPr>
          <w:iCs/>
          <w:sz w:val="24"/>
          <w:szCs w:val="24"/>
          <w:lang w:eastAsia="zh-CN"/>
        </w:rPr>
      </w:pPr>
      <w:r>
        <w:rPr>
          <w:rFonts w:hint="eastAsia"/>
          <w:iCs/>
          <w:sz w:val="24"/>
          <w:szCs w:val="24"/>
          <w:lang w:eastAsia="zh-CN"/>
        </w:rPr>
        <w:t>2）如果仪器设备需特殊的工作条件（如：水、电源、磁场强度、特殊温度、湿度、震动强度等），投标人应在有关投标文件中加以说明。</w:t>
      </w:r>
    </w:p>
    <w:p w14:paraId="350A0DD4">
      <w:pPr>
        <w:tabs>
          <w:tab w:val="left" w:pos="900"/>
        </w:tabs>
        <w:spacing w:line="360" w:lineRule="auto"/>
        <w:ind w:firstLine="480" w:firstLineChars="200"/>
        <w:rPr>
          <w:iCs/>
          <w:color w:val="FF0000"/>
          <w:sz w:val="24"/>
          <w:szCs w:val="24"/>
          <w:lang w:eastAsia="zh-CN"/>
        </w:rPr>
      </w:pPr>
      <w:r>
        <w:rPr>
          <w:rFonts w:hint="eastAsia"/>
          <w:iCs/>
          <w:sz w:val="24"/>
          <w:szCs w:val="24"/>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p w14:paraId="6C33CC48">
      <w:pPr>
        <w:tabs>
          <w:tab w:val="left" w:pos="900"/>
        </w:tabs>
        <w:spacing w:before="120" w:beforeLines="50" w:line="360" w:lineRule="auto"/>
        <w:ind w:firstLine="482" w:firstLineChars="200"/>
        <w:rPr>
          <w:b/>
          <w:sz w:val="24"/>
          <w:szCs w:val="24"/>
          <w:lang w:eastAsia="zh-CN"/>
        </w:rPr>
      </w:pPr>
      <w:r>
        <w:rPr>
          <w:rFonts w:hint="eastAsia"/>
          <w:b/>
          <w:sz w:val="24"/>
          <w:szCs w:val="24"/>
          <w:lang w:eastAsia="zh-CN"/>
        </w:rPr>
        <w:t>3.采购标的的验收标准</w:t>
      </w:r>
    </w:p>
    <w:p w14:paraId="2A122D03">
      <w:pPr>
        <w:autoSpaceDE/>
        <w:autoSpaceDN/>
        <w:spacing w:line="360" w:lineRule="auto"/>
        <w:ind w:firstLine="480" w:firstLineChars="200"/>
        <w:rPr>
          <w:bCs/>
          <w:sz w:val="24"/>
          <w:szCs w:val="21"/>
          <w:lang w:eastAsia="zh-CN"/>
        </w:rPr>
      </w:pPr>
      <w:r>
        <w:rPr>
          <w:rFonts w:hint="eastAsia"/>
          <w:bCs/>
          <w:sz w:val="24"/>
          <w:szCs w:val="21"/>
          <w:lang w:eastAsia="zh-CN"/>
        </w:rPr>
        <w:t>3.1、采购标的的验收标准</w:t>
      </w:r>
    </w:p>
    <w:p w14:paraId="711614D8">
      <w:pPr>
        <w:autoSpaceDE/>
        <w:autoSpaceDN/>
        <w:spacing w:line="360" w:lineRule="auto"/>
        <w:ind w:firstLine="480" w:firstLineChars="200"/>
        <w:rPr>
          <w:sz w:val="24"/>
          <w:szCs w:val="24"/>
          <w:lang w:eastAsia="zh-CN"/>
        </w:rPr>
      </w:pPr>
      <w:r>
        <w:rPr>
          <w:rFonts w:hint="eastAsia"/>
          <w:sz w:val="24"/>
          <w:szCs w:val="24"/>
          <w:lang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36B64859">
      <w:pPr>
        <w:autoSpaceDE/>
        <w:autoSpaceDN/>
        <w:spacing w:line="360" w:lineRule="auto"/>
        <w:ind w:firstLine="480" w:firstLineChars="200"/>
        <w:rPr>
          <w:sz w:val="24"/>
          <w:szCs w:val="24"/>
          <w:lang w:eastAsia="zh-CN"/>
        </w:rPr>
      </w:pPr>
      <w:r>
        <w:rPr>
          <w:rFonts w:hint="eastAsia"/>
          <w:sz w:val="24"/>
          <w:szCs w:val="24"/>
          <w:lang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55D82C1B">
      <w:pPr>
        <w:autoSpaceDE/>
        <w:autoSpaceDN/>
        <w:adjustRightInd w:val="0"/>
        <w:spacing w:line="360" w:lineRule="auto"/>
        <w:jc w:val="center"/>
        <w:textAlignment w:val="baseline"/>
        <w:outlineLvl w:val="0"/>
        <w:rPr>
          <w:sz w:val="24"/>
          <w:szCs w:val="24"/>
          <w:lang w:eastAsia="zh-CN"/>
        </w:rPr>
      </w:pPr>
      <w:r>
        <w:rPr>
          <w:rFonts w:hint="eastAsia"/>
          <w:sz w:val="24"/>
          <w:szCs w:val="24"/>
          <w:lang w:eastAsia="zh-CN"/>
        </w:rPr>
        <w:t xml:space="preserve">  </w:t>
      </w:r>
      <w:bookmarkStart w:id="104" w:name="_Toc23745"/>
      <w:bookmarkStart w:id="105" w:name="_Toc23966"/>
      <w:r>
        <w:rPr>
          <w:rFonts w:hint="eastAsia"/>
          <w:sz w:val="24"/>
          <w:szCs w:val="24"/>
          <w:lang w:eastAsia="zh-CN"/>
        </w:rPr>
        <w:t>（3）投标人应负责使所供计量仪器通过计量部门的验收，并承担相关费用（包括运</w:t>
      </w:r>
      <w:bookmarkEnd w:id="104"/>
      <w:bookmarkEnd w:id="105"/>
    </w:p>
    <w:p w14:paraId="4DF3E09C">
      <w:pPr>
        <w:autoSpaceDE/>
        <w:autoSpaceDN/>
        <w:adjustRightInd w:val="0"/>
        <w:spacing w:line="360" w:lineRule="auto"/>
        <w:jc w:val="both"/>
        <w:textAlignment w:val="baseline"/>
        <w:outlineLvl w:val="0"/>
        <w:rPr>
          <w:sz w:val="24"/>
          <w:szCs w:val="24"/>
          <w:lang w:eastAsia="zh-CN"/>
        </w:rPr>
        <w:sectPr>
          <w:pgSz w:w="11910" w:h="16840"/>
          <w:pgMar w:top="1100" w:right="920" w:bottom="1080" w:left="1580" w:header="879" w:footer="892" w:gutter="0"/>
          <w:cols w:space="720" w:num="1"/>
        </w:sectPr>
      </w:pPr>
      <w:bookmarkStart w:id="106" w:name="_Toc2799"/>
      <w:bookmarkStart w:id="107" w:name="_Toc2115"/>
      <w:r>
        <w:rPr>
          <w:rFonts w:hint="eastAsia"/>
          <w:sz w:val="24"/>
          <w:szCs w:val="24"/>
          <w:lang w:eastAsia="zh-CN"/>
        </w:rPr>
        <w:t>费）。若需要，应在检测期间提供备用仪器，以便不影响采购人的使用。</w:t>
      </w:r>
      <w:bookmarkEnd w:id="106"/>
      <w:bookmarkEnd w:id="107"/>
    </w:p>
    <w:p w14:paraId="715B9BA4"/>
    <w:p w14:paraId="5E3431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E3ED8">
    <w:pPr>
      <w:spacing w:line="187" w:lineRule="auto"/>
      <w:ind w:left="4434"/>
      <w:rPr>
        <w:rFonts w:ascii="Arial" w:hAnsi="Arial" w:eastAsia="Arial" w:cs="Arial"/>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posOffset>2926080</wp:posOffset>
              </wp:positionH>
              <wp:positionV relativeFrom="paragraph">
                <wp:posOffset>-635</wp:posOffset>
              </wp:positionV>
              <wp:extent cx="24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43068"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5A46E">
                          <w:pPr>
                            <w:pStyle w:val="10"/>
                            <w:rPr>
                              <w:rFonts w:hint="eastAsia"/>
                            </w:rPr>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0.4pt;margin-top:-0.05pt;height:144pt;width:19.15pt;mso-position-horizontal-relative:margin;z-index:251659264;mso-width-relative:page;mso-height-relative:page;" filled="f" stroked="f" coordsize="21600,21600" o:gfxdata="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T7m92QAAAAkBAAAPAAAAAAAAAAEAIAAAACIAAABkcnMvZG93bnJldi54&#10;bWxQSwECFAAUAAAACACHTuJAWnD0AzICAABWBAAADgAAAAAAAAABACAAAAAoAQAAZHJzL2Uyb0Rv&#10;Yy54bWxQSwUGAAAAAAYABgBZAQAAzAUAAAAA&#10;">
              <v:fill on="f" focussize="0,0"/>
              <v:stroke on="f" weight="0.5pt"/>
              <v:imagedata o:title=""/>
              <o:lock v:ext="edit" aspectratio="f"/>
              <v:textbox inset="0mm,0mm,0mm,0mm" style="mso-fit-shape-to-text:t;">
                <w:txbxContent>
                  <w:p w14:paraId="1945A46E">
                    <w:pPr>
                      <w:pStyle w:val="10"/>
                      <w:rPr>
                        <w:rFonts w:hint="eastAsia"/>
                      </w:rPr>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C64E">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4AE1F"/>
    <w:multiLevelType w:val="multilevel"/>
    <w:tmpl w:val="9124AE1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397"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BF67E2A2"/>
    <w:multiLevelType w:val="multilevel"/>
    <w:tmpl w:val="BF67E2A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112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063354E"/>
    <w:multiLevelType w:val="multilevel"/>
    <w:tmpl w:val="2063354E"/>
    <w:lvl w:ilvl="0" w:tentative="0">
      <w:start w:val="1"/>
      <w:numFmt w:val="decimal"/>
      <w:lvlText w:val="%1."/>
      <w:lvlJc w:val="left"/>
      <w:pPr>
        <w:tabs>
          <w:tab w:val="left" w:pos="720"/>
        </w:tabs>
        <w:ind w:left="720" w:hanging="31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5723885"/>
    <w:multiLevelType w:val="multilevel"/>
    <w:tmpl w:val="25723885"/>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2D747AB0"/>
    <w:multiLevelType w:val="multilevel"/>
    <w:tmpl w:val="2D747A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7CF46D"/>
    <w:multiLevelType w:val="singleLevel"/>
    <w:tmpl w:val="397CF46D"/>
    <w:lvl w:ilvl="0" w:tentative="0">
      <w:start w:val="1"/>
      <w:numFmt w:val="bullet"/>
      <w:lvlText w:val=""/>
      <w:lvlJc w:val="left"/>
      <w:pPr>
        <w:ind w:left="420" w:hanging="420"/>
      </w:pPr>
      <w:rPr>
        <w:rFonts w:hint="default" w:ascii="Wingdings" w:hAnsi="Wingdings"/>
      </w:rPr>
    </w:lvl>
  </w:abstractNum>
  <w:abstractNum w:abstractNumId="6">
    <w:nsid w:val="3F530F16"/>
    <w:multiLevelType w:val="multilevel"/>
    <w:tmpl w:val="3F530F16"/>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397"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41103ACD"/>
    <w:multiLevelType w:val="multilevel"/>
    <w:tmpl w:val="41103AC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42EF08ED"/>
    <w:multiLevelType w:val="multilevel"/>
    <w:tmpl w:val="42EF08ED"/>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9">
    <w:nsid w:val="48E935E2"/>
    <w:multiLevelType w:val="multilevel"/>
    <w:tmpl w:val="48E935E2"/>
    <w:lvl w:ilvl="0" w:tentative="0">
      <w:start w:val="1"/>
      <w:numFmt w:val="decimal"/>
      <w:lvlText w:val="%1."/>
      <w:lvlJc w:val="left"/>
      <w:pPr>
        <w:tabs>
          <w:tab w:val="left" w:pos="720"/>
        </w:tabs>
        <w:ind w:left="720" w:hanging="29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9"/>
  </w:num>
  <w:num w:numId="4">
    <w:abstractNumId w:val="5"/>
  </w:num>
  <w:num w:numId="5">
    <w:abstractNumId w:val="1"/>
  </w:num>
  <w:num w:numId="6">
    <w:abstractNumId w:val="8"/>
  </w:num>
  <w:num w:numId="7">
    <w:abstractNumId w:val="6"/>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636D7"/>
    <w:rsid w:val="576636D7"/>
    <w:rsid w:val="7AF46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outlineLvl w:val="0"/>
    </w:pPr>
    <w:rPr>
      <w:sz w:val="36"/>
      <w:szCs w:val="36"/>
    </w:rPr>
  </w:style>
  <w:style w:type="paragraph" w:styleId="5">
    <w:name w:val="heading 2"/>
    <w:basedOn w:val="1"/>
    <w:next w:val="1"/>
    <w:qFormat/>
    <w:uiPriority w:val="1"/>
    <w:pPr>
      <w:ind w:left="121"/>
      <w:outlineLvl w:val="1"/>
    </w:pPr>
    <w:rPr>
      <w:sz w:val="32"/>
      <w:szCs w:val="32"/>
    </w:rPr>
  </w:style>
  <w:style w:type="paragraph" w:styleId="6">
    <w:name w:val="heading 3"/>
    <w:basedOn w:val="1"/>
    <w:next w:val="1"/>
    <w:qFormat/>
    <w:uiPriority w:val="1"/>
    <w:pPr>
      <w:spacing w:before="15"/>
      <w:jc w:val="center"/>
      <w:outlineLvl w:val="2"/>
    </w:pPr>
    <w:rPr>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7">
    <w:name w:val="Body Text"/>
    <w:basedOn w:val="1"/>
    <w:next w:val="8"/>
    <w:qFormat/>
    <w:uiPriority w:val="1"/>
    <w:rPr>
      <w:sz w:val="24"/>
      <w:szCs w:val="24"/>
    </w:rPr>
  </w:style>
  <w:style w:type="paragraph" w:styleId="8">
    <w:name w:val="Title"/>
    <w:basedOn w:val="1"/>
    <w:next w:val="1"/>
    <w:qFormat/>
    <w:uiPriority w:val="0"/>
    <w:pPr>
      <w:jc w:val="center"/>
      <w:outlineLvl w:val="0"/>
    </w:pPr>
    <w:rPr>
      <w:b/>
      <w:sz w:val="32"/>
      <w:szCs w:val="20"/>
    </w:rPr>
  </w:style>
  <w:style w:type="paragraph" w:styleId="9">
    <w:name w:val="Plain Text"/>
    <w:basedOn w:val="1"/>
    <w:unhideWhenUsed/>
    <w:qFormat/>
    <w:uiPriority w:val="0"/>
    <w:rPr>
      <w:rFonts w:hAnsi="Courier New" w:cs="Courier New"/>
      <w:sz w:val="24"/>
      <w:szCs w:val="21"/>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表段落1"/>
    <w:basedOn w:val="1"/>
    <w:qFormat/>
    <w:uiPriority w:val="1"/>
    <w:pPr>
      <w:spacing w:before="134"/>
      <w:ind w:left="1196" w:hanging="720"/>
    </w:pPr>
    <w:rPr>
      <w:sz w:val="20"/>
    </w:rPr>
  </w:style>
  <w:style w:type="paragraph" w:customStyle="1" w:styleId="16">
    <w:name w:val="Table Paragraph"/>
    <w:basedOn w:val="1"/>
    <w:qFormat/>
    <w:uiPriority w:val="1"/>
  </w:style>
  <w:style w:type="paragraph" w:customStyle="1" w:styleId="17">
    <w:name w:val="列出段落1"/>
    <w:basedOn w:val="1"/>
    <w:qFormat/>
    <w:uiPriority w:val="1"/>
    <w:pPr>
      <w:spacing w:before="134"/>
      <w:ind w:left="1196" w:hanging="720"/>
    </w:pPr>
    <w:rPr>
      <w:sz w:val="20"/>
    </w:rPr>
  </w:style>
  <w:style w:type="paragraph" w:styleId="18">
    <w:name w:val="List Paragraph"/>
    <w:basedOn w:val="1"/>
    <w:qFormat/>
    <w:uiPriority w:val="34"/>
    <w:pPr>
      <w:ind w:left="720"/>
      <w:contextualSpacing/>
    </w:pPr>
  </w:style>
  <w:style w:type="paragraph" w:customStyle="1" w:styleId="1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0">
    <w:name w:val="缩进正文"/>
    <w:basedOn w:val="1"/>
    <w:qFormat/>
    <w:uiPriority w:val="0"/>
    <w:pPr>
      <w:ind w:firstLine="200" w:firstLineChars="200"/>
    </w:pPr>
  </w:style>
  <w:style w:type="paragraph" w:customStyle="1" w:styleId="21">
    <w:name w:val="列表段落11"/>
    <w:basedOn w:val="1"/>
    <w:qFormat/>
    <w:uiPriority w:val="1"/>
    <w:pPr>
      <w:spacing w:before="134"/>
      <w:ind w:left="1196" w:hanging="720"/>
    </w:pPr>
    <w:rPr>
      <w:sz w:val="20"/>
    </w:rPr>
  </w:style>
  <w:style w:type="paragraph" w:customStyle="1" w:styleId="22">
    <w:name w:val="正文！"/>
    <w:basedOn w:val="1"/>
    <w:semiHidden/>
    <w:qFormat/>
    <w:uiPriority w:val="99"/>
    <w:pPr>
      <w:ind w:firstLine="480" w:firstLineChars="200"/>
    </w:pPr>
    <w:rPr>
      <w:sz w:val="24"/>
      <w:szCs w:val="20"/>
    </w:rPr>
  </w:style>
  <w:style w:type="paragraph" w:customStyle="1" w:styleId="23">
    <w:name w:val="样式 正文文本首行缩进 + 首行缩进:  12字符"/>
    <w:basedOn w:val="24"/>
    <w:qFormat/>
    <w:uiPriority w:val="0"/>
    <w:pPr>
      <w:ind w:firstLine="240"/>
    </w:pPr>
    <w:rPr>
      <w:sz w:val="28"/>
    </w:rPr>
  </w:style>
  <w:style w:type="paragraph" w:customStyle="1" w:styleId="24">
    <w:name w:val="正文  首行缩进:  2 字符"/>
    <w:basedOn w:val="1"/>
    <w:qFormat/>
    <w:uiPriority w:val="0"/>
    <w:pPr>
      <w:spacing w:afterLines="50" w:line="440" w:lineRule="atLeast"/>
      <w:ind w:firstLine="480" w:firstLineChars="200"/>
    </w:pPr>
    <w:rPr>
      <w:rFonts w:ascii="Calibri" w:hAnsi="Calibri"/>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2267</Words>
  <Characters>2444</Characters>
  <Lines>0</Lines>
  <Paragraphs>0</Paragraphs>
  <TotalTime>0</TotalTime>
  <ScaleCrop>false</ScaleCrop>
  <LinksUpToDate>false</LinksUpToDate>
  <CharactersWithSpaces>2465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2026-02-13T15:35:00Z</dcterms:created>
  <dc:creator>张珊。</dc:creator>
  <cp:lastModifiedBy>王崴</cp:lastModifiedBy>
  <dcterms:modified xsi:type="dcterms:W3CDTF">2026-02-14T04:23:35Z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D25A4EED030D4FEB8200BD9E314EDECF_13</vt:lpwstr>
  </property>
  <property fmtid="{D5CDD505-2E9C-101B-9397-08002B2CF9AE}" pid="4" name="KSOTemplateDocerSaveRecord">
    <vt:lpwstr>eyJoZGlkIjoiZmY3NmFiNzhlYzQzYmI0YTYyMjZjYTYxMmZiNjkwN2YiLCJ1c2VySWQiOiI4NDYxOTIwMTUifQ==</vt:lpwstr>
  </property>
</Properties>
</file>