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r>
        <w:rPr>
          <w:rFonts w:hint="eastAsia"/>
          <w:b/>
          <w:sz w:val="36"/>
          <w:szCs w:val="36"/>
          <w:highlight w:val="none"/>
        </w:rPr>
        <w:t>北京市建设工程交易系统能力提升项目</w:t>
      </w:r>
      <w:r>
        <w:rPr>
          <w:b/>
          <w:sz w:val="36"/>
          <w:szCs w:val="36"/>
          <w:highlight w:val="none"/>
        </w:rPr>
        <w:t>采购需求</w:t>
      </w:r>
    </w:p>
    <w:p>
      <w:pPr>
        <w:spacing w:line="360" w:lineRule="auto"/>
        <w:contextualSpacing/>
        <w:rPr>
          <w:bCs/>
          <w:sz w:val="24"/>
          <w:highlight w:val="none"/>
        </w:rPr>
      </w:pPr>
    </w:p>
    <w:p>
      <w:pPr>
        <w:spacing w:line="560" w:lineRule="exact"/>
        <w:ind w:firstLine="472" w:firstLineChars="196"/>
        <w:outlineLvl w:val="1"/>
        <w:rPr>
          <w:rFonts w:ascii="宋体" w:hAnsi="宋体" w:cs="宋体"/>
          <w:b/>
          <w:sz w:val="24"/>
        </w:rPr>
      </w:pPr>
      <w:r>
        <w:rPr>
          <w:rFonts w:hint="eastAsia" w:ascii="宋体" w:hAnsi="宋体" w:cs="宋体"/>
          <w:b/>
          <w:sz w:val="24"/>
        </w:rPr>
        <w:t>一、采购标的</w:t>
      </w:r>
    </w:p>
    <w:p>
      <w:pPr>
        <w:spacing w:line="560" w:lineRule="exact"/>
        <w:ind w:firstLine="472" w:firstLineChars="196"/>
        <w:outlineLvl w:val="3"/>
        <w:rPr>
          <w:rFonts w:ascii="宋体" w:hAnsi="宋体" w:cs="宋体"/>
          <w:b/>
          <w:sz w:val="24"/>
        </w:rPr>
      </w:pPr>
      <w:r>
        <w:rPr>
          <w:rFonts w:hint="eastAsia" w:ascii="宋体" w:hAnsi="宋体" w:cs="宋体"/>
          <w:b/>
          <w:sz w:val="24"/>
        </w:rPr>
        <w:t>1</w:t>
      </w:r>
      <w:r>
        <w:rPr>
          <w:rFonts w:ascii="宋体" w:hAnsi="宋体" w:cs="宋体"/>
          <w:b/>
          <w:sz w:val="24"/>
        </w:rPr>
        <w:t>.</w:t>
      </w:r>
      <w:r>
        <w:rPr>
          <w:rFonts w:hint="eastAsia" w:ascii="宋体" w:hAnsi="宋体" w:cs="宋体"/>
          <w:b/>
          <w:sz w:val="24"/>
        </w:rPr>
        <w:t>采购标的</w:t>
      </w:r>
    </w:p>
    <w:tbl>
      <w:tblPr>
        <w:tblStyle w:val="4"/>
        <w:tblW w:w="8087"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96"/>
        <w:gridCol w:w="1633"/>
        <w:gridCol w:w="1706"/>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widowControl/>
              <w:spacing w:line="560" w:lineRule="exact"/>
              <w:jc w:val="center"/>
              <w:rPr>
                <w:rFonts w:ascii="宋体" w:hAnsi="宋体" w:cs="宋体"/>
                <w:b/>
                <w:bCs/>
                <w:sz w:val="24"/>
              </w:rPr>
            </w:pPr>
            <w:r>
              <w:rPr>
                <w:rFonts w:hint="eastAsia" w:ascii="宋体" w:hAnsi="宋体" w:cs="宋体"/>
                <w:b/>
                <w:bCs/>
                <w:sz w:val="24"/>
              </w:rPr>
              <w:t>序号</w:t>
            </w:r>
          </w:p>
        </w:tc>
        <w:tc>
          <w:tcPr>
            <w:tcW w:w="2296" w:type="dxa"/>
          </w:tcPr>
          <w:p>
            <w:pPr>
              <w:widowControl/>
              <w:spacing w:line="560" w:lineRule="exact"/>
              <w:jc w:val="center"/>
              <w:rPr>
                <w:rFonts w:ascii="宋体" w:hAnsi="宋体" w:cs="宋体"/>
                <w:b/>
                <w:bCs/>
                <w:sz w:val="24"/>
              </w:rPr>
            </w:pPr>
            <w:r>
              <w:rPr>
                <w:rFonts w:hint="eastAsia" w:ascii="宋体" w:hAnsi="宋体" w:cs="宋体"/>
                <w:b/>
                <w:bCs/>
                <w:sz w:val="24"/>
              </w:rPr>
              <w:t>采购标的名称</w:t>
            </w:r>
          </w:p>
        </w:tc>
        <w:tc>
          <w:tcPr>
            <w:tcW w:w="1633" w:type="dxa"/>
          </w:tcPr>
          <w:p>
            <w:pPr>
              <w:widowControl/>
              <w:spacing w:line="560" w:lineRule="exact"/>
              <w:jc w:val="center"/>
              <w:rPr>
                <w:rFonts w:ascii="宋体" w:hAnsi="宋体" w:cs="宋体"/>
                <w:b/>
                <w:bCs/>
                <w:sz w:val="24"/>
              </w:rPr>
            </w:pPr>
            <w:r>
              <w:rPr>
                <w:rFonts w:hint="eastAsia" w:ascii="宋体" w:hAnsi="宋体" w:cs="宋体"/>
                <w:b/>
                <w:bCs/>
                <w:sz w:val="24"/>
              </w:rPr>
              <w:t>数量</w:t>
            </w:r>
          </w:p>
        </w:tc>
        <w:tc>
          <w:tcPr>
            <w:tcW w:w="1706" w:type="dxa"/>
          </w:tcPr>
          <w:p>
            <w:pPr>
              <w:widowControl/>
              <w:spacing w:line="560" w:lineRule="exact"/>
              <w:jc w:val="center"/>
              <w:rPr>
                <w:rFonts w:ascii="宋体" w:hAnsi="宋体" w:cs="宋体"/>
                <w:b/>
                <w:bCs/>
                <w:sz w:val="24"/>
              </w:rPr>
            </w:pPr>
            <w:r>
              <w:rPr>
                <w:rFonts w:hint="eastAsia" w:ascii="宋体" w:hAnsi="宋体" w:cs="宋体"/>
                <w:b/>
                <w:bCs/>
                <w:sz w:val="24"/>
              </w:rPr>
              <w:t>单位</w:t>
            </w:r>
          </w:p>
        </w:tc>
        <w:tc>
          <w:tcPr>
            <w:tcW w:w="1264" w:type="dxa"/>
          </w:tcPr>
          <w:p>
            <w:pPr>
              <w:widowControl/>
              <w:spacing w:line="560" w:lineRule="exact"/>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widowControl/>
              <w:spacing w:line="560" w:lineRule="exact"/>
              <w:jc w:val="center"/>
              <w:rPr>
                <w:rFonts w:ascii="宋体" w:hAnsi="宋体" w:cs="宋体"/>
                <w:bCs/>
                <w:sz w:val="24"/>
              </w:rPr>
            </w:pPr>
            <w:r>
              <w:rPr>
                <w:rFonts w:hint="eastAsia" w:ascii="宋体" w:hAnsi="宋体" w:cs="宋体"/>
                <w:bCs/>
                <w:sz w:val="24"/>
              </w:rPr>
              <w:t>1</w:t>
            </w:r>
          </w:p>
        </w:tc>
        <w:tc>
          <w:tcPr>
            <w:tcW w:w="2296" w:type="dxa"/>
          </w:tcPr>
          <w:p>
            <w:pPr>
              <w:widowControl/>
              <w:spacing w:line="560" w:lineRule="exact"/>
              <w:jc w:val="center"/>
              <w:rPr>
                <w:rFonts w:ascii="宋体" w:hAnsi="宋体" w:cs="宋体"/>
                <w:bCs/>
                <w:sz w:val="24"/>
              </w:rPr>
            </w:pPr>
            <w:r>
              <w:rPr>
                <w:rFonts w:hint="eastAsia" w:ascii="宋体" w:hAnsi="宋体" w:cs="宋体"/>
                <w:bCs/>
                <w:sz w:val="24"/>
              </w:rPr>
              <w:t>北京市建设工程交易系统能力提升项目</w:t>
            </w:r>
          </w:p>
        </w:tc>
        <w:tc>
          <w:tcPr>
            <w:tcW w:w="1633" w:type="dxa"/>
          </w:tcPr>
          <w:p>
            <w:pPr>
              <w:widowControl/>
              <w:spacing w:line="560" w:lineRule="exact"/>
              <w:jc w:val="center"/>
              <w:rPr>
                <w:rFonts w:ascii="宋体" w:hAnsi="宋体" w:cs="宋体"/>
                <w:bCs/>
                <w:sz w:val="24"/>
              </w:rPr>
            </w:pPr>
            <w:r>
              <w:rPr>
                <w:rFonts w:hint="eastAsia" w:ascii="宋体" w:hAnsi="宋体" w:cs="宋体"/>
                <w:bCs/>
                <w:sz w:val="24"/>
              </w:rPr>
              <w:t>1</w:t>
            </w:r>
          </w:p>
        </w:tc>
        <w:tc>
          <w:tcPr>
            <w:tcW w:w="1706" w:type="dxa"/>
          </w:tcPr>
          <w:p>
            <w:pPr>
              <w:widowControl/>
              <w:spacing w:line="560" w:lineRule="exact"/>
              <w:jc w:val="center"/>
              <w:rPr>
                <w:rFonts w:ascii="宋体" w:hAnsi="宋体" w:cs="宋体"/>
                <w:bCs/>
                <w:sz w:val="24"/>
              </w:rPr>
            </w:pPr>
            <w:r>
              <w:rPr>
                <w:rFonts w:hint="eastAsia" w:ascii="宋体" w:hAnsi="宋体" w:cs="宋体"/>
                <w:bCs/>
                <w:sz w:val="24"/>
              </w:rPr>
              <w:t>项</w:t>
            </w:r>
          </w:p>
        </w:tc>
        <w:tc>
          <w:tcPr>
            <w:tcW w:w="1264" w:type="dxa"/>
          </w:tcPr>
          <w:p>
            <w:pPr>
              <w:widowControl/>
              <w:spacing w:line="560" w:lineRule="exact"/>
              <w:jc w:val="center"/>
              <w:rPr>
                <w:rFonts w:ascii="宋体" w:hAnsi="宋体" w:cs="宋体"/>
                <w:bCs/>
                <w:sz w:val="24"/>
              </w:rPr>
            </w:pPr>
          </w:p>
        </w:tc>
      </w:tr>
    </w:tbl>
    <w:p>
      <w:pPr>
        <w:spacing w:line="560" w:lineRule="exact"/>
        <w:ind w:firstLine="472" w:firstLineChars="196"/>
        <w:outlineLvl w:val="3"/>
        <w:rPr>
          <w:rFonts w:ascii="宋体" w:hAnsi="宋体" w:cs="宋体"/>
          <w:b/>
          <w:sz w:val="24"/>
        </w:rPr>
      </w:pPr>
      <w:r>
        <w:rPr>
          <w:rFonts w:hint="eastAsia" w:ascii="宋体" w:hAnsi="宋体" w:cs="宋体"/>
          <w:b/>
          <w:sz w:val="24"/>
        </w:rPr>
        <w:t>2</w:t>
      </w:r>
      <w:r>
        <w:rPr>
          <w:rFonts w:ascii="宋体" w:hAnsi="宋体" w:cs="宋体"/>
          <w:b/>
          <w:sz w:val="24"/>
        </w:rPr>
        <w:t>.</w:t>
      </w:r>
      <w:r>
        <w:rPr>
          <w:rFonts w:hint="eastAsia" w:ascii="宋体" w:hAnsi="宋体" w:cs="宋体"/>
          <w:b/>
          <w:sz w:val="24"/>
        </w:rPr>
        <w:t xml:space="preserve">项目背景或简况      </w:t>
      </w:r>
    </w:p>
    <w:p>
      <w:pPr>
        <w:ind w:firstLine="480" w:firstLineChars="200"/>
        <w:rPr>
          <w:rFonts w:ascii="宋体" w:hAnsi="宋体" w:cs="宋体"/>
          <w:kern w:val="0"/>
          <w:sz w:val="24"/>
        </w:rPr>
      </w:pPr>
      <w:r>
        <w:rPr>
          <w:rFonts w:hint="eastAsia" w:ascii="宋体" w:hAnsi="宋体" w:cs="宋体"/>
          <w:kern w:val="0"/>
          <w:sz w:val="24"/>
        </w:rPr>
        <w:t>国家发展改革委关于印发《“十四五”推进国家政务信息化规划》的通知（发改高技〔2021〕1898号）要求“网络信息安全保障达到新水平，严格执行等级保护和分级保护制度，大力推进关键软硬件技术产品创新应用，有力带动相关产业发展和技术创新突破，全面保障政务信息系统安全可靠运行”。</w:t>
      </w:r>
    </w:p>
    <w:p>
      <w:pPr>
        <w:ind w:firstLine="480" w:firstLineChars="200"/>
        <w:rPr>
          <w:rFonts w:ascii="宋体" w:hAnsi="宋体" w:cs="宋体"/>
          <w:kern w:val="0"/>
          <w:sz w:val="24"/>
        </w:rPr>
      </w:pPr>
      <w:r>
        <w:rPr>
          <w:rFonts w:hint="eastAsia" w:ascii="宋体" w:hAnsi="宋体" w:cs="宋体"/>
          <w:bCs/>
          <w:sz w:val="24"/>
        </w:rPr>
        <w:t>北京市建设工程交易系统</w:t>
      </w:r>
      <w:r>
        <w:rPr>
          <w:rFonts w:hint="eastAsia" w:ascii="宋体" w:hAnsi="宋体" w:cs="宋体"/>
          <w:kern w:val="0"/>
          <w:sz w:val="24"/>
        </w:rPr>
        <w:t>计划进行系统能力提升适配及重构工作。</w:t>
      </w:r>
    </w:p>
    <w:p>
      <w:pPr>
        <w:spacing w:line="560" w:lineRule="exact"/>
        <w:ind w:firstLine="472" w:firstLineChars="196"/>
        <w:outlineLvl w:val="2"/>
        <w:rPr>
          <w:rFonts w:ascii="宋体" w:hAnsi="宋体" w:cs="宋体"/>
          <w:b/>
          <w:sz w:val="24"/>
        </w:rPr>
      </w:pPr>
      <w:r>
        <w:rPr>
          <w:rFonts w:hint="eastAsia" w:ascii="宋体" w:hAnsi="宋体" w:cs="宋体"/>
          <w:b/>
          <w:sz w:val="24"/>
        </w:rPr>
        <w:t>二、商务要求</w:t>
      </w:r>
    </w:p>
    <w:p>
      <w:pPr>
        <w:spacing w:line="560" w:lineRule="exact"/>
        <w:ind w:firstLine="472" w:firstLineChars="196"/>
        <w:outlineLvl w:val="3"/>
        <w:rPr>
          <w:rFonts w:ascii="宋体" w:hAnsi="宋体" w:cs="宋体"/>
          <w:b/>
          <w:sz w:val="24"/>
        </w:rPr>
      </w:pPr>
      <w:r>
        <w:rPr>
          <w:rFonts w:ascii="宋体" w:hAnsi="宋体" w:cs="宋体"/>
          <w:b/>
          <w:sz w:val="24"/>
        </w:rPr>
        <w:t>1. 交付（实施）的时间（期限）和地点（范围）</w:t>
      </w:r>
    </w:p>
    <w:p>
      <w:pPr>
        <w:spacing w:line="560" w:lineRule="exact"/>
        <w:ind w:firstLine="470" w:firstLineChars="196"/>
        <w:outlineLvl w:val="4"/>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交付时间：自合同签订之日起</w:t>
      </w:r>
      <w:r>
        <w:rPr>
          <w:rFonts w:ascii="宋体" w:hAnsi="宋体" w:cs="宋体"/>
          <w:sz w:val="24"/>
        </w:rPr>
        <w:t>8</w:t>
      </w:r>
      <w:r>
        <w:rPr>
          <w:rFonts w:hint="eastAsia" w:ascii="宋体" w:hAnsi="宋体" w:cs="宋体"/>
          <w:sz w:val="24"/>
        </w:rPr>
        <w:t>个</w:t>
      </w:r>
      <w:r>
        <w:rPr>
          <w:rFonts w:ascii="宋体" w:hAnsi="宋体" w:cs="宋体"/>
          <w:sz w:val="24"/>
        </w:rPr>
        <w:t>月</w:t>
      </w:r>
      <w:r>
        <w:rPr>
          <w:rFonts w:hint="eastAsia" w:ascii="宋体" w:hAnsi="宋体" w:cs="宋体"/>
          <w:sz w:val="24"/>
        </w:rPr>
        <w:t>内完成项目的开发、测试、部署。</w:t>
      </w:r>
    </w:p>
    <w:p>
      <w:pPr>
        <w:spacing w:line="560" w:lineRule="exact"/>
        <w:ind w:firstLine="470" w:firstLineChars="196"/>
        <w:outlineLvl w:val="4"/>
        <w:rPr>
          <w:rFonts w:ascii="宋体" w:hAnsi="宋体" w:cs="宋体"/>
          <w:sz w:val="24"/>
        </w:rPr>
      </w:pPr>
      <w:r>
        <w:rPr>
          <w:rFonts w:ascii="宋体" w:hAnsi="宋体" w:cs="宋体"/>
          <w:sz w:val="24"/>
        </w:rPr>
        <w:t>1.2</w:t>
      </w:r>
      <w:r>
        <w:rPr>
          <w:rFonts w:hint="eastAsia" w:ascii="宋体" w:hAnsi="宋体" w:cs="宋体"/>
          <w:sz w:val="24"/>
        </w:rPr>
        <w:t>交付地点：招标人指定地点</w:t>
      </w:r>
    </w:p>
    <w:p>
      <w:pPr>
        <w:spacing w:line="560" w:lineRule="exact"/>
        <w:ind w:firstLine="470" w:firstLineChars="196"/>
        <w:outlineLvl w:val="4"/>
        <w:rPr>
          <w:rFonts w:ascii="宋体" w:hAnsi="宋体" w:cs="宋体"/>
          <w:sz w:val="24"/>
        </w:rPr>
      </w:pPr>
      <w:r>
        <w:rPr>
          <w:rFonts w:hint="eastAsia" w:ascii="宋体" w:hAnsi="宋体" w:cs="宋体"/>
          <w:sz w:val="24"/>
        </w:rPr>
        <w:t>1.3 付款方式</w:t>
      </w:r>
    </w:p>
    <w:p>
      <w:pPr>
        <w:rPr>
          <w:rFonts w:ascii="宋体" w:hAnsi="宋体" w:cs="宋体"/>
          <w:kern w:val="0"/>
          <w:sz w:val="24"/>
        </w:rPr>
      </w:pPr>
      <w:r>
        <w:rPr>
          <w:rFonts w:hint="eastAsia" w:ascii="宋体" w:hAnsi="宋体" w:cs="宋体"/>
          <w:kern w:val="0"/>
          <w:sz w:val="24"/>
        </w:rPr>
        <w:t>合同签署生效且财政资金拨付到位后3</w:t>
      </w:r>
      <w:r>
        <w:rPr>
          <w:rFonts w:ascii="宋体" w:hAnsi="宋体" w:cs="宋体"/>
          <w:kern w:val="0"/>
          <w:sz w:val="24"/>
        </w:rPr>
        <w:t>0</w:t>
      </w:r>
      <w:r>
        <w:rPr>
          <w:rFonts w:hint="eastAsia" w:ascii="宋体" w:hAnsi="宋体" w:cs="宋体"/>
          <w:kern w:val="0"/>
          <w:sz w:val="24"/>
        </w:rPr>
        <w:t>天内，采购人向中标人支付合同首款（合同额50%）；采购人初步验收合格之日起30天内向中标人支付合同中期款（合同额</w:t>
      </w:r>
      <w:r>
        <w:rPr>
          <w:rFonts w:ascii="宋体" w:hAnsi="宋体" w:cs="宋体"/>
          <w:kern w:val="0"/>
          <w:sz w:val="24"/>
        </w:rPr>
        <w:t>25</w:t>
      </w:r>
      <w:r>
        <w:rPr>
          <w:rFonts w:hint="eastAsia" w:ascii="宋体" w:hAnsi="宋体" w:cs="宋体"/>
          <w:kern w:val="0"/>
          <w:sz w:val="24"/>
        </w:rPr>
        <w:t>%）；项目通过最终验收后3</w:t>
      </w:r>
      <w:r>
        <w:rPr>
          <w:rFonts w:ascii="宋体" w:hAnsi="宋体" w:cs="宋体"/>
          <w:kern w:val="0"/>
          <w:sz w:val="24"/>
        </w:rPr>
        <w:t>0</w:t>
      </w:r>
      <w:r>
        <w:rPr>
          <w:rFonts w:hint="eastAsia" w:ascii="宋体" w:hAnsi="宋体" w:cs="宋体"/>
          <w:kern w:val="0"/>
          <w:sz w:val="24"/>
        </w:rPr>
        <w:t>天内，采购人向中标人支付合同尾款（合同额</w:t>
      </w:r>
      <w:r>
        <w:rPr>
          <w:rFonts w:ascii="宋体" w:hAnsi="宋体" w:cs="宋体"/>
          <w:kern w:val="0"/>
          <w:sz w:val="24"/>
        </w:rPr>
        <w:t>25</w:t>
      </w:r>
      <w:r>
        <w:rPr>
          <w:rFonts w:hint="eastAsia" w:ascii="宋体" w:hAnsi="宋体" w:cs="宋体"/>
          <w:kern w:val="0"/>
          <w:sz w:val="24"/>
        </w:rPr>
        <w:t>%）。</w:t>
      </w:r>
    </w:p>
    <w:p>
      <w:pPr>
        <w:spacing w:line="560" w:lineRule="exact"/>
        <w:ind w:firstLine="472" w:firstLineChars="196"/>
        <w:outlineLvl w:val="3"/>
        <w:rPr>
          <w:rFonts w:ascii="宋体" w:hAnsi="宋体" w:cs="宋体"/>
          <w:b/>
          <w:sz w:val="24"/>
        </w:rPr>
      </w:pPr>
      <w:r>
        <w:rPr>
          <w:rFonts w:ascii="宋体" w:hAnsi="宋体" w:cs="宋体"/>
          <w:b/>
          <w:sz w:val="24"/>
        </w:rPr>
        <w:t>2.</w:t>
      </w:r>
      <w:r>
        <w:rPr>
          <w:rFonts w:hint="eastAsia" w:ascii="宋体" w:hAnsi="宋体" w:cs="宋体"/>
          <w:b/>
          <w:sz w:val="24"/>
        </w:rPr>
        <w:t>类似业绩</w:t>
      </w:r>
    </w:p>
    <w:p>
      <w:pPr>
        <w:rPr>
          <w:rFonts w:ascii="宋体" w:hAnsi="宋体" w:cs="宋体"/>
          <w:kern w:val="0"/>
          <w:sz w:val="24"/>
        </w:rPr>
      </w:pPr>
      <w:r>
        <w:rPr>
          <w:rFonts w:hint="eastAsia" w:ascii="宋体" w:hAnsi="宋体" w:cs="宋体"/>
          <w:kern w:val="0"/>
          <w:sz w:val="24"/>
        </w:rPr>
        <w:t>投标人提供自2023年1月1日至投标文件递交截止日（以合同签订日期为准）类似系统开发服务合同，合同中甲方名称相同的均算一个业绩证明。上述证明材料，须提供合同首页、合同金额页、内容描述页（部分或全部内容均可）、签署页的复印件。</w:t>
      </w:r>
    </w:p>
    <w:p>
      <w:pPr>
        <w:spacing w:line="560" w:lineRule="exact"/>
        <w:ind w:firstLine="472" w:firstLineChars="196"/>
        <w:outlineLvl w:val="3"/>
        <w:rPr>
          <w:rFonts w:ascii="宋体" w:hAnsi="宋体" w:cs="宋体"/>
          <w:b/>
          <w:sz w:val="24"/>
        </w:rPr>
      </w:pPr>
      <w:r>
        <w:rPr>
          <w:rFonts w:ascii="宋体" w:hAnsi="宋体" w:cs="宋体"/>
          <w:b/>
          <w:sz w:val="24"/>
        </w:rPr>
        <w:t>3.</w:t>
      </w:r>
      <w:r>
        <w:rPr>
          <w:rFonts w:hint="eastAsia" w:ascii="宋体" w:hAnsi="宋体" w:cs="宋体"/>
          <w:b/>
          <w:sz w:val="24"/>
        </w:rPr>
        <w:t>人员要求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1投标人须提供不少于8人的服务团队，提供团队组织架构设置方案、成员名单、成员职责及说明。在本项目实施期间，安排专人驻场提供服务(采购人指定场地)并对接协调各方，确保项目有序、正常、如期开展。</w:t>
      </w:r>
    </w:p>
    <w:p>
      <w:pPr>
        <w:widowControl/>
        <w:tabs>
          <w:tab w:val="left" w:pos="312"/>
        </w:tabs>
        <w:spacing w:line="560" w:lineRule="exact"/>
        <w:ind w:firstLine="470" w:firstLineChars="196"/>
        <w:rPr>
          <w:rFonts w:ascii="宋体" w:hAnsi="宋体" w:cs="宋体"/>
          <w:color w:val="000000"/>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2项目经理</w:t>
      </w:r>
      <w:r>
        <w:rPr>
          <w:rFonts w:hint="eastAsia" w:ascii="宋体" w:hAnsi="宋体" w:cs="宋体"/>
          <w:color w:val="000000"/>
          <w:sz w:val="24"/>
        </w:rPr>
        <w:t>具备信息系统项目管理师证书 ，且具有五年及以上项目管理工作经验，提供个人简历、项目经历 及证书扫描件或复印件并加盖投标人公章。</w:t>
      </w:r>
    </w:p>
    <w:p>
      <w:pPr>
        <w:widowControl/>
        <w:tabs>
          <w:tab w:val="left" w:pos="312"/>
        </w:tabs>
        <w:spacing w:line="560" w:lineRule="exact"/>
        <w:ind w:firstLine="470" w:firstLineChars="196"/>
        <w:outlineLvl w:val="4"/>
        <w:rPr>
          <w:rFonts w:ascii="宋体" w:hAnsi="宋体" w:cs="宋体"/>
          <w:sz w:val="24"/>
        </w:rPr>
      </w:pPr>
      <w:r>
        <w:rPr>
          <w:rFonts w:hint="eastAsia" w:ascii="宋体" w:hAnsi="宋体" w:cs="宋体"/>
          <w:color w:val="000000"/>
          <w:sz w:val="24"/>
        </w:rPr>
        <w:t>3.3</w:t>
      </w:r>
      <w:r>
        <w:rPr>
          <w:rFonts w:ascii="宋体" w:hAnsi="宋体" w:cs="宋体"/>
          <w:color w:val="000000"/>
          <w:sz w:val="24"/>
          <w:lang w:eastAsia="zh"/>
        </w:rPr>
        <w:t xml:space="preserve"> 技术负责人</w:t>
      </w:r>
      <w:r>
        <w:rPr>
          <w:rFonts w:hint="eastAsia" w:ascii="宋体" w:hAnsi="宋体" w:cs="宋体"/>
          <w:color w:val="000000"/>
          <w:sz w:val="24"/>
          <w:lang w:eastAsia="zh"/>
        </w:rPr>
        <w:t>同时具备系统分析师和系统架构设计师 证书，且具有五年及以上技术管理工作经验，提供个人简历、项目经历及证书扫描件或复印件并加盖投标人公章</w:t>
      </w:r>
      <w:r>
        <w:rPr>
          <w:rFonts w:hint="eastAsia" w:ascii="宋体" w:hAnsi="宋体" w:cs="宋体"/>
          <w:sz w:val="24"/>
        </w:rPr>
        <w:t>。</w:t>
      </w:r>
    </w:p>
    <w:p>
      <w:pPr>
        <w:widowControl/>
        <w:tabs>
          <w:tab w:val="left" w:pos="312"/>
        </w:tabs>
        <w:spacing w:line="560" w:lineRule="exact"/>
        <w:ind w:firstLine="470" w:firstLineChars="196"/>
        <w:outlineLvl w:val="4"/>
        <w:rPr>
          <w:rFonts w:ascii="宋体" w:hAnsi="宋体" w:cs="宋体"/>
          <w:color w:val="000000"/>
          <w:sz w:val="24"/>
        </w:rPr>
      </w:pPr>
      <w:r>
        <w:rPr>
          <w:rFonts w:hint="eastAsia" w:ascii="宋体" w:hAnsi="宋体" w:cs="宋体"/>
          <w:color w:val="000000"/>
          <w:sz w:val="24"/>
        </w:rPr>
        <w:t>3.4 高级工程师不少于2名：</w:t>
      </w:r>
    </w:p>
    <w:p>
      <w:pPr>
        <w:widowControl/>
        <w:tabs>
          <w:tab w:val="left" w:pos="312"/>
        </w:tabs>
        <w:spacing w:line="560" w:lineRule="exact"/>
        <w:ind w:firstLine="470" w:firstLineChars="196"/>
      </w:pPr>
      <w:r>
        <w:rPr>
          <w:rFonts w:hint="eastAsia" w:ascii="宋体" w:hAnsi="宋体" w:cs="宋体"/>
          <w:color w:val="000000"/>
          <w:sz w:val="24"/>
        </w:rPr>
        <w:t>两人均具备高级信息化资格证书（信息系统项目管理师、系统分析师系统架构设计师、网络规划设计师、系统规划与管理师其中之一），且具有五年及以上相关从业经验，提供个人简历、项目经历及证书扫描件或复印件并加盖投标人公章。</w:t>
      </w:r>
    </w:p>
    <w:p>
      <w:pPr>
        <w:widowControl/>
        <w:tabs>
          <w:tab w:val="left" w:pos="312"/>
        </w:tabs>
        <w:spacing w:line="560" w:lineRule="exact"/>
        <w:ind w:firstLine="470" w:firstLineChars="196"/>
        <w:outlineLvl w:val="4"/>
        <w:rPr>
          <w:rFonts w:ascii="宋体" w:hAnsi="宋体" w:cs="宋体"/>
          <w:color w:val="000000"/>
          <w:sz w:val="24"/>
        </w:rPr>
      </w:pPr>
      <w:r>
        <w:rPr>
          <w:rFonts w:hint="eastAsia" w:ascii="宋体" w:hAnsi="宋体" w:cs="宋体"/>
          <w:color w:val="000000"/>
          <w:sz w:val="24"/>
        </w:rPr>
        <w:t>3.5 软件设计师不少于2名：</w:t>
      </w:r>
    </w:p>
    <w:p>
      <w:pPr>
        <w:widowControl/>
        <w:tabs>
          <w:tab w:val="left" w:pos="312"/>
        </w:tabs>
        <w:spacing w:line="560" w:lineRule="exact"/>
        <w:ind w:firstLine="470" w:firstLineChars="196"/>
        <w:rPr>
          <w:rFonts w:ascii="宋体" w:hAnsi="宋体" w:cs="宋体"/>
          <w:color w:val="000000"/>
          <w:sz w:val="24"/>
        </w:rPr>
      </w:pPr>
      <w:r>
        <w:rPr>
          <w:rFonts w:hint="eastAsia" w:ascii="宋体" w:hAnsi="宋体" w:cs="宋体"/>
          <w:color w:val="000000"/>
          <w:sz w:val="24"/>
        </w:rPr>
        <w:t>两人均具备软件设计师（或更高级）证书，且具有五年及以上相关从业经验，提供个人简历、项目经历及证书扫描件或复印件并加盖投标人公章。</w:t>
      </w:r>
    </w:p>
    <w:p>
      <w:pPr>
        <w:widowControl/>
        <w:tabs>
          <w:tab w:val="left" w:pos="312"/>
        </w:tabs>
        <w:spacing w:line="560" w:lineRule="exact"/>
        <w:ind w:firstLine="470" w:firstLineChars="196"/>
        <w:outlineLvl w:val="4"/>
        <w:rPr>
          <w:rFonts w:ascii="宋体" w:hAnsi="宋体" w:cs="宋体"/>
          <w:color w:val="000000"/>
          <w:sz w:val="24"/>
        </w:rPr>
      </w:pPr>
      <w:r>
        <w:rPr>
          <w:rFonts w:hint="eastAsia" w:ascii="宋体" w:hAnsi="宋体" w:cs="宋体"/>
          <w:color w:val="000000"/>
          <w:sz w:val="24"/>
        </w:rPr>
        <w:t>3.6 系统集成项目管理工程师不少于2名：</w:t>
      </w:r>
    </w:p>
    <w:p>
      <w:pPr>
        <w:widowControl/>
        <w:tabs>
          <w:tab w:val="left" w:pos="312"/>
        </w:tabs>
        <w:spacing w:line="560" w:lineRule="exact"/>
        <w:ind w:firstLine="470" w:firstLineChars="196"/>
        <w:rPr>
          <w:rFonts w:ascii="宋体" w:hAnsi="宋体" w:cs="宋体"/>
          <w:color w:val="000000"/>
          <w:sz w:val="24"/>
        </w:rPr>
      </w:pPr>
      <w:r>
        <w:rPr>
          <w:rFonts w:hint="eastAsia" w:ascii="宋体" w:hAnsi="宋体" w:cs="宋体"/>
          <w:color w:val="000000"/>
          <w:sz w:val="24"/>
        </w:rPr>
        <w:t>两人均具备系统集成项目管理工程师（或更高级）证书，且具有五年及以上相关从业经验，提供个人简历、项目经历及证书扫描件或复印件并加盖投标人公章。</w:t>
      </w:r>
    </w:p>
    <w:p>
      <w:pPr>
        <w:spacing w:line="560" w:lineRule="exact"/>
        <w:outlineLvl w:val="2"/>
        <w:rPr>
          <w:rFonts w:ascii="宋体" w:hAnsi="宋体" w:cs="宋体"/>
          <w:b/>
          <w:sz w:val="24"/>
        </w:rPr>
      </w:pPr>
      <w:r>
        <w:rPr>
          <w:rFonts w:hint="eastAsia" w:ascii="宋体" w:hAnsi="宋体" w:cs="宋体"/>
          <w:b/>
          <w:sz w:val="24"/>
        </w:rPr>
        <w:t>三、技术要求</w:t>
      </w:r>
    </w:p>
    <w:p>
      <w:pPr>
        <w:spacing w:line="560" w:lineRule="exact"/>
        <w:ind w:firstLine="472" w:firstLineChars="196"/>
        <w:outlineLvl w:val="3"/>
        <w:rPr>
          <w:rFonts w:ascii="宋体" w:hAnsi="宋体" w:cs="宋体"/>
          <w:b/>
          <w:sz w:val="24"/>
        </w:rPr>
      </w:pPr>
      <w:r>
        <w:rPr>
          <w:rFonts w:hint="eastAsia" w:ascii="宋体" w:hAnsi="宋体" w:cs="宋体"/>
          <w:b/>
          <w:sz w:val="24"/>
        </w:rPr>
        <w:t>1.现有系统简述</w:t>
      </w:r>
    </w:p>
    <w:p>
      <w:pPr>
        <w:pStyle w:val="6"/>
      </w:pPr>
      <w:r>
        <w:rPr>
          <w:rFonts w:hint="eastAsia"/>
        </w:rPr>
        <w:t>北京市建设工程交易系统，为全市房建市政、园林绿化、铁路以及自愿入场等工程建设项目招投标活动提供全流程电子化交易支撑，实现施工总承包、监理招标、专业承分包、材料设备采购、劳务分包等项目全流程电子化交易。系统部署于北京市公共资源交易中心广安门自建机房，现有物理服务器数量59台，操作系统59套（Windows 30套、Linux 23套、Solaris 6套），数据库7套（mysql 1套、oracle 2套、mongo 1套、sqlserver 3套），系统为B/S架构，开发语言为Java和.net（详见下表）。</w:t>
      </w:r>
    </w:p>
    <w:tbl>
      <w:tblPr>
        <w:tblStyle w:val="4"/>
        <w:tblW w:w="9391" w:type="dxa"/>
        <w:tblInd w:w="118" w:type="dxa"/>
        <w:tblLayout w:type="fixed"/>
        <w:tblCellMar>
          <w:top w:w="0" w:type="dxa"/>
          <w:left w:w="108" w:type="dxa"/>
          <w:bottom w:w="0" w:type="dxa"/>
          <w:right w:w="108" w:type="dxa"/>
        </w:tblCellMar>
      </w:tblPr>
      <w:tblGrid>
        <w:gridCol w:w="1392"/>
        <w:gridCol w:w="5982"/>
        <w:gridCol w:w="2017"/>
      </w:tblGrid>
      <w:tr>
        <w:tblPrEx>
          <w:tblLayout w:type="fixed"/>
          <w:tblCellMar>
            <w:top w:w="0" w:type="dxa"/>
            <w:left w:w="108" w:type="dxa"/>
            <w:bottom w:w="0" w:type="dxa"/>
            <w:right w:w="108" w:type="dxa"/>
          </w:tblCellMar>
        </w:tblPrEx>
        <w:trPr>
          <w:trHeight w:val="90" w:hRule="atLeast"/>
          <w:tblHeader/>
        </w:trPr>
        <w:tc>
          <w:tcPr>
            <w:tcW w:w="1392" w:type="dxa"/>
            <w:tcBorders>
              <w:top w:val="single" w:color="000000" w:sz="8" w:space="0"/>
              <w:left w:val="single" w:color="000000" w:sz="8" w:space="0"/>
              <w:bottom w:val="single" w:color="000000" w:sz="8" w:space="0"/>
              <w:right w:val="single" w:color="000000" w:sz="8" w:space="0"/>
            </w:tcBorders>
            <w:shd w:val="clear" w:color="auto" w:fill="CFCDCD"/>
            <w:vAlign w:val="center"/>
          </w:tcPr>
          <w:p>
            <w:pPr>
              <w:widowControl/>
              <w:jc w:val="center"/>
              <w:textAlignment w:val="center"/>
              <w:rPr>
                <w:rFonts w:ascii="宋体" w:hAnsi="宋体" w:cs="仿宋"/>
                <w:b/>
                <w:bCs/>
              </w:rPr>
            </w:pPr>
            <w:r>
              <w:rPr>
                <w:rFonts w:hint="eastAsia" w:ascii="宋体" w:hAnsi="宋体" w:cs="仿宋"/>
                <w:b/>
                <w:bCs/>
                <w:kern w:val="0"/>
                <w:lang w:bidi="ar"/>
              </w:rPr>
              <w:t>序号</w:t>
            </w:r>
          </w:p>
        </w:tc>
        <w:tc>
          <w:tcPr>
            <w:tcW w:w="5982" w:type="dxa"/>
            <w:tcBorders>
              <w:top w:val="single" w:color="000000" w:sz="8" w:space="0"/>
              <w:left w:val="nil"/>
              <w:bottom w:val="single" w:color="000000" w:sz="8" w:space="0"/>
              <w:right w:val="single" w:color="000000" w:sz="8" w:space="0"/>
            </w:tcBorders>
            <w:shd w:val="clear" w:color="auto" w:fill="CFCDCD"/>
            <w:vAlign w:val="center"/>
          </w:tcPr>
          <w:p>
            <w:pPr>
              <w:widowControl/>
              <w:jc w:val="center"/>
              <w:textAlignment w:val="center"/>
              <w:rPr>
                <w:rFonts w:ascii="宋体" w:hAnsi="宋体" w:cs="仿宋"/>
                <w:b/>
                <w:bCs/>
              </w:rPr>
            </w:pPr>
            <w:r>
              <w:rPr>
                <w:rFonts w:hint="eastAsia" w:ascii="宋体" w:hAnsi="宋体" w:cs="仿宋"/>
                <w:b/>
                <w:bCs/>
                <w:kern w:val="0"/>
                <w:lang w:bidi="ar"/>
              </w:rPr>
              <w:t>应用系统名称</w:t>
            </w:r>
          </w:p>
        </w:tc>
        <w:tc>
          <w:tcPr>
            <w:tcW w:w="2017" w:type="dxa"/>
            <w:tcBorders>
              <w:top w:val="single" w:color="000000" w:sz="8" w:space="0"/>
              <w:left w:val="nil"/>
              <w:bottom w:val="single" w:color="000000" w:sz="8" w:space="0"/>
              <w:right w:val="single" w:color="000000" w:sz="8" w:space="0"/>
            </w:tcBorders>
            <w:shd w:val="clear" w:color="auto" w:fill="CFCDCD"/>
            <w:vAlign w:val="center"/>
          </w:tcPr>
          <w:p>
            <w:pPr>
              <w:widowControl/>
              <w:jc w:val="center"/>
              <w:textAlignment w:val="center"/>
              <w:rPr>
                <w:rFonts w:ascii="宋体" w:hAnsi="宋体" w:cs="仿宋"/>
                <w:b/>
                <w:bCs/>
              </w:rPr>
            </w:pPr>
            <w:r>
              <w:rPr>
                <w:rFonts w:hint="eastAsia" w:ascii="宋体" w:hAnsi="宋体" w:cs="仿宋"/>
                <w:b/>
                <w:bCs/>
                <w:kern w:val="0"/>
                <w:lang w:bidi="ar"/>
              </w:rPr>
              <w:t>备注</w:t>
            </w:r>
          </w:p>
        </w:tc>
      </w:tr>
      <w:tr>
        <w:tblPrEx>
          <w:tblLayout w:type="fixed"/>
          <w:tblCellMar>
            <w:top w:w="0" w:type="dxa"/>
            <w:left w:w="108" w:type="dxa"/>
            <w:bottom w:w="0" w:type="dxa"/>
            <w:right w:w="108" w:type="dxa"/>
          </w:tblCellMar>
        </w:tblPrEx>
        <w:trPr>
          <w:trHeight w:val="90"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b/>
                <w:bCs/>
              </w:rPr>
            </w:pPr>
            <w:r>
              <w:rPr>
                <w:rFonts w:hint="eastAsia" w:ascii="宋体" w:hAnsi="宋体" w:cs="仿宋"/>
                <w:b/>
                <w:bCs/>
                <w:kern w:val="0"/>
                <w:lang w:bidi="ar"/>
              </w:rPr>
              <w:t>一</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b/>
                <w:bCs/>
              </w:rPr>
            </w:pPr>
            <w:r>
              <w:rPr>
                <w:rFonts w:hint="eastAsia" w:ascii="宋体" w:hAnsi="宋体" w:cs="仿宋"/>
                <w:b/>
                <w:bCs/>
              </w:rPr>
              <w:t>北京市建设工程交易系统</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b/>
                <w:bCs/>
              </w:rPr>
            </w:pPr>
          </w:p>
        </w:tc>
      </w:tr>
      <w:tr>
        <w:tblPrEx>
          <w:tblLayout w:type="fixed"/>
          <w:tblCellMar>
            <w:top w:w="0" w:type="dxa"/>
            <w:left w:w="108" w:type="dxa"/>
            <w:bottom w:w="0" w:type="dxa"/>
            <w:right w:w="108" w:type="dxa"/>
          </w:tblCellMar>
        </w:tblPrEx>
        <w:trPr>
          <w:trHeight w:val="18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b/>
                <w:bCs/>
              </w:rPr>
            </w:pPr>
            <w:r>
              <w:rPr>
                <w:rFonts w:hint="eastAsia" w:ascii="宋体" w:hAnsi="宋体" w:cs="仿宋"/>
                <w:b/>
                <w:bCs/>
                <w:kern w:val="0"/>
                <w:lang w:bidi="ar"/>
              </w:rPr>
              <w:t>（一）</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b/>
                <w:bCs/>
              </w:rPr>
            </w:pPr>
            <w:r>
              <w:rPr>
                <w:rFonts w:hint="eastAsia" w:ascii="宋体" w:hAnsi="宋体" w:cs="仿宋"/>
                <w:b/>
                <w:bCs/>
                <w:kern w:val="0"/>
                <w:lang w:bidi="ar"/>
              </w:rPr>
              <w:t>房建市政工程交易子系统</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b/>
                <w:bCs/>
              </w:rPr>
            </w:pP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rPr>
            </w:pPr>
            <w:r>
              <w:rPr>
                <w:rFonts w:hint="eastAsia" w:ascii="宋体" w:hAnsi="宋体" w:cs="仿宋"/>
                <w:kern w:val="0"/>
                <w:lang w:bidi="ar"/>
              </w:rPr>
              <w:t>1</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rPr>
            </w:pPr>
            <w:r>
              <w:rPr>
                <w:rFonts w:hint="eastAsia" w:ascii="宋体" w:hAnsi="宋体" w:cs="仿宋"/>
                <w:kern w:val="0"/>
                <w:lang w:bidi="ar"/>
              </w:rPr>
              <w:t>交易模块</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2</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公共服务模块</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3</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监管模块</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4</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电子辅助开评标模块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.net</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b/>
                <w:bCs/>
                <w:kern w:val="0"/>
                <w:lang w:bidi="ar"/>
              </w:rPr>
              <w:t>（二）</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b/>
                <w:bCs/>
                <w:kern w:val="0"/>
                <w:lang w:bidi="ar"/>
              </w:rPr>
            </w:pPr>
            <w:r>
              <w:rPr>
                <w:rFonts w:hint="eastAsia" w:ascii="宋体" w:hAnsi="宋体" w:cs="仿宋"/>
                <w:b/>
                <w:bCs/>
                <w:kern w:val="0"/>
                <w:lang w:bidi="ar"/>
              </w:rPr>
              <w:t>园林绿化工程交易子系统</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1</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交易模块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2</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公共服务模块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3</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监管模块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90" w:hRule="atLeast"/>
        </w:trPr>
        <w:tc>
          <w:tcPr>
            <w:tcW w:w="1392" w:type="dxa"/>
            <w:tcBorders>
              <w:top w:val="nil"/>
              <w:left w:val="single" w:color="000000" w:sz="8" w:space="0"/>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4</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电子辅助开评标模块</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.net</w:t>
            </w:r>
          </w:p>
        </w:tc>
      </w:tr>
      <w:tr>
        <w:tblPrEx>
          <w:tblLayout w:type="fixed"/>
          <w:tblCellMar>
            <w:top w:w="0" w:type="dxa"/>
            <w:left w:w="108" w:type="dxa"/>
            <w:bottom w:w="0" w:type="dxa"/>
            <w:right w:w="108" w:type="dxa"/>
          </w:tblCellMar>
        </w:tblPrEx>
        <w:trPr>
          <w:trHeight w:val="55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b/>
                <w:bCs/>
              </w:rPr>
            </w:pPr>
            <w:r>
              <w:rPr>
                <w:rFonts w:hint="eastAsia" w:ascii="宋体" w:hAnsi="宋体" w:cs="仿宋"/>
                <w:b/>
                <w:bCs/>
                <w:kern w:val="0"/>
                <w:lang w:bidi="ar"/>
              </w:rPr>
              <w:t>（三）</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b/>
                <w:bCs/>
              </w:rPr>
            </w:pPr>
            <w:r>
              <w:rPr>
                <w:rFonts w:hint="eastAsia" w:ascii="宋体" w:hAnsi="宋体" w:cs="仿宋"/>
                <w:b/>
                <w:bCs/>
                <w:kern w:val="0"/>
                <w:lang w:bidi="ar"/>
              </w:rPr>
              <w:t>铁路工程交易子系统</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rPr>
            </w:pPr>
            <w:r>
              <w:rPr>
                <w:rFonts w:hint="eastAsia" w:ascii="宋体" w:hAnsi="宋体" w:cs="仿宋"/>
                <w:kern w:val="0"/>
                <w:lang w:bidi="ar"/>
              </w:rPr>
              <w:t>1</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交易模块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2</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公共服务模块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3</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监管模块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9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4</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电子辅助开评标模块</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.net</w:t>
            </w:r>
          </w:p>
        </w:tc>
      </w:tr>
      <w:tr>
        <w:tblPrEx>
          <w:tblLayout w:type="fixed"/>
          <w:tblCellMar>
            <w:top w:w="0" w:type="dxa"/>
            <w:left w:w="108" w:type="dxa"/>
            <w:bottom w:w="0" w:type="dxa"/>
            <w:right w:w="108" w:type="dxa"/>
          </w:tblCellMar>
        </w:tblPrEx>
        <w:trPr>
          <w:trHeight w:val="90"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b/>
                <w:bCs/>
              </w:rPr>
            </w:pPr>
            <w:r>
              <w:rPr>
                <w:rFonts w:hint="eastAsia" w:ascii="宋体" w:hAnsi="宋体" w:cs="仿宋"/>
                <w:b/>
                <w:bCs/>
                <w:kern w:val="0"/>
                <w:lang w:bidi="ar"/>
              </w:rPr>
              <w:t>（四）</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b/>
                <w:bCs/>
              </w:rPr>
            </w:pPr>
            <w:r>
              <w:rPr>
                <w:rFonts w:hint="eastAsia" w:ascii="宋体" w:hAnsi="宋体" w:cs="仿宋"/>
                <w:b/>
                <w:bCs/>
                <w:kern w:val="0"/>
                <w:lang w:bidi="ar"/>
              </w:rPr>
              <w:t>自愿入场工程交易子系统</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b/>
                <w:bCs/>
              </w:rPr>
            </w:pPr>
          </w:p>
        </w:tc>
      </w:tr>
      <w:tr>
        <w:tblPrEx>
          <w:tblLayout w:type="fixed"/>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rPr>
            </w:pPr>
            <w:r>
              <w:rPr>
                <w:rFonts w:hint="eastAsia" w:ascii="宋体" w:hAnsi="宋体" w:cs="仿宋"/>
                <w:kern w:val="0"/>
                <w:lang w:bidi="ar"/>
              </w:rPr>
              <w:t>1</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自愿入场工程交易模块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2</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自愿入场工程开评标模块</w:t>
            </w:r>
          </w:p>
        </w:tc>
        <w:tc>
          <w:tcPr>
            <w:tcW w:w="2017" w:type="dxa"/>
            <w:tcBorders>
              <w:top w:val="nil"/>
              <w:left w:val="nil"/>
              <w:bottom w:val="single" w:color="000000" w:sz="8" w:space="0"/>
              <w:right w:val="single" w:color="000000" w:sz="8" w:space="0"/>
            </w:tcBorders>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b/>
                <w:bCs/>
                <w:kern w:val="0"/>
                <w:lang w:bidi="ar"/>
              </w:rPr>
              <w:t>（五）</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b/>
                <w:bCs/>
                <w:kern w:val="0"/>
                <w:lang w:bidi="ar"/>
              </w:rPr>
            </w:pPr>
            <w:r>
              <w:rPr>
                <w:rFonts w:hint="eastAsia" w:ascii="宋体" w:hAnsi="宋体" w:cs="仿宋"/>
                <w:b/>
                <w:bCs/>
                <w:kern w:val="0"/>
                <w:lang w:bidi="ar"/>
              </w:rPr>
              <w:t>交易支撑服务子系统</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p>
        </w:tc>
      </w:tr>
      <w:tr>
        <w:tblPrEx>
          <w:tblLayout w:type="fixed"/>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rPr>
              <w:t>1</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交易平台统一登录应用</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rPr>
            </w:pPr>
            <w:r>
              <w:rPr>
                <w:rFonts w:hint="eastAsia" w:ascii="宋体" w:hAnsi="宋体" w:cs="仿宋"/>
              </w:rPr>
              <w:t>2</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住建委数据同步服务</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JAVA</w:t>
            </w:r>
          </w:p>
        </w:tc>
      </w:tr>
      <w:tr>
        <w:tblPrEx>
          <w:tblLayout w:type="fixed"/>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仿宋"/>
              </w:rPr>
            </w:pPr>
            <w:r>
              <w:rPr>
                <w:rFonts w:hint="eastAsia" w:ascii="宋体" w:hAnsi="宋体" w:cs="仿宋"/>
              </w:rPr>
              <w:t>3</w:t>
            </w:r>
          </w:p>
        </w:tc>
        <w:tc>
          <w:tcPr>
            <w:tcW w:w="5982" w:type="dxa"/>
            <w:tcBorders>
              <w:top w:val="nil"/>
              <w:left w:val="nil"/>
              <w:bottom w:val="single" w:color="000000" w:sz="8" w:space="0"/>
              <w:right w:val="single" w:color="000000" w:sz="8" w:space="0"/>
            </w:tcBorders>
            <w:vAlign w:val="center"/>
          </w:tcPr>
          <w:p>
            <w:pPr>
              <w:widowControl/>
              <w:jc w:val="center"/>
              <w:textAlignment w:val="center"/>
              <w:rPr>
                <w:rFonts w:ascii="宋体" w:hAnsi="宋体" w:cs="仿宋"/>
                <w:kern w:val="0"/>
                <w:lang w:bidi="ar"/>
              </w:rPr>
            </w:pPr>
            <w:r>
              <w:rPr>
                <w:rFonts w:hint="eastAsia" w:ascii="宋体" w:hAnsi="宋体" w:cs="仿宋"/>
                <w:kern w:val="0"/>
                <w:lang w:bidi="ar"/>
              </w:rPr>
              <w:t>中国招标投标平台CA互认前置服务</w:t>
            </w:r>
          </w:p>
        </w:tc>
        <w:tc>
          <w:tcPr>
            <w:tcW w:w="2017" w:type="dxa"/>
            <w:tcBorders>
              <w:top w:val="nil"/>
              <w:left w:val="nil"/>
              <w:bottom w:val="single" w:color="000000" w:sz="8" w:space="0"/>
              <w:right w:val="single" w:color="000000" w:sz="8" w:space="0"/>
            </w:tcBorders>
            <w:vAlign w:val="center"/>
          </w:tcPr>
          <w:p>
            <w:pPr>
              <w:jc w:val="center"/>
              <w:rPr>
                <w:rFonts w:ascii="宋体" w:hAnsi="宋体" w:cs="仿宋"/>
              </w:rPr>
            </w:pPr>
            <w:r>
              <w:rPr>
                <w:rFonts w:hint="eastAsia" w:ascii="宋体" w:hAnsi="宋体" w:cs="仿宋"/>
              </w:rPr>
              <w:t>JAVA</w:t>
            </w:r>
          </w:p>
        </w:tc>
      </w:tr>
    </w:tbl>
    <w:p>
      <w:pPr>
        <w:pStyle w:val="6"/>
      </w:pPr>
      <w:r>
        <w:rPr>
          <w:rFonts w:hint="eastAsia"/>
        </w:rPr>
        <w:t>北京市建设工程交易系统部署于交易中心广安门自建机房，本项目对系统进行能力提升适配及重构，能力提升后的系统部署至北京市政务云环境。</w:t>
      </w:r>
    </w:p>
    <w:p>
      <w:pPr>
        <w:pStyle w:val="6"/>
      </w:pPr>
      <w:r>
        <w:rPr>
          <w:rFonts w:hint="eastAsia"/>
        </w:rPr>
        <w:t>北京市建设工程交易系统涉及多种技术架构，本项目按照原有系统架构与能力提升环境的适配程度，分别进行适配或重构。具体情况如下表所示：</w:t>
      </w:r>
    </w:p>
    <w:tbl>
      <w:tblPr>
        <w:tblStyle w:val="4"/>
        <w:tblW w:w="8314" w:type="dxa"/>
        <w:tblInd w:w="113" w:type="dxa"/>
        <w:tblLayout w:type="fixed"/>
        <w:tblCellMar>
          <w:top w:w="0" w:type="dxa"/>
          <w:left w:w="108" w:type="dxa"/>
          <w:bottom w:w="0" w:type="dxa"/>
          <w:right w:w="108" w:type="dxa"/>
        </w:tblCellMar>
      </w:tblPr>
      <w:tblGrid>
        <w:gridCol w:w="562"/>
        <w:gridCol w:w="726"/>
        <w:gridCol w:w="709"/>
        <w:gridCol w:w="2251"/>
        <w:gridCol w:w="3260"/>
        <w:gridCol w:w="806"/>
      </w:tblGrid>
      <w:tr>
        <w:tblPrEx>
          <w:tblLayout w:type="fixed"/>
          <w:tblCellMar>
            <w:top w:w="0" w:type="dxa"/>
            <w:left w:w="108" w:type="dxa"/>
            <w:bottom w:w="0" w:type="dxa"/>
            <w:right w:w="108" w:type="dxa"/>
          </w:tblCellMar>
        </w:tblPrEx>
        <w:trPr>
          <w:trHeight w:val="580" w:hRule="atLeast"/>
          <w:tblHeader/>
        </w:trPr>
        <w:tc>
          <w:tcPr>
            <w:tcW w:w="562"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pStyle w:val="7"/>
            </w:pPr>
            <w:r>
              <w:rPr>
                <w:rFonts w:hint="eastAsia"/>
              </w:rPr>
              <w:t>序号</w:t>
            </w:r>
          </w:p>
        </w:tc>
        <w:tc>
          <w:tcPr>
            <w:tcW w:w="726" w:type="dxa"/>
            <w:tcBorders>
              <w:top w:val="single" w:color="auto" w:sz="4" w:space="0"/>
              <w:left w:val="nil"/>
              <w:bottom w:val="single" w:color="auto" w:sz="4" w:space="0"/>
              <w:right w:val="single" w:color="auto" w:sz="4" w:space="0"/>
            </w:tcBorders>
            <w:shd w:val="clear" w:color="000000" w:fill="D9D9D9"/>
            <w:noWrap/>
            <w:vAlign w:val="center"/>
          </w:tcPr>
          <w:p>
            <w:pPr>
              <w:pStyle w:val="7"/>
            </w:pPr>
            <w:r>
              <w:rPr>
                <w:rFonts w:hint="eastAsia"/>
              </w:rPr>
              <w:t>系统</w:t>
            </w:r>
          </w:p>
        </w:tc>
        <w:tc>
          <w:tcPr>
            <w:tcW w:w="2960" w:type="dxa"/>
            <w:gridSpan w:val="2"/>
            <w:tcBorders>
              <w:top w:val="single" w:color="auto" w:sz="4" w:space="0"/>
              <w:left w:val="nil"/>
              <w:bottom w:val="single" w:color="auto" w:sz="4" w:space="0"/>
              <w:right w:val="single" w:color="auto" w:sz="4" w:space="0"/>
            </w:tcBorders>
            <w:shd w:val="clear" w:color="000000" w:fill="D9D9D9"/>
            <w:vAlign w:val="center"/>
          </w:tcPr>
          <w:p>
            <w:pPr>
              <w:pStyle w:val="7"/>
            </w:pPr>
            <w:r>
              <w:rPr>
                <w:rFonts w:hint="eastAsia"/>
              </w:rPr>
              <w:t>功能模块</w:t>
            </w:r>
          </w:p>
        </w:tc>
        <w:tc>
          <w:tcPr>
            <w:tcW w:w="3260" w:type="dxa"/>
            <w:tcBorders>
              <w:top w:val="single" w:color="auto" w:sz="4" w:space="0"/>
              <w:left w:val="nil"/>
              <w:bottom w:val="single" w:color="auto" w:sz="4" w:space="0"/>
              <w:right w:val="single" w:color="auto" w:sz="4" w:space="0"/>
            </w:tcBorders>
            <w:shd w:val="clear" w:color="000000" w:fill="D9D9D9"/>
            <w:noWrap/>
            <w:vAlign w:val="center"/>
          </w:tcPr>
          <w:p>
            <w:pPr>
              <w:pStyle w:val="7"/>
            </w:pPr>
            <w:r>
              <w:rPr>
                <w:rFonts w:hint="eastAsia"/>
              </w:rPr>
              <w:t>系统架构描述</w:t>
            </w:r>
          </w:p>
        </w:tc>
        <w:tc>
          <w:tcPr>
            <w:tcW w:w="806" w:type="dxa"/>
            <w:tcBorders>
              <w:top w:val="single" w:color="auto" w:sz="4" w:space="0"/>
              <w:left w:val="nil"/>
              <w:bottom w:val="single" w:color="auto" w:sz="4" w:space="0"/>
              <w:right w:val="single" w:color="auto" w:sz="4" w:space="0"/>
            </w:tcBorders>
            <w:shd w:val="clear" w:color="000000" w:fill="D9D9D9"/>
            <w:noWrap/>
            <w:vAlign w:val="center"/>
          </w:tcPr>
          <w:p>
            <w:pPr>
              <w:pStyle w:val="7"/>
            </w:pPr>
            <w:r>
              <w:rPr>
                <w:rFonts w:hint="eastAsia"/>
              </w:rPr>
              <w:t>改造方式</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w:t>
            </w:r>
          </w:p>
        </w:tc>
        <w:tc>
          <w:tcPr>
            <w:tcW w:w="726" w:type="dxa"/>
            <w:vMerge w:val="restart"/>
            <w:tcBorders>
              <w:top w:val="nil"/>
              <w:left w:val="single" w:color="auto" w:sz="4" w:space="0"/>
              <w:bottom w:val="single" w:color="auto" w:sz="4" w:space="0"/>
              <w:right w:val="single" w:color="auto" w:sz="4" w:space="0"/>
            </w:tcBorders>
            <w:vAlign w:val="center"/>
          </w:tcPr>
          <w:p>
            <w:pPr>
              <w:pStyle w:val="7"/>
            </w:pPr>
            <w:r>
              <w:rPr>
                <w:rFonts w:hint="eastAsia"/>
              </w:rPr>
              <w:t>北京市建设工程交易系统</w:t>
            </w:r>
          </w:p>
        </w:tc>
        <w:tc>
          <w:tcPr>
            <w:tcW w:w="709" w:type="dxa"/>
            <w:vMerge w:val="restart"/>
            <w:tcBorders>
              <w:top w:val="nil"/>
              <w:left w:val="single" w:color="auto" w:sz="4" w:space="0"/>
              <w:bottom w:val="single" w:color="auto" w:sz="4" w:space="0"/>
              <w:right w:val="single" w:color="auto" w:sz="4" w:space="0"/>
            </w:tcBorders>
            <w:vAlign w:val="center"/>
          </w:tcPr>
          <w:p>
            <w:pPr>
              <w:pStyle w:val="7"/>
            </w:pPr>
            <w:r>
              <w:rPr>
                <w:rFonts w:hint="eastAsia"/>
              </w:rPr>
              <w:t>房建市政工程交易子系统</w:t>
            </w:r>
          </w:p>
        </w:tc>
        <w:tc>
          <w:tcPr>
            <w:tcW w:w="2251" w:type="dxa"/>
            <w:tcBorders>
              <w:top w:val="nil"/>
              <w:left w:val="nil"/>
              <w:bottom w:val="single" w:color="auto" w:sz="4" w:space="0"/>
              <w:right w:val="single" w:color="auto" w:sz="4" w:space="0"/>
            </w:tcBorders>
            <w:noWrap/>
            <w:vAlign w:val="center"/>
          </w:tcPr>
          <w:p>
            <w:pPr>
              <w:pStyle w:val="7"/>
            </w:pPr>
            <w:r>
              <w:rPr>
                <w:rFonts w:hint="eastAsia"/>
              </w:rPr>
              <w:t>交易模块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2</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公共服务模块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3</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监管模块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4</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电子辅助开评标模块（总包）</w:t>
            </w:r>
          </w:p>
        </w:tc>
        <w:tc>
          <w:tcPr>
            <w:tcW w:w="3260" w:type="dxa"/>
            <w:tcBorders>
              <w:top w:val="nil"/>
              <w:left w:val="nil"/>
              <w:bottom w:val="single" w:color="auto" w:sz="4" w:space="0"/>
              <w:right w:val="single" w:color="auto" w:sz="4" w:space="0"/>
            </w:tcBorders>
            <w:noWrap/>
            <w:vAlign w:val="center"/>
          </w:tcPr>
          <w:p>
            <w:pPr>
              <w:pStyle w:val="7"/>
            </w:pPr>
            <w:r>
              <w:rPr>
                <w:rFonts w:hint="eastAsia"/>
              </w:rPr>
              <w:t>ASP.NET+NHibernate+WinForms架构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重构</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5</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电子辅助开评标模块（专业）</w:t>
            </w:r>
          </w:p>
        </w:tc>
        <w:tc>
          <w:tcPr>
            <w:tcW w:w="3260" w:type="dxa"/>
            <w:tcBorders>
              <w:top w:val="nil"/>
              <w:left w:val="nil"/>
              <w:bottom w:val="single" w:color="auto" w:sz="4" w:space="0"/>
              <w:right w:val="single" w:color="auto" w:sz="4" w:space="0"/>
            </w:tcBorders>
            <w:noWrap/>
            <w:vAlign w:val="center"/>
          </w:tcPr>
          <w:p>
            <w:pPr>
              <w:pStyle w:val="7"/>
            </w:pPr>
            <w:r>
              <w:rPr>
                <w:rFonts w:hint="eastAsia"/>
              </w:rPr>
              <w:t>ASP.NET+NHibernate+WinForms架构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重构</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6</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电子辅助开评标模块（区县）</w:t>
            </w:r>
          </w:p>
        </w:tc>
        <w:tc>
          <w:tcPr>
            <w:tcW w:w="3260" w:type="dxa"/>
            <w:tcBorders>
              <w:top w:val="nil"/>
              <w:left w:val="nil"/>
              <w:bottom w:val="single" w:color="auto" w:sz="4" w:space="0"/>
              <w:right w:val="single" w:color="auto" w:sz="4" w:space="0"/>
            </w:tcBorders>
            <w:noWrap/>
            <w:vAlign w:val="center"/>
          </w:tcPr>
          <w:p>
            <w:pPr>
              <w:pStyle w:val="7"/>
            </w:pPr>
            <w:r>
              <w:rPr>
                <w:rFonts w:hint="eastAsia"/>
              </w:rPr>
              <w:t>ASP.NET+NHibernate+WinForms架构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重构</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7</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restart"/>
            <w:tcBorders>
              <w:top w:val="nil"/>
              <w:left w:val="single" w:color="auto" w:sz="4" w:space="0"/>
              <w:bottom w:val="single" w:color="auto" w:sz="4" w:space="0"/>
              <w:right w:val="single" w:color="auto" w:sz="4" w:space="0"/>
            </w:tcBorders>
            <w:vAlign w:val="center"/>
          </w:tcPr>
          <w:p>
            <w:pPr>
              <w:pStyle w:val="7"/>
            </w:pPr>
            <w:r>
              <w:rPr>
                <w:rFonts w:hint="eastAsia"/>
              </w:rPr>
              <w:t>园林绿化工程交易子系统</w:t>
            </w:r>
          </w:p>
        </w:tc>
        <w:tc>
          <w:tcPr>
            <w:tcW w:w="2251" w:type="dxa"/>
            <w:tcBorders>
              <w:top w:val="nil"/>
              <w:left w:val="nil"/>
              <w:bottom w:val="single" w:color="auto" w:sz="4" w:space="0"/>
              <w:right w:val="single" w:color="auto" w:sz="4" w:space="0"/>
            </w:tcBorders>
            <w:noWrap/>
            <w:vAlign w:val="center"/>
          </w:tcPr>
          <w:p>
            <w:pPr>
              <w:pStyle w:val="7"/>
            </w:pPr>
            <w:r>
              <w:rPr>
                <w:rFonts w:hint="eastAsia"/>
              </w:rPr>
              <w:t>交易模块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8</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公共服务模块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9</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监管模块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10</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电子辅助开评标模块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ASP.NET+NHibernate+WinForms架构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重构</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11</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restart"/>
            <w:tcBorders>
              <w:top w:val="nil"/>
              <w:left w:val="single" w:color="auto" w:sz="4" w:space="0"/>
              <w:bottom w:val="single" w:color="auto" w:sz="4" w:space="0"/>
              <w:right w:val="single" w:color="auto" w:sz="4" w:space="0"/>
            </w:tcBorders>
            <w:vAlign w:val="center"/>
          </w:tcPr>
          <w:p>
            <w:pPr>
              <w:pStyle w:val="7"/>
            </w:pPr>
            <w:r>
              <w:rPr>
                <w:rFonts w:hint="eastAsia"/>
              </w:rPr>
              <w:t>铁路工程交易子系统</w:t>
            </w:r>
          </w:p>
        </w:tc>
        <w:tc>
          <w:tcPr>
            <w:tcW w:w="2251" w:type="dxa"/>
            <w:tcBorders>
              <w:top w:val="nil"/>
              <w:left w:val="nil"/>
              <w:bottom w:val="single" w:color="auto" w:sz="4" w:space="0"/>
              <w:right w:val="single" w:color="auto" w:sz="4" w:space="0"/>
            </w:tcBorders>
            <w:noWrap/>
            <w:vAlign w:val="center"/>
          </w:tcPr>
          <w:p>
            <w:pPr>
              <w:pStyle w:val="7"/>
            </w:pPr>
            <w:r>
              <w:rPr>
                <w:rFonts w:hint="eastAsia"/>
              </w:rPr>
              <w:t>交易模块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12</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公共服务模块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13</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监管模块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SSH+OSGI单体架构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14</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电子辅助开评标模块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ASP.NET+NHibernate+WinForms架构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重构</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15</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restart"/>
            <w:tcBorders>
              <w:top w:val="nil"/>
              <w:left w:val="single" w:color="auto" w:sz="4" w:space="0"/>
              <w:bottom w:val="single" w:color="auto" w:sz="4" w:space="0"/>
              <w:right w:val="single" w:color="auto" w:sz="4" w:space="0"/>
            </w:tcBorders>
            <w:vAlign w:val="center"/>
          </w:tcPr>
          <w:p>
            <w:pPr>
              <w:pStyle w:val="7"/>
            </w:pPr>
            <w:r>
              <w:rPr>
                <w:rFonts w:hint="eastAsia"/>
              </w:rPr>
              <w:t>自愿入场工程交易子系统</w:t>
            </w:r>
          </w:p>
        </w:tc>
        <w:tc>
          <w:tcPr>
            <w:tcW w:w="2251" w:type="dxa"/>
            <w:tcBorders>
              <w:top w:val="nil"/>
              <w:left w:val="nil"/>
              <w:bottom w:val="single" w:color="auto" w:sz="4" w:space="0"/>
              <w:right w:val="single" w:color="auto" w:sz="4" w:space="0"/>
            </w:tcBorders>
            <w:noWrap/>
            <w:vAlign w:val="center"/>
          </w:tcPr>
          <w:p>
            <w:pPr>
              <w:pStyle w:val="7"/>
            </w:pPr>
            <w:r>
              <w:rPr>
                <w:rFonts w:hint="eastAsia"/>
              </w:rPr>
              <w:t>交易模块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Springboot+springcloud微服务架构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16</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开评标模块</w:t>
            </w:r>
          </w:p>
        </w:tc>
        <w:tc>
          <w:tcPr>
            <w:tcW w:w="3260" w:type="dxa"/>
            <w:tcBorders>
              <w:top w:val="nil"/>
              <w:left w:val="nil"/>
              <w:bottom w:val="single" w:color="auto" w:sz="4" w:space="0"/>
              <w:right w:val="single" w:color="auto" w:sz="4" w:space="0"/>
            </w:tcBorders>
            <w:noWrap/>
            <w:vAlign w:val="center"/>
          </w:tcPr>
          <w:p>
            <w:pPr>
              <w:pStyle w:val="7"/>
            </w:pPr>
            <w:r>
              <w:rPr>
                <w:rFonts w:hint="eastAsia"/>
              </w:rPr>
              <w:t>Springboot+springcloud微服务架构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17</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restart"/>
            <w:tcBorders>
              <w:top w:val="nil"/>
              <w:left w:val="single" w:color="auto" w:sz="4" w:space="0"/>
              <w:bottom w:val="single" w:color="auto" w:sz="4" w:space="0"/>
              <w:right w:val="single" w:color="auto" w:sz="4" w:space="0"/>
            </w:tcBorders>
            <w:vAlign w:val="center"/>
          </w:tcPr>
          <w:p>
            <w:pPr>
              <w:pStyle w:val="7"/>
            </w:pPr>
            <w:r>
              <w:rPr>
                <w:rFonts w:hint="eastAsia"/>
              </w:rPr>
              <w:t>交易支撑服务子系统</w:t>
            </w:r>
          </w:p>
        </w:tc>
        <w:tc>
          <w:tcPr>
            <w:tcW w:w="2251" w:type="dxa"/>
            <w:tcBorders>
              <w:top w:val="nil"/>
              <w:left w:val="nil"/>
              <w:bottom w:val="single" w:color="auto" w:sz="4" w:space="0"/>
              <w:right w:val="single" w:color="auto" w:sz="4" w:space="0"/>
            </w:tcBorders>
            <w:noWrap/>
            <w:vAlign w:val="center"/>
          </w:tcPr>
          <w:p>
            <w:pPr>
              <w:pStyle w:val="7"/>
            </w:pPr>
            <w:r>
              <w:rPr>
                <w:rFonts w:hint="eastAsia"/>
              </w:rPr>
              <w:t>交易平台统一登录应用</w:t>
            </w:r>
          </w:p>
        </w:tc>
        <w:tc>
          <w:tcPr>
            <w:tcW w:w="3260" w:type="dxa"/>
            <w:tcBorders>
              <w:top w:val="nil"/>
              <w:left w:val="nil"/>
              <w:bottom w:val="single" w:color="auto" w:sz="4" w:space="0"/>
              <w:right w:val="single" w:color="auto" w:sz="4" w:space="0"/>
            </w:tcBorders>
            <w:noWrap/>
            <w:vAlign w:val="center"/>
          </w:tcPr>
          <w:p>
            <w:pPr>
              <w:pStyle w:val="7"/>
            </w:pPr>
            <w:r>
              <w:rPr>
                <w:rFonts w:hint="eastAsia"/>
              </w:rPr>
              <w:t>SpringBoot单体架构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18</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住建委数据同步服务</w:t>
            </w:r>
          </w:p>
        </w:tc>
        <w:tc>
          <w:tcPr>
            <w:tcW w:w="3260" w:type="dxa"/>
            <w:tcBorders>
              <w:top w:val="nil"/>
              <w:left w:val="nil"/>
              <w:bottom w:val="single" w:color="auto" w:sz="4" w:space="0"/>
              <w:right w:val="single" w:color="auto" w:sz="4" w:space="0"/>
            </w:tcBorders>
            <w:noWrap/>
            <w:vAlign w:val="center"/>
          </w:tcPr>
          <w:p>
            <w:pPr>
              <w:pStyle w:val="7"/>
            </w:pPr>
            <w:r>
              <w:rPr>
                <w:rFonts w:hint="eastAsia"/>
              </w:rPr>
              <w:t>Oracle数据库架构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r>
        <w:tblPrEx>
          <w:tblLayout w:type="fixed"/>
          <w:tblCellMar>
            <w:top w:w="0" w:type="dxa"/>
            <w:left w:w="108" w:type="dxa"/>
            <w:bottom w:w="0" w:type="dxa"/>
            <w:right w:w="108" w:type="dxa"/>
          </w:tblCellMar>
        </w:tblPrEx>
        <w:trPr>
          <w:trHeight w:val="280" w:hRule="atLeast"/>
        </w:trPr>
        <w:tc>
          <w:tcPr>
            <w:tcW w:w="562" w:type="dxa"/>
            <w:tcBorders>
              <w:top w:val="nil"/>
              <w:left w:val="single" w:color="auto" w:sz="4" w:space="0"/>
              <w:bottom w:val="single" w:color="auto" w:sz="4" w:space="0"/>
              <w:right w:val="single" w:color="auto" w:sz="4" w:space="0"/>
            </w:tcBorders>
            <w:noWrap/>
            <w:vAlign w:val="center"/>
          </w:tcPr>
          <w:p>
            <w:pPr>
              <w:pStyle w:val="7"/>
            </w:pPr>
            <w:r>
              <w:rPr>
                <w:rFonts w:hint="eastAsia"/>
              </w:rPr>
              <w:t>19</w:t>
            </w:r>
          </w:p>
        </w:tc>
        <w:tc>
          <w:tcPr>
            <w:tcW w:w="726" w:type="dxa"/>
            <w:vMerge w:val="continue"/>
            <w:tcBorders>
              <w:top w:val="nil"/>
              <w:left w:val="single" w:color="auto" w:sz="4" w:space="0"/>
              <w:bottom w:val="single" w:color="auto" w:sz="4" w:space="0"/>
              <w:right w:val="single" w:color="auto" w:sz="4" w:space="0"/>
            </w:tcBorders>
            <w:vAlign w:val="center"/>
          </w:tcPr>
          <w:p>
            <w:pPr>
              <w:pStyle w:val="7"/>
            </w:pPr>
          </w:p>
        </w:tc>
        <w:tc>
          <w:tcPr>
            <w:tcW w:w="709" w:type="dxa"/>
            <w:vMerge w:val="continue"/>
            <w:tcBorders>
              <w:top w:val="nil"/>
              <w:left w:val="single" w:color="auto" w:sz="4" w:space="0"/>
              <w:bottom w:val="single" w:color="auto" w:sz="4" w:space="0"/>
              <w:right w:val="single" w:color="auto" w:sz="4" w:space="0"/>
            </w:tcBorders>
            <w:vAlign w:val="center"/>
          </w:tcPr>
          <w:p>
            <w:pPr>
              <w:pStyle w:val="7"/>
            </w:pPr>
          </w:p>
        </w:tc>
        <w:tc>
          <w:tcPr>
            <w:tcW w:w="2251" w:type="dxa"/>
            <w:tcBorders>
              <w:top w:val="nil"/>
              <w:left w:val="nil"/>
              <w:bottom w:val="single" w:color="auto" w:sz="4" w:space="0"/>
              <w:right w:val="single" w:color="auto" w:sz="4" w:space="0"/>
            </w:tcBorders>
            <w:noWrap/>
            <w:vAlign w:val="center"/>
          </w:tcPr>
          <w:p>
            <w:pPr>
              <w:pStyle w:val="7"/>
            </w:pPr>
            <w:r>
              <w:rPr>
                <w:rFonts w:hint="eastAsia"/>
              </w:rPr>
              <w:t>中国招标投标平台CA互认前置服务</w:t>
            </w:r>
          </w:p>
        </w:tc>
        <w:tc>
          <w:tcPr>
            <w:tcW w:w="3260" w:type="dxa"/>
            <w:tcBorders>
              <w:top w:val="nil"/>
              <w:left w:val="nil"/>
              <w:bottom w:val="single" w:color="auto" w:sz="4" w:space="0"/>
              <w:right w:val="single" w:color="auto" w:sz="4" w:space="0"/>
            </w:tcBorders>
            <w:noWrap/>
            <w:vAlign w:val="center"/>
          </w:tcPr>
          <w:p>
            <w:pPr>
              <w:pStyle w:val="7"/>
            </w:pPr>
            <w:r>
              <w:rPr>
                <w:rFonts w:hint="eastAsia"/>
              </w:rPr>
              <w:t>SpringBoot单体架构</w:t>
            </w:r>
          </w:p>
        </w:tc>
        <w:tc>
          <w:tcPr>
            <w:tcW w:w="806" w:type="dxa"/>
            <w:tcBorders>
              <w:top w:val="nil"/>
              <w:left w:val="nil"/>
              <w:bottom w:val="single" w:color="auto" w:sz="4" w:space="0"/>
              <w:right w:val="single" w:color="auto" w:sz="4" w:space="0"/>
            </w:tcBorders>
            <w:noWrap/>
            <w:vAlign w:val="center"/>
          </w:tcPr>
          <w:p>
            <w:pPr>
              <w:pStyle w:val="7"/>
            </w:pPr>
            <w:r>
              <w:rPr>
                <w:rFonts w:hint="eastAsia"/>
              </w:rPr>
              <w:t>适配</w:t>
            </w:r>
          </w:p>
        </w:tc>
      </w:tr>
    </w:tbl>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现有的房建市政、园林绿化、铁路工程开评标模块技术栈主要为.NET Framework，中间件为IIS，数据库为Sql Server，均直接依赖Windows操作系统，无法直接适配部署至基于信创操作系统开发的信创环境中。为满足信创要求，需要使用技术路线以Java开发语言为主的技术栈对上述系统模块进行技术升级重构，重构后的系统业务逻辑及功能与原系统保持一致。其他功能模块均采用适配方式，系统功能保持不变。</w:t>
      </w:r>
    </w:p>
    <w:p>
      <w:pPr>
        <w:spacing w:line="560" w:lineRule="exact"/>
        <w:ind w:firstLine="472" w:firstLineChars="196"/>
        <w:outlineLvl w:val="3"/>
        <w:rPr>
          <w:rFonts w:ascii="宋体" w:hAnsi="宋体" w:cs="宋体"/>
          <w:b/>
          <w:sz w:val="24"/>
        </w:rPr>
      </w:pPr>
      <w:r>
        <w:rPr>
          <w:rFonts w:hint="eastAsia" w:ascii="宋体" w:hAnsi="宋体" w:cs="宋体"/>
          <w:b/>
          <w:sz w:val="24"/>
        </w:rPr>
        <w:t>2</w:t>
      </w:r>
      <w:r>
        <w:rPr>
          <w:rFonts w:ascii="宋体" w:hAnsi="宋体" w:cs="宋体"/>
          <w:b/>
          <w:sz w:val="24"/>
        </w:rPr>
        <w:t>.能力提升</w:t>
      </w:r>
      <w:r>
        <w:rPr>
          <w:rFonts w:hint="eastAsia" w:ascii="宋体" w:hAnsi="宋体" w:cs="宋体"/>
          <w:b/>
          <w:sz w:val="24"/>
        </w:rPr>
        <w:t>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北京市建设工程交易系统能力提升后需由自建机房迁移部署到北京市政务云环境，由政务云提供网络及计算存储环境。提供整体架构设计、技术线路方案、系统适配或重构方案。北京市建设工程交易系统在市政务云的部署方案为：交易类业务部署在互联网区，开评标业务部署在政务外网区，以单业务子系统为单位形成子域，子域间通过策略交互，互联网区、政务外网区通过统一入口交互，其他通过政务云的软件边界防护，以保障系统的安全。服务器操作系统、客户端操作系统、数据库等软件需满足能力提升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（1）应用软件适配要求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服务端适配：基于中心提供的操作系统、数据库软件，完成以下系统功能模块的操作系统、数据库和中间件适配。包括房建市政工程交易子系统交易模块、公共服务模块、监管模块；园林绿化工程交易子系统交易模块、公共服务模块、监管模块；铁路工程交易子系统交易模块、公共服务模块、监管模块；自愿入场工程交易子系统交易模块、开评标模块；交易支撑服务子系统交易平台统一登录应用、住建委数据同步服务、中国招标投标平台CA互认前置服务。</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客户端适配：针对北京市公共资源交易中心开评标室终端设备完成浏览器前端展现层适配、CA驱动适配、签章驱动适配、手写板适配。</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（2）应用软件重构要求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采用采用以Java开发语言为主的技术栈重构以下系统模块：通用开标功能、通用评标功能；房建市政工程开标模块、评标模块；园林绿化工程开标模块、评标模块；铁路工程开标模块、评标模块。</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通用开标功能：基于现有房建市政工程、园林绿化工程、铁路工程项目开标业务流程和功能，构建通用开标功能，支撑各行业工程项目开标。功能包括但不限于身份认证、开标项目管理、开标准备、公布投标人名单、现场开标解密、远程开标解密、唱标、开标结果报表、开标结束。</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通用评标功能：现有房建市政工程、园林绿化工程、铁路工程项目评标业务流程和功能，以房建市政工程评标模块为基础，构建通用评标功能，支撑各行业工程项目评标。功能包括但不限于专家登录、我的评标项目、评标准备、评标过程管理、评标辅助功能。</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房建市政工程开标模块：基于通用开标功能，按照房建市政工程招标投标的业务需求和示范文本进行开标流程、功能模块的配置，对各环节所需数据项进行配置和定制，在指定环节和房建市政工程交易模块进行对接完成数据同步，对于通用功能之外的特性功能进行定制开发。</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房建市政工程评标模块：基于通用评标功能，按照房建市政工程招标投标的业务需求和示范文本进行评标流程、功能模块的配置，对各环节所需数据项进行配置和定制，在指定环节和房建市政工程交易模块进行对接完成数据同步，对于通用功能之外的特性功能进行定制开发。</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园林绿化工程开标模块：基于通用开标功能，按照园林绿化工程招标投标的业务需求和示范文本进行开标流程、功能模块的配置，对各环节所需数据项进行配置和定制，在指定环节和园林绿化工程交易模块进行对接完成数据同步，对于通用功能之外的特性功能进行定制开发。</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园林绿化工程评标模块：基于通用评标功能，按照园林绿化工程招标投标的业务需求和示范文本进行评标流程、功能模块的配置，对各环节所需数据项进行配置和定制，在指定环节和园林绿化工程交易模块进行对接完成数据同步，对于通用功能之外的特性功能进行定制开发。</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铁路工程开标模块：基于通用开标功能，按照铁路工程招标投标的业务需求和示范文本进行开标流程、功能模块的配置，对各环节所需数据项进行配置和定制，在指定环节和铁路工程交易模块进行对接完成数据同步，对于通用功能之外的特性功能进行定制开发。</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铁路工程评标模块：基于通用评标功能，按照铁路工程招标投标的业务需求和示范文本进行评标流程、功能模块的配置，对各环节所需数据项进行配置和定制，在指定环节和铁路工程交易模块进行对接完成数据同步，对于通用功能之外的特性功能进行定制开发。</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（3）性能需求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根据现有系统的业务数据，列举业务系统各个功能节点需要支持的性能并发数据量需求。</w:t>
      </w:r>
    </w:p>
    <w:tbl>
      <w:tblPr>
        <w:tblStyle w:val="4"/>
        <w:tblW w:w="9959" w:type="dxa"/>
        <w:tblInd w:w="-153" w:type="dxa"/>
        <w:tblLayout w:type="fixed"/>
        <w:tblCellMar>
          <w:top w:w="0" w:type="dxa"/>
          <w:left w:w="108" w:type="dxa"/>
          <w:bottom w:w="0" w:type="dxa"/>
          <w:right w:w="108" w:type="dxa"/>
        </w:tblCellMar>
      </w:tblPr>
      <w:tblGrid>
        <w:gridCol w:w="1288"/>
        <w:gridCol w:w="1124"/>
        <w:gridCol w:w="909"/>
        <w:gridCol w:w="1657"/>
        <w:gridCol w:w="1601"/>
        <w:gridCol w:w="1476"/>
        <w:gridCol w:w="1904"/>
      </w:tblGrid>
      <w:tr>
        <w:tblPrEx>
          <w:tblLayout w:type="fixed"/>
          <w:tblCellMar>
            <w:top w:w="0" w:type="dxa"/>
            <w:left w:w="108" w:type="dxa"/>
            <w:bottom w:w="0" w:type="dxa"/>
            <w:right w:w="108" w:type="dxa"/>
          </w:tblCellMar>
        </w:tblPrEx>
        <w:trPr>
          <w:trHeight w:val="312" w:hRule="atLeast"/>
        </w:trPr>
        <w:tc>
          <w:tcPr>
            <w:tcW w:w="1288" w:type="dxa"/>
            <w:vMerge w:val="restart"/>
            <w:tcBorders>
              <w:top w:val="single" w:color="auto" w:sz="8" w:space="0"/>
              <w:left w:val="single" w:color="auto" w:sz="8" w:space="0"/>
              <w:bottom w:val="single" w:color="auto" w:sz="4" w:space="0"/>
              <w:right w:val="single" w:color="auto" w:sz="4" w:space="0"/>
            </w:tcBorders>
            <w:shd w:val="clear" w:color="000000" w:fill="BFBFBF"/>
            <w:noWrap/>
            <w:vAlign w:val="center"/>
          </w:tcPr>
          <w:p>
            <w:pPr>
              <w:pStyle w:val="7"/>
              <w:rPr>
                <w:sz w:val="21"/>
                <w:szCs w:val="21"/>
              </w:rPr>
            </w:pPr>
            <w:r>
              <w:rPr>
                <w:rFonts w:hint="eastAsia"/>
                <w:sz w:val="21"/>
                <w:szCs w:val="21"/>
              </w:rPr>
              <w:t>业务</w:t>
            </w:r>
          </w:p>
        </w:tc>
        <w:tc>
          <w:tcPr>
            <w:tcW w:w="2033" w:type="dxa"/>
            <w:gridSpan w:val="2"/>
            <w:tcBorders>
              <w:top w:val="single" w:color="auto" w:sz="8" w:space="0"/>
              <w:left w:val="nil"/>
              <w:bottom w:val="single" w:color="auto" w:sz="4" w:space="0"/>
              <w:right w:val="single" w:color="auto" w:sz="4" w:space="0"/>
            </w:tcBorders>
            <w:shd w:val="clear" w:color="000000" w:fill="BFBFBF"/>
            <w:noWrap/>
            <w:vAlign w:val="center"/>
          </w:tcPr>
          <w:p>
            <w:pPr>
              <w:pStyle w:val="7"/>
              <w:rPr>
                <w:sz w:val="21"/>
                <w:szCs w:val="21"/>
              </w:rPr>
            </w:pPr>
            <w:r>
              <w:rPr>
                <w:rFonts w:hint="eastAsia"/>
                <w:sz w:val="21"/>
                <w:szCs w:val="21"/>
              </w:rPr>
              <w:t>业务数量</w:t>
            </w:r>
          </w:p>
        </w:tc>
        <w:tc>
          <w:tcPr>
            <w:tcW w:w="6638" w:type="dxa"/>
            <w:gridSpan w:val="4"/>
            <w:tcBorders>
              <w:top w:val="single" w:color="auto" w:sz="8" w:space="0"/>
              <w:left w:val="nil"/>
              <w:bottom w:val="single" w:color="auto" w:sz="4" w:space="0"/>
              <w:right w:val="single" w:color="000000" w:sz="8" w:space="0"/>
            </w:tcBorders>
            <w:shd w:val="clear" w:color="000000" w:fill="BFBFBF"/>
            <w:noWrap/>
            <w:vAlign w:val="center"/>
          </w:tcPr>
          <w:p>
            <w:pPr>
              <w:pStyle w:val="7"/>
              <w:rPr>
                <w:sz w:val="21"/>
                <w:szCs w:val="21"/>
              </w:rPr>
            </w:pPr>
            <w:r>
              <w:rPr>
                <w:rFonts w:hint="eastAsia"/>
                <w:sz w:val="21"/>
                <w:szCs w:val="21"/>
              </w:rPr>
              <w:t>性能指标要求</w:t>
            </w:r>
          </w:p>
        </w:tc>
      </w:tr>
      <w:tr>
        <w:tblPrEx>
          <w:tblLayout w:type="fixed"/>
          <w:tblCellMar>
            <w:top w:w="0" w:type="dxa"/>
            <w:left w:w="108" w:type="dxa"/>
            <w:bottom w:w="0" w:type="dxa"/>
            <w:right w:w="108" w:type="dxa"/>
          </w:tblCellMar>
        </w:tblPrEx>
        <w:trPr>
          <w:trHeight w:val="624" w:hRule="atLeast"/>
        </w:trPr>
        <w:tc>
          <w:tcPr>
            <w:tcW w:w="1288"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pStyle w:val="7"/>
              <w:rPr>
                <w:sz w:val="21"/>
                <w:szCs w:val="21"/>
              </w:rPr>
            </w:pPr>
          </w:p>
        </w:tc>
        <w:tc>
          <w:tcPr>
            <w:tcW w:w="1124" w:type="dxa"/>
            <w:vMerge w:val="restart"/>
            <w:tcBorders>
              <w:top w:val="nil"/>
              <w:left w:val="single" w:color="auto" w:sz="4" w:space="0"/>
              <w:bottom w:val="single" w:color="000000" w:sz="4" w:space="0"/>
              <w:right w:val="single" w:color="auto" w:sz="4" w:space="0"/>
            </w:tcBorders>
            <w:shd w:val="clear" w:color="000000" w:fill="BFBFBF"/>
            <w:vAlign w:val="center"/>
          </w:tcPr>
          <w:p>
            <w:pPr>
              <w:pStyle w:val="7"/>
              <w:rPr>
                <w:sz w:val="21"/>
                <w:szCs w:val="21"/>
              </w:rPr>
            </w:pPr>
            <w:r>
              <w:rPr>
                <w:rFonts w:hint="eastAsia"/>
                <w:sz w:val="21"/>
                <w:szCs w:val="21"/>
              </w:rPr>
              <w:t>单日最大开标项目数</w:t>
            </w:r>
          </w:p>
        </w:tc>
        <w:tc>
          <w:tcPr>
            <w:tcW w:w="909" w:type="dxa"/>
            <w:vMerge w:val="restart"/>
            <w:tcBorders>
              <w:top w:val="nil"/>
              <w:left w:val="single" w:color="auto" w:sz="4" w:space="0"/>
              <w:bottom w:val="single" w:color="000000" w:sz="4" w:space="0"/>
              <w:right w:val="single" w:color="auto" w:sz="4" w:space="0"/>
            </w:tcBorders>
            <w:shd w:val="clear" w:color="000000" w:fill="BFBFBF"/>
            <w:vAlign w:val="center"/>
          </w:tcPr>
          <w:p>
            <w:pPr>
              <w:pStyle w:val="7"/>
              <w:rPr>
                <w:sz w:val="21"/>
                <w:szCs w:val="21"/>
              </w:rPr>
            </w:pPr>
            <w:r>
              <w:rPr>
                <w:rFonts w:hint="eastAsia"/>
                <w:sz w:val="21"/>
                <w:szCs w:val="21"/>
              </w:rPr>
              <w:t>最大单项目投标人数</w:t>
            </w:r>
          </w:p>
        </w:tc>
        <w:tc>
          <w:tcPr>
            <w:tcW w:w="1657" w:type="dxa"/>
            <w:tcBorders>
              <w:top w:val="nil"/>
              <w:left w:val="nil"/>
              <w:bottom w:val="single" w:color="auto" w:sz="4" w:space="0"/>
              <w:right w:val="single" w:color="auto" w:sz="4" w:space="0"/>
            </w:tcBorders>
            <w:shd w:val="clear" w:color="000000" w:fill="BFBFBF"/>
            <w:vAlign w:val="center"/>
          </w:tcPr>
          <w:p>
            <w:pPr>
              <w:pStyle w:val="7"/>
              <w:rPr>
                <w:sz w:val="21"/>
                <w:szCs w:val="21"/>
              </w:rPr>
            </w:pPr>
            <w:r>
              <w:rPr>
                <w:rFonts w:hint="eastAsia"/>
                <w:sz w:val="21"/>
                <w:szCs w:val="21"/>
              </w:rPr>
              <w:t>交易-投标详情页</w:t>
            </w:r>
          </w:p>
        </w:tc>
        <w:tc>
          <w:tcPr>
            <w:tcW w:w="1601" w:type="dxa"/>
            <w:tcBorders>
              <w:top w:val="nil"/>
              <w:left w:val="nil"/>
              <w:bottom w:val="single" w:color="auto" w:sz="4" w:space="0"/>
              <w:right w:val="single" w:color="auto" w:sz="4" w:space="0"/>
            </w:tcBorders>
            <w:shd w:val="clear" w:color="000000" w:fill="BFBFBF"/>
            <w:vAlign w:val="center"/>
          </w:tcPr>
          <w:p>
            <w:pPr>
              <w:pStyle w:val="7"/>
              <w:rPr>
                <w:sz w:val="21"/>
                <w:szCs w:val="21"/>
              </w:rPr>
            </w:pPr>
            <w:r>
              <w:rPr>
                <w:rFonts w:hint="eastAsia"/>
                <w:sz w:val="21"/>
                <w:szCs w:val="21"/>
              </w:rPr>
              <w:t>交易-文件递交</w:t>
            </w:r>
          </w:p>
        </w:tc>
        <w:tc>
          <w:tcPr>
            <w:tcW w:w="1476" w:type="dxa"/>
            <w:tcBorders>
              <w:top w:val="nil"/>
              <w:left w:val="nil"/>
              <w:bottom w:val="single" w:color="auto" w:sz="4" w:space="0"/>
              <w:right w:val="single" w:color="auto" w:sz="4" w:space="0"/>
            </w:tcBorders>
            <w:shd w:val="clear" w:color="000000" w:fill="BFBFBF"/>
            <w:vAlign w:val="center"/>
          </w:tcPr>
          <w:p>
            <w:pPr>
              <w:pStyle w:val="7"/>
              <w:rPr>
                <w:sz w:val="21"/>
                <w:szCs w:val="21"/>
              </w:rPr>
            </w:pPr>
            <w:r>
              <w:rPr>
                <w:rFonts w:hint="eastAsia"/>
                <w:sz w:val="21"/>
                <w:szCs w:val="21"/>
              </w:rPr>
              <w:t>交易与开标-登录跳转</w:t>
            </w:r>
          </w:p>
        </w:tc>
        <w:tc>
          <w:tcPr>
            <w:tcW w:w="1904" w:type="dxa"/>
            <w:tcBorders>
              <w:top w:val="nil"/>
              <w:left w:val="nil"/>
              <w:bottom w:val="single" w:color="auto" w:sz="4" w:space="0"/>
              <w:right w:val="single" w:color="auto" w:sz="8" w:space="0"/>
            </w:tcBorders>
            <w:shd w:val="clear" w:color="000000" w:fill="BFBFBF"/>
            <w:vAlign w:val="center"/>
          </w:tcPr>
          <w:p>
            <w:pPr>
              <w:pStyle w:val="7"/>
              <w:rPr>
                <w:sz w:val="21"/>
                <w:szCs w:val="21"/>
              </w:rPr>
            </w:pPr>
            <w:r>
              <w:rPr>
                <w:rFonts w:hint="eastAsia"/>
                <w:sz w:val="21"/>
                <w:szCs w:val="21"/>
              </w:rPr>
              <w:t>开标解密</w:t>
            </w:r>
          </w:p>
        </w:tc>
      </w:tr>
      <w:tr>
        <w:tblPrEx>
          <w:tblLayout w:type="fixed"/>
          <w:tblCellMar>
            <w:top w:w="0" w:type="dxa"/>
            <w:left w:w="108" w:type="dxa"/>
            <w:bottom w:w="0" w:type="dxa"/>
            <w:right w:w="108" w:type="dxa"/>
          </w:tblCellMar>
        </w:tblPrEx>
        <w:trPr>
          <w:trHeight w:val="1248" w:hRule="atLeast"/>
        </w:trPr>
        <w:tc>
          <w:tcPr>
            <w:tcW w:w="1288"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pStyle w:val="7"/>
              <w:rPr>
                <w:sz w:val="21"/>
                <w:szCs w:val="21"/>
              </w:rPr>
            </w:pPr>
          </w:p>
        </w:tc>
        <w:tc>
          <w:tcPr>
            <w:tcW w:w="1124" w:type="dxa"/>
            <w:vMerge w:val="continue"/>
            <w:tcBorders>
              <w:top w:val="nil"/>
              <w:left w:val="single" w:color="auto" w:sz="4" w:space="0"/>
              <w:bottom w:val="single" w:color="000000" w:sz="4" w:space="0"/>
              <w:right w:val="single" w:color="auto" w:sz="4" w:space="0"/>
            </w:tcBorders>
            <w:shd w:val="clear" w:color="auto" w:fill="auto"/>
            <w:vAlign w:val="center"/>
          </w:tcPr>
          <w:p>
            <w:pPr>
              <w:pStyle w:val="7"/>
              <w:rPr>
                <w:sz w:val="21"/>
                <w:szCs w:val="21"/>
              </w:rPr>
            </w:pPr>
          </w:p>
        </w:tc>
        <w:tc>
          <w:tcPr>
            <w:tcW w:w="909" w:type="dxa"/>
            <w:vMerge w:val="continue"/>
            <w:tcBorders>
              <w:top w:val="nil"/>
              <w:left w:val="single" w:color="auto" w:sz="4" w:space="0"/>
              <w:bottom w:val="single" w:color="000000" w:sz="4" w:space="0"/>
              <w:right w:val="single" w:color="auto" w:sz="4" w:space="0"/>
            </w:tcBorders>
            <w:shd w:val="clear" w:color="auto" w:fill="auto"/>
            <w:vAlign w:val="center"/>
          </w:tcPr>
          <w:p>
            <w:pPr>
              <w:pStyle w:val="7"/>
              <w:rPr>
                <w:sz w:val="21"/>
                <w:szCs w:val="21"/>
              </w:rPr>
            </w:pPr>
          </w:p>
        </w:tc>
        <w:tc>
          <w:tcPr>
            <w:tcW w:w="1657" w:type="dxa"/>
            <w:tcBorders>
              <w:top w:val="nil"/>
              <w:left w:val="nil"/>
              <w:bottom w:val="single" w:color="auto" w:sz="4" w:space="0"/>
              <w:right w:val="single" w:color="auto" w:sz="4" w:space="0"/>
            </w:tcBorders>
            <w:shd w:val="clear" w:color="000000" w:fill="BFBFBF"/>
            <w:vAlign w:val="center"/>
          </w:tcPr>
          <w:p>
            <w:pPr>
              <w:pStyle w:val="7"/>
              <w:rPr>
                <w:sz w:val="21"/>
                <w:szCs w:val="21"/>
              </w:rPr>
            </w:pPr>
            <w:r>
              <w:rPr>
                <w:rFonts w:hint="eastAsia"/>
                <w:sz w:val="21"/>
                <w:szCs w:val="21"/>
              </w:rPr>
              <w:t>响应时间&lt;3S并发数量</w:t>
            </w:r>
          </w:p>
        </w:tc>
        <w:tc>
          <w:tcPr>
            <w:tcW w:w="1601" w:type="dxa"/>
            <w:tcBorders>
              <w:top w:val="nil"/>
              <w:left w:val="nil"/>
              <w:bottom w:val="single" w:color="auto" w:sz="4" w:space="0"/>
              <w:right w:val="single" w:color="auto" w:sz="4" w:space="0"/>
            </w:tcBorders>
            <w:shd w:val="clear" w:color="000000" w:fill="BFBFBF"/>
            <w:vAlign w:val="center"/>
          </w:tcPr>
          <w:p>
            <w:pPr>
              <w:pStyle w:val="7"/>
              <w:rPr>
                <w:sz w:val="21"/>
                <w:szCs w:val="21"/>
              </w:rPr>
            </w:pPr>
            <w:r>
              <w:rPr>
                <w:rFonts w:hint="eastAsia"/>
                <w:sz w:val="21"/>
                <w:szCs w:val="21"/>
              </w:rPr>
              <w:t>半小时最大并发递交文件数（文件数/单文件大小）</w:t>
            </w:r>
          </w:p>
        </w:tc>
        <w:tc>
          <w:tcPr>
            <w:tcW w:w="1476" w:type="dxa"/>
            <w:tcBorders>
              <w:top w:val="nil"/>
              <w:left w:val="nil"/>
              <w:bottom w:val="single" w:color="auto" w:sz="4" w:space="0"/>
              <w:right w:val="single" w:color="auto" w:sz="4" w:space="0"/>
            </w:tcBorders>
            <w:shd w:val="clear" w:color="000000" w:fill="BFBFBF"/>
            <w:vAlign w:val="center"/>
          </w:tcPr>
          <w:p>
            <w:pPr>
              <w:pStyle w:val="7"/>
              <w:rPr>
                <w:sz w:val="21"/>
                <w:szCs w:val="21"/>
              </w:rPr>
            </w:pPr>
            <w:r>
              <w:rPr>
                <w:rFonts w:hint="eastAsia"/>
                <w:sz w:val="21"/>
                <w:szCs w:val="21"/>
              </w:rPr>
              <w:t>响应时间&lt;3S并发数量</w:t>
            </w:r>
          </w:p>
        </w:tc>
        <w:tc>
          <w:tcPr>
            <w:tcW w:w="1904" w:type="dxa"/>
            <w:tcBorders>
              <w:top w:val="nil"/>
              <w:left w:val="nil"/>
              <w:bottom w:val="single" w:color="auto" w:sz="4" w:space="0"/>
              <w:right w:val="single" w:color="auto" w:sz="8" w:space="0"/>
            </w:tcBorders>
            <w:shd w:val="clear" w:color="000000" w:fill="BFBFBF"/>
            <w:vAlign w:val="center"/>
          </w:tcPr>
          <w:p>
            <w:pPr>
              <w:pStyle w:val="7"/>
              <w:rPr>
                <w:sz w:val="21"/>
                <w:szCs w:val="21"/>
              </w:rPr>
            </w:pPr>
            <w:r>
              <w:rPr>
                <w:rFonts w:hint="eastAsia"/>
                <w:sz w:val="21"/>
                <w:szCs w:val="21"/>
              </w:rPr>
              <w:t>半小时最大并发解密文件数（文件数/单文件大小）</w:t>
            </w:r>
          </w:p>
        </w:tc>
      </w:tr>
      <w:tr>
        <w:tblPrEx>
          <w:tblLayout w:type="fixed"/>
          <w:tblCellMar>
            <w:top w:w="0" w:type="dxa"/>
            <w:left w:w="108" w:type="dxa"/>
            <w:bottom w:w="0" w:type="dxa"/>
            <w:right w:w="108" w:type="dxa"/>
          </w:tblCellMar>
        </w:tblPrEx>
        <w:trPr>
          <w:trHeight w:val="312" w:hRule="atLeast"/>
        </w:trPr>
        <w:tc>
          <w:tcPr>
            <w:tcW w:w="1288" w:type="dxa"/>
            <w:tcBorders>
              <w:top w:val="nil"/>
              <w:left w:val="single" w:color="auto" w:sz="8" w:space="0"/>
              <w:bottom w:val="single" w:color="auto" w:sz="4" w:space="0"/>
              <w:right w:val="single" w:color="auto" w:sz="4" w:space="0"/>
            </w:tcBorders>
            <w:noWrap/>
            <w:vAlign w:val="center"/>
          </w:tcPr>
          <w:p>
            <w:pPr>
              <w:pStyle w:val="7"/>
              <w:rPr>
                <w:sz w:val="21"/>
                <w:szCs w:val="21"/>
              </w:rPr>
            </w:pPr>
            <w:r>
              <w:rPr>
                <w:rFonts w:hint="eastAsia"/>
                <w:sz w:val="21"/>
                <w:szCs w:val="21"/>
              </w:rPr>
              <w:t>房建交易</w:t>
            </w:r>
          </w:p>
        </w:tc>
        <w:tc>
          <w:tcPr>
            <w:tcW w:w="1124" w:type="dxa"/>
            <w:tcBorders>
              <w:top w:val="nil"/>
              <w:left w:val="nil"/>
              <w:bottom w:val="single" w:color="000000" w:sz="4" w:space="0"/>
              <w:right w:val="single" w:color="000000" w:sz="4" w:space="0"/>
            </w:tcBorders>
            <w:vAlign w:val="center"/>
          </w:tcPr>
          <w:p>
            <w:pPr>
              <w:pStyle w:val="7"/>
              <w:rPr>
                <w:sz w:val="21"/>
                <w:szCs w:val="21"/>
              </w:rPr>
            </w:pPr>
            <w:r>
              <w:rPr>
                <w:rFonts w:hint="eastAsia"/>
                <w:sz w:val="21"/>
                <w:szCs w:val="21"/>
              </w:rPr>
              <w:t>30</w:t>
            </w:r>
          </w:p>
        </w:tc>
        <w:tc>
          <w:tcPr>
            <w:tcW w:w="909" w:type="dxa"/>
            <w:tcBorders>
              <w:top w:val="nil"/>
              <w:left w:val="nil"/>
              <w:bottom w:val="single" w:color="000000" w:sz="4" w:space="0"/>
              <w:right w:val="single" w:color="000000" w:sz="4" w:space="0"/>
            </w:tcBorders>
            <w:vAlign w:val="center"/>
          </w:tcPr>
          <w:p>
            <w:pPr>
              <w:pStyle w:val="7"/>
              <w:rPr>
                <w:sz w:val="21"/>
                <w:szCs w:val="21"/>
              </w:rPr>
            </w:pPr>
            <w:r>
              <w:rPr>
                <w:rFonts w:hint="eastAsia"/>
                <w:sz w:val="21"/>
                <w:szCs w:val="21"/>
              </w:rPr>
              <w:t>60</w:t>
            </w:r>
          </w:p>
        </w:tc>
        <w:tc>
          <w:tcPr>
            <w:tcW w:w="1657" w:type="dxa"/>
            <w:vMerge w:val="restart"/>
            <w:tcBorders>
              <w:top w:val="nil"/>
              <w:left w:val="single" w:color="auto" w:sz="4" w:space="0"/>
              <w:right w:val="single" w:color="auto" w:sz="4" w:space="0"/>
            </w:tcBorders>
            <w:noWrap/>
            <w:vAlign w:val="center"/>
          </w:tcPr>
          <w:p>
            <w:pPr>
              <w:pStyle w:val="7"/>
              <w:rPr>
                <w:sz w:val="21"/>
                <w:szCs w:val="21"/>
              </w:rPr>
            </w:pPr>
            <w:r>
              <w:rPr>
                <w:rFonts w:hint="eastAsia"/>
                <w:sz w:val="21"/>
                <w:szCs w:val="21"/>
              </w:rPr>
              <w:t>440</w:t>
            </w:r>
          </w:p>
        </w:tc>
        <w:tc>
          <w:tcPr>
            <w:tcW w:w="1601" w:type="dxa"/>
            <w:vMerge w:val="restart"/>
            <w:tcBorders>
              <w:top w:val="nil"/>
              <w:left w:val="single" w:color="auto" w:sz="4" w:space="0"/>
              <w:bottom w:val="single" w:color="000000" w:sz="4" w:space="0"/>
              <w:right w:val="single" w:color="auto" w:sz="4" w:space="0"/>
            </w:tcBorders>
            <w:noWrap/>
            <w:vAlign w:val="center"/>
          </w:tcPr>
          <w:p>
            <w:pPr>
              <w:pStyle w:val="7"/>
              <w:rPr>
                <w:sz w:val="21"/>
                <w:szCs w:val="21"/>
              </w:rPr>
            </w:pPr>
            <w:r>
              <w:rPr>
                <w:rFonts w:hint="eastAsia"/>
                <w:sz w:val="21"/>
                <w:szCs w:val="21"/>
              </w:rPr>
              <w:t>1500/500M</w:t>
            </w:r>
          </w:p>
        </w:tc>
        <w:tc>
          <w:tcPr>
            <w:tcW w:w="1476" w:type="dxa"/>
            <w:vMerge w:val="restart"/>
            <w:tcBorders>
              <w:top w:val="nil"/>
              <w:left w:val="single" w:color="auto" w:sz="4" w:space="0"/>
              <w:bottom w:val="single" w:color="000000" w:sz="4" w:space="0"/>
              <w:right w:val="single" w:color="auto" w:sz="4" w:space="0"/>
            </w:tcBorders>
            <w:noWrap/>
            <w:vAlign w:val="center"/>
          </w:tcPr>
          <w:p>
            <w:pPr>
              <w:pStyle w:val="7"/>
              <w:rPr>
                <w:sz w:val="21"/>
                <w:szCs w:val="21"/>
              </w:rPr>
            </w:pPr>
            <w:r>
              <w:rPr>
                <w:rFonts w:hint="eastAsia"/>
                <w:sz w:val="21"/>
                <w:szCs w:val="21"/>
              </w:rPr>
              <w:t>440</w:t>
            </w:r>
          </w:p>
        </w:tc>
        <w:tc>
          <w:tcPr>
            <w:tcW w:w="1904" w:type="dxa"/>
            <w:vMerge w:val="restart"/>
            <w:tcBorders>
              <w:top w:val="nil"/>
              <w:left w:val="single" w:color="auto" w:sz="4" w:space="0"/>
              <w:bottom w:val="single" w:color="000000" w:sz="4" w:space="0"/>
              <w:right w:val="single" w:color="auto" w:sz="8" w:space="0"/>
            </w:tcBorders>
            <w:noWrap/>
            <w:vAlign w:val="center"/>
          </w:tcPr>
          <w:p>
            <w:pPr>
              <w:pStyle w:val="7"/>
              <w:rPr>
                <w:sz w:val="21"/>
                <w:szCs w:val="21"/>
              </w:rPr>
            </w:pPr>
            <w:r>
              <w:rPr>
                <w:rFonts w:hint="eastAsia"/>
                <w:sz w:val="21"/>
                <w:szCs w:val="21"/>
              </w:rPr>
              <w:t>1500/500M</w:t>
            </w:r>
          </w:p>
        </w:tc>
      </w:tr>
      <w:tr>
        <w:tblPrEx>
          <w:tblLayout w:type="fixed"/>
          <w:tblCellMar>
            <w:top w:w="0" w:type="dxa"/>
            <w:left w:w="108" w:type="dxa"/>
            <w:bottom w:w="0" w:type="dxa"/>
            <w:right w:w="108" w:type="dxa"/>
          </w:tblCellMar>
        </w:tblPrEx>
        <w:trPr>
          <w:trHeight w:val="312" w:hRule="atLeast"/>
        </w:trPr>
        <w:tc>
          <w:tcPr>
            <w:tcW w:w="1288" w:type="dxa"/>
            <w:tcBorders>
              <w:top w:val="nil"/>
              <w:left w:val="single" w:color="auto" w:sz="8" w:space="0"/>
              <w:bottom w:val="single" w:color="auto" w:sz="4" w:space="0"/>
              <w:right w:val="single" w:color="auto" w:sz="4" w:space="0"/>
            </w:tcBorders>
            <w:noWrap/>
            <w:vAlign w:val="center"/>
          </w:tcPr>
          <w:p>
            <w:pPr>
              <w:pStyle w:val="7"/>
              <w:rPr>
                <w:sz w:val="21"/>
                <w:szCs w:val="21"/>
              </w:rPr>
            </w:pPr>
            <w:r>
              <w:rPr>
                <w:rFonts w:hint="eastAsia"/>
                <w:sz w:val="21"/>
                <w:szCs w:val="21"/>
              </w:rPr>
              <w:t>园林交易</w:t>
            </w:r>
          </w:p>
        </w:tc>
        <w:tc>
          <w:tcPr>
            <w:tcW w:w="1124" w:type="dxa"/>
            <w:tcBorders>
              <w:top w:val="nil"/>
              <w:left w:val="nil"/>
              <w:bottom w:val="single" w:color="000000" w:sz="4" w:space="0"/>
              <w:right w:val="single" w:color="000000" w:sz="4" w:space="0"/>
            </w:tcBorders>
            <w:vAlign w:val="center"/>
          </w:tcPr>
          <w:p>
            <w:pPr>
              <w:pStyle w:val="7"/>
              <w:rPr>
                <w:sz w:val="21"/>
                <w:szCs w:val="21"/>
              </w:rPr>
            </w:pPr>
            <w:r>
              <w:rPr>
                <w:rFonts w:hint="eastAsia"/>
                <w:sz w:val="21"/>
                <w:szCs w:val="21"/>
              </w:rPr>
              <w:t>5</w:t>
            </w:r>
          </w:p>
        </w:tc>
        <w:tc>
          <w:tcPr>
            <w:tcW w:w="909" w:type="dxa"/>
            <w:tcBorders>
              <w:top w:val="nil"/>
              <w:left w:val="nil"/>
              <w:bottom w:val="single" w:color="000000" w:sz="4" w:space="0"/>
              <w:right w:val="single" w:color="000000" w:sz="4" w:space="0"/>
            </w:tcBorders>
            <w:vAlign w:val="center"/>
          </w:tcPr>
          <w:p>
            <w:pPr>
              <w:pStyle w:val="7"/>
              <w:rPr>
                <w:sz w:val="21"/>
                <w:szCs w:val="21"/>
              </w:rPr>
            </w:pPr>
            <w:r>
              <w:rPr>
                <w:rFonts w:hint="eastAsia"/>
                <w:sz w:val="21"/>
                <w:szCs w:val="21"/>
              </w:rPr>
              <w:t>30</w:t>
            </w:r>
          </w:p>
        </w:tc>
        <w:tc>
          <w:tcPr>
            <w:tcW w:w="1657" w:type="dxa"/>
            <w:vMerge w:val="continue"/>
            <w:tcBorders>
              <w:left w:val="single" w:color="auto" w:sz="4" w:space="0"/>
              <w:right w:val="single" w:color="auto" w:sz="4" w:space="0"/>
            </w:tcBorders>
            <w:vAlign w:val="center"/>
          </w:tcPr>
          <w:p>
            <w:pPr>
              <w:pStyle w:val="7"/>
              <w:rPr>
                <w:sz w:val="21"/>
                <w:szCs w:val="21"/>
              </w:rPr>
            </w:pPr>
          </w:p>
        </w:tc>
        <w:tc>
          <w:tcPr>
            <w:tcW w:w="1601" w:type="dxa"/>
            <w:vMerge w:val="continue"/>
            <w:tcBorders>
              <w:top w:val="nil"/>
              <w:left w:val="single" w:color="auto" w:sz="4" w:space="0"/>
              <w:bottom w:val="single" w:color="000000" w:sz="4" w:space="0"/>
              <w:right w:val="single" w:color="auto" w:sz="4" w:space="0"/>
            </w:tcBorders>
            <w:vAlign w:val="center"/>
          </w:tcPr>
          <w:p>
            <w:pPr>
              <w:pStyle w:val="7"/>
              <w:rPr>
                <w:sz w:val="21"/>
                <w:szCs w:val="21"/>
              </w:rPr>
            </w:pPr>
          </w:p>
        </w:tc>
        <w:tc>
          <w:tcPr>
            <w:tcW w:w="1476" w:type="dxa"/>
            <w:vMerge w:val="continue"/>
            <w:tcBorders>
              <w:top w:val="nil"/>
              <w:left w:val="single" w:color="auto" w:sz="4" w:space="0"/>
              <w:bottom w:val="single" w:color="000000" w:sz="4" w:space="0"/>
              <w:right w:val="single" w:color="auto" w:sz="4" w:space="0"/>
            </w:tcBorders>
            <w:vAlign w:val="center"/>
          </w:tcPr>
          <w:p>
            <w:pPr>
              <w:pStyle w:val="7"/>
              <w:rPr>
                <w:sz w:val="21"/>
                <w:szCs w:val="21"/>
              </w:rPr>
            </w:pPr>
          </w:p>
        </w:tc>
        <w:tc>
          <w:tcPr>
            <w:tcW w:w="1904" w:type="dxa"/>
            <w:vMerge w:val="continue"/>
            <w:tcBorders>
              <w:top w:val="nil"/>
              <w:left w:val="single" w:color="auto" w:sz="4" w:space="0"/>
              <w:bottom w:val="single" w:color="000000" w:sz="4" w:space="0"/>
              <w:right w:val="single" w:color="auto" w:sz="8" w:space="0"/>
            </w:tcBorders>
            <w:vAlign w:val="center"/>
          </w:tcPr>
          <w:p>
            <w:pPr>
              <w:pStyle w:val="7"/>
              <w:rPr>
                <w:sz w:val="21"/>
                <w:szCs w:val="21"/>
              </w:rPr>
            </w:pPr>
          </w:p>
        </w:tc>
      </w:tr>
      <w:tr>
        <w:tblPrEx>
          <w:tblLayout w:type="fixed"/>
          <w:tblCellMar>
            <w:top w:w="0" w:type="dxa"/>
            <w:left w:w="108" w:type="dxa"/>
            <w:bottom w:w="0" w:type="dxa"/>
            <w:right w:w="108" w:type="dxa"/>
          </w:tblCellMar>
        </w:tblPrEx>
        <w:trPr>
          <w:trHeight w:val="312" w:hRule="atLeast"/>
        </w:trPr>
        <w:tc>
          <w:tcPr>
            <w:tcW w:w="1288" w:type="dxa"/>
            <w:tcBorders>
              <w:top w:val="nil"/>
              <w:left w:val="single" w:color="auto" w:sz="8" w:space="0"/>
              <w:bottom w:val="single" w:color="auto" w:sz="4" w:space="0"/>
              <w:right w:val="single" w:color="auto" w:sz="4" w:space="0"/>
            </w:tcBorders>
            <w:noWrap/>
            <w:vAlign w:val="center"/>
          </w:tcPr>
          <w:p>
            <w:pPr>
              <w:pStyle w:val="7"/>
              <w:rPr>
                <w:sz w:val="21"/>
                <w:szCs w:val="21"/>
              </w:rPr>
            </w:pPr>
            <w:r>
              <w:rPr>
                <w:rFonts w:hint="eastAsia"/>
                <w:sz w:val="21"/>
                <w:szCs w:val="21"/>
              </w:rPr>
              <w:t>铁路交易</w:t>
            </w:r>
          </w:p>
        </w:tc>
        <w:tc>
          <w:tcPr>
            <w:tcW w:w="1124" w:type="dxa"/>
            <w:tcBorders>
              <w:top w:val="nil"/>
              <w:left w:val="nil"/>
              <w:bottom w:val="single" w:color="000000" w:sz="4" w:space="0"/>
              <w:right w:val="single" w:color="000000" w:sz="4" w:space="0"/>
            </w:tcBorders>
            <w:vAlign w:val="center"/>
          </w:tcPr>
          <w:p>
            <w:pPr>
              <w:pStyle w:val="7"/>
              <w:rPr>
                <w:sz w:val="21"/>
                <w:szCs w:val="21"/>
              </w:rPr>
            </w:pPr>
            <w:r>
              <w:rPr>
                <w:rFonts w:hint="eastAsia"/>
                <w:sz w:val="21"/>
                <w:szCs w:val="21"/>
              </w:rPr>
              <w:t>5</w:t>
            </w:r>
          </w:p>
        </w:tc>
        <w:tc>
          <w:tcPr>
            <w:tcW w:w="909" w:type="dxa"/>
            <w:tcBorders>
              <w:top w:val="nil"/>
              <w:left w:val="nil"/>
              <w:bottom w:val="single" w:color="000000" w:sz="4" w:space="0"/>
              <w:right w:val="single" w:color="000000" w:sz="4" w:space="0"/>
            </w:tcBorders>
            <w:vAlign w:val="center"/>
          </w:tcPr>
          <w:p>
            <w:pPr>
              <w:pStyle w:val="7"/>
              <w:rPr>
                <w:sz w:val="21"/>
                <w:szCs w:val="21"/>
              </w:rPr>
            </w:pPr>
            <w:r>
              <w:rPr>
                <w:rFonts w:hint="eastAsia"/>
                <w:sz w:val="21"/>
                <w:szCs w:val="21"/>
              </w:rPr>
              <w:t>50</w:t>
            </w:r>
          </w:p>
        </w:tc>
        <w:tc>
          <w:tcPr>
            <w:tcW w:w="1657" w:type="dxa"/>
            <w:vMerge w:val="continue"/>
            <w:tcBorders>
              <w:left w:val="single" w:color="auto" w:sz="4" w:space="0"/>
              <w:bottom w:val="single" w:color="000000" w:sz="4" w:space="0"/>
              <w:right w:val="single" w:color="auto" w:sz="4" w:space="0"/>
            </w:tcBorders>
            <w:vAlign w:val="center"/>
          </w:tcPr>
          <w:p>
            <w:pPr>
              <w:pStyle w:val="7"/>
              <w:rPr>
                <w:sz w:val="21"/>
                <w:szCs w:val="21"/>
              </w:rPr>
            </w:pPr>
          </w:p>
        </w:tc>
        <w:tc>
          <w:tcPr>
            <w:tcW w:w="1601" w:type="dxa"/>
            <w:vMerge w:val="continue"/>
            <w:tcBorders>
              <w:top w:val="nil"/>
              <w:left w:val="single" w:color="auto" w:sz="4" w:space="0"/>
              <w:bottom w:val="single" w:color="000000" w:sz="4" w:space="0"/>
              <w:right w:val="single" w:color="auto" w:sz="4" w:space="0"/>
            </w:tcBorders>
            <w:vAlign w:val="center"/>
          </w:tcPr>
          <w:p>
            <w:pPr>
              <w:pStyle w:val="7"/>
              <w:rPr>
                <w:sz w:val="21"/>
                <w:szCs w:val="21"/>
              </w:rPr>
            </w:pPr>
          </w:p>
        </w:tc>
        <w:tc>
          <w:tcPr>
            <w:tcW w:w="1476" w:type="dxa"/>
            <w:vMerge w:val="continue"/>
            <w:tcBorders>
              <w:top w:val="nil"/>
              <w:left w:val="single" w:color="auto" w:sz="4" w:space="0"/>
              <w:bottom w:val="single" w:color="000000" w:sz="4" w:space="0"/>
              <w:right w:val="single" w:color="auto" w:sz="4" w:space="0"/>
            </w:tcBorders>
            <w:vAlign w:val="center"/>
          </w:tcPr>
          <w:p>
            <w:pPr>
              <w:pStyle w:val="7"/>
              <w:rPr>
                <w:sz w:val="21"/>
                <w:szCs w:val="21"/>
              </w:rPr>
            </w:pPr>
          </w:p>
        </w:tc>
        <w:tc>
          <w:tcPr>
            <w:tcW w:w="1904" w:type="dxa"/>
            <w:vMerge w:val="continue"/>
            <w:tcBorders>
              <w:top w:val="nil"/>
              <w:left w:val="single" w:color="auto" w:sz="4" w:space="0"/>
              <w:bottom w:val="single" w:color="000000" w:sz="4" w:space="0"/>
              <w:right w:val="single" w:color="auto" w:sz="8" w:space="0"/>
            </w:tcBorders>
            <w:vAlign w:val="center"/>
          </w:tcPr>
          <w:p>
            <w:pPr>
              <w:pStyle w:val="7"/>
              <w:rPr>
                <w:sz w:val="21"/>
                <w:szCs w:val="21"/>
              </w:rPr>
            </w:pPr>
          </w:p>
        </w:tc>
      </w:tr>
      <w:tr>
        <w:tblPrEx>
          <w:tblLayout w:type="fixed"/>
          <w:tblCellMar>
            <w:top w:w="0" w:type="dxa"/>
            <w:left w:w="108" w:type="dxa"/>
            <w:bottom w:w="0" w:type="dxa"/>
            <w:right w:w="108" w:type="dxa"/>
          </w:tblCellMar>
        </w:tblPrEx>
        <w:trPr>
          <w:trHeight w:val="312" w:hRule="atLeast"/>
        </w:trPr>
        <w:tc>
          <w:tcPr>
            <w:tcW w:w="1288" w:type="dxa"/>
            <w:tcBorders>
              <w:top w:val="nil"/>
              <w:left w:val="single" w:color="auto" w:sz="8" w:space="0"/>
              <w:bottom w:val="single" w:color="auto" w:sz="4" w:space="0"/>
              <w:right w:val="single" w:color="auto" w:sz="4" w:space="0"/>
            </w:tcBorders>
            <w:noWrap/>
            <w:vAlign w:val="center"/>
          </w:tcPr>
          <w:p>
            <w:pPr>
              <w:pStyle w:val="7"/>
              <w:rPr>
                <w:sz w:val="21"/>
                <w:szCs w:val="21"/>
              </w:rPr>
            </w:pPr>
            <w:r>
              <w:rPr>
                <w:rFonts w:hint="eastAsia"/>
                <w:sz w:val="21"/>
                <w:szCs w:val="21"/>
              </w:rPr>
              <w:t>自愿入场交易</w:t>
            </w:r>
          </w:p>
        </w:tc>
        <w:tc>
          <w:tcPr>
            <w:tcW w:w="1124" w:type="dxa"/>
            <w:tcBorders>
              <w:top w:val="nil"/>
              <w:left w:val="nil"/>
              <w:bottom w:val="single" w:color="000000" w:sz="4" w:space="0"/>
              <w:right w:val="single" w:color="000000" w:sz="4" w:space="0"/>
            </w:tcBorders>
            <w:vAlign w:val="center"/>
          </w:tcPr>
          <w:p>
            <w:pPr>
              <w:pStyle w:val="7"/>
              <w:rPr>
                <w:sz w:val="21"/>
                <w:szCs w:val="21"/>
              </w:rPr>
            </w:pPr>
            <w:r>
              <w:rPr>
                <w:rFonts w:hint="eastAsia"/>
                <w:sz w:val="21"/>
                <w:szCs w:val="21"/>
              </w:rPr>
              <w:t>5</w:t>
            </w:r>
          </w:p>
        </w:tc>
        <w:tc>
          <w:tcPr>
            <w:tcW w:w="909" w:type="dxa"/>
            <w:tcBorders>
              <w:top w:val="nil"/>
              <w:left w:val="nil"/>
              <w:bottom w:val="single" w:color="000000" w:sz="4" w:space="0"/>
              <w:right w:val="single" w:color="000000" w:sz="4" w:space="0"/>
            </w:tcBorders>
            <w:vAlign w:val="center"/>
          </w:tcPr>
          <w:p>
            <w:pPr>
              <w:pStyle w:val="7"/>
              <w:rPr>
                <w:sz w:val="21"/>
                <w:szCs w:val="21"/>
              </w:rPr>
            </w:pPr>
            <w:r>
              <w:rPr>
                <w:rFonts w:hint="eastAsia"/>
                <w:sz w:val="21"/>
                <w:szCs w:val="21"/>
              </w:rPr>
              <w:t>50</w:t>
            </w:r>
          </w:p>
        </w:tc>
        <w:tc>
          <w:tcPr>
            <w:tcW w:w="1657" w:type="dxa"/>
            <w:tcBorders>
              <w:top w:val="nil"/>
              <w:left w:val="nil"/>
              <w:bottom w:val="single" w:color="auto" w:sz="4" w:space="0"/>
              <w:right w:val="single" w:color="auto" w:sz="4" w:space="0"/>
            </w:tcBorders>
            <w:noWrap/>
            <w:vAlign w:val="center"/>
          </w:tcPr>
          <w:p>
            <w:pPr>
              <w:pStyle w:val="7"/>
              <w:rPr>
                <w:sz w:val="21"/>
                <w:szCs w:val="21"/>
              </w:rPr>
            </w:pPr>
            <w:r>
              <w:rPr>
                <w:rFonts w:hint="eastAsia"/>
                <w:sz w:val="21"/>
                <w:szCs w:val="21"/>
              </w:rPr>
              <w:t>50</w:t>
            </w:r>
          </w:p>
        </w:tc>
        <w:tc>
          <w:tcPr>
            <w:tcW w:w="1601" w:type="dxa"/>
            <w:tcBorders>
              <w:top w:val="nil"/>
              <w:left w:val="nil"/>
              <w:bottom w:val="single" w:color="auto" w:sz="4" w:space="0"/>
              <w:right w:val="single" w:color="auto" w:sz="4" w:space="0"/>
            </w:tcBorders>
            <w:noWrap/>
            <w:vAlign w:val="center"/>
          </w:tcPr>
          <w:p>
            <w:pPr>
              <w:pStyle w:val="7"/>
              <w:rPr>
                <w:sz w:val="21"/>
                <w:szCs w:val="21"/>
              </w:rPr>
            </w:pPr>
            <w:r>
              <w:rPr>
                <w:rFonts w:hint="eastAsia"/>
                <w:sz w:val="21"/>
                <w:szCs w:val="21"/>
              </w:rPr>
              <w:t>150/500M</w:t>
            </w:r>
          </w:p>
        </w:tc>
        <w:tc>
          <w:tcPr>
            <w:tcW w:w="1476" w:type="dxa"/>
            <w:tcBorders>
              <w:top w:val="nil"/>
              <w:left w:val="nil"/>
              <w:bottom w:val="single" w:color="auto" w:sz="4" w:space="0"/>
              <w:right w:val="single" w:color="auto" w:sz="4" w:space="0"/>
            </w:tcBorders>
            <w:noWrap/>
            <w:vAlign w:val="center"/>
          </w:tcPr>
          <w:p>
            <w:pPr>
              <w:pStyle w:val="7"/>
              <w:rPr>
                <w:sz w:val="21"/>
                <w:szCs w:val="21"/>
              </w:rPr>
            </w:pPr>
            <w:r>
              <w:rPr>
                <w:rFonts w:hint="eastAsia"/>
                <w:sz w:val="21"/>
                <w:szCs w:val="21"/>
              </w:rPr>
              <w:t>50</w:t>
            </w:r>
          </w:p>
        </w:tc>
        <w:tc>
          <w:tcPr>
            <w:tcW w:w="1904" w:type="dxa"/>
            <w:tcBorders>
              <w:top w:val="nil"/>
              <w:left w:val="nil"/>
              <w:bottom w:val="single" w:color="auto" w:sz="4" w:space="0"/>
              <w:right w:val="single" w:color="auto" w:sz="8" w:space="0"/>
            </w:tcBorders>
            <w:noWrap/>
            <w:vAlign w:val="center"/>
          </w:tcPr>
          <w:p>
            <w:pPr>
              <w:pStyle w:val="7"/>
              <w:rPr>
                <w:sz w:val="21"/>
                <w:szCs w:val="21"/>
              </w:rPr>
            </w:pPr>
            <w:r>
              <w:rPr>
                <w:rFonts w:hint="eastAsia"/>
                <w:sz w:val="21"/>
                <w:szCs w:val="21"/>
              </w:rPr>
              <w:t>150/500M</w:t>
            </w:r>
          </w:p>
        </w:tc>
      </w:tr>
    </w:tbl>
    <w:p>
      <w:pPr>
        <w:spacing w:line="560" w:lineRule="exact"/>
        <w:ind w:firstLine="472" w:firstLineChars="196"/>
        <w:outlineLvl w:val="3"/>
        <w:rPr>
          <w:rFonts w:ascii="宋体" w:hAnsi="宋体" w:cs="宋体"/>
          <w:b/>
          <w:sz w:val="24"/>
        </w:rPr>
      </w:pPr>
      <w:r>
        <w:rPr>
          <w:rFonts w:hint="eastAsia" w:ascii="宋体" w:hAnsi="宋体" w:cs="宋体"/>
          <w:b/>
          <w:sz w:val="24"/>
        </w:rPr>
        <w:t>3</w:t>
      </w:r>
      <w:r>
        <w:rPr>
          <w:rFonts w:ascii="宋体" w:hAnsi="宋体" w:cs="宋体"/>
          <w:b/>
          <w:sz w:val="24"/>
        </w:rPr>
        <w:t>.</w:t>
      </w:r>
      <w:r>
        <w:rPr>
          <w:rFonts w:hint="eastAsia" w:ascii="宋体" w:hAnsi="宋体" w:cs="宋体"/>
          <w:b/>
          <w:sz w:val="24"/>
        </w:rPr>
        <w:t>数据迁移要求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本项目应用系统适配重构完成后，需要将原有系统数据迁移至适配重构后的系统中，分析原系统数据结构，设计数据迁移方案，保证数据的有效衔接和系统的平稳切换。</w:t>
      </w:r>
    </w:p>
    <w:p>
      <w:pPr>
        <w:spacing w:line="560" w:lineRule="exact"/>
        <w:ind w:firstLine="472" w:firstLineChars="196"/>
        <w:outlineLvl w:val="3"/>
        <w:rPr>
          <w:rFonts w:ascii="宋体" w:hAnsi="宋体" w:cs="宋体"/>
          <w:b/>
          <w:sz w:val="24"/>
        </w:rPr>
      </w:pPr>
      <w:r>
        <w:rPr>
          <w:rFonts w:hint="eastAsia" w:ascii="宋体" w:hAnsi="宋体" w:cs="宋体"/>
          <w:b/>
          <w:sz w:val="24"/>
        </w:rPr>
        <w:t>4</w:t>
      </w:r>
      <w:r>
        <w:rPr>
          <w:rFonts w:ascii="宋体" w:hAnsi="宋体" w:cs="宋体"/>
          <w:b/>
          <w:sz w:val="24"/>
        </w:rPr>
        <w:t>.</w:t>
      </w:r>
      <w:r>
        <w:rPr>
          <w:rFonts w:hint="eastAsia" w:ascii="宋体" w:hAnsi="宋体" w:cs="宋体"/>
          <w:b/>
          <w:sz w:val="24"/>
        </w:rPr>
        <w:t>系统安全服务要求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本项目需要对应用系统进行必要改造，满足安全测评要求。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按照《GBIT22240-2020信息安全技术网络安全等级保护定级指南》，北京市建设工程交易系统为安全保护等级第三级系统。本次系统能力提升需要满足安全保护等级第三级的要求。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保障升级改造后系统符合等保三级相关要求，提供物理和环境安全、网络和通信安全、代码安全管理、应用和数据安全以及安全管理体系结构建设服务。</w:t>
      </w:r>
    </w:p>
    <w:p>
      <w:pPr>
        <w:spacing w:line="560" w:lineRule="exact"/>
        <w:ind w:firstLine="472" w:firstLineChars="196"/>
        <w:outlineLvl w:val="3"/>
        <w:rPr>
          <w:rFonts w:ascii="宋体" w:hAnsi="宋体" w:cs="宋体"/>
          <w:b/>
          <w:sz w:val="24"/>
        </w:rPr>
      </w:pPr>
      <w:r>
        <w:rPr>
          <w:rFonts w:hint="eastAsia" w:ascii="宋体" w:hAnsi="宋体" w:cs="宋体"/>
          <w:b/>
          <w:sz w:val="24"/>
        </w:rPr>
        <w:t>5</w:t>
      </w:r>
      <w:r>
        <w:rPr>
          <w:rFonts w:ascii="宋体" w:hAnsi="宋体" w:cs="宋体"/>
          <w:b/>
          <w:sz w:val="24"/>
        </w:rPr>
        <w:t>.</w:t>
      </w:r>
      <w:r>
        <w:rPr>
          <w:rFonts w:hint="eastAsia" w:ascii="宋体" w:hAnsi="宋体" w:cs="宋体"/>
          <w:b/>
          <w:sz w:val="24"/>
        </w:rPr>
        <w:t>项目实施与保障要求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编制系统升级改造实施计划相关保障措施，包括培训计划、培训内容，实施进度规划及保障，风险管控以及后期运维的主要工作重点等内容。</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（1）系统性能要求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系统适配改造完成后需达到</w:t>
      </w:r>
      <w:r>
        <w:rPr>
          <w:rFonts w:ascii="宋体" w:hAnsi="宋体" w:cs="宋体"/>
          <w:sz w:val="24"/>
        </w:rPr>
        <w:t>7*24小时不间断运行，</w:t>
      </w:r>
      <w:r>
        <w:rPr>
          <w:rFonts w:hint="eastAsia" w:ascii="宋体" w:hAnsi="宋体" w:cs="宋体"/>
          <w:sz w:val="24"/>
        </w:rPr>
        <w:t>系统在接收到用户登录请求后的响应时间应不超过</w:t>
      </w:r>
      <w:r>
        <w:rPr>
          <w:rFonts w:ascii="宋体" w:hAnsi="宋体" w:cs="宋体"/>
          <w:sz w:val="24"/>
        </w:rPr>
        <w:t>3秒。系统在接收到用户查询请求后的响应根据不同SQL复杂程度、并发量不同导致执行时间不同，但总体不超过30秒。</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（2）项目实施要求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按照本项目要求的进度完成应用系统能力提升。制定有效的实施进度规划及保障措施，对项目风险进行识别并提出管控措施。</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（3）培训要求</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提供本项目使用和维护所需要的技术培训。派出的培训教员应熟悉本项目，并有一定的教学经验。提供详细的培训计划和培训资料。</w:t>
      </w:r>
    </w:p>
    <w:p>
      <w:pPr>
        <w:spacing w:line="560" w:lineRule="exact"/>
        <w:ind w:firstLine="472" w:firstLineChars="196"/>
        <w:outlineLvl w:val="3"/>
        <w:rPr>
          <w:rFonts w:ascii="宋体" w:hAnsi="宋体" w:cs="宋体"/>
          <w:b/>
          <w:sz w:val="24"/>
        </w:rPr>
      </w:pPr>
      <w:r>
        <w:rPr>
          <w:rFonts w:hint="eastAsia" w:ascii="宋体" w:hAnsi="宋体" w:cs="宋体"/>
          <w:b/>
          <w:sz w:val="24"/>
        </w:rPr>
        <w:t>6</w:t>
      </w:r>
      <w:r>
        <w:rPr>
          <w:rFonts w:ascii="宋体" w:hAnsi="宋体" w:cs="宋体"/>
          <w:b/>
          <w:sz w:val="24"/>
        </w:rPr>
        <w:t>.</w:t>
      </w:r>
      <w:r>
        <w:rPr>
          <w:rFonts w:hint="eastAsia" w:ascii="宋体" w:hAnsi="宋体" w:cs="宋体"/>
          <w:b/>
          <w:sz w:val="24"/>
        </w:rPr>
        <w:t>基础条件</w:t>
      </w:r>
    </w:p>
    <w:p>
      <w:pPr>
        <w:widowControl/>
        <w:tabs>
          <w:tab w:val="left" w:pos="312"/>
        </w:tabs>
        <w:spacing w:line="560" w:lineRule="exact"/>
        <w:ind w:firstLine="470" w:firstLineChars="196"/>
        <w:rPr>
          <w:rFonts w:ascii="宋体" w:hAnsi="宋体" w:cs="宋体"/>
          <w:sz w:val="24"/>
        </w:rPr>
      </w:pPr>
      <w:r>
        <w:rPr>
          <w:rFonts w:hint="eastAsia" w:ascii="宋体" w:hAnsi="宋体" w:cs="宋体"/>
          <w:sz w:val="24"/>
        </w:rPr>
        <w:t>采购人提供政务云环境服务器资源，并配备信创操作系统、数据库等基础软件，同时按照等保三级要求配备相应的安全服务。</w:t>
      </w:r>
    </w:p>
    <w:p>
      <w:pPr>
        <w:spacing w:line="560" w:lineRule="exact"/>
        <w:ind w:firstLine="472" w:firstLineChars="196"/>
        <w:outlineLvl w:val="3"/>
        <w:rPr>
          <w:rFonts w:ascii="宋体" w:hAnsi="宋体" w:cs="宋体"/>
          <w:b/>
          <w:sz w:val="24"/>
        </w:rPr>
      </w:pPr>
      <w:r>
        <w:rPr>
          <w:rFonts w:hint="eastAsia" w:ascii="宋体" w:hAnsi="宋体" w:cs="宋体"/>
          <w:b/>
          <w:sz w:val="24"/>
        </w:rPr>
        <w:t>7</w:t>
      </w:r>
      <w:r>
        <w:rPr>
          <w:rFonts w:ascii="宋体" w:hAnsi="宋体" w:cs="宋体"/>
          <w:b/>
          <w:sz w:val="24"/>
        </w:rPr>
        <w:t>.</w:t>
      </w:r>
      <w:r>
        <w:rPr>
          <w:rFonts w:hint="eastAsia" w:ascii="宋体" w:hAnsi="宋体" w:cs="宋体"/>
          <w:b/>
          <w:sz w:val="24"/>
        </w:rPr>
        <w:t>验收要求</w:t>
      </w:r>
    </w:p>
    <w:p>
      <w:pPr>
        <w:widowControl/>
        <w:tabs>
          <w:tab w:val="left" w:pos="312"/>
        </w:tabs>
        <w:spacing w:line="560" w:lineRule="exact"/>
        <w:ind w:firstLine="470" w:firstLineChars="196"/>
      </w:pPr>
      <w:r>
        <w:rPr>
          <w:rFonts w:hint="eastAsia" w:ascii="宋体" w:hAnsi="宋体" w:cs="宋体"/>
          <w:sz w:val="24"/>
        </w:rPr>
        <w:t>本项目验收包括系统上线验收及系统终验。本项目全部开发完成后，招标单位对项目进行系统上线验收，通过后系统进入试运行；系统试运行一个月运行稳定，招标单位组织整个系统的终验。</w:t>
      </w:r>
    </w:p>
    <w:p>
      <w:pPr>
        <w:rPr>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6A16"/>
    <w:rsid w:val="033251B4"/>
    <w:rsid w:val="173A5B06"/>
    <w:rsid w:val="3AA16843"/>
    <w:rsid w:val="57391D6C"/>
    <w:rsid w:val="615A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6">
    <w:name w:val="需求正文"/>
    <w:basedOn w:val="1"/>
    <w:qFormat/>
    <w:uiPriority w:val="0"/>
    <w:pPr>
      <w:widowControl/>
      <w:tabs>
        <w:tab w:val="left" w:pos="312"/>
      </w:tabs>
      <w:spacing w:line="560" w:lineRule="exact"/>
      <w:ind w:firstLine="470" w:firstLineChars="196"/>
    </w:pPr>
    <w:rPr>
      <w:rFonts w:ascii="宋体" w:hAnsi="宋体" w:cs="宋体"/>
      <w:sz w:val="24"/>
    </w:rPr>
  </w:style>
  <w:style w:type="paragraph" w:customStyle="1" w:styleId="7">
    <w:name w:val="表格"/>
    <w:qFormat/>
    <w:uiPriority w:val="0"/>
    <w:rPr>
      <w:rFonts w:ascii="宋体" w:hAnsi="宋体" w:eastAsia="仿宋_GB2312" w:cs="Times New Roman"/>
      <w:kern w:val="2"/>
      <w:sz w:val="24"/>
      <w:szCs w:val="24"/>
      <w:lang w:val="en-US" w:eastAsia="zh-CN"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2026-01-14T09:19:00Z</dcterms:created>
  <dc:creator>user</dc:creator>
  <cp:lastModifiedBy>11</cp:lastModifiedBy>
  <dcterms:modified xsi:type="dcterms:W3CDTF">2026-02-12T03:09:02Z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