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2"/>
        <w:tabs>
          <w:tab w:val="left" w:pos="1630"/>
        </w:tabs>
        <w:spacing w:line="460" w:lineRule="exact"/>
        <w:ind w:left="8"/>
        <w:jc w:val="center"/>
        <w:rPr>
          <w:b/>
          <w:bCs/>
          <w:highlight w:val="none"/>
        </w:rPr>
      </w:pPr>
      <w:r>
        <w:rPr>
          <w:rFonts w:hint="eastAsia"/>
          <w:b/>
          <w:bCs/>
          <w:highlight w:val="none"/>
        </w:rPr>
        <w:t>采购需求</w:t>
      </w:r>
    </w:p>
    <w:p w14:paraId="761BC4C4">
      <w:pPr>
        <w:rPr>
          <w:highlight w:val="none"/>
        </w:rPr>
      </w:pPr>
    </w:p>
    <w:p w14:paraId="3E900991">
      <w:pPr>
        <w:pStyle w:val="3"/>
        <w:spacing w:before="1"/>
        <w:ind w:left="121"/>
        <w:rPr>
          <w:b/>
          <w:bCs/>
          <w:highlight w:val="none"/>
        </w:rPr>
      </w:pPr>
      <w:r>
        <w:rPr>
          <w:rFonts w:hint="eastAsia"/>
          <w:b/>
          <w:bCs/>
          <w:highlight w:val="none"/>
        </w:rPr>
        <w:t>一、采购标的</w:t>
      </w:r>
    </w:p>
    <w:p w14:paraId="0280D779">
      <w:pPr>
        <w:pStyle w:val="7"/>
        <w:tabs>
          <w:tab w:val="left" w:pos="470"/>
          <w:tab w:val="left" w:pos="7040"/>
        </w:tabs>
        <w:spacing w:before="154" w:line="360" w:lineRule="auto"/>
        <w:ind w:left="121" w:right="1830" w:firstLine="269" w:firstLineChars="100"/>
        <w:rPr>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5"/>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8"/>
              <w:jc w:val="center"/>
              <w:rPr>
                <w:rFonts w:hint="eastAsia" w:ascii="宋体" w:hAnsi="宋体" w:eastAsia="宋体" w:cs="宋体"/>
                <w:b/>
                <w:bCs/>
                <w:sz w:val="24"/>
                <w:szCs w:val="24"/>
                <w:highlight w:val="none"/>
                <w:lang w:eastAsia="zh-CN"/>
              </w:rPr>
            </w:pPr>
            <w:bookmarkStart w:id="0" w:name="RANGE!J9"/>
            <w:r>
              <w:rPr>
                <w:rFonts w:hint="eastAsia" w:ascii="宋体" w:hAnsi="宋体" w:eastAsia="宋体" w:cs="宋体"/>
                <w:b/>
                <w:bCs/>
                <w:sz w:val="24"/>
                <w:szCs w:val="24"/>
                <w:highlight w:val="none"/>
                <w:lang w:eastAsia="zh-CN"/>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8"/>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8"/>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2769E856">
            <w:pPr>
              <w:pStyle w:val="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（台/套）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8"/>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7E">
            <w:pPr>
              <w:pStyle w:val="8"/>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质保期</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081D7ADB">
            <w:pPr>
              <w:pStyle w:val="8"/>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keepNext w:val="0"/>
              <w:keepLines w:val="0"/>
              <w:widowControl/>
              <w:suppressLineNumbers w:val="0"/>
              <w:jc w:val="center"/>
              <w:textAlignment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keepNext w:val="0"/>
              <w:keepLines w:val="0"/>
              <w:widowControl/>
              <w:suppressLineNumbers w:val="0"/>
              <w:jc w:val="center"/>
              <w:textAlignment w:val="center"/>
              <w:rPr>
                <w:rFonts w:hint="eastAsia" w:ascii="宋体" w:hAnsi="宋体" w:eastAsia="宋体" w:cs="宋体"/>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麻醉机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keepNext w:val="0"/>
              <w:keepLines w:val="0"/>
              <w:widowControl/>
              <w:suppressLineNumbers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widowControl/>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E00">
            <w:pPr>
              <w:pStyle w:val="8"/>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三年</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10C894CD">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keepNext w:val="0"/>
              <w:keepLines w:val="0"/>
              <w:widowControl/>
              <w:suppressLineNumbers w:val="0"/>
              <w:jc w:val="center"/>
              <w:textAlignment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keepNext w:val="0"/>
              <w:keepLines w:val="0"/>
              <w:widowControl/>
              <w:suppressLineNumbers w:val="0"/>
              <w:jc w:val="center"/>
              <w:textAlignment w:val="center"/>
              <w:rPr>
                <w:rFonts w:hint="eastAsia" w:ascii="宋体" w:hAnsi="宋体" w:eastAsia="宋体" w:cs="宋体"/>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高压注射器</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keepNext w:val="0"/>
              <w:keepLines w:val="0"/>
              <w:widowControl/>
              <w:suppressLineNumbers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widowControl/>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DC4">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43A2CD54">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keepNext w:val="0"/>
              <w:keepLines w:val="0"/>
              <w:widowControl/>
              <w:suppressLineNumbers w:val="0"/>
              <w:jc w:val="center"/>
              <w:textAlignment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keepNext w:val="0"/>
              <w:keepLines w:val="0"/>
              <w:widowControl/>
              <w:suppressLineNumbers w:val="0"/>
              <w:jc w:val="center"/>
              <w:textAlignment w:val="center"/>
              <w:rPr>
                <w:rFonts w:hint="eastAsia" w:ascii="宋体" w:hAnsi="宋体" w:eastAsia="宋体" w:cs="宋体"/>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抢救车</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keepNext w:val="0"/>
              <w:keepLines w:val="0"/>
              <w:widowControl/>
              <w:suppressLineNumbers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widowControl/>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DF7">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71FC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420A11D">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552">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DE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除颤起搏监护仪</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9378">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8EF6">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CE2D">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3AC6A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5D99DBDE">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142">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C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移动式防护屏</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CCA">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6A8E">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F13">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08F8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C96EB25">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53C">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12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多道心电图机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99A4">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2F0">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6286">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70AD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49BEE038">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EAA">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8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多参数生理监护仪</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048">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E8C3">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D88">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42B0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130E4893">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A3F">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1AF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可视喉镜</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198">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CB5E">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C63C">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7B6B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2EB978EB">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9545">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6A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血气血氧电解质和代谢物分析仪</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4A7">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75D">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325">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21BB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E22C1BC">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F67">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61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困难气道车</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7593">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9D4">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CB9A">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2053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0DE4CFCE">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06FF">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B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器械车（小）</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1AA">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84FF">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7E67">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657A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702562A6">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22A5">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EB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器械车（大）</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9830">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71E">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0826">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7CBA2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79DB5D02">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66DB">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DE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治疗车</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56F">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752">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4D5">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r w14:paraId="5209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0EB908D0">
            <w:pPr>
              <w:pStyle w:val="8"/>
              <w:jc w:val="center"/>
              <w:rPr>
                <w:rFonts w:hint="eastAsia" w:ascii="宋体" w:hAnsi="宋体" w:eastAsia="宋体" w:cs="宋体"/>
                <w:b w:val="0"/>
                <w:bCs w:val="0"/>
                <w:sz w:val="24"/>
                <w:szCs w:val="24"/>
                <w:highlight w:val="none"/>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9D3D">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50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输液车</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982">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8FE">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F5F">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三年</w:t>
            </w:r>
          </w:p>
        </w:tc>
      </w:tr>
    </w:tbl>
    <w:p w14:paraId="63ECAA21">
      <w:pPr>
        <w:pStyle w:val="9"/>
        <w:tabs>
          <w:tab w:val="left" w:pos="1197"/>
        </w:tabs>
        <w:spacing w:before="0" w:line="360" w:lineRule="auto"/>
        <w:ind w:left="0" w:right="233" w:firstLine="0"/>
        <w:jc w:val="both"/>
        <w:rPr>
          <w:b/>
          <w:bCs/>
          <w:sz w:val="24"/>
          <w:highlight w:val="none"/>
          <w:lang w:eastAsia="zh-CN"/>
        </w:rPr>
      </w:pPr>
      <w:r>
        <w:rPr>
          <w:rFonts w:hint="eastAsia"/>
          <w:b/>
          <w:bCs/>
          <w:sz w:val="24"/>
          <w:highlight w:val="none"/>
          <w:lang w:eastAsia="zh-CN"/>
        </w:rPr>
        <w:t>二、商务要求</w:t>
      </w:r>
    </w:p>
    <w:p w14:paraId="4B4DE5C1">
      <w:pPr>
        <w:pStyle w:val="9"/>
        <w:tabs>
          <w:tab w:val="left" w:pos="1197"/>
        </w:tabs>
        <w:spacing w:before="0" w:line="360" w:lineRule="auto"/>
        <w:ind w:left="0" w:right="233" w:firstLine="0"/>
        <w:jc w:val="both"/>
        <w:rPr>
          <w:b/>
          <w:bCs/>
          <w:sz w:val="24"/>
          <w:szCs w:val="24"/>
          <w:highlight w:val="none"/>
          <w:lang w:eastAsia="zh-CN"/>
        </w:rPr>
      </w:pPr>
      <w:r>
        <w:rPr>
          <w:rFonts w:hint="eastAsia"/>
          <w:b/>
          <w:bCs/>
          <w:sz w:val="24"/>
          <w:szCs w:val="24"/>
          <w:highlight w:val="none"/>
          <w:lang w:eastAsia="zh-CN"/>
        </w:rPr>
        <w:t>1.交货时间和地点：</w:t>
      </w:r>
    </w:p>
    <w:p w14:paraId="13ABBCD3">
      <w:pPr>
        <w:pStyle w:val="9"/>
        <w:tabs>
          <w:tab w:val="left" w:pos="1197"/>
        </w:tabs>
        <w:spacing w:before="0" w:line="360" w:lineRule="auto"/>
        <w:ind w:left="0" w:right="233" w:firstLine="480" w:firstLineChars="200"/>
        <w:jc w:val="both"/>
        <w:rPr>
          <w:sz w:val="24"/>
          <w:szCs w:val="24"/>
          <w:highlight w:val="none"/>
          <w:lang w:eastAsia="zh-CN"/>
        </w:rPr>
      </w:pPr>
      <w:bookmarkStart w:id="1" w:name="_Toc14802"/>
      <w:bookmarkStart w:id="2" w:name="_Toc8925"/>
      <w:bookmarkStart w:id="3" w:name="_Toc23382"/>
      <w:bookmarkStart w:id="4" w:name="_Toc256196753"/>
      <w:bookmarkStart w:id="5" w:name="_Toc24278"/>
      <w:r>
        <w:rPr>
          <w:rFonts w:hint="eastAsia"/>
          <w:sz w:val="24"/>
          <w:szCs w:val="24"/>
          <w:highlight w:val="none"/>
          <w:lang w:eastAsia="zh-CN"/>
        </w:rPr>
        <w:t>1.1 交货时间：</w:t>
      </w:r>
      <w:bookmarkEnd w:id="1"/>
      <w:bookmarkEnd w:id="2"/>
      <w:bookmarkEnd w:id="3"/>
      <w:bookmarkEnd w:id="4"/>
      <w:bookmarkEnd w:id="5"/>
      <w:r>
        <w:rPr>
          <w:rFonts w:hint="eastAsia"/>
          <w:sz w:val="24"/>
          <w:szCs w:val="24"/>
          <w:highlight w:val="none"/>
          <w:lang w:eastAsia="zh-CN"/>
        </w:rPr>
        <w:t>合同签订后</w:t>
      </w:r>
      <w:r>
        <w:rPr>
          <w:rFonts w:hint="eastAsia"/>
          <w:sz w:val="24"/>
          <w:szCs w:val="24"/>
          <w:highlight w:val="none"/>
          <w:lang w:val="en-US" w:eastAsia="zh-CN"/>
        </w:rPr>
        <w:t>30</w:t>
      </w:r>
      <w:r>
        <w:rPr>
          <w:rFonts w:hint="eastAsia"/>
          <w:sz w:val="24"/>
          <w:szCs w:val="24"/>
          <w:highlight w:val="none"/>
          <w:lang w:eastAsia="zh-CN"/>
        </w:rPr>
        <w:t>天内</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1383E1A9">
      <w:pPr>
        <w:pStyle w:val="9"/>
        <w:tabs>
          <w:tab w:val="left" w:pos="1197"/>
        </w:tabs>
        <w:spacing w:before="0" w:line="360" w:lineRule="auto"/>
        <w:ind w:left="0" w:right="233" w:firstLine="480" w:firstLineChars="200"/>
        <w:jc w:val="both"/>
        <w:rPr>
          <w:sz w:val="24"/>
          <w:szCs w:val="24"/>
          <w:highlight w:val="none"/>
          <w:lang w:eastAsia="zh-CN"/>
        </w:rPr>
      </w:pPr>
      <w:bookmarkStart w:id="6" w:name="_Toc8853"/>
      <w:bookmarkStart w:id="7" w:name="_Toc30936"/>
      <w:bookmarkStart w:id="8" w:name="_Toc6107"/>
      <w:bookmarkStart w:id="9" w:name="_Toc194115436"/>
      <w:bookmarkStart w:id="10" w:name="_Toc19535"/>
      <w:r>
        <w:rPr>
          <w:rFonts w:hint="eastAsia"/>
          <w:sz w:val="24"/>
          <w:szCs w:val="24"/>
          <w:highlight w:val="none"/>
          <w:lang w:eastAsia="zh-CN"/>
        </w:rPr>
        <w:t>1.2 交货地点：</w:t>
      </w:r>
      <w:bookmarkEnd w:id="6"/>
      <w:bookmarkEnd w:id="7"/>
      <w:bookmarkEnd w:id="8"/>
      <w:bookmarkEnd w:id="9"/>
      <w:bookmarkEnd w:id="10"/>
      <w:r>
        <w:rPr>
          <w:rFonts w:hint="eastAsia"/>
          <w:sz w:val="24"/>
          <w:szCs w:val="24"/>
          <w:highlight w:val="none"/>
          <w:lang w:val="en-US" w:eastAsia="zh-CN"/>
        </w:rPr>
        <w:t>采购人指定地点</w:t>
      </w:r>
      <w:r>
        <w:rPr>
          <w:rFonts w:hint="eastAsia"/>
          <w:sz w:val="24"/>
          <w:szCs w:val="24"/>
          <w:highlight w:val="none"/>
          <w:lang w:eastAsia="zh-CN"/>
        </w:rPr>
        <w:t>。</w:t>
      </w:r>
    </w:p>
    <w:p w14:paraId="1316C0B3">
      <w:pPr>
        <w:pStyle w:val="9"/>
        <w:tabs>
          <w:tab w:val="left" w:pos="1197"/>
        </w:tabs>
        <w:spacing w:before="0" w:line="360" w:lineRule="auto"/>
        <w:ind w:left="0" w:right="233" w:firstLine="0"/>
        <w:jc w:val="both"/>
        <w:rPr>
          <w:rFonts w:hint="eastAsia"/>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w:t>
      </w:r>
    </w:p>
    <w:p w14:paraId="2E235453">
      <w:pPr>
        <w:pStyle w:val="9"/>
        <w:tabs>
          <w:tab w:val="left" w:pos="1197"/>
        </w:tabs>
        <w:spacing w:before="0" w:line="360" w:lineRule="auto"/>
        <w:ind w:right="233"/>
        <w:jc w:val="both"/>
        <w:rPr>
          <w:rFonts w:hint="default"/>
          <w:b w:val="0"/>
          <w:bCs w:val="0"/>
          <w:sz w:val="24"/>
          <w:szCs w:val="24"/>
          <w:highlight w:val="none"/>
          <w:lang w:val="en-US" w:eastAsia="zh-CN"/>
        </w:rPr>
      </w:pPr>
      <w:r>
        <w:rPr>
          <w:rFonts w:hint="eastAsia"/>
          <w:b w:val="0"/>
          <w:bCs w:val="0"/>
          <w:sz w:val="24"/>
          <w:szCs w:val="24"/>
          <w:highlight w:val="none"/>
          <w:lang w:val="en-US" w:eastAsia="zh-CN"/>
        </w:rPr>
        <w:t>详见“拟签订的合同文本”。</w:t>
      </w:r>
    </w:p>
    <w:p w14:paraId="32A795E0">
      <w:pPr>
        <w:pStyle w:val="9"/>
        <w:tabs>
          <w:tab w:val="left" w:pos="1197"/>
        </w:tabs>
        <w:spacing w:before="0" w:line="360" w:lineRule="auto"/>
        <w:ind w:left="0" w:right="233" w:firstLine="0"/>
        <w:jc w:val="both"/>
        <w:rPr>
          <w:b/>
          <w:bCs/>
          <w:sz w:val="24"/>
          <w:szCs w:val="24"/>
          <w:highlight w:val="none"/>
          <w:lang w:eastAsia="zh-CN"/>
        </w:rPr>
      </w:pPr>
      <w:r>
        <w:rPr>
          <w:rFonts w:hint="eastAsia"/>
          <w:b/>
          <w:bCs/>
          <w:sz w:val="24"/>
          <w:szCs w:val="24"/>
          <w:highlight w:val="none"/>
          <w:lang w:eastAsia="zh-CN"/>
        </w:rPr>
        <w:t>3.包装和运输（如适用，须满足《关于印发〈商品包装政府采购需求标准（试行）〉、〈快递包装政府采购需求标准（试行）〉的通知》（财办库﹝2020﹞123号））</w:t>
      </w:r>
    </w:p>
    <w:p w14:paraId="58503F4F">
      <w:pPr>
        <w:pStyle w:val="9"/>
        <w:tabs>
          <w:tab w:val="left" w:pos="1197"/>
        </w:tabs>
        <w:spacing w:before="0" w:line="360" w:lineRule="auto"/>
        <w:ind w:left="0" w:right="233" w:firstLine="0"/>
        <w:jc w:val="both"/>
        <w:rPr>
          <w:b/>
          <w:bCs/>
          <w:sz w:val="24"/>
          <w:szCs w:val="24"/>
          <w:highlight w:val="none"/>
          <w:lang w:eastAsia="zh-CN"/>
        </w:rPr>
      </w:pPr>
      <w:r>
        <w:rPr>
          <w:rFonts w:hint="eastAsia"/>
          <w:b/>
          <w:bCs/>
          <w:sz w:val="24"/>
          <w:szCs w:val="24"/>
          <w:highlight w:val="none"/>
          <w:lang w:eastAsia="zh-CN"/>
        </w:rPr>
        <w:t>4.质保服务：</w:t>
      </w:r>
    </w:p>
    <w:p w14:paraId="0C012895">
      <w:pPr>
        <w:pStyle w:val="4"/>
        <w:spacing w:before="50" w:line="360" w:lineRule="auto"/>
        <w:ind w:left="720" w:leftChars="109" w:hanging="480" w:hangingChars="200"/>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lang w:val="en-US" w:eastAsia="zh-CN"/>
        </w:rPr>
        <w:t>4.</w:t>
      </w:r>
      <w:r>
        <w:rPr>
          <w:rFonts w:hAnsi="宋体" w:cs="宋体"/>
          <w:b w:val="0"/>
          <w:bCs w:val="0"/>
          <w:color w:val="auto"/>
          <w:sz w:val="24"/>
          <w:szCs w:val="24"/>
          <w:highlight w:val="none"/>
        </w:rPr>
        <w:t>1</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质量保证期及服务要求：自安装、调试、验收合格且完成资产入库之日起</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个月。保修范围应包括提供的所有设备（含第三方设备或配件）和安装调试服务。在保修期内应提供维修和技术咨询服务，矫正和免费更换有缺陷的设备或部件、排除系统出现的故障。凡制造厂商未提供</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个月免费保修服务的产品，供应商应提供满足</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个月的保修服务的服务报价，该报价计入合同总价中。质量保证期内，供应商应对由于设计、工艺或材料的缺陷而发生的任何不足或故障负责，费用由</w:t>
      </w:r>
      <w:r>
        <w:rPr>
          <w:rFonts w:hAnsi="宋体"/>
          <w:b w:val="0"/>
          <w:bCs w:val="0"/>
          <w:color w:val="auto"/>
          <w:sz w:val="24"/>
          <w:szCs w:val="24"/>
          <w:highlight w:val="none"/>
        </w:rPr>
        <w:t>供应商</w:t>
      </w:r>
      <w:r>
        <w:rPr>
          <w:rFonts w:hint="eastAsia" w:hAnsi="宋体" w:cs="宋体"/>
          <w:b w:val="0"/>
          <w:bCs w:val="0"/>
          <w:color w:val="auto"/>
          <w:sz w:val="24"/>
          <w:szCs w:val="24"/>
          <w:highlight w:val="none"/>
        </w:rPr>
        <w:t>负担。或因培训不到位造成的操作失误引起的故障。</w:t>
      </w:r>
      <w:r>
        <w:rPr>
          <w:rFonts w:hint="eastAsia" w:hAnsi="宋体"/>
          <w:szCs w:val="21"/>
        </w:rPr>
        <w:t>费用由乙方负担</w:t>
      </w:r>
      <w:r>
        <w:rPr>
          <w:rFonts w:hint="eastAsia" w:hAnsi="宋体"/>
          <w:szCs w:val="21"/>
          <w:lang w:eastAsia="zh-CN"/>
        </w:rPr>
        <w:t>。</w:t>
      </w:r>
    </w:p>
    <w:p w14:paraId="197D701E">
      <w:pPr>
        <w:pStyle w:val="4"/>
        <w:spacing w:before="50" w:line="360" w:lineRule="auto"/>
        <w:ind w:firstLine="720" w:firstLineChars="30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质量保证期满，</w:t>
      </w:r>
      <w:r>
        <w:rPr>
          <w:rFonts w:hAnsi="宋体"/>
          <w:b w:val="0"/>
          <w:bCs w:val="0"/>
          <w:color w:val="auto"/>
          <w:sz w:val="24"/>
          <w:szCs w:val="24"/>
          <w:highlight w:val="none"/>
        </w:rPr>
        <w:t>供应商</w:t>
      </w:r>
      <w:r>
        <w:rPr>
          <w:rFonts w:hint="eastAsia" w:hAnsi="宋体" w:cs="宋体"/>
          <w:b w:val="0"/>
          <w:bCs w:val="0"/>
          <w:color w:val="auto"/>
          <w:sz w:val="24"/>
          <w:szCs w:val="24"/>
          <w:highlight w:val="none"/>
        </w:rPr>
        <w:t>为</w:t>
      </w:r>
      <w:r>
        <w:rPr>
          <w:rFonts w:hAnsi="宋体"/>
          <w:b w:val="0"/>
          <w:bCs w:val="0"/>
          <w:color w:val="auto"/>
          <w:sz w:val="24"/>
          <w:szCs w:val="24"/>
          <w:highlight w:val="none"/>
        </w:rPr>
        <w:t>采购人</w:t>
      </w:r>
      <w:r>
        <w:rPr>
          <w:rFonts w:hint="eastAsia" w:hAnsi="宋体" w:cs="宋体"/>
          <w:b w:val="0"/>
          <w:bCs w:val="0"/>
          <w:color w:val="auto"/>
          <w:sz w:val="24"/>
          <w:szCs w:val="24"/>
          <w:highlight w:val="none"/>
        </w:rPr>
        <w:t>提供终身保修有偿服务。</w:t>
      </w:r>
    </w:p>
    <w:p w14:paraId="67131299">
      <w:pPr>
        <w:pStyle w:val="4"/>
        <w:spacing w:before="50" w:line="360" w:lineRule="auto"/>
        <w:ind w:left="719" w:leftChars="327" w:firstLine="0" w:firstLineChars="0"/>
        <w:rPr>
          <w:rFonts w:hint="eastAsia" w:hAnsi="宋体" w:cs="宋体"/>
          <w:b w:val="0"/>
          <w:bCs w:val="0"/>
          <w:color w:val="auto"/>
          <w:sz w:val="24"/>
          <w:szCs w:val="24"/>
          <w:highlight w:val="none"/>
        </w:rPr>
      </w:pPr>
      <w:r>
        <w:rPr>
          <w:rFonts w:hAnsi="宋体"/>
          <w:b w:val="0"/>
          <w:bCs w:val="0"/>
          <w:color w:val="auto"/>
          <w:sz w:val="24"/>
          <w:szCs w:val="24"/>
          <w:highlight w:val="none"/>
        </w:rPr>
        <w:t>供应商</w:t>
      </w:r>
      <w:r>
        <w:rPr>
          <w:rFonts w:hint="eastAsia" w:hAnsi="宋体"/>
          <w:szCs w:val="21"/>
        </w:rPr>
        <w:t>应在质保期满前三个月对设备做全面保养及性能检测，并出具相应的报告。</w:t>
      </w:r>
    </w:p>
    <w:p w14:paraId="352957EB">
      <w:pPr>
        <w:pStyle w:val="4"/>
        <w:numPr>
          <w:ilvl w:val="0"/>
          <w:numId w:val="0"/>
        </w:numPr>
        <w:spacing w:line="360" w:lineRule="auto"/>
        <w:ind w:left="720" w:leftChars="109" w:hanging="480" w:hangingChars="200"/>
        <w:rPr>
          <w:color w:val="auto"/>
          <w:sz w:val="24"/>
          <w:highlight w:val="none"/>
        </w:rPr>
      </w:pPr>
      <w:r>
        <w:rPr>
          <w:rFonts w:hint="eastAsia" w:hAnsi="宋体"/>
          <w:b w:val="0"/>
          <w:bCs w:val="0"/>
          <w:color w:val="auto"/>
          <w:sz w:val="24"/>
          <w:szCs w:val="24"/>
          <w:highlight w:val="none"/>
          <w:lang w:val="en-US" w:eastAsia="zh-CN"/>
        </w:rPr>
        <w:t xml:space="preserve">4.2 </w:t>
      </w:r>
      <w:r>
        <w:rPr>
          <w:rFonts w:hAnsi="宋体"/>
          <w:b w:val="0"/>
          <w:bCs w:val="0"/>
          <w:color w:val="auto"/>
          <w:sz w:val="24"/>
          <w:szCs w:val="24"/>
          <w:highlight w:val="none"/>
        </w:rPr>
        <w:t>供应商</w:t>
      </w:r>
      <w:r>
        <w:rPr>
          <w:rFonts w:hint="eastAsia" w:hAnsi="宋体" w:cs="宋体"/>
          <w:b w:val="0"/>
          <w:bCs w:val="0"/>
          <w:color w:val="auto"/>
          <w:sz w:val="24"/>
          <w:szCs w:val="24"/>
          <w:highlight w:val="none"/>
        </w:rPr>
        <w:t>还需要提供质量保证期（保修期）结束后，维保费用最高不超过合同金额5%的承诺。保修费用应含维保工时费、零配件费用和软件维护、升级费用，服务内容和细则与免费维保期相同。（含所有第三方辅助关联设备）</w:t>
      </w:r>
    </w:p>
    <w:p w14:paraId="53EE4015">
      <w:pPr>
        <w:spacing w:line="360" w:lineRule="auto"/>
        <w:contextualSpacing/>
        <w:rPr>
          <w:rFonts w:hint="default"/>
          <w:b/>
          <w:bCs/>
          <w:sz w:val="24"/>
          <w:szCs w:val="24"/>
          <w:highlight w:val="none"/>
          <w:lang w:val="en-US" w:eastAsia="zh-CN"/>
        </w:rPr>
      </w:pPr>
      <w:r>
        <w:rPr>
          <w:rFonts w:hint="eastAsia"/>
          <w:b/>
          <w:bCs/>
          <w:sz w:val="24"/>
          <w:szCs w:val="24"/>
          <w:highlight w:val="none"/>
          <w:lang w:val="en-US" w:eastAsia="zh-CN"/>
        </w:rPr>
        <w:t>三、技术要求</w:t>
      </w:r>
    </w:p>
    <w:p w14:paraId="3CF37A56">
      <w:pPr>
        <w:spacing w:line="360" w:lineRule="auto"/>
        <w:ind w:firstLine="241" w:firstLineChars="100"/>
        <w:contextualSpacing/>
        <w:rPr>
          <w:b/>
          <w:bCs/>
          <w:sz w:val="24"/>
          <w:szCs w:val="24"/>
          <w:highlight w:val="none"/>
          <w:lang w:eastAsia="zh-CN"/>
        </w:rPr>
      </w:pPr>
      <w:r>
        <w:rPr>
          <w:rFonts w:hint="eastAsia"/>
          <w:b/>
          <w:bCs/>
          <w:sz w:val="24"/>
          <w:szCs w:val="24"/>
          <w:highlight w:val="none"/>
          <w:lang w:eastAsia="zh-CN"/>
        </w:rPr>
        <w:t>1. 基本要求</w:t>
      </w:r>
    </w:p>
    <w:p w14:paraId="7600E0D8">
      <w:pPr>
        <w:spacing w:line="360" w:lineRule="auto"/>
        <w:ind w:firstLine="241" w:firstLineChars="100"/>
        <w:contextualSpacing/>
        <w:rPr>
          <w:b/>
          <w:bCs/>
          <w:sz w:val="24"/>
          <w:szCs w:val="24"/>
          <w:highlight w:val="none"/>
          <w:lang w:eastAsia="zh-CN"/>
        </w:rPr>
      </w:pPr>
      <w:r>
        <w:rPr>
          <w:rFonts w:hint="eastAsia"/>
          <w:b/>
          <w:bCs/>
          <w:sz w:val="24"/>
          <w:szCs w:val="24"/>
          <w:highlight w:val="none"/>
          <w:lang w:eastAsia="zh-CN"/>
        </w:rPr>
        <w:t>1.1 采购标的需实现的功能或者目标</w:t>
      </w:r>
    </w:p>
    <w:p w14:paraId="49EF15FC">
      <w:pPr>
        <w:adjustRightInd w:val="0"/>
        <w:spacing w:line="360" w:lineRule="auto"/>
        <w:ind w:firstLine="480" w:firstLineChars="200"/>
        <w:rPr>
          <w:sz w:val="24"/>
          <w:szCs w:val="24"/>
          <w:highlight w:val="none"/>
          <w:lang w:eastAsia="zh-CN"/>
        </w:rPr>
      </w:pPr>
      <w:r>
        <w:rPr>
          <w:rFonts w:hint="eastAsia"/>
          <w:sz w:val="24"/>
          <w:szCs w:val="24"/>
          <w:highlight w:val="none"/>
          <w:lang w:eastAsia="zh-CN"/>
        </w:rPr>
        <w:t>本次招标采购是为</w:t>
      </w:r>
      <w:r>
        <w:rPr>
          <w:rFonts w:hint="eastAsia"/>
          <w:kern w:val="2"/>
          <w:sz w:val="24"/>
          <w:szCs w:val="24"/>
          <w:highlight w:val="none"/>
          <w:lang w:eastAsia="zh-CN"/>
        </w:rPr>
        <w:t>首都医科大学附属北京天坛医院</w:t>
      </w:r>
      <w:r>
        <w:rPr>
          <w:rFonts w:hint="eastAsia"/>
          <w:sz w:val="24"/>
          <w:highlight w:val="none"/>
          <w:lang w:eastAsia="zh-CN"/>
        </w:rPr>
        <w:t>配置</w:t>
      </w:r>
      <w:r>
        <w:rPr>
          <w:rFonts w:hint="eastAsia" w:ascii="Arial Regular" w:hAnsi="Arial Regular" w:cs="Arial Regular"/>
          <w:bCs/>
          <w:sz w:val="24"/>
          <w:szCs w:val="24"/>
          <w:highlight w:val="none"/>
          <w:lang w:eastAsia="zh-CN"/>
        </w:rPr>
        <w:t>基本设备</w:t>
      </w:r>
      <w:r>
        <w:rPr>
          <w:rFonts w:hint="eastAsia"/>
          <w:sz w:val="24"/>
          <w:szCs w:val="24"/>
          <w:highlight w:val="none"/>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360" w:lineRule="auto"/>
        <w:ind w:firstLine="241" w:firstLineChars="100"/>
        <w:contextualSpacing/>
        <w:rPr>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526333D">
      <w:pPr>
        <w:autoSpaceDE/>
        <w:autoSpaceDN/>
        <w:spacing w:line="360" w:lineRule="auto"/>
        <w:ind w:left="240" w:leftChars="109" w:firstLine="240" w:firstLineChars="100"/>
        <w:rPr>
          <w:sz w:val="24"/>
          <w:szCs w:val="24"/>
          <w:highlight w:val="none"/>
          <w:lang w:eastAsia="zh-CN"/>
        </w:rPr>
      </w:pPr>
      <w:r>
        <w:rPr>
          <w:rFonts w:hint="eastAsia"/>
          <w:sz w:val="24"/>
          <w:szCs w:val="24"/>
          <w:highlight w:val="none"/>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autoSpaceDE/>
        <w:autoSpaceDN/>
        <w:spacing w:line="360" w:lineRule="auto"/>
        <w:ind w:left="240" w:leftChars="109" w:firstLine="240" w:firstLineChars="100"/>
        <w:rPr>
          <w:sz w:val="24"/>
          <w:szCs w:val="24"/>
          <w:highlight w:val="none"/>
          <w:lang w:eastAsia="zh-CN"/>
        </w:rPr>
      </w:pPr>
      <w:r>
        <w:rPr>
          <w:rFonts w:hint="eastAsia"/>
          <w:sz w:val="24"/>
          <w:szCs w:val="24"/>
          <w:highlight w:val="none"/>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8201F00">
      <w:pPr>
        <w:autoSpaceDE/>
        <w:autoSpaceDN/>
        <w:spacing w:line="360" w:lineRule="auto"/>
        <w:ind w:left="240" w:leftChars="109" w:firstLine="240" w:firstLineChars="100"/>
        <w:rPr>
          <w:sz w:val="24"/>
          <w:szCs w:val="24"/>
          <w:highlight w:val="none"/>
          <w:lang w:eastAsia="zh-CN"/>
        </w:rPr>
      </w:pPr>
      <w:r>
        <w:rPr>
          <w:rFonts w:hint="eastAsia"/>
          <w:sz w:val="24"/>
          <w:szCs w:val="24"/>
          <w:highlight w:val="none"/>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241" w:firstLineChars="100"/>
        <w:contextualSpacing/>
        <w:textAlignment w:val="auto"/>
        <w:rPr>
          <w:b/>
          <w:bCs/>
          <w:sz w:val="24"/>
          <w:szCs w:val="24"/>
          <w:highlight w:val="none"/>
          <w:lang w:eastAsia="zh-CN"/>
        </w:rPr>
      </w:pPr>
      <w:r>
        <w:rPr>
          <w:rFonts w:hint="eastAsia"/>
          <w:b/>
          <w:bCs/>
          <w:sz w:val="24"/>
          <w:szCs w:val="24"/>
          <w:highlight w:val="none"/>
          <w:lang w:eastAsia="zh-CN"/>
        </w:rPr>
        <w:t>2.服务内容及要求/货物技术要求</w:t>
      </w:r>
    </w:p>
    <w:p w14:paraId="42C84ED3">
      <w:pPr>
        <w:widowControl/>
        <w:spacing w:line="360" w:lineRule="auto"/>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采购标的需满足的性能、材料、结构、外观、质量、安全、技术规格、物理特性等要求；</w:t>
      </w:r>
    </w:p>
    <w:p w14:paraId="5A36605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品目1-1：麻醉机</w:t>
      </w:r>
    </w:p>
    <w:p w14:paraId="656A87E0">
      <w:pPr>
        <w:keepNext w:val="0"/>
        <w:keepLines w:val="0"/>
        <w:pageBreakBefore w:val="0"/>
        <w:kinsoku/>
        <w:wordWrap/>
        <w:overflowPunct/>
        <w:topLinePunct w:val="0"/>
        <w:bidi w:val="0"/>
        <w:spacing w:line="360" w:lineRule="auto"/>
        <w:ind w:left="0"/>
        <w:textAlignment w:val="auto"/>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lang w:val="en-US" w:eastAsia="zh-CN"/>
          <w14:textFill>
            <w14:solidFill>
              <w14:schemeClr w14:val="tx1"/>
            </w14:solidFill>
          </w14:textFill>
        </w:rPr>
        <w:t>一、</w:t>
      </w:r>
      <w:r>
        <w:rPr>
          <w:rFonts w:hint="eastAsia" w:ascii="宋体" w:hAnsi="宋体" w:eastAsia="宋体" w:cs="宋体"/>
          <w:b/>
          <w:bCs w:val="0"/>
          <w:color w:val="000000" w:themeColor="text1"/>
          <w:sz w:val="24"/>
          <w14:textFill>
            <w14:solidFill>
              <w14:schemeClr w14:val="tx1"/>
            </w14:solidFill>
          </w14:textFill>
        </w:rPr>
        <w:t>技术参数</w:t>
      </w:r>
    </w:p>
    <w:p w14:paraId="4A93657C">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1、适用于成人、小儿和新生儿的吸入麻醉及呼吸管理。</w:t>
      </w:r>
    </w:p>
    <w:p w14:paraId="7529729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2、主机通用参数：</w:t>
      </w:r>
    </w:p>
    <w:p w14:paraId="3FFFFA1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2.1、彩色液晶触摸显示屏≥15英寸。</w:t>
      </w:r>
    </w:p>
    <w:p w14:paraId="7B1A578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2.2、具有RS232通信接口、网络接口、USB接口。</w:t>
      </w:r>
    </w:p>
    <w:p w14:paraId="274D32A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2.3、具备工作台照明装置，亮度可调。</w:t>
      </w:r>
    </w:p>
    <w:p w14:paraId="7448CE23">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2.4、具有计时器，可显示手术从开始到结束的时间。</w:t>
      </w:r>
    </w:p>
    <w:p w14:paraId="2926DCF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2.5、具备主动式废气排放系统（AGSS）。</w:t>
      </w:r>
    </w:p>
    <w:p w14:paraId="4BA407F3">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2.6、具备内置锂电池，使用时间≥90min。</w:t>
      </w:r>
    </w:p>
    <w:p w14:paraId="16EDB6F0">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2.7、机架：带工作台推车，具备中央刹车系统。</w:t>
      </w:r>
    </w:p>
    <w:p w14:paraId="50B4374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3、麻醉部分</w:t>
      </w:r>
    </w:p>
    <w:p w14:paraId="0FFE91AF">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3.1、气源：</w:t>
      </w:r>
    </w:p>
    <w:p w14:paraId="65E91158">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3.1.1、具备氧气、空气两气源。</w:t>
      </w:r>
    </w:p>
    <w:p w14:paraId="0EC66115">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3.1.2、快速充氧范围：25～75 L/min。</w:t>
      </w:r>
    </w:p>
    <w:p w14:paraId="7597642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3.1.3、O</w:t>
      </w:r>
      <w:r>
        <w:rPr>
          <w:rFonts w:hint="eastAsia" w:ascii="宋体" w:hAnsi="宋体" w:eastAsia="宋体" w:cs="宋体"/>
          <w:bCs/>
          <w:color w:val="000000" w:themeColor="text1"/>
          <w:sz w:val="24"/>
          <w:vertAlign w:val="subscript"/>
          <w14:textFill>
            <w14:solidFill>
              <w14:schemeClr w14:val="tx1"/>
            </w14:solidFill>
          </w14:textFill>
        </w:rPr>
        <w:t xml:space="preserve">2 </w:t>
      </w:r>
      <w:r>
        <w:rPr>
          <w:rFonts w:hint="eastAsia" w:ascii="宋体" w:hAnsi="宋体" w:eastAsia="宋体" w:cs="宋体"/>
          <w:bCs/>
          <w:color w:val="000000" w:themeColor="text1"/>
          <w:sz w:val="24"/>
          <w14:textFill>
            <w14:solidFill>
              <w14:schemeClr w14:val="tx1"/>
            </w14:solidFill>
          </w14:textFill>
        </w:rPr>
        <w:t>浓度设置范围：21%～100%。</w:t>
      </w:r>
    </w:p>
    <w:p w14:paraId="7806C95C">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3.2、流量计：</w:t>
      </w:r>
    </w:p>
    <w:p w14:paraId="0970907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3.2.1、全电子流量计。可以设置成总流量模式，也可以设置成单管流量模式。</w:t>
      </w:r>
    </w:p>
    <w:p w14:paraId="65DF9461">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3.2.2、总流量范围：0.2-18 L/min@总流量控制模式。</w:t>
      </w:r>
    </w:p>
    <w:p w14:paraId="56D52A09">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3.2.3、具备备用流量计</w:t>
      </w:r>
    </w:p>
    <w:p w14:paraId="05229A83">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3.2.4、具备麻药消耗速度显示和总消耗量统计功能</w:t>
      </w:r>
    </w:p>
    <w:p w14:paraId="4F25E684">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3.2.5、具备辅助吸氧流量计。</w:t>
      </w:r>
    </w:p>
    <w:p w14:paraId="5A48FCEF">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3.3、挥发罐</w:t>
      </w:r>
    </w:p>
    <w:p w14:paraId="59A86E1C">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3.3.1、挥发罐位置≥2个；配备原厂柒氟醚挥发罐。</w:t>
      </w:r>
    </w:p>
    <w:p w14:paraId="6BAC209D">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3.3.2、挥发罐通具备压力、流速和温度补偿功能</w:t>
      </w:r>
    </w:p>
    <w:p w14:paraId="6427E27B">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3.4、呼吸回路</w:t>
      </w:r>
    </w:p>
    <w:p w14:paraId="4D6E07D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3.4.1、一体化集成回路，回路部件可以耐受134℃高温高压消毒。</w:t>
      </w:r>
    </w:p>
    <w:p w14:paraId="19F0B78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3.4.2、二氧化碳吸收罐容积：≥1500mL。</w:t>
      </w:r>
    </w:p>
    <w:p w14:paraId="6AE577BC">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3.4.3、具有回路整体加温功能。</w:t>
      </w:r>
    </w:p>
    <w:p w14:paraId="3600367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3.4.4、具备自动CO</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旁路功能，在机械通气过程中，无需关停机械通气，可直接更换二氧化碳吸收罐。</w:t>
      </w:r>
    </w:p>
    <w:p w14:paraId="16229976">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3.4.5、呼吸系统泄漏量：≤60mL/min@3.0kPa压力条件下。</w:t>
      </w:r>
    </w:p>
    <w:p w14:paraId="10D0C2FB">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4、呼吸机部分：</w:t>
      </w:r>
    </w:p>
    <w:p w14:paraId="69528EE7">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4.1、气动电控呼吸机，全中文操作和显示</w:t>
      </w:r>
    </w:p>
    <w:p w14:paraId="35ED5586">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4.2、具备辅助/控制通气功能，通气模式：容量控制（VCV）、压力控制（PCV）、压力控制容量保证通气（PCV-VG）和同步间歇指令性通气SIMV（SIMV-VC、SIMV-PC）</w:t>
      </w:r>
    </w:p>
    <w:p w14:paraId="26EB9D9D">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4.3、参数设置范围：</w:t>
      </w:r>
    </w:p>
    <w:p w14:paraId="11CAB9E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4.3.1、潮气量：10mL～1500mL@VCV模式。</w:t>
      </w:r>
    </w:p>
    <w:p w14:paraId="6A93B041">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4.3.2、吸气压力：5～80cmH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w:t>
      </w:r>
    </w:p>
    <w:p w14:paraId="7A3D56A6">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4.3.3、支持压力：0，3cmH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O～60cmH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w:t>
      </w:r>
    </w:p>
    <w:p w14:paraId="3F8463B4">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4.3.4、呼吸频率：2～100次/min。</w:t>
      </w:r>
    </w:p>
    <w:p w14:paraId="113CC394">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4.3.5、吸呼比：4:1～1:8。</w:t>
      </w:r>
    </w:p>
    <w:p w14:paraId="5D073E4F">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4.3.6、压力限制：10～100cmH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w:t>
      </w:r>
    </w:p>
    <w:p w14:paraId="16E1E1DE">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4.3.8、电子PEEP：OFF，3cmH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O～30cmH</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O。</w:t>
      </w:r>
    </w:p>
    <w:p w14:paraId="7A486E31">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4.3.9、吸气暂停设置范围：OFF，5%～60%。</w:t>
      </w:r>
    </w:p>
    <w:p w14:paraId="2D578157">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4.4、最大吸气流速：≥160 L/min。</w:t>
      </w:r>
    </w:p>
    <w:p w14:paraId="3B341919">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4.5、具备肺保护工具，支持单周期和多周期复张。</w:t>
      </w:r>
    </w:p>
    <w:p w14:paraId="1B748CC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5、参数监测</w:t>
      </w:r>
    </w:p>
    <w:p w14:paraId="11754CB4">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5.1、内置≥3个插件槽，可直接热插拔插件。</w:t>
      </w:r>
    </w:p>
    <w:p w14:paraId="782D8AB9">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sz w:val="24"/>
        </w:rPr>
      </w:pPr>
      <w:r>
        <w:rPr>
          <w:rFonts w:hint="eastAsia" w:ascii="宋体" w:hAnsi="宋体" w:eastAsia="宋体" w:cs="宋体"/>
          <w:bCs/>
          <w:color w:val="000000" w:themeColor="text1"/>
          <w:sz w:val="24"/>
          <w14:textFill>
            <w14:solidFill>
              <w14:schemeClr w14:val="tx1"/>
            </w14:solidFill>
          </w14:textFill>
        </w:rPr>
        <w:t>5.2、</w:t>
      </w:r>
      <w:r>
        <w:rPr>
          <w:rFonts w:hint="eastAsia" w:ascii="宋体" w:hAnsi="宋体" w:eastAsia="宋体" w:cs="宋体"/>
          <w:bCs/>
          <w:sz w:val="24"/>
        </w:rPr>
        <w:t>麻醉气体监测模块：</w:t>
      </w:r>
    </w:p>
    <w:p w14:paraId="3ECB24EA">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t>5.2.1、</w:t>
      </w:r>
      <w:r>
        <w:rPr>
          <w:rFonts w:hint="eastAsia" w:ascii="宋体" w:hAnsi="宋体" w:eastAsia="宋体" w:cs="宋体"/>
          <w:bCs/>
          <w:color w:val="000000" w:themeColor="text1"/>
          <w:sz w:val="24"/>
          <w14:textFill>
            <w14:solidFill>
              <w14:schemeClr w14:val="tx1"/>
            </w14:solidFill>
          </w14:textFill>
        </w:rPr>
        <w:t>可监测吸入、呼末气体浓度，可自动识别≥5种麻药</w:t>
      </w:r>
    </w:p>
    <w:p w14:paraId="186F6F67">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5.2.2、顺磁氧浓度监测。</w:t>
      </w:r>
    </w:p>
    <w:p w14:paraId="58F211F9">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5.2.3、具备最低肺泡浓度（MAC）监测功能，MAC监测值根据病人的年龄修正，可同时监测体内的2种麻药。</w:t>
      </w:r>
    </w:p>
    <w:p w14:paraId="0C83C9D5">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5.3、潮气量监测范围：0～3000mL。</w:t>
      </w:r>
    </w:p>
    <w:p w14:paraId="61D83DD6">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5.4、分钟通气量监测范围：0～100L/min。</w:t>
      </w:r>
    </w:p>
    <w:p w14:paraId="269BC0BC">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5.5、可同屏显示波形包括压力时间波形、流速时间波形、容量时间波形、 CO</w:t>
      </w:r>
      <w:r>
        <w:rPr>
          <w:rFonts w:hint="eastAsia" w:ascii="宋体" w:hAnsi="宋体" w:eastAsia="宋体" w:cs="宋体"/>
          <w:bCs/>
          <w:color w:val="000000" w:themeColor="text1"/>
          <w:sz w:val="24"/>
          <w:vertAlign w:val="subscript"/>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或麻醉气体浓度波形。</w:t>
      </w:r>
    </w:p>
    <w:p w14:paraId="69301265">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5.6、具备三级声光报警功能。</w:t>
      </w:r>
    </w:p>
    <w:p w14:paraId="367F124B">
      <w:pPr>
        <w:keepNext w:val="0"/>
        <w:keepLines w:val="0"/>
        <w:pageBreakBefore w:val="0"/>
        <w:kinsoku/>
        <w:wordWrap/>
        <w:overflowPunct/>
        <w:topLinePunct w:val="0"/>
        <w:bidi w:val="0"/>
        <w:spacing w:line="360" w:lineRule="auto"/>
        <w:ind w:left="0"/>
        <w:textAlignment w:val="auto"/>
        <w:rPr>
          <w:rFonts w:hint="eastAsia" w:ascii="宋体" w:hAnsi="宋体" w:eastAsia="宋体" w:cs="宋体"/>
          <w:bCs/>
          <w:sz w:val="24"/>
        </w:rPr>
      </w:pPr>
      <w:r>
        <w:rPr>
          <w:rFonts w:hint="eastAsia" w:ascii="宋体" w:hAnsi="宋体" w:eastAsia="宋体" w:cs="宋体"/>
          <w:bCs/>
          <w:sz w:val="24"/>
          <w:lang w:val="en-US" w:eastAsia="zh-CN"/>
        </w:rPr>
        <w:t>二</w:t>
      </w:r>
      <w:r>
        <w:rPr>
          <w:rFonts w:hint="eastAsia" w:ascii="宋体" w:hAnsi="宋体" w:eastAsia="宋体" w:cs="宋体"/>
          <w:bCs/>
          <w:sz w:val="24"/>
        </w:rPr>
        <w:t>、主要配置</w:t>
      </w:r>
    </w:p>
    <w:p w14:paraId="2F330454">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sz w:val="24"/>
        </w:rPr>
      </w:pPr>
      <w:r>
        <w:rPr>
          <w:rFonts w:hint="eastAsia" w:ascii="宋体" w:hAnsi="宋体" w:eastAsia="宋体" w:cs="宋体"/>
          <w:bCs/>
          <w:sz w:val="24"/>
        </w:rPr>
        <w:t>1、主机：1台。</w:t>
      </w:r>
    </w:p>
    <w:p w14:paraId="274DEFE0">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sz w:val="24"/>
        </w:rPr>
      </w:pPr>
      <w:r>
        <w:rPr>
          <w:rFonts w:hint="eastAsia" w:ascii="宋体" w:hAnsi="宋体" w:eastAsia="宋体" w:cs="宋体"/>
          <w:bCs/>
          <w:sz w:val="24"/>
        </w:rPr>
        <w:t>2、原厂七氟醚挥发罐：1个。</w:t>
      </w:r>
    </w:p>
    <w:p w14:paraId="45049310">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Cs/>
          <w:sz w:val="24"/>
        </w:rPr>
      </w:pPr>
      <w:r>
        <w:rPr>
          <w:rFonts w:hint="eastAsia" w:ascii="宋体" w:hAnsi="宋体" w:eastAsia="宋体" w:cs="宋体"/>
          <w:bCs/>
          <w:sz w:val="24"/>
        </w:rPr>
        <w:t>3、主动式废气排放系统（AGSS）：1套.</w:t>
      </w:r>
    </w:p>
    <w:p w14:paraId="283820D3">
      <w:pPr>
        <w:keepNext w:val="0"/>
        <w:keepLines w:val="0"/>
        <w:pageBreakBefore w:val="0"/>
        <w:kinsoku/>
        <w:wordWrap/>
        <w:overflowPunct/>
        <w:topLinePunct w:val="0"/>
        <w:bidi w:val="0"/>
        <w:spacing w:line="360" w:lineRule="auto"/>
        <w:ind w:left="0"/>
        <w:jc w:val="left"/>
        <w:textAlignment w:val="auto"/>
        <w:rPr>
          <w:rFonts w:hint="eastAsia" w:ascii="宋体" w:hAnsi="宋体" w:eastAsia="宋体" w:cs="宋体"/>
          <w:b/>
          <w:bCs w:val="0"/>
          <w:sz w:val="24"/>
          <w:highlight w:val="none"/>
          <w:lang w:eastAsia="zh-CN"/>
        </w:rPr>
      </w:pPr>
      <w:r>
        <w:rPr>
          <w:rFonts w:hint="eastAsia" w:ascii="宋体" w:hAnsi="宋体" w:eastAsia="宋体" w:cs="宋体"/>
          <w:bCs/>
          <w:sz w:val="24"/>
        </w:rPr>
        <w:t>4、麻醉气体监测模块：1个。</w:t>
      </w:r>
    </w:p>
    <w:p w14:paraId="76303713">
      <w:pPr>
        <w:keepNext w:val="0"/>
        <w:keepLines w:val="0"/>
        <w:pageBreakBefore w:val="0"/>
        <w:widowControl/>
        <w:kinsoku/>
        <w:wordWrap/>
        <w:overflowPunct/>
        <w:topLinePunct w:val="0"/>
        <w:autoSpaceDE w:val="0"/>
        <w:autoSpaceDN w:val="0"/>
        <w:bidi w:val="0"/>
        <w:adjustRightInd w:val="0"/>
        <w:snapToGrid w:val="0"/>
        <w:spacing w:line="360" w:lineRule="auto"/>
        <w:ind w:left="0" w:hanging="720"/>
        <w:textAlignment w:val="auto"/>
        <w:rPr>
          <w:rFonts w:hint="eastAsia" w:ascii="宋体" w:hAnsi="宋体" w:eastAsia="宋体" w:cs="宋体"/>
          <w:b/>
          <w:bCs w:val="0"/>
          <w:sz w:val="24"/>
          <w:highlight w:val="none"/>
          <w:lang w:eastAsia="zh-CN"/>
        </w:rPr>
      </w:pPr>
    </w:p>
    <w:p w14:paraId="66C1E9D5">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品目1-2：高压注射器</w:t>
      </w:r>
    </w:p>
    <w:p w14:paraId="4490C9C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highlight w:val="none"/>
        </w:rPr>
      </w:pPr>
      <w:r>
        <w:rPr>
          <w:rFonts w:hint="eastAsia" w:ascii="宋体" w:hAnsi="宋体" w:eastAsia="宋体" w:cs="宋体"/>
          <w:sz w:val="24"/>
          <w:highlight w:val="none"/>
        </w:rPr>
        <w:t>1、注射通道：≥</w:t>
      </w:r>
      <w:r>
        <w:rPr>
          <w:rFonts w:hint="eastAsia" w:ascii="宋体" w:hAnsi="宋体" w:eastAsia="宋体" w:cs="宋体"/>
          <w:sz w:val="24"/>
          <w:highlight w:val="none"/>
          <w:lang w:val="en-US" w:eastAsia="zh-CN"/>
        </w:rPr>
        <w:t>单</w:t>
      </w:r>
      <w:r>
        <w:rPr>
          <w:rFonts w:hint="eastAsia" w:ascii="宋体" w:hAnsi="宋体" w:eastAsia="宋体" w:cs="宋体"/>
          <w:sz w:val="24"/>
          <w:highlight w:val="none"/>
        </w:rPr>
        <w:t>通道。</w:t>
      </w:r>
    </w:p>
    <w:p w14:paraId="5788D48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2、控制系统：</w:t>
      </w:r>
    </w:p>
    <w:p w14:paraId="74FF6B4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2.1、彩色液晶触摸显示屏≥7英寸,中文操作界面。</w:t>
      </w:r>
    </w:p>
    <w:p w14:paraId="5573C9E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2.2、可显示流速、注射液量、压力限值、针筒中剩余流量。</w:t>
      </w:r>
    </w:p>
    <w:p w14:paraId="0BD13C4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2.3、具备注射头位置传感器，可监控注射头的正确位置。</w:t>
      </w:r>
    </w:p>
    <w:p w14:paraId="3FCF6F1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2.4、储存方案：≥40个。</w:t>
      </w:r>
    </w:p>
    <w:p w14:paraId="647B07D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2.5、最多预设相数：≥4相。</w:t>
      </w:r>
    </w:p>
    <w:p w14:paraId="3F199C6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2.6、存储注射历史记录: ≥50次最近注射。</w:t>
      </w:r>
    </w:p>
    <w:p w14:paraId="5AD4743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2.7、具备造影成像系统接口。可与造影成像系统连接，实现注射和X射线曝光同步。</w:t>
      </w:r>
    </w:p>
    <w:p w14:paraId="52DC12C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3、通过灭菌手控开关可实现变流速注射，注射速度调节范围：1～10mL/s，调节步长≤0.1mL/s</w:t>
      </w:r>
    </w:p>
    <w:p w14:paraId="595ED74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4、针筒保温套温度：37℃±0.5℃</w:t>
      </w:r>
    </w:p>
    <w:p w14:paraId="41F3A69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5、卸下针筒后推杆自动回缩、具备自动吸药功能。</w:t>
      </w:r>
    </w:p>
    <w:p w14:paraId="38DFA3D7">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6、参数设置：</w:t>
      </w:r>
    </w:p>
    <w:p w14:paraId="017F3F87">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6.1、吸药速度设置范围：1～10 mL/s，调节步长≤1mL/s。</w:t>
      </w:r>
    </w:p>
    <w:p w14:paraId="34385D1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6.2、注射速度设置范围（单次和分阶段）：0.1～45.0mL/s，调节步长≤0.1mL/s。</w:t>
      </w:r>
    </w:p>
    <w:p w14:paraId="2FC0BC2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6.3、注射剂量设置范围: 1mL～150mL, 调节步长≤1mL。</w:t>
      </w:r>
    </w:p>
    <w:p w14:paraId="2B6DADA7">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6.4、上升、下降时间设置范围: 0～9.9s，调节步长≤0.1s。</w:t>
      </w:r>
    </w:p>
    <w:p w14:paraId="7CDEA158">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6.5、压力设置范围: 100～1200psi, 调节步长≤1psi。</w:t>
      </w:r>
    </w:p>
    <w:p w14:paraId="66DD6B0A">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6.6、注射/X线延时设置范围：0.0～99.9s，调节步长≤0.1s。</w:t>
      </w:r>
    </w:p>
    <w:p w14:paraId="1CE816DD">
      <w:pPr>
        <w:keepNext w:val="0"/>
        <w:keepLines w:val="0"/>
        <w:pageBreakBefore w:val="0"/>
        <w:widowControl/>
        <w:kinsoku/>
        <w:wordWrap/>
        <w:overflowPunct/>
        <w:topLinePunct w:val="0"/>
        <w:autoSpaceDE w:val="0"/>
        <w:autoSpaceDN w:val="0"/>
        <w:bidi w:val="0"/>
        <w:adjustRightInd w:val="0"/>
        <w:snapToGrid w:val="0"/>
        <w:spacing w:line="360" w:lineRule="auto"/>
        <w:ind w:left="0" w:hanging="720"/>
        <w:textAlignment w:val="auto"/>
        <w:rPr>
          <w:rFonts w:hint="eastAsia" w:ascii="宋体" w:hAnsi="宋体" w:eastAsia="宋体" w:cs="宋体"/>
          <w:b/>
          <w:bCs w:val="0"/>
          <w:sz w:val="24"/>
          <w:highlight w:val="none"/>
          <w:lang w:eastAsia="zh-CN"/>
        </w:rPr>
      </w:pPr>
    </w:p>
    <w:p w14:paraId="4AD92D80">
      <w:pPr>
        <w:keepNext w:val="0"/>
        <w:keepLines w:val="0"/>
        <w:pageBreakBefore w:val="0"/>
        <w:kinsoku/>
        <w:wordWrap/>
        <w:overflowPunct/>
        <w:topLinePunct w:val="0"/>
        <w:bidi w:val="0"/>
        <w:spacing w:line="360" w:lineRule="auto"/>
        <w:ind w:left="0"/>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品目1-3：抢救车</w:t>
      </w:r>
    </w:p>
    <w:p w14:paraId="52A8EE05">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规格：</w:t>
      </w:r>
      <w:r>
        <w:rPr>
          <w:rFonts w:hint="eastAsia" w:ascii="宋体" w:hAnsi="宋体" w:eastAsia="宋体" w:cs="宋体"/>
          <w:sz w:val="24"/>
          <w:lang w:eastAsia="zh-CN"/>
        </w:rPr>
        <w:t>≥</w:t>
      </w:r>
      <w:r>
        <w:rPr>
          <w:rFonts w:hint="eastAsia" w:ascii="宋体" w:hAnsi="宋体" w:eastAsia="宋体" w:cs="宋体"/>
          <w:sz w:val="24"/>
        </w:rPr>
        <w:t>650*450*9</w:t>
      </w:r>
      <w:r>
        <w:rPr>
          <w:rFonts w:hint="eastAsia" w:ascii="宋体" w:hAnsi="宋体" w:eastAsia="宋体" w:cs="宋体"/>
          <w:sz w:val="24"/>
          <w:lang w:val="en-US" w:eastAsia="zh-CN"/>
        </w:rPr>
        <w:t>5</w:t>
      </w:r>
      <w:r>
        <w:rPr>
          <w:rFonts w:hint="eastAsia" w:ascii="宋体" w:hAnsi="宋体" w:eastAsia="宋体" w:cs="宋体"/>
          <w:sz w:val="24"/>
        </w:rPr>
        <w:t>0mm</w:t>
      </w:r>
    </w:p>
    <w:p w14:paraId="5B25C5F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材质：不锈钢（304#）/铝合金型材。</w:t>
      </w:r>
    </w:p>
    <w:p w14:paraId="3D88A53E">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脚轮直径</w:t>
      </w:r>
      <w:r>
        <w:rPr>
          <w:rFonts w:hint="eastAsia" w:ascii="宋体" w:hAnsi="宋体" w:eastAsia="宋体" w:cs="宋体"/>
          <w:sz w:val="24"/>
          <w:lang w:eastAsia="zh-CN"/>
        </w:rPr>
        <w:t>≥</w:t>
      </w:r>
      <w:r>
        <w:rPr>
          <w:rFonts w:hint="eastAsia" w:ascii="宋体" w:hAnsi="宋体" w:eastAsia="宋体" w:cs="宋体"/>
          <w:sz w:val="24"/>
        </w:rPr>
        <w:t>100mm，材</w:t>
      </w:r>
      <w:r>
        <w:rPr>
          <w:rFonts w:hint="eastAsia" w:ascii="宋体" w:hAnsi="宋体" w:eastAsia="宋体" w:cs="宋体"/>
          <w:sz w:val="24"/>
          <w:lang w:val="en-US" w:eastAsia="zh-CN"/>
        </w:rPr>
        <w:t>质</w:t>
      </w:r>
      <w:r>
        <w:rPr>
          <w:rFonts w:hint="eastAsia" w:ascii="宋体" w:hAnsi="宋体" w:eastAsia="宋体" w:cs="宋体"/>
          <w:sz w:val="24"/>
        </w:rPr>
        <w:t>：聚氨酯，防缠绕，</w:t>
      </w:r>
      <w:r>
        <w:rPr>
          <w:rFonts w:hint="eastAsia" w:ascii="宋体" w:hAnsi="宋体" w:eastAsia="宋体" w:cs="宋体"/>
          <w:sz w:val="24"/>
          <w:lang w:val="en-US" w:eastAsia="zh-CN"/>
        </w:rPr>
        <w:t>配备≥</w:t>
      </w:r>
      <w:r>
        <w:rPr>
          <w:rFonts w:hint="eastAsia" w:ascii="宋体" w:hAnsi="宋体" w:eastAsia="宋体" w:cs="宋体"/>
          <w:sz w:val="24"/>
        </w:rPr>
        <w:t>2个刹车脚轮。</w:t>
      </w:r>
    </w:p>
    <w:p w14:paraId="23BD7C4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输液架 1个</w:t>
      </w:r>
    </w:p>
    <w:p w14:paraId="4FBD3085">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仪器拖盘1个</w:t>
      </w:r>
    </w:p>
    <w:p w14:paraId="200971D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心肺复苏版1个</w:t>
      </w:r>
    </w:p>
    <w:p w14:paraId="0F6A8AFB">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氧气瓶支架1</w:t>
      </w:r>
    </w:p>
    <w:p w14:paraId="20C3631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w:t>
      </w:r>
      <w:r>
        <w:rPr>
          <w:rFonts w:hint="eastAsia" w:ascii="宋体" w:hAnsi="宋体" w:eastAsia="宋体" w:cs="宋体"/>
          <w:sz w:val="24"/>
        </w:rPr>
        <w:t>电源固定板1个</w:t>
      </w:r>
    </w:p>
    <w:p w14:paraId="6C85A3DA">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b w:val="0"/>
          <w:bCs w:val="0"/>
          <w:sz w:val="24"/>
          <w:szCs w:val="24"/>
        </w:rPr>
      </w:pPr>
    </w:p>
    <w:p w14:paraId="433A799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品目1-4：除颤起搏监护仪</w:t>
      </w:r>
    </w:p>
    <w:p w14:paraId="193F0890">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、技术参数</w:t>
      </w:r>
    </w:p>
    <w:p w14:paraId="588D517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1、具备监护、自动除颤（AED）、手动除颤和同步电复律功能；</w:t>
      </w:r>
    </w:p>
    <w:p w14:paraId="4B75B08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2、除颤波形：双相波</w:t>
      </w:r>
    </w:p>
    <w:p w14:paraId="712BE580">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3、最高除颤能量：≥300J，最小除颤能量≤1J，除颤能量≥15档可调。</w:t>
      </w:r>
    </w:p>
    <w:p w14:paraId="1A59400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4、ECG监护≥3 导，包含成人、儿童、新生儿模式；</w:t>
      </w:r>
    </w:p>
    <w:p w14:paraId="5138454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5、彩色液晶显示屏≥6.0英寸，可同屏显示≥3道波形</w:t>
      </w:r>
      <w:r>
        <w:rPr>
          <w:rFonts w:hint="eastAsia" w:ascii="宋体" w:hAnsi="宋体" w:eastAsia="宋体" w:cs="宋体"/>
          <w:sz w:val="24"/>
          <w:lang w:eastAsia="zh-CN"/>
        </w:rPr>
        <w:t>；</w:t>
      </w:r>
    </w:p>
    <w:p w14:paraId="2C674AAB">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6、具备屏幕快照功能</w:t>
      </w:r>
      <w:r>
        <w:rPr>
          <w:rFonts w:hint="eastAsia" w:ascii="宋体" w:hAnsi="宋体" w:eastAsia="宋体" w:cs="宋体"/>
          <w:sz w:val="24"/>
          <w:lang w:eastAsia="zh-CN"/>
        </w:rPr>
        <w:t>；</w:t>
      </w:r>
    </w:p>
    <w:p w14:paraId="374362A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7、电池：可充电电池，满电情况下最大能量除颤≥100 次，监护≥4h；</w:t>
      </w:r>
    </w:p>
    <w:p w14:paraId="598DF00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8、可提示剩余工作时长或剩余电量</w:t>
      </w:r>
      <w:r>
        <w:rPr>
          <w:rFonts w:hint="eastAsia" w:ascii="宋体" w:hAnsi="宋体" w:eastAsia="宋体" w:cs="宋体"/>
          <w:sz w:val="24"/>
          <w:lang w:eastAsia="zh-CN"/>
        </w:rPr>
        <w:t>；</w:t>
      </w:r>
    </w:p>
    <w:p w14:paraId="4B099971">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9、具备成人/儿童一体化体外除颤手柄，手柄具备打印按钮；</w:t>
      </w:r>
    </w:p>
    <w:p w14:paraId="2D9409F8">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10、具备成人一体化体内除颤手柄；</w:t>
      </w:r>
    </w:p>
    <w:p w14:paraId="273E198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11、具备 CPR 反馈功能，能实时显示按压深度和频率信息；</w:t>
      </w:r>
    </w:p>
    <w:p w14:paraId="4772215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12、起搏</w:t>
      </w:r>
    </w:p>
    <w:p w14:paraId="6FA09BA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12.1、具备起搏功能，模式：固定、按需</w:t>
      </w:r>
      <w:r>
        <w:rPr>
          <w:rFonts w:hint="eastAsia" w:ascii="宋体" w:hAnsi="宋体" w:eastAsia="宋体" w:cs="宋体"/>
          <w:sz w:val="24"/>
          <w:lang w:eastAsia="zh-CN"/>
        </w:rPr>
        <w:t>；</w:t>
      </w:r>
    </w:p>
    <w:p w14:paraId="016A928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12.2、具备起搏暂停功能；起搏率及起搏电流步进≤2ppm/mA</w:t>
      </w:r>
      <w:r>
        <w:rPr>
          <w:rFonts w:hint="eastAsia" w:ascii="宋体" w:hAnsi="宋体" w:eastAsia="宋体" w:cs="宋体"/>
          <w:sz w:val="24"/>
          <w:lang w:eastAsia="zh-CN"/>
        </w:rPr>
        <w:t>；</w:t>
      </w:r>
    </w:p>
    <w:p w14:paraId="3C23D33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13、自检功能</w:t>
      </w:r>
    </w:p>
    <w:p w14:paraId="263D7AAA">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13.1、具备开机自检、手动放电自检等功能；可通过自检模块进行≥30J 充放电检测；</w:t>
      </w:r>
    </w:p>
    <w:p w14:paraId="5048E60B">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13.2、手动自检成功后，自动打印自检报告</w:t>
      </w:r>
      <w:r>
        <w:rPr>
          <w:rFonts w:hint="eastAsia" w:ascii="宋体" w:hAnsi="宋体" w:eastAsia="宋体" w:cs="宋体"/>
          <w:sz w:val="24"/>
          <w:lang w:eastAsia="zh-CN"/>
        </w:rPr>
        <w:t>；</w:t>
      </w:r>
    </w:p>
    <w:p w14:paraId="5415878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14、机身最大内存≥2G</w:t>
      </w:r>
      <w:r>
        <w:rPr>
          <w:rFonts w:hint="eastAsia" w:ascii="宋体" w:hAnsi="宋体" w:eastAsia="宋体" w:cs="宋体"/>
          <w:sz w:val="24"/>
          <w:lang w:eastAsia="zh-CN"/>
        </w:rPr>
        <w:t>；</w:t>
      </w:r>
    </w:p>
    <w:p w14:paraId="526B39D8">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eastAsia="zh-CN"/>
        </w:rPr>
      </w:pPr>
      <w:r>
        <w:rPr>
          <w:rFonts w:hint="eastAsia" w:ascii="宋体" w:hAnsi="宋体" w:eastAsia="宋体" w:cs="宋体"/>
          <w:sz w:val="24"/>
        </w:rPr>
        <w:t>15、具备 USB接口，可读取、导出数据</w:t>
      </w:r>
      <w:r>
        <w:rPr>
          <w:rFonts w:hint="eastAsia" w:ascii="宋体" w:hAnsi="宋体" w:eastAsia="宋体" w:cs="宋体"/>
          <w:sz w:val="24"/>
          <w:lang w:eastAsia="zh-CN"/>
        </w:rPr>
        <w:t>；</w:t>
      </w:r>
    </w:p>
    <w:p w14:paraId="51636D8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16、具备全中文 CPR 及抢救事件分析回顾软件。</w:t>
      </w:r>
    </w:p>
    <w:p w14:paraId="62D888D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、主要配置：</w:t>
      </w:r>
    </w:p>
    <w:p w14:paraId="6B48EA01">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1、除颤仪主机：1台。</w:t>
      </w:r>
    </w:p>
    <w:p w14:paraId="0D5C71A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2、充电电池：1块。</w:t>
      </w:r>
    </w:p>
    <w:p w14:paraId="49F8C82E">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3、成人</w:t>
      </w:r>
      <w:r>
        <w:rPr>
          <w:rFonts w:hint="eastAsia" w:ascii="宋体" w:hAnsi="宋体" w:eastAsia="宋体" w:cs="宋体"/>
          <w:sz w:val="24"/>
          <w:lang w:val="en-US" w:eastAsia="zh-CN"/>
        </w:rPr>
        <w:t>/</w:t>
      </w:r>
      <w:r>
        <w:rPr>
          <w:rFonts w:hint="eastAsia" w:ascii="宋体" w:hAnsi="宋体" w:eastAsia="宋体" w:cs="宋体"/>
          <w:sz w:val="24"/>
        </w:rPr>
        <w:t>儿童一体化体外除颤手柄：1副。</w:t>
      </w:r>
    </w:p>
    <w:p w14:paraId="628FC34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7F45C4BA">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品目1-5：移动式防护屏</w:t>
      </w:r>
    </w:p>
    <w:p w14:paraId="7FCD2102">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1.铅当量≥2.0mmPb</w:t>
      </w:r>
    </w:p>
    <w:p w14:paraId="2EB7AE4C">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2.屏风尺寸（mm）≥H1800*W900；带进口铅玻璃尺寸≥H250*W250</w:t>
      </w:r>
    </w:p>
    <w:p w14:paraId="06F92683">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3.透明部分采用防划覆膜高透光率铅玻璃材料；</w:t>
      </w:r>
    </w:p>
    <w:p w14:paraId="499A107D">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4.材料具备抗冲击性；</w:t>
      </w:r>
    </w:p>
    <w:p w14:paraId="7F80EBDB">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5.不透明部分内部为铅复合板，表面为拉丝不锈钢板材料；</w:t>
      </w:r>
    </w:p>
    <w:p w14:paraId="06924FA8">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6.屏风不变形，安全可靠；</w:t>
      </w:r>
    </w:p>
    <w:p w14:paraId="505ED3FE">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7.屏风配有带刹车功能的静音脚轮，主体材质：增强尼龙，轮芯材质：工程聚丙，轮胶材质：高弹性热塑弹性体，全部材料均抗菌、抗老化、防腐蚀。</w:t>
      </w:r>
    </w:p>
    <w:p w14:paraId="36B2257D">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8.产品符合GBZ130-2020《医用X射线诊断放射防护要求》和YY/T 0292.1-2020</w:t>
      </w:r>
    </w:p>
    <w:p w14:paraId="5EB711E4">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《医用诊断X射线辐射防护器具第1部分:材料衰减性能的测定》。</w:t>
      </w:r>
    </w:p>
    <w:p w14:paraId="35956B31">
      <w:pPr>
        <w:keepNext w:val="0"/>
        <w:keepLines w:val="0"/>
        <w:pageBreakBefore w:val="0"/>
        <w:numPr>
          <w:ilvl w:val="0"/>
          <w:numId w:val="0"/>
        </w:numPr>
        <w:kinsoku/>
        <w:wordWrap/>
        <w:overflowPunct/>
        <w:topLinePunct w:val="0"/>
        <w:bidi w:val="0"/>
        <w:spacing w:line="360" w:lineRule="auto"/>
        <w:ind w:left="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zh-CN"/>
        </w:rPr>
        <w:t>材料满足对达到400 kV的X 射线管电压产生的X 射线辐射和光子能量达到1.3 MeV 的放射性核素发射产生的γ辐射提供防护。</w:t>
      </w:r>
    </w:p>
    <w:p w14:paraId="1ED8E89D">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0708383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品目1-6：多道心电图机</w:t>
      </w:r>
    </w:p>
    <w:p w14:paraId="304A9DA3">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一、用途</w:t>
      </w:r>
      <w:r>
        <w:rPr>
          <w:rFonts w:hint="eastAsia" w:ascii="宋体" w:hAnsi="宋体" w:eastAsia="宋体" w:cs="宋体"/>
          <w:kern w:val="0"/>
          <w:sz w:val="24"/>
          <w:szCs w:val="24"/>
        </w:rPr>
        <w:t>：</w:t>
      </w:r>
    </w:p>
    <w:p w14:paraId="1A947CAE">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静息12导联心电图、计算法18导联心电图、二阶梯实验、运动后检查、RR间期检查。</w:t>
      </w:r>
    </w:p>
    <w:p w14:paraId="434B7025">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二、技术参数</w:t>
      </w:r>
    </w:p>
    <w:p w14:paraId="52B9ABFF">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导联选择：自动或手动。</w:t>
      </w:r>
    </w:p>
    <w:p w14:paraId="04F6546B">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输入保护：导联线内附除颤保护电路。</w:t>
      </w:r>
    </w:p>
    <w:p w14:paraId="420EBCCE">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AD采样率：≥750000 Hz/Ch。</w:t>
      </w:r>
    </w:p>
    <w:p w14:paraId="177DD5A0">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输入阻抗：≥50MΩ。</w:t>
      </w:r>
    </w:p>
    <w:p w14:paraId="0BD22EA5">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耐极化电压：≥±550mV。</w:t>
      </w:r>
    </w:p>
    <w:p w14:paraId="54E16AC8">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共模抑制比：≥105dB。</w:t>
      </w:r>
    </w:p>
    <w:p w14:paraId="7522A516">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频率响应：0.5Hz-500H</w:t>
      </w:r>
    </w:p>
    <w:p w14:paraId="181280A9">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标准灵敏度：10mm/mV, 误差≤±5%。</w:t>
      </w:r>
    </w:p>
    <w:p w14:paraId="6396801E">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时间常数：≥4.2秒。</w:t>
      </w:r>
    </w:p>
    <w:p w14:paraId="75EA4204">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滤波器：低通滤波、肌电滤波、交流滤波、基线抑制滤波。</w:t>
      </w:r>
    </w:p>
    <w:p w14:paraId="59C58DC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具备</w:t>
      </w:r>
      <w:r>
        <w:rPr>
          <w:rFonts w:hint="eastAsia" w:ascii="宋体" w:hAnsi="宋体" w:eastAsia="宋体" w:cs="宋体"/>
          <w:kern w:val="0"/>
          <w:sz w:val="24"/>
          <w:szCs w:val="24"/>
        </w:rPr>
        <w:t>不正常状态检测</w:t>
      </w:r>
      <w:r>
        <w:rPr>
          <w:rFonts w:hint="eastAsia" w:ascii="宋体" w:hAnsi="宋体" w:eastAsia="宋体" w:cs="宋体"/>
          <w:kern w:val="0"/>
          <w:sz w:val="24"/>
          <w:szCs w:val="24"/>
          <w:lang w:val="en-US" w:eastAsia="zh-CN"/>
        </w:rPr>
        <w:t>功能，至少包括：</w:t>
      </w:r>
      <w:r>
        <w:rPr>
          <w:rFonts w:hint="eastAsia" w:ascii="宋体" w:hAnsi="宋体" w:eastAsia="宋体" w:cs="宋体"/>
          <w:kern w:val="0"/>
          <w:sz w:val="24"/>
          <w:szCs w:val="24"/>
        </w:rPr>
        <w:t>电极脱落报警，高频噪声过高报警。</w:t>
      </w:r>
    </w:p>
    <w:p w14:paraId="790A82C7">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电极脱落：液晶显示器显示脱落部位。</w:t>
      </w:r>
    </w:p>
    <w:p w14:paraId="6DAD0AE3">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操作模式：可自动或手动，自动操作时支持实时或回顾记录。</w:t>
      </w:r>
    </w:p>
    <w:p w14:paraId="1EF18A8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具备心律失常检测并自动延长记录功能。</w:t>
      </w:r>
    </w:p>
    <w:p w14:paraId="69A8DB69">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支持≥3分钟波形冻结记录模式。</w:t>
      </w:r>
    </w:p>
    <w:p w14:paraId="3EF198C0">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波形质量检测：可实现波形质量稳定情况下，设备自动开始记录。</w:t>
      </w:r>
    </w:p>
    <w:p w14:paraId="52059B74">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17</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配备</w:t>
      </w:r>
      <w:r>
        <w:rPr>
          <w:rFonts w:hint="eastAsia" w:ascii="宋体" w:hAnsi="宋体" w:eastAsia="宋体" w:cs="宋体"/>
          <w:kern w:val="0"/>
          <w:sz w:val="24"/>
          <w:szCs w:val="24"/>
        </w:rPr>
        <w:t>≥7.8</w:t>
      </w:r>
      <w:r>
        <w:rPr>
          <w:rFonts w:hint="eastAsia" w:ascii="宋体" w:hAnsi="宋体" w:eastAsia="宋体" w:cs="宋体"/>
          <w:kern w:val="0"/>
          <w:sz w:val="24"/>
          <w:szCs w:val="24"/>
          <w:lang w:val="en-US" w:eastAsia="zh-CN"/>
        </w:rPr>
        <w:t>英寸</w:t>
      </w:r>
      <w:r>
        <w:rPr>
          <w:rFonts w:hint="eastAsia" w:ascii="宋体" w:hAnsi="宋体" w:eastAsia="宋体" w:cs="宋体"/>
          <w:kern w:val="0"/>
          <w:sz w:val="24"/>
          <w:szCs w:val="24"/>
        </w:rPr>
        <w:t>液晶显示</w:t>
      </w:r>
      <w:r>
        <w:rPr>
          <w:rFonts w:hint="eastAsia" w:ascii="宋体" w:hAnsi="宋体" w:eastAsia="宋体" w:cs="宋体"/>
          <w:kern w:val="0"/>
          <w:sz w:val="24"/>
          <w:szCs w:val="24"/>
          <w:lang w:val="en-US" w:eastAsia="zh-CN"/>
        </w:rPr>
        <w:t>屏</w:t>
      </w:r>
      <w:r>
        <w:rPr>
          <w:rFonts w:hint="eastAsia" w:ascii="宋体" w:hAnsi="宋体" w:eastAsia="宋体" w:cs="宋体"/>
          <w:kern w:val="0"/>
          <w:sz w:val="24"/>
          <w:szCs w:val="24"/>
        </w:rPr>
        <w:t>。</w:t>
      </w:r>
    </w:p>
    <w:p w14:paraId="203EC4A4">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记录器：内置高分辨率热线阵打印,可同步打印12道心电波形。</w:t>
      </w:r>
    </w:p>
    <w:p w14:paraId="7112953A">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打印网格：具备在无网格纸上打印网格功能。</w:t>
      </w:r>
    </w:p>
    <w:p w14:paraId="1628D5FC">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输出设备：可直连打印机，打印A4尺寸报告。</w:t>
      </w:r>
    </w:p>
    <w:p w14:paraId="46825BD1">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支持计算法18导联心电图报告打印。</w:t>
      </w:r>
    </w:p>
    <w:p w14:paraId="404B590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走纸速度：10, 12.5, 25，50mm/S。</w:t>
      </w:r>
    </w:p>
    <w:p w14:paraId="2EC84365">
      <w:pPr>
        <w:keepNext w:val="0"/>
        <w:keepLines w:val="0"/>
        <w:pageBreakBefore w:val="0"/>
        <w:kinsoku/>
        <w:wordWrap/>
        <w:overflowPunct/>
        <w:topLinePunct w:val="0"/>
        <w:bidi w:val="0"/>
        <w:spacing w:line="360" w:lineRule="auto"/>
        <w:ind w:left="0" w:hanging="240" w:hanging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电极噪声标记：双模式（屏幕，报告）提示，点划线热敏标记打印，热敏</w:t>
      </w:r>
    </w:p>
    <w:p w14:paraId="65C1D780">
      <w:pPr>
        <w:keepNext w:val="0"/>
        <w:keepLines w:val="0"/>
        <w:pageBreakBefore w:val="0"/>
        <w:kinsoku/>
        <w:wordWrap/>
        <w:overflowPunct/>
        <w:topLinePunct w:val="0"/>
        <w:bidi w:val="0"/>
        <w:spacing w:line="360" w:lineRule="auto"/>
        <w:ind w:left="0" w:hanging="240" w:hanging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报告可显示噪声、脱落的具体时间段；</w:t>
      </w:r>
    </w:p>
    <w:p w14:paraId="7D744A8E">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模拟信号打印：具备外部信号输入接口，可打印心音脉波放大器等外部机器的模拟信号；</w:t>
      </w:r>
    </w:p>
    <w:p w14:paraId="3AC4D96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QTc算法：≥4种</w:t>
      </w:r>
    </w:p>
    <w:p w14:paraId="3FB1CD88">
      <w:pPr>
        <w:keepNext w:val="0"/>
        <w:keepLines w:val="0"/>
        <w:pageBreakBefore w:val="0"/>
        <w:kinsoku/>
        <w:wordWrap/>
        <w:overflowPunct/>
        <w:topLinePunct w:val="0"/>
        <w:bidi w:val="0"/>
        <w:spacing w:line="360" w:lineRule="auto"/>
        <w:ind w:left="0" w:hanging="240" w:hanging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测量分析：具备12导联心电性别年龄特异性算法，支持超过40种心电相关</w:t>
      </w:r>
    </w:p>
    <w:p w14:paraId="23984272">
      <w:pPr>
        <w:keepNext w:val="0"/>
        <w:keepLines w:val="0"/>
        <w:pageBreakBefore w:val="0"/>
        <w:kinsoku/>
        <w:wordWrap/>
        <w:overflowPunct/>
        <w:topLinePunct w:val="0"/>
        <w:bidi w:val="0"/>
        <w:spacing w:line="360" w:lineRule="auto"/>
        <w:ind w:left="0" w:hanging="240" w:hanging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参数自动测量</w:t>
      </w:r>
    </w:p>
    <w:p w14:paraId="63B5D7EE">
      <w:pPr>
        <w:keepNext w:val="0"/>
        <w:keepLines w:val="0"/>
        <w:pageBreakBefore w:val="0"/>
        <w:kinsoku/>
        <w:wordWrap/>
        <w:overflowPunct/>
        <w:topLinePunct w:val="0"/>
        <w:bidi w:val="0"/>
        <w:spacing w:line="360" w:lineRule="auto"/>
        <w:ind w:left="0" w:hanging="240" w:hanging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测量分析：具备18导联心电图右胸后壁导联独立分析及18导联</w:t>
      </w:r>
    </w:p>
    <w:p w14:paraId="63605DC5">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自动测量参数：包括心率、PR间期、QT/QTc、P/QRS/T电轴、RV5/SV1电压等值。</w:t>
      </w:r>
    </w:p>
    <w:p w14:paraId="11A408F0">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29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外部输入：10mm/0.5V±5%，输入阻抗≥100kΩ。</w:t>
      </w:r>
    </w:p>
    <w:p w14:paraId="286FBC43">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其它输出接口：USB/SD。</w:t>
      </w:r>
    </w:p>
    <w:p w14:paraId="5ADFD78B">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存储和传输：内置≥800份心电图，扩展支持≥3000份外部设备存储。</w:t>
      </w:r>
    </w:p>
    <w:p w14:paraId="5697EC67">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输入设备：可连接条码枪、读卡器。</w:t>
      </w:r>
    </w:p>
    <w:p w14:paraId="489D2834">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需具备系统登录加密功能，开启后可实现用户使用密码登录。</w:t>
      </w:r>
    </w:p>
    <w:p w14:paraId="1DF4BAAC">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34</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配备</w:t>
      </w:r>
      <w:r>
        <w:rPr>
          <w:rFonts w:hint="eastAsia" w:ascii="宋体" w:hAnsi="宋体" w:eastAsia="宋体" w:cs="宋体"/>
          <w:kern w:val="0"/>
          <w:sz w:val="24"/>
          <w:szCs w:val="24"/>
        </w:rPr>
        <w:t>LAN有线网络接口，内置WIFI网络连接。</w:t>
      </w:r>
    </w:p>
    <w:p w14:paraId="0BD1A646">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数据存储格式：PDF/XML/DAT。</w:t>
      </w:r>
    </w:p>
    <w:p w14:paraId="242E14B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数据传输方式：DICOM/ECTP。</w:t>
      </w:r>
    </w:p>
    <w:p w14:paraId="6C2B7432">
      <w:pPr>
        <w:keepNext w:val="0"/>
        <w:keepLines w:val="0"/>
        <w:pageBreakBefore w:val="0"/>
        <w:kinsoku/>
        <w:wordWrap/>
        <w:overflowPunct/>
        <w:topLinePunct w:val="0"/>
        <w:bidi w:val="0"/>
        <w:spacing w:line="360" w:lineRule="auto"/>
        <w:ind w:left="0"/>
        <w:textAlignment w:val="auto"/>
        <w:rPr>
          <w:rFonts w:hint="eastAsia" w:ascii="宋体" w:hAnsi="宋体" w:eastAsia="宋体" w:cs="宋体"/>
          <w:kern w:val="0"/>
          <w:sz w:val="24"/>
          <w:szCs w:val="24"/>
        </w:rPr>
      </w:pPr>
      <w:r>
        <w:rPr>
          <w:rFonts w:hint="eastAsia" w:ascii="宋体" w:hAnsi="宋体" w:eastAsia="宋体" w:cs="宋体"/>
          <w:kern w:val="0"/>
          <w:sz w:val="24"/>
          <w:szCs w:val="24"/>
        </w:rPr>
        <w:t>37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安全性：电击防护类型: I类CF型。</w:t>
      </w:r>
    </w:p>
    <w:p w14:paraId="172F295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kern w:val="0"/>
          <w:sz w:val="24"/>
          <w:szCs w:val="24"/>
        </w:rPr>
        <w:t>38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交流：100-240±10%。</w:t>
      </w:r>
    </w:p>
    <w:p w14:paraId="28CFD4EA">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3CE31C0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品目1-7：多参数生理监护仪</w:t>
      </w:r>
    </w:p>
    <w:p w14:paraId="4ABC27A2">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、主要用途：用于围手术期成人、小儿和新生儿生命体征监测。</w:t>
      </w:r>
    </w:p>
    <w:p w14:paraId="0191D926">
      <w:pPr>
        <w:keepNext w:val="0"/>
        <w:keepLines w:val="0"/>
        <w:pageBreakBefore w:val="0"/>
        <w:numPr>
          <w:ilvl w:val="0"/>
          <w:numId w:val="0"/>
        </w:numPr>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、技术参数：</w:t>
      </w:r>
    </w:p>
    <w:p w14:paraId="234BC45B">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1、主机</w:t>
      </w:r>
    </w:p>
    <w:p w14:paraId="024BAFA0">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1.1、插件式监护仪，主机、插件槽、显示屏一体化，主机插件槽数≥5个。</w:t>
      </w:r>
    </w:p>
    <w:p w14:paraId="37835FB8">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1.2、彩色触摸显示屏：≥17英寸，分辨率≥1920×1080，全中文操作界面，具备多点触控功能。</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具备镜像显示屏1个，</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英寸，分辨率≥1920×1080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不需要远程操控</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7A4D1F2">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1.3、波形显示通道数≥12。</w:t>
      </w:r>
    </w:p>
    <w:p w14:paraId="5F7346B1">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1.4、存储容量≥4G</w:t>
      </w:r>
    </w:p>
    <w:p w14:paraId="6C7EFD3F">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1.5、主机具备USB接口，可以支持连接存储介质、鼠标、键盘、条码扫描枪。</w:t>
      </w:r>
    </w:p>
    <w:p w14:paraId="7B8E9C43">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1.6、具备有线、无线网络接口，可通过有线、无线方式联入中央监护站。</w:t>
      </w:r>
    </w:p>
    <w:p w14:paraId="41D0E42D">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1.7、具备声光三级报警功能，报警上下限可调。</w:t>
      </w:r>
    </w:p>
    <w:p w14:paraId="109F8B7E">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1.8、具有药物浓度、血流动力学、通气、氧合、肾功能计算功能。</w:t>
      </w:r>
    </w:p>
    <w:p w14:paraId="2C4301F7">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1.9、具备趋势共存界面、呼吸氧合图界面、大字体显示界面及标准显示界面。</w:t>
      </w:r>
    </w:p>
    <w:p w14:paraId="2EC70B61">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1.10、配备可充电电池，支持主机工作≥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h。</w:t>
      </w:r>
    </w:p>
    <w:p w14:paraId="58CD0FC5">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2、转运检测模块：</w:t>
      </w:r>
    </w:p>
    <w:p w14:paraId="477535F7">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2.1、从主机拔出后可独立使用，具备心电、呼吸、血氧饱和度、无创血压、脉搏、双通道体温、双通道有创压监测功能。</w:t>
      </w:r>
    </w:p>
    <w:p w14:paraId="4FE424A4">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2.2、彩色液晶触摸屏≥5英寸，分辨率≥800×400。</w:t>
      </w:r>
    </w:p>
    <w:p w14:paraId="3C3AA177">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2.3、内置锂电池，支持模块工作时间≥4h。</w:t>
      </w:r>
    </w:p>
    <w:p w14:paraId="7EC170EE">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2.4、防水标准：≥IPX3。</w:t>
      </w:r>
    </w:p>
    <w:p w14:paraId="594089C3">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bookmarkStart w:id="11" w:name="OLE_LINK7"/>
      <w:bookmarkStart w:id="12" w:name="OLE_LINK6"/>
      <w:r>
        <w:rPr>
          <w:rFonts w:hint="eastAsia" w:ascii="宋体" w:hAnsi="宋体" w:eastAsia="宋体" w:cs="宋体"/>
          <w:color w:val="000000" w:themeColor="text1"/>
          <w:sz w:val="24"/>
          <w:szCs w:val="24"/>
          <w14:textFill>
            <w14:solidFill>
              <w14:schemeClr w14:val="tx1"/>
            </w14:solidFill>
          </w14:textFill>
        </w:rPr>
        <w:t>2.5、心电监测</w:t>
      </w:r>
      <w:bookmarkEnd w:id="11"/>
      <w:bookmarkEnd w:id="12"/>
    </w:p>
    <w:p w14:paraId="55704FE9">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2.5.1、3导或5导联心电监测</w:t>
      </w:r>
    </w:p>
    <w:p w14:paraId="4801E859">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2.5.2、心率测量范围：20～350bpm；分辨率：≤1bpm；误差：不超过±1 bpm。</w:t>
      </w:r>
    </w:p>
    <w:p w14:paraId="57E319B9">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2.5.3、心率失常分析≥20种；具备起搏分析功能。</w:t>
      </w:r>
    </w:p>
    <w:p w14:paraId="0DFA998A">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2.5.4、具有ST段分析和ST模板。</w:t>
      </w:r>
    </w:p>
    <w:p w14:paraId="5D9920AF">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2.6、呼吸监测</w:t>
      </w:r>
    </w:p>
    <w:p w14:paraId="1AE65D25">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2.6.1、监测方法：胸阻抗法。</w:t>
      </w:r>
    </w:p>
    <w:p w14:paraId="345640D8">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2.6.2、呼吸监测范围：0～200 rpm。</w:t>
      </w:r>
    </w:p>
    <w:p w14:paraId="5D2324B0">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2.6.3、窒息报警时间设置范围：0～40s。</w:t>
      </w:r>
    </w:p>
    <w:p w14:paraId="095ED1FE">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2.7、血氧饱和度监测</w:t>
      </w:r>
    </w:p>
    <w:p w14:paraId="4EA798AB">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2.7.1、血氧饱和度范围：0～100%；分辨率：≤1%。</w:t>
      </w:r>
    </w:p>
    <w:p w14:paraId="22F740D5">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2.7.2、抗运动、抗弱灌注，可同时显示灌注指数（PI）。</w:t>
      </w:r>
    </w:p>
    <w:p w14:paraId="252CE690">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2.8、无创血压监测</w:t>
      </w:r>
    </w:p>
    <w:p w14:paraId="5D4C2CF7">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2.8.1、测量技术：震荡法。</w:t>
      </w:r>
    </w:p>
    <w:p w14:paraId="3BB75E93">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2.8.2、测量模式：手动、自动、连续。</w:t>
      </w:r>
    </w:p>
    <w:p w14:paraId="78F3C361">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2.8.3、测量范围：10～290mmHg。</w:t>
      </w:r>
    </w:p>
    <w:p w14:paraId="46C46E24">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2.8.4、具有成人、小儿、新生儿分段过压保护功能。</w:t>
      </w:r>
    </w:p>
    <w:p w14:paraId="092F9FBE">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2.8.5、具备辅助静脉穿刺功能。</w:t>
      </w:r>
    </w:p>
    <w:p w14:paraId="4489BD7E">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2.9、有创压监测：可监测压力包括但不限于：肺动脉压（PA）、主动脉压（Ao）、中心静脉压（CVP）、脐动脉压（UAP）、脑灌注压（CPP）、颅内压（ICP）等</w:t>
      </w:r>
    </w:p>
    <w:p w14:paraId="1C02369D">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2.10、双通道体温和双通道有创压可同时监测</w:t>
      </w:r>
    </w:p>
    <w:p w14:paraId="0BDA2E38">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3、麻醉气体监测模块</w:t>
      </w:r>
    </w:p>
    <w:p w14:paraId="619E3292">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3.1、测量气体：O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、NO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和5种麻醉气体，并自动识别2种麻醉药物。</w:t>
      </w:r>
    </w:p>
    <w:p w14:paraId="37C5A6DF">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3.2、氧浓度监测：采用顺磁氧监测技术。</w:t>
      </w:r>
    </w:p>
    <w:p w14:paraId="7957C33B">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、具备最低肺泡浓度（MAC）监测功能，MAC监测值根据病人的年龄修正。</w:t>
      </w:r>
    </w:p>
    <w:p w14:paraId="792255BE">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4、脑电双频指数（BIS）监测模块：</w:t>
      </w:r>
    </w:p>
    <w:p w14:paraId="276DF17F">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4.1、可监测大脑意识深度，并可同时在显示屏上显示。</w:t>
      </w:r>
    </w:p>
    <w:p w14:paraId="0503F27B">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4.2、测量参数：脑电信号（EEG）、BIS数值（0-100）。</w:t>
      </w:r>
    </w:p>
    <w:p w14:paraId="51803B9E">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5、肌松监测模块</w:t>
      </w:r>
    </w:p>
    <w:p w14:paraId="3CDBDE7C">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5.1、具备神经肌电传导NMT监测，能够360度识别运动。</w:t>
      </w:r>
    </w:p>
    <w:p w14:paraId="1E593240">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5.2、支持</w:t>
      </w:r>
      <w:bookmarkStart w:id="13" w:name="OLE_LINK8"/>
      <w:bookmarkStart w:id="14" w:name="OLE_LINK9"/>
      <w:r>
        <w:rPr>
          <w:rFonts w:hint="eastAsia" w:ascii="宋体" w:hAnsi="宋体" w:eastAsia="宋体" w:cs="宋体"/>
          <w:color w:val="000000" w:themeColor="text1"/>
          <w:sz w:val="24"/>
          <w:szCs w:val="24"/>
          <w14:textFill>
            <w14:solidFill>
              <w14:schemeClr w14:val="tx1"/>
            </w14:solidFill>
          </w14:textFill>
        </w:rPr>
        <w:t>TOF、ST0.1、ST1.0</w:t>
      </w:r>
      <w:bookmarkEnd w:id="13"/>
      <w:bookmarkEnd w:id="14"/>
      <w:r>
        <w:rPr>
          <w:rFonts w:hint="eastAsia" w:ascii="宋体" w:hAnsi="宋体" w:eastAsia="宋体" w:cs="宋体"/>
          <w:color w:val="000000" w:themeColor="text1"/>
          <w:sz w:val="24"/>
          <w:szCs w:val="24"/>
          <w14:textFill>
            <w14:solidFill>
              <w14:schemeClr w14:val="tx1"/>
            </w14:solidFill>
          </w14:textFill>
        </w:rPr>
        <w:t>、DBS3.2、DBS3.3、PTC测量模式。</w:t>
      </w:r>
    </w:p>
    <w:p w14:paraId="7DE005AF">
      <w:pPr>
        <w:keepNext w:val="0"/>
        <w:keepLines w:val="0"/>
        <w:pageBreakBefore w:val="0"/>
        <w:kinsoku/>
        <w:wordWrap/>
        <w:overflowPunct/>
        <w:topLinePunct w:val="0"/>
        <w:bidi w:val="0"/>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、主要配置（单台）： </w:t>
      </w:r>
    </w:p>
    <w:p w14:paraId="2BD65257">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1、主机：1台。</w:t>
      </w:r>
    </w:p>
    <w:p w14:paraId="408ADA39">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2、转运模块：1个。</w:t>
      </w:r>
    </w:p>
    <w:p w14:paraId="5F6A258D">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lang w:val="en-US" w:eastAsia="zh-CN"/>
        </w:rPr>
        <w:t>全功能麻醉气体监测模块</w:t>
      </w:r>
      <w:r>
        <w:rPr>
          <w:rFonts w:hint="eastAsia" w:ascii="宋体" w:hAnsi="宋体" w:eastAsia="宋体" w:cs="宋体"/>
          <w:sz w:val="24"/>
          <w:szCs w:val="24"/>
        </w:rPr>
        <w:t>：1个。</w:t>
      </w:r>
    </w:p>
    <w:p w14:paraId="4CEBCE1B">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4、脑电BIS</w:t>
      </w:r>
      <w:bookmarkStart w:id="15" w:name="OLE_LINK12"/>
      <w:bookmarkStart w:id="16" w:name="OLE_LINK13"/>
      <w:r>
        <w:rPr>
          <w:rFonts w:hint="eastAsia" w:ascii="宋体" w:hAnsi="宋体" w:eastAsia="宋体" w:cs="宋体"/>
          <w:sz w:val="24"/>
          <w:szCs w:val="24"/>
        </w:rPr>
        <w:t>监测模块：</w:t>
      </w:r>
      <w:bookmarkEnd w:id="15"/>
      <w:bookmarkEnd w:id="16"/>
      <w:r>
        <w:rPr>
          <w:rFonts w:hint="eastAsia" w:ascii="宋体" w:hAnsi="宋体" w:eastAsia="宋体" w:cs="宋体"/>
          <w:sz w:val="24"/>
          <w:szCs w:val="24"/>
        </w:rPr>
        <w:t>1个。</w:t>
      </w:r>
    </w:p>
    <w:p w14:paraId="30B14518">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5、肌松模块监测模块：1个。</w:t>
      </w:r>
    </w:p>
    <w:p w14:paraId="713D04D2">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6、24英寸镜像显示屏：1个。</w:t>
      </w:r>
    </w:p>
    <w:p w14:paraId="3329AFBD">
      <w:pPr>
        <w:keepNext w:val="0"/>
        <w:keepLines w:val="0"/>
        <w:pageBreakBefore w:val="0"/>
        <w:kinsoku/>
        <w:wordWrap/>
        <w:overflowPunct/>
        <w:topLinePunct w:val="0"/>
        <w:bidi w:val="0"/>
        <w:spacing w:after="0" w:line="360" w:lineRule="auto"/>
        <w:ind w:lef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7、锂电池：1块。</w:t>
      </w:r>
    </w:p>
    <w:p w14:paraId="1B936CF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47ABE7F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品目1-8：可视喉镜</w:t>
      </w:r>
    </w:p>
    <w:p w14:paraId="0794F4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、技术参数：</w:t>
      </w:r>
    </w:p>
    <w:p w14:paraId="6AF32403">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1、主机：</w:t>
      </w:r>
    </w:p>
    <w:p w14:paraId="3F4D6A89">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1.1、同一主机可兼容窥视叶片手柄、硬管手柄、软管手柄。</w:t>
      </w:r>
    </w:p>
    <w:p w14:paraId="09036D85">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1.2、液晶触摸显示屏≥3.5英寸，分辨率≥640×480，视场角≥160°，可戴手套触摸操作。</w:t>
      </w:r>
    </w:p>
    <w:p w14:paraId="6AA1F039">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1.3、显示器上下最大转动角度≥130º，左右最大转动角度≥270º。</w:t>
      </w:r>
    </w:p>
    <w:p w14:paraId="46EA1BCE">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1.4、可一键拍照、录像、录音，可在主机上回放。</w:t>
      </w:r>
    </w:p>
    <w:p w14:paraId="44EB3D45">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1.5、主机与各种手柄均可带电一键插拔连接、分离。</w:t>
      </w:r>
    </w:p>
    <w:p w14:paraId="2439170E">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1.6、具备HDMI接口，可外接显示器。</w:t>
      </w:r>
    </w:p>
    <w:p w14:paraId="4C175C36">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1.7、内置锂电池，具备电量管理功能，断电情况下工作时间≥240min。</w:t>
      </w:r>
    </w:p>
    <w:p w14:paraId="41E70821">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2、窥视叶片手柄</w:t>
      </w:r>
    </w:p>
    <w:p w14:paraId="7F33A752">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2.1、采用数字电子成像技术，空间分辨率≥10lp/mm。</w:t>
      </w:r>
    </w:p>
    <w:p w14:paraId="55C47E85">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2.2、调节多功能手柄，同一手柄可满足婴幼儿、小儿、成人的插管需求。</w:t>
      </w:r>
    </w:p>
    <w:p w14:paraId="32D9A226">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2.3、手柄滑竿采用304不锈钢材质，可承受≥90kg拉力。</w:t>
      </w:r>
    </w:p>
    <w:p w14:paraId="7746FAE6">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2.4、光源照度：≥1000lx。</w:t>
      </w:r>
    </w:p>
    <w:p w14:paraId="0AB610F6">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2.5、手柄前端配备自动温控加热板，非LED灯加热，具备即时防雾功能。</w:t>
      </w:r>
    </w:p>
    <w:p w14:paraId="58699307">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2.6、最小开口度≤13mm。</w:t>
      </w:r>
    </w:p>
    <w:p w14:paraId="609B8A7E">
      <w:pPr>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2.7、手柄可适配婴幼儿型、儿童型、成人型、成人大号型一次性窥视叶片和可重复使用窥视叶片。</w:t>
      </w:r>
    </w:p>
    <w:p w14:paraId="00EB562B">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、主要配置：</w:t>
      </w:r>
    </w:p>
    <w:p w14:paraId="29D948B8">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1、主机：1台。</w:t>
      </w:r>
    </w:p>
    <w:p w14:paraId="3696C20F">
      <w:pPr>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2、窥视叶片手柄：1把。</w:t>
      </w:r>
    </w:p>
    <w:p w14:paraId="3CA4826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082A3A9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品目1-9：血气血氧电解质和代谢物分析仪</w:t>
      </w:r>
    </w:p>
    <w:p w14:paraId="2D894BBA">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1、方法学：电流计、电位测定法</w:t>
      </w:r>
    </w:p>
    <w:p w14:paraId="7515D97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2、样本类型：全血样本</w:t>
      </w:r>
    </w:p>
    <w:p w14:paraId="5271CE88">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3、兼容注射器、毛细导管或安瓿瓶，无须适配器。</w:t>
      </w:r>
    </w:p>
    <w:p w14:paraId="473E0D3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4、进样方式：自动进样。</w:t>
      </w:r>
    </w:p>
    <w:p w14:paraId="2D5234C6">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5、最小样本体积：≤70µL。</w:t>
      </w:r>
    </w:p>
    <w:p w14:paraId="6BAD69B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6、测试速度：≤40s。</w:t>
      </w:r>
    </w:p>
    <w:p w14:paraId="4CCF411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7、实测参数：pH、pCO</w:t>
      </w:r>
      <w:r>
        <w:rPr>
          <w:rFonts w:hint="eastAsia" w:ascii="宋体" w:hAnsi="宋体" w:eastAsia="宋体" w:cs="宋体"/>
          <w:sz w:val="24"/>
          <w:vertAlign w:val="subscript"/>
        </w:rPr>
        <w:t>2</w:t>
      </w:r>
      <w:r>
        <w:rPr>
          <w:rFonts w:hint="eastAsia" w:ascii="宋体" w:hAnsi="宋体" w:eastAsia="宋体" w:cs="宋体"/>
          <w:sz w:val="24"/>
        </w:rPr>
        <w:t>、pO</w:t>
      </w:r>
      <w:r>
        <w:rPr>
          <w:rFonts w:hint="eastAsia" w:ascii="宋体" w:hAnsi="宋体" w:eastAsia="宋体" w:cs="宋体"/>
          <w:sz w:val="24"/>
          <w:vertAlign w:val="subscript"/>
        </w:rPr>
        <w:t>2</w:t>
      </w:r>
      <w:r>
        <w:rPr>
          <w:rFonts w:hint="eastAsia" w:ascii="宋体" w:hAnsi="宋体" w:eastAsia="宋体" w:cs="宋体"/>
          <w:sz w:val="24"/>
        </w:rPr>
        <w:t>、cK</w:t>
      </w:r>
      <w:r>
        <w:rPr>
          <w:rFonts w:hint="eastAsia" w:ascii="宋体" w:hAnsi="宋体" w:eastAsia="宋体" w:cs="宋体"/>
          <w:sz w:val="24"/>
          <w:vertAlign w:val="superscript"/>
        </w:rPr>
        <w:t>+</w:t>
      </w:r>
      <w:r>
        <w:rPr>
          <w:rFonts w:hint="eastAsia" w:ascii="宋体" w:hAnsi="宋体" w:eastAsia="宋体" w:cs="宋体"/>
          <w:sz w:val="24"/>
        </w:rPr>
        <w:t>、cNa</w:t>
      </w:r>
      <w:r>
        <w:rPr>
          <w:rFonts w:hint="eastAsia" w:ascii="宋体" w:hAnsi="宋体" w:eastAsia="宋体" w:cs="宋体"/>
          <w:sz w:val="24"/>
          <w:vertAlign w:val="superscript"/>
        </w:rPr>
        <w:t>+</w:t>
      </w:r>
      <w:r>
        <w:rPr>
          <w:rFonts w:hint="eastAsia" w:ascii="宋体" w:hAnsi="宋体" w:eastAsia="宋体" w:cs="宋体"/>
          <w:sz w:val="24"/>
        </w:rPr>
        <w:t>、cCa</w:t>
      </w:r>
      <w:r>
        <w:rPr>
          <w:rFonts w:hint="eastAsia" w:ascii="宋体" w:hAnsi="宋体" w:eastAsia="宋体" w:cs="宋体"/>
          <w:sz w:val="24"/>
          <w:vertAlign w:val="superscript"/>
        </w:rPr>
        <w:t>2+</w:t>
      </w:r>
      <w:r>
        <w:rPr>
          <w:rFonts w:hint="eastAsia" w:ascii="宋体" w:hAnsi="宋体" w:eastAsia="宋体" w:cs="宋体"/>
          <w:sz w:val="24"/>
        </w:rPr>
        <w:t>、cCl</w:t>
      </w:r>
      <w:r>
        <w:rPr>
          <w:rFonts w:hint="eastAsia" w:ascii="宋体" w:hAnsi="宋体" w:eastAsia="宋体" w:cs="宋体"/>
          <w:sz w:val="24"/>
          <w:vertAlign w:val="superscript"/>
        </w:rPr>
        <w:t>–</w:t>
      </w:r>
      <w:r>
        <w:rPr>
          <w:rFonts w:hint="eastAsia" w:ascii="宋体" w:hAnsi="宋体" w:eastAsia="宋体" w:cs="宋体"/>
          <w:sz w:val="24"/>
        </w:rPr>
        <w:t>、cGlu、cLac、ctBil sO</w:t>
      </w:r>
      <w:r>
        <w:rPr>
          <w:rFonts w:hint="eastAsia" w:ascii="宋体" w:hAnsi="宋体" w:eastAsia="宋体" w:cs="宋体"/>
          <w:sz w:val="24"/>
          <w:vertAlign w:val="subscript"/>
        </w:rPr>
        <w:t>2</w:t>
      </w:r>
      <w:r>
        <w:rPr>
          <w:rFonts w:hint="eastAsia" w:ascii="宋体" w:hAnsi="宋体" w:eastAsia="宋体" w:cs="宋体"/>
          <w:sz w:val="24"/>
        </w:rPr>
        <w:t>、ctHb、FO</w:t>
      </w:r>
      <w:r>
        <w:rPr>
          <w:rFonts w:hint="eastAsia" w:ascii="宋体" w:hAnsi="宋体" w:eastAsia="宋体" w:cs="宋体"/>
          <w:sz w:val="24"/>
          <w:vertAlign w:val="subscript"/>
        </w:rPr>
        <w:t>2</w:t>
      </w:r>
      <w:r>
        <w:rPr>
          <w:rFonts w:hint="eastAsia" w:ascii="宋体" w:hAnsi="宋体" w:eastAsia="宋体" w:cs="宋体"/>
          <w:sz w:val="24"/>
        </w:rPr>
        <w:t>Hb、FMetHb、FCOHb、FHHb、FHbF等参数。</w:t>
      </w:r>
    </w:p>
    <w:p w14:paraId="2262DF7D">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8、计算参数：pH(T)、pCO</w:t>
      </w:r>
      <w:r>
        <w:rPr>
          <w:rFonts w:hint="eastAsia" w:ascii="宋体" w:hAnsi="宋体" w:eastAsia="宋体" w:cs="宋体"/>
          <w:sz w:val="24"/>
          <w:vertAlign w:val="subscript"/>
        </w:rPr>
        <w:t>2</w:t>
      </w:r>
      <w:r>
        <w:rPr>
          <w:rFonts w:hint="eastAsia" w:ascii="宋体" w:hAnsi="宋体" w:eastAsia="宋体" w:cs="宋体"/>
          <w:sz w:val="24"/>
        </w:rPr>
        <w:t>(T)、cHCO</w:t>
      </w:r>
      <w:r>
        <w:rPr>
          <w:rFonts w:hint="eastAsia" w:ascii="宋体" w:hAnsi="宋体" w:eastAsia="宋体" w:cs="宋体"/>
          <w:sz w:val="24"/>
          <w:vertAlign w:val="subscript"/>
        </w:rPr>
        <w:t>3</w:t>
      </w:r>
      <w:r>
        <w:rPr>
          <w:rFonts w:hint="eastAsia" w:ascii="宋体" w:hAnsi="宋体" w:eastAsia="宋体" w:cs="宋体"/>
          <w:sz w:val="24"/>
        </w:rPr>
        <w:t xml:space="preserve"> </w:t>
      </w:r>
      <w:r>
        <w:rPr>
          <w:rFonts w:hint="eastAsia" w:ascii="宋体" w:hAnsi="宋体" w:eastAsia="宋体" w:cs="宋体"/>
          <w:sz w:val="24"/>
          <w:vertAlign w:val="superscript"/>
        </w:rPr>
        <w:t>-</w:t>
      </w:r>
      <w:r>
        <w:rPr>
          <w:rFonts w:hint="eastAsia" w:ascii="宋体" w:hAnsi="宋体" w:eastAsia="宋体" w:cs="宋体"/>
          <w:sz w:val="24"/>
        </w:rPr>
        <w:t xml:space="preserve"> (P)、 cBase(B)、cBase(B,ox)、 cBase(Ecf)、 cBase(Ecf,ox)、cHCO</w:t>
      </w:r>
      <w:r>
        <w:rPr>
          <w:rFonts w:hint="eastAsia" w:ascii="宋体" w:hAnsi="宋体" w:eastAsia="宋体" w:cs="宋体"/>
          <w:sz w:val="24"/>
          <w:vertAlign w:val="subscript"/>
        </w:rPr>
        <w:t>3</w:t>
      </w:r>
      <w:r>
        <w:rPr>
          <w:rFonts w:hint="eastAsia" w:ascii="宋体" w:hAnsi="宋体" w:eastAsia="宋体" w:cs="宋体"/>
          <w:sz w:val="24"/>
        </w:rPr>
        <w:t xml:space="preserve"> </w:t>
      </w:r>
      <w:r>
        <w:rPr>
          <w:rFonts w:hint="eastAsia" w:ascii="宋体" w:hAnsi="宋体" w:eastAsia="宋体" w:cs="宋体"/>
          <w:sz w:val="24"/>
          <w:vertAlign w:val="superscript"/>
        </w:rPr>
        <w:t>-</w:t>
      </w:r>
      <w:r>
        <w:rPr>
          <w:rFonts w:hint="eastAsia" w:ascii="宋体" w:hAnsi="宋体" w:eastAsia="宋体" w:cs="宋体"/>
          <w:sz w:val="24"/>
        </w:rPr>
        <w:t xml:space="preserve"> (P,st)、cH</w:t>
      </w:r>
      <w:r>
        <w:rPr>
          <w:rFonts w:hint="eastAsia" w:ascii="宋体" w:hAnsi="宋体" w:eastAsia="宋体" w:cs="宋体"/>
          <w:sz w:val="24"/>
          <w:vertAlign w:val="superscript"/>
        </w:rPr>
        <w:t>+</w:t>
      </w:r>
      <w:r>
        <w:rPr>
          <w:rFonts w:hint="eastAsia" w:ascii="宋体" w:hAnsi="宋体" w:eastAsia="宋体" w:cs="宋体"/>
          <w:sz w:val="24"/>
        </w:rPr>
        <w:t>、cH</w:t>
      </w:r>
      <w:r>
        <w:rPr>
          <w:rFonts w:hint="eastAsia" w:ascii="宋体" w:hAnsi="宋体" w:eastAsia="宋体" w:cs="宋体"/>
          <w:sz w:val="24"/>
          <w:vertAlign w:val="superscript"/>
        </w:rPr>
        <w:t>+</w:t>
      </w:r>
      <w:r>
        <w:rPr>
          <w:rFonts w:hint="eastAsia" w:ascii="宋体" w:hAnsi="宋体" w:eastAsia="宋体" w:cs="宋体"/>
          <w:sz w:val="24"/>
        </w:rPr>
        <w:t>(T)、ctCO</w:t>
      </w:r>
      <w:r>
        <w:rPr>
          <w:rFonts w:hint="eastAsia" w:ascii="宋体" w:hAnsi="宋体" w:eastAsia="宋体" w:cs="宋体"/>
          <w:sz w:val="24"/>
          <w:vertAlign w:val="subscript"/>
        </w:rPr>
        <w:t>2</w:t>
      </w:r>
      <w:r>
        <w:rPr>
          <w:rFonts w:hint="eastAsia" w:ascii="宋体" w:hAnsi="宋体" w:eastAsia="宋体" w:cs="宋体"/>
          <w:sz w:val="24"/>
        </w:rPr>
        <w:t>(P)、ctCO</w:t>
      </w:r>
      <w:r>
        <w:rPr>
          <w:rFonts w:hint="eastAsia" w:ascii="宋体" w:hAnsi="宋体" w:eastAsia="宋体" w:cs="宋体"/>
          <w:sz w:val="24"/>
          <w:vertAlign w:val="subscript"/>
        </w:rPr>
        <w:t>2</w:t>
      </w:r>
      <w:r>
        <w:rPr>
          <w:rFonts w:hint="eastAsia" w:ascii="宋体" w:hAnsi="宋体" w:eastAsia="宋体" w:cs="宋体"/>
          <w:sz w:val="24"/>
        </w:rPr>
        <w:t>(B)、pH(st)、 pO</w:t>
      </w:r>
      <w:r>
        <w:rPr>
          <w:rFonts w:hint="eastAsia" w:ascii="宋体" w:hAnsi="宋体" w:eastAsia="宋体" w:cs="宋体"/>
          <w:sz w:val="24"/>
          <w:vertAlign w:val="subscript"/>
        </w:rPr>
        <w:t>2</w:t>
      </w:r>
      <w:r>
        <w:rPr>
          <w:rFonts w:hint="eastAsia" w:ascii="宋体" w:hAnsi="宋体" w:eastAsia="宋体" w:cs="宋体"/>
          <w:sz w:val="24"/>
        </w:rPr>
        <w:t>(T)、pO</w:t>
      </w:r>
      <w:r>
        <w:rPr>
          <w:rFonts w:hint="eastAsia" w:ascii="宋体" w:hAnsi="宋体" w:eastAsia="宋体" w:cs="宋体"/>
          <w:sz w:val="24"/>
          <w:vertAlign w:val="subscript"/>
        </w:rPr>
        <w:t>2</w:t>
      </w:r>
      <w:r>
        <w:rPr>
          <w:rFonts w:hint="eastAsia" w:ascii="宋体" w:hAnsi="宋体" w:eastAsia="宋体" w:cs="宋体"/>
          <w:sz w:val="24"/>
        </w:rPr>
        <w:t>(A)、pO2(A,T)、 p50、p50(T)、 p50(st)、 pO</w:t>
      </w:r>
      <w:r>
        <w:rPr>
          <w:rFonts w:hint="eastAsia" w:ascii="宋体" w:hAnsi="宋体" w:eastAsia="宋体" w:cs="宋体"/>
          <w:sz w:val="24"/>
          <w:vertAlign w:val="subscript"/>
        </w:rPr>
        <w:t>2</w:t>
      </w:r>
      <w:r>
        <w:rPr>
          <w:rFonts w:hint="eastAsia" w:ascii="宋体" w:hAnsi="宋体" w:eastAsia="宋体" w:cs="宋体"/>
          <w:sz w:val="24"/>
        </w:rPr>
        <w:t>(A–a)、 pO</w:t>
      </w:r>
      <w:r>
        <w:rPr>
          <w:rFonts w:hint="eastAsia" w:ascii="宋体" w:hAnsi="宋体" w:eastAsia="宋体" w:cs="宋体"/>
          <w:sz w:val="24"/>
          <w:vertAlign w:val="subscript"/>
        </w:rPr>
        <w:t>2</w:t>
      </w:r>
      <w:r>
        <w:rPr>
          <w:rFonts w:hint="eastAsia" w:ascii="宋体" w:hAnsi="宋体" w:eastAsia="宋体" w:cs="宋体"/>
          <w:sz w:val="24"/>
        </w:rPr>
        <w:t>(A–a,T)、pO</w:t>
      </w:r>
      <w:r>
        <w:rPr>
          <w:rFonts w:hint="eastAsia" w:ascii="宋体" w:hAnsi="宋体" w:eastAsia="宋体" w:cs="宋体"/>
          <w:sz w:val="24"/>
          <w:vertAlign w:val="subscript"/>
        </w:rPr>
        <w:t>2</w:t>
      </w:r>
      <w:r>
        <w:rPr>
          <w:rFonts w:hint="eastAsia" w:ascii="宋体" w:hAnsi="宋体" w:eastAsia="宋体" w:cs="宋体"/>
          <w:sz w:val="24"/>
        </w:rPr>
        <w:t>(a/A)、pO</w:t>
      </w:r>
      <w:r>
        <w:rPr>
          <w:rFonts w:hint="eastAsia" w:ascii="宋体" w:hAnsi="宋体" w:eastAsia="宋体" w:cs="宋体"/>
          <w:sz w:val="24"/>
          <w:vertAlign w:val="subscript"/>
        </w:rPr>
        <w:t>2</w:t>
      </w:r>
      <w:r>
        <w:rPr>
          <w:rFonts w:hint="eastAsia" w:ascii="宋体" w:hAnsi="宋体" w:eastAsia="宋体" w:cs="宋体"/>
          <w:sz w:val="24"/>
        </w:rPr>
        <w:t>(a/A,T)、pO</w:t>
      </w:r>
      <w:r>
        <w:rPr>
          <w:rFonts w:hint="eastAsia" w:ascii="宋体" w:hAnsi="宋体" w:eastAsia="宋体" w:cs="宋体"/>
          <w:sz w:val="24"/>
          <w:vertAlign w:val="subscript"/>
        </w:rPr>
        <w:t>2</w:t>
      </w:r>
      <w:r>
        <w:rPr>
          <w:rFonts w:hint="eastAsia" w:ascii="宋体" w:hAnsi="宋体" w:eastAsia="宋体" w:cs="宋体"/>
          <w:sz w:val="24"/>
        </w:rPr>
        <w:t>(a)/FO</w:t>
      </w:r>
      <w:r>
        <w:rPr>
          <w:rFonts w:hint="eastAsia" w:ascii="宋体" w:hAnsi="宋体" w:eastAsia="宋体" w:cs="宋体"/>
          <w:sz w:val="24"/>
          <w:vertAlign w:val="subscript"/>
        </w:rPr>
        <w:t>2</w:t>
      </w:r>
      <w:r>
        <w:rPr>
          <w:rFonts w:hint="eastAsia" w:ascii="宋体" w:hAnsi="宋体" w:eastAsia="宋体" w:cs="宋体"/>
          <w:sz w:val="24"/>
        </w:rPr>
        <w:t>(I)、 pO</w:t>
      </w:r>
      <w:r>
        <w:rPr>
          <w:rFonts w:hint="eastAsia" w:ascii="宋体" w:hAnsi="宋体" w:eastAsia="宋体" w:cs="宋体"/>
          <w:sz w:val="24"/>
          <w:vertAlign w:val="subscript"/>
        </w:rPr>
        <w:t>2</w:t>
      </w:r>
      <w:r>
        <w:rPr>
          <w:rFonts w:hint="eastAsia" w:ascii="宋体" w:hAnsi="宋体" w:eastAsia="宋体" w:cs="宋体"/>
          <w:sz w:val="24"/>
        </w:rPr>
        <w:t>(a,T)/FO</w:t>
      </w:r>
      <w:r>
        <w:rPr>
          <w:rFonts w:hint="eastAsia" w:ascii="宋体" w:hAnsi="宋体" w:eastAsia="宋体" w:cs="宋体"/>
          <w:sz w:val="24"/>
          <w:vertAlign w:val="subscript"/>
        </w:rPr>
        <w:t>2</w:t>
      </w:r>
      <w:r>
        <w:rPr>
          <w:rFonts w:hint="eastAsia" w:ascii="宋体" w:hAnsi="宋体" w:eastAsia="宋体" w:cs="宋体"/>
          <w:sz w:val="24"/>
        </w:rPr>
        <w:t>(I)、cCa</w:t>
      </w:r>
      <w:r>
        <w:rPr>
          <w:rFonts w:hint="eastAsia" w:ascii="宋体" w:hAnsi="宋体" w:eastAsia="宋体" w:cs="宋体"/>
          <w:sz w:val="24"/>
          <w:vertAlign w:val="superscript"/>
        </w:rPr>
        <w:t>2+</w:t>
      </w:r>
      <w:r>
        <w:rPr>
          <w:rFonts w:hint="eastAsia" w:ascii="宋体" w:hAnsi="宋体" w:eastAsia="宋体" w:cs="宋体"/>
          <w:sz w:val="24"/>
        </w:rPr>
        <w:t>(pH=7.40)、 Anion Gap(K</w:t>
      </w:r>
      <w:r>
        <w:rPr>
          <w:rFonts w:hint="eastAsia" w:ascii="宋体" w:hAnsi="宋体" w:eastAsia="宋体" w:cs="宋体"/>
          <w:sz w:val="24"/>
          <w:vertAlign w:val="superscript"/>
        </w:rPr>
        <w:t>+</w:t>
      </w:r>
      <w:r>
        <w:rPr>
          <w:rFonts w:hint="eastAsia" w:ascii="宋体" w:hAnsi="宋体" w:eastAsia="宋体" w:cs="宋体"/>
          <w:sz w:val="24"/>
        </w:rPr>
        <w:t>)、 Anion Gap、DO</w:t>
      </w:r>
      <w:r>
        <w:rPr>
          <w:rFonts w:hint="eastAsia" w:ascii="宋体" w:hAnsi="宋体" w:eastAsia="宋体" w:cs="宋体"/>
          <w:sz w:val="24"/>
          <w:vertAlign w:val="subscript"/>
        </w:rPr>
        <w:t>2</w:t>
      </w:r>
      <w:r>
        <w:rPr>
          <w:rFonts w:hint="eastAsia" w:ascii="宋体" w:hAnsi="宋体" w:eastAsia="宋体" w:cs="宋体"/>
          <w:sz w:val="24"/>
        </w:rPr>
        <w:t>、 Hct、 pO</w:t>
      </w:r>
      <w:r>
        <w:rPr>
          <w:rFonts w:hint="eastAsia" w:ascii="宋体" w:hAnsi="宋体" w:eastAsia="宋体" w:cs="宋体"/>
          <w:sz w:val="24"/>
          <w:vertAlign w:val="subscript"/>
        </w:rPr>
        <w:t>2</w:t>
      </w:r>
      <w:r>
        <w:rPr>
          <w:rFonts w:hint="eastAsia" w:ascii="宋体" w:hAnsi="宋体" w:eastAsia="宋体" w:cs="宋体"/>
          <w:sz w:val="24"/>
        </w:rPr>
        <w:t>(x)、 pO</w:t>
      </w:r>
      <w:r>
        <w:rPr>
          <w:rFonts w:hint="eastAsia" w:ascii="宋体" w:hAnsi="宋体" w:eastAsia="宋体" w:cs="宋体"/>
          <w:sz w:val="24"/>
          <w:vertAlign w:val="subscript"/>
        </w:rPr>
        <w:t>2</w:t>
      </w:r>
      <w:r>
        <w:rPr>
          <w:rFonts w:hint="eastAsia" w:ascii="宋体" w:hAnsi="宋体" w:eastAsia="宋体" w:cs="宋体"/>
          <w:sz w:val="24"/>
        </w:rPr>
        <w:t>(x,T)、ctO</w:t>
      </w:r>
      <w:r>
        <w:rPr>
          <w:rFonts w:hint="eastAsia" w:ascii="宋体" w:hAnsi="宋体" w:eastAsia="宋体" w:cs="宋体"/>
          <w:sz w:val="24"/>
          <w:vertAlign w:val="subscript"/>
        </w:rPr>
        <w:t>2</w:t>
      </w:r>
      <w:r>
        <w:rPr>
          <w:rFonts w:hint="eastAsia" w:ascii="宋体" w:hAnsi="宋体" w:eastAsia="宋体" w:cs="宋体"/>
          <w:sz w:val="24"/>
        </w:rPr>
        <w:t>(B)、ctO</w:t>
      </w:r>
      <w:r>
        <w:rPr>
          <w:rFonts w:hint="eastAsia" w:ascii="宋体" w:hAnsi="宋体" w:eastAsia="宋体" w:cs="宋体"/>
          <w:sz w:val="24"/>
          <w:vertAlign w:val="subscript"/>
        </w:rPr>
        <w:t>2</w:t>
      </w:r>
      <w:r>
        <w:rPr>
          <w:rFonts w:hint="eastAsia" w:ascii="宋体" w:hAnsi="宋体" w:eastAsia="宋体" w:cs="宋体"/>
          <w:sz w:val="24"/>
        </w:rPr>
        <w:t>(a–v-)、BO</w:t>
      </w:r>
      <w:r>
        <w:rPr>
          <w:rFonts w:hint="eastAsia" w:ascii="宋体" w:hAnsi="宋体" w:eastAsia="宋体" w:cs="宋体"/>
          <w:sz w:val="24"/>
          <w:vertAlign w:val="subscript"/>
        </w:rPr>
        <w:t>2</w:t>
      </w:r>
      <w:r>
        <w:rPr>
          <w:rFonts w:hint="eastAsia" w:ascii="宋体" w:hAnsi="宋体" w:eastAsia="宋体" w:cs="宋体"/>
          <w:sz w:val="24"/>
        </w:rPr>
        <w:t>、ctO</w:t>
      </w:r>
      <w:r>
        <w:rPr>
          <w:rFonts w:hint="eastAsia" w:ascii="宋体" w:hAnsi="宋体" w:eastAsia="宋体" w:cs="宋体"/>
          <w:sz w:val="24"/>
          <w:vertAlign w:val="subscript"/>
        </w:rPr>
        <w:t>2</w:t>
      </w:r>
      <w:r>
        <w:rPr>
          <w:rFonts w:hint="eastAsia" w:ascii="宋体" w:hAnsi="宋体" w:eastAsia="宋体" w:cs="宋体"/>
          <w:sz w:val="24"/>
        </w:rPr>
        <w:t>(x)、FShunt、FShunt(T)、RI、RI(T)、VO</w:t>
      </w:r>
      <w:r>
        <w:rPr>
          <w:rFonts w:hint="eastAsia" w:ascii="宋体" w:hAnsi="宋体" w:eastAsia="宋体" w:cs="宋体"/>
          <w:sz w:val="24"/>
          <w:vertAlign w:val="subscript"/>
        </w:rPr>
        <w:t>2</w:t>
      </w:r>
      <w:r>
        <w:rPr>
          <w:rFonts w:hint="eastAsia" w:ascii="宋体" w:hAnsi="宋体" w:eastAsia="宋体" w:cs="宋体"/>
          <w:sz w:val="24"/>
        </w:rPr>
        <w:t>、mOsm、Qx、Qt、V(B)等参数。</w:t>
      </w:r>
    </w:p>
    <w:p w14:paraId="1D25E0CA">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9、乳酸线性范围：0～30mmol/L。</w:t>
      </w:r>
    </w:p>
    <w:p w14:paraId="2E82AF6B">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10、具备酸碱平衡图。</w:t>
      </w:r>
    </w:p>
    <w:p w14:paraId="6B60086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11、定标：系统会根据分析仪状态自动执行定标。</w:t>
      </w:r>
    </w:p>
    <w:p w14:paraId="5A61DC0C">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rPr>
      </w:pPr>
      <w:r>
        <w:rPr>
          <w:rFonts w:hint="eastAsia" w:ascii="宋体" w:hAnsi="宋体" w:eastAsia="宋体" w:cs="宋体"/>
          <w:sz w:val="24"/>
        </w:rPr>
        <w:t>12、质控要求：内置自动质控且支持外部及第三方质控，不消耗测试人份数。</w:t>
      </w:r>
    </w:p>
    <w:p w14:paraId="2F656AD7">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lang w:val="en-US" w:eastAsia="zh-CN"/>
        </w:rPr>
      </w:pPr>
      <w:r>
        <w:rPr>
          <w:rFonts w:hint="eastAsia" w:ascii="宋体" w:hAnsi="宋体" w:eastAsia="宋体" w:cs="宋体"/>
          <w:sz w:val="24"/>
        </w:rPr>
        <w:t>13、质控分析：提供质控结果、Levey-Jennings质控图（与以往结果对比进行误差分析）、同机型质控结果比对</w:t>
      </w:r>
      <w:r>
        <w:rPr>
          <w:rFonts w:hint="eastAsia" w:cs="宋体"/>
          <w:sz w:val="24"/>
          <w:lang w:eastAsia="zh-CN"/>
        </w:rPr>
        <w:t>。</w:t>
      </w:r>
    </w:p>
    <w:p w14:paraId="3BEBC63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1032491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品目1-10：困难气道车</w:t>
      </w:r>
    </w:p>
    <w:p w14:paraId="15B5B8AC">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1.台面材质：高光模具成型台面，台面厚度≥60mm。</w:t>
      </w:r>
    </w:p>
    <w:p w14:paraId="2927C3B2">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2.立柱材质：铝合金型材。</w:t>
      </w:r>
    </w:p>
    <w:p w14:paraId="5A275CDC">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3.车体配备隐藏式侧拉板。</w:t>
      </w:r>
    </w:p>
    <w:p w14:paraId="0E15D7A7">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4.侧板：铝塑复合板厚度≥4mm。</w:t>
      </w:r>
    </w:p>
    <w:p w14:paraId="22991EF9">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5.车体材质：铝合金型材。</w:t>
      </w:r>
    </w:p>
    <w:p w14:paraId="39817995">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6.抽屉具有自锁功能。</w:t>
      </w:r>
    </w:p>
    <w:p w14:paraId="1C50B69F">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6.车体一侧具有纤支镜侧柜。</w:t>
      </w:r>
    </w:p>
    <w:p w14:paraId="39A369B3">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7.脚轮</w:t>
      </w:r>
      <w:r>
        <w:rPr>
          <w:rFonts w:hint="eastAsia" w:ascii="宋体" w:hAnsi="宋体" w:eastAsia="宋体" w:cs="宋体"/>
          <w:sz w:val="24"/>
          <w:szCs w:val="24"/>
          <w:lang w:val="en-US" w:eastAsia="zh-CN"/>
        </w:rPr>
        <w:t>直径≥</w:t>
      </w:r>
      <w:r>
        <w:rPr>
          <w:rFonts w:hint="eastAsia" w:ascii="宋体" w:hAnsi="宋体" w:eastAsia="宋体" w:cs="宋体"/>
          <w:sz w:val="24"/>
          <w:szCs w:val="24"/>
        </w:rPr>
        <w:t>100mm，带刹车。</w:t>
      </w:r>
    </w:p>
    <w:p w14:paraId="1F5398C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8.整体承重≥200KG；</w:t>
      </w:r>
    </w:p>
    <w:p w14:paraId="52E6E314">
      <w:pPr>
        <w:keepNext w:val="0"/>
        <w:keepLines w:val="0"/>
        <w:pageBreakBefore w:val="0"/>
        <w:kinsoku/>
        <w:wordWrap/>
        <w:overflowPunct/>
        <w:topLinePunct w:val="0"/>
        <w:bidi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9.尺寸：≥650*4</w:t>
      </w:r>
      <w:r>
        <w:rPr>
          <w:rFonts w:hint="eastAsia" w:ascii="宋体" w:hAnsi="宋体" w:eastAsia="宋体" w:cs="宋体"/>
          <w:sz w:val="24"/>
          <w:szCs w:val="24"/>
          <w:lang w:val="en-US" w:eastAsia="zh-CN"/>
        </w:rPr>
        <w:t>5</w:t>
      </w:r>
      <w:r>
        <w:rPr>
          <w:rFonts w:hint="eastAsia" w:ascii="宋体" w:hAnsi="宋体" w:eastAsia="宋体" w:cs="宋体"/>
          <w:sz w:val="24"/>
          <w:szCs w:val="24"/>
        </w:rPr>
        <w:t>0*10</w:t>
      </w:r>
      <w:r>
        <w:rPr>
          <w:rFonts w:hint="eastAsia" w:ascii="宋体" w:hAnsi="宋体" w:eastAsia="宋体" w:cs="宋体"/>
          <w:sz w:val="24"/>
          <w:szCs w:val="24"/>
          <w:lang w:val="en-US" w:eastAsia="zh-CN"/>
        </w:rPr>
        <w:t>0</w:t>
      </w:r>
      <w:r>
        <w:rPr>
          <w:rFonts w:hint="eastAsia" w:ascii="宋体" w:hAnsi="宋体" w:eastAsia="宋体" w:cs="宋体"/>
          <w:sz w:val="24"/>
          <w:szCs w:val="24"/>
        </w:rPr>
        <w:t>0mm。</w:t>
      </w:r>
    </w:p>
    <w:p w14:paraId="3AE3CEE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49D49CD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品目1-11：器械车（小）</w:t>
      </w:r>
    </w:p>
    <w:p w14:paraId="23F4C96C">
      <w:pPr>
        <w:keepNext w:val="0"/>
        <w:keepLines w:val="0"/>
        <w:pageBreakBefore w:val="0"/>
        <w:widowControl/>
        <w:kinsoku/>
        <w:wordWrap/>
        <w:overflowPunct/>
        <w:topLinePunct w:val="0"/>
        <w:bidi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1、规格：</w:t>
      </w:r>
      <w:r>
        <w:rPr>
          <w:rFonts w:hint="eastAsia" w:ascii="宋体" w:hAnsi="宋体" w:eastAsia="宋体" w:cs="宋体"/>
          <w:sz w:val="24"/>
          <w:szCs w:val="24"/>
          <w:lang w:val="en-US" w:eastAsia="zh-CN"/>
        </w:rPr>
        <w:t>≥</w:t>
      </w:r>
      <w:r>
        <w:rPr>
          <w:rFonts w:hint="eastAsia" w:ascii="宋体" w:hAnsi="宋体" w:eastAsia="宋体" w:cs="宋体"/>
          <w:sz w:val="24"/>
          <w:szCs w:val="24"/>
        </w:rPr>
        <w:t>1200 ×600×940（mm）</w:t>
      </w:r>
    </w:p>
    <w:p w14:paraId="00DFEF05">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2、材质：304不锈钢。</w:t>
      </w:r>
    </w:p>
    <w:p w14:paraId="29E1462E">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3、聚氨酯、防缠绕脚轮，直径</w:t>
      </w:r>
      <w:r>
        <w:rPr>
          <w:rFonts w:hint="eastAsia" w:ascii="宋体" w:hAnsi="宋体" w:eastAsia="宋体" w:cs="宋体"/>
          <w:sz w:val="24"/>
          <w:szCs w:val="24"/>
          <w:lang w:val="en-US" w:eastAsia="zh-CN"/>
        </w:rPr>
        <w:t>≥</w:t>
      </w:r>
      <w:r>
        <w:rPr>
          <w:rFonts w:hint="eastAsia" w:ascii="宋体" w:hAnsi="宋体" w:eastAsia="宋体" w:cs="宋体"/>
          <w:sz w:val="24"/>
          <w:szCs w:val="24"/>
        </w:rPr>
        <w:t>100mm，</w:t>
      </w:r>
      <w:r>
        <w:rPr>
          <w:rFonts w:hint="eastAsia" w:ascii="宋体" w:hAnsi="宋体" w:eastAsia="宋体" w:cs="宋体"/>
          <w:sz w:val="24"/>
          <w:szCs w:val="24"/>
          <w:lang w:val="en-US" w:eastAsia="zh-CN"/>
        </w:rPr>
        <w:t>不少于</w:t>
      </w:r>
      <w:r>
        <w:rPr>
          <w:rFonts w:hint="eastAsia" w:ascii="宋体" w:hAnsi="宋体" w:eastAsia="宋体" w:cs="宋体"/>
          <w:sz w:val="24"/>
          <w:szCs w:val="24"/>
        </w:rPr>
        <w:t>2个</w:t>
      </w:r>
      <w:r>
        <w:rPr>
          <w:rFonts w:hint="eastAsia" w:ascii="宋体" w:hAnsi="宋体" w:eastAsia="宋体" w:cs="宋体"/>
          <w:sz w:val="24"/>
          <w:szCs w:val="24"/>
          <w:lang w:val="en-US" w:eastAsia="zh-CN"/>
        </w:rPr>
        <w:t>脚轮</w:t>
      </w:r>
      <w:r>
        <w:rPr>
          <w:rFonts w:hint="eastAsia" w:ascii="宋体" w:hAnsi="宋体" w:eastAsia="宋体" w:cs="宋体"/>
          <w:sz w:val="24"/>
          <w:szCs w:val="24"/>
        </w:rPr>
        <w:t>带刹车。</w:t>
      </w:r>
    </w:p>
    <w:p w14:paraId="424E2D1D">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4、分为两层操作台。</w:t>
      </w:r>
    </w:p>
    <w:p w14:paraId="6875A925">
      <w:pPr>
        <w:keepNext w:val="0"/>
        <w:keepLines w:val="0"/>
        <w:pageBreakBefore w:val="0"/>
        <w:widowControl/>
        <w:kinsoku/>
        <w:wordWrap/>
        <w:overflowPunct/>
        <w:topLinePunct w:val="0"/>
        <w:autoSpaceDE w:val="0"/>
        <w:autoSpaceDN w:val="0"/>
        <w:bidi w:val="0"/>
        <w:adjustRightInd w:val="0"/>
        <w:snapToGrid w:val="0"/>
        <w:spacing w:line="360" w:lineRule="auto"/>
        <w:ind w:left="0" w:hanging="720"/>
        <w:textAlignment w:val="auto"/>
        <w:rPr>
          <w:rFonts w:hint="eastAsia" w:ascii="宋体" w:hAnsi="宋体" w:eastAsia="宋体" w:cs="宋体"/>
          <w:b/>
          <w:bCs w:val="0"/>
          <w:sz w:val="24"/>
          <w:highlight w:val="none"/>
          <w:lang w:eastAsia="zh-CN"/>
        </w:rPr>
      </w:pPr>
    </w:p>
    <w:p w14:paraId="17D3EC62">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品目1-12：器械车（大）</w:t>
      </w:r>
    </w:p>
    <w:p w14:paraId="06B89D17">
      <w:pPr>
        <w:keepNext w:val="0"/>
        <w:keepLines w:val="0"/>
        <w:pageBreakBefore w:val="0"/>
        <w:widowControl/>
        <w:kinsoku/>
        <w:wordWrap/>
        <w:overflowPunct/>
        <w:topLinePunct w:val="0"/>
        <w:bidi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1、规格：≥1500 ×600×940（mm）</w:t>
      </w:r>
    </w:p>
    <w:p w14:paraId="736F235D">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2、材质：304不锈钢。</w:t>
      </w:r>
    </w:p>
    <w:p w14:paraId="09ACA6D7">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3、聚氨酯、防缠绕脚轮，直径≥100mm，</w:t>
      </w:r>
      <w:r>
        <w:rPr>
          <w:rFonts w:hint="eastAsia" w:ascii="宋体" w:hAnsi="宋体" w:eastAsia="宋体" w:cs="宋体"/>
          <w:sz w:val="24"/>
          <w:szCs w:val="24"/>
          <w:lang w:val="en-US" w:eastAsia="zh-CN"/>
        </w:rPr>
        <w:t>不少于</w:t>
      </w:r>
      <w:r>
        <w:rPr>
          <w:rFonts w:hint="eastAsia" w:ascii="宋体" w:hAnsi="宋体" w:eastAsia="宋体" w:cs="宋体"/>
          <w:sz w:val="24"/>
          <w:szCs w:val="24"/>
        </w:rPr>
        <w:t>2个脚轮带刹车。</w:t>
      </w:r>
    </w:p>
    <w:p w14:paraId="3F8949EA">
      <w:pPr>
        <w:pStyle w:val="10"/>
        <w:keepNext w:val="0"/>
        <w:keepLines w:val="0"/>
        <w:pageBreakBefore w:val="0"/>
        <w:kinsoku/>
        <w:wordWrap/>
        <w:overflowPunct/>
        <w:topLinePunct w:val="0"/>
        <w:bidi w:val="0"/>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4、分为两层操作台。</w:t>
      </w:r>
    </w:p>
    <w:p w14:paraId="582567EC">
      <w:pPr>
        <w:keepNext w:val="0"/>
        <w:keepLines w:val="0"/>
        <w:pageBreakBefore w:val="0"/>
        <w:widowControl/>
        <w:kinsoku/>
        <w:wordWrap/>
        <w:overflowPunct/>
        <w:topLinePunct w:val="0"/>
        <w:autoSpaceDE w:val="0"/>
        <w:autoSpaceDN w:val="0"/>
        <w:bidi w:val="0"/>
        <w:adjustRightInd w:val="0"/>
        <w:snapToGrid w:val="0"/>
        <w:spacing w:line="360" w:lineRule="auto"/>
        <w:ind w:left="0" w:hanging="720"/>
        <w:textAlignment w:val="auto"/>
        <w:rPr>
          <w:rFonts w:hint="eastAsia" w:ascii="宋体" w:hAnsi="宋体" w:eastAsia="宋体" w:cs="宋体"/>
          <w:b/>
          <w:bCs w:val="0"/>
          <w:sz w:val="24"/>
          <w:highlight w:val="none"/>
          <w:lang w:eastAsia="zh-CN"/>
        </w:rPr>
      </w:pPr>
    </w:p>
    <w:p w14:paraId="3F38B53A">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品目1-13：治疗车</w:t>
      </w:r>
    </w:p>
    <w:p w14:paraId="050F580D">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规格：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650×480×900（mm）</w:t>
      </w:r>
    </w:p>
    <w:p w14:paraId="38B18E77">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材质：不锈钢（304#）/铝合金型材。</w:t>
      </w:r>
    </w:p>
    <w:p w14:paraId="0EB3375C">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脚轮直径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100mm，材</w:t>
      </w:r>
      <w:r>
        <w:rPr>
          <w:rFonts w:hint="eastAsia" w:ascii="宋体" w:hAnsi="宋体" w:eastAsia="宋体" w:cs="宋体"/>
          <w:b w:val="0"/>
          <w:bCs w:val="0"/>
          <w:sz w:val="24"/>
          <w:szCs w:val="24"/>
          <w:lang w:val="en-US" w:eastAsia="zh-CN"/>
        </w:rPr>
        <w:t>质</w:t>
      </w:r>
      <w:r>
        <w:rPr>
          <w:rFonts w:hint="eastAsia" w:ascii="宋体" w:hAnsi="宋体" w:eastAsia="宋体" w:cs="宋体"/>
          <w:b w:val="0"/>
          <w:bCs w:val="0"/>
          <w:sz w:val="24"/>
          <w:szCs w:val="24"/>
        </w:rPr>
        <w:t>：聚氨酯，防缠绕，</w:t>
      </w:r>
      <w:r>
        <w:rPr>
          <w:rFonts w:hint="eastAsia" w:ascii="宋体" w:hAnsi="宋体" w:eastAsia="宋体" w:cs="宋体"/>
          <w:b w:val="0"/>
          <w:bCs w:val="0"/>
          <w:sz w:val="24"/>
          <w:szCs w:val="24"/>
          <w:lang w:val="en-US" w:eastAsia="zh-CN"/>
        </w:rPr>
        <w:t>配备≥</w:t>
      </w:r>
      <w:r>
        <w:rPr>
          <w:rFonts w:hint="eastAsia" w:ascii="宋体" w:hAnsi="宋体" w:eastAsia="宋体" w:cs="宋体"/>
          <w:b w:val="0"/>
          <w:bCs w:val="0"/>
          <w:sz w:val="24"/>
          <w:szCs w:val="24"/>
        </w:rPr>
        <w:t>2个刹车脚轮。</w:t>
      </w:r>
    </w:p>
    <w:p w14:paraId="0C5F8CE2">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配有两个抽屉。</w:t>
      </w:r>
    </w:p>
    <w:p w14:paraId="0E23D68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配有活动储物盒一个。</w:t>
      </w:r>
    </w:p>
    <w:p w14:paraId="47BCAABF">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p>
    <w:p w14:paraId="2DED1F3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lang w:eastAsia="zh-CN"/>
        </w:rPr>
        <w:t>品目1-14：输液车</w:t>
      </w:r>
    </w:p>
    <w:p w14:paraId="32CDC0F5">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规格：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650 ×4</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0×900（mm）</w:t>
      </w:r>
    </w:p>
    <w:p w14:paraId="40B9B1A6">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材质：不锈钢（304#）/铝合金型材。</w:t>
      </w:r>
    </w:p>
    <w:p w14:paraId="260DC886">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脚轮直径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100mm，材</w:t>
      </w:r>
      <w:r>
        <w:rPr>
          <w:rFonts w:hint="eastAsia" w:ascii="宋体" w:hAnsi="宋体" w:eastAsia="宋体" w:cs="宋体"/>
          <w:b w:val="0"/>
          <w:bCs w:val="0"/>
          <w:sz w:val="24"/>
          <w:szCs w:val="24"/>
          <w:lang w:val="en-US" w:eastAsia="zh-CN"/>
        </w:rPr>
        <w:t>质</w:t>
      </w:r>
      <w:r>
        <w:rPr>
          <w:rFonts w:hint="eastAsia" w:ascii="宋体" w:hAnsi="宋体" w:eastAsia="宋体" w:cs="宋体"/>
          <w:b w:val="0"/>
          <w:bCs w:val="0"/>
          <w:sz w:val="24"/>
          <w:szCs w:val="24"/>
        </w:rPr>
        <w:t>：聚氨酯，防缠绕，</w:t>
      </w:r>
      <w:r>
        <w:rPr>
          <w:rFonts w:hint="eastAsia" w:ascii="宋体" w:hAnsi="宋体" w:eastAsia="宋体" w:cs="宋体"/>
          <w:b w:val="0"/>
          <w:bCs w:val="0"/>
          <w:sz w:val="24"/>
          <w:szCs w:val="24"/>
          <w:lang w:val="en-US" w:eastAsia="zh-CN"/>
        </w:rPr>
        <w:t>配备≥</w:t>
      </w:r>
      <w:r>
        <w:rPr>
          <w:rFonts w:hint="eastAsia" w:ascii="宋体" w:hAnsi="宋体" w:eastAsia="宋体" w:cs="宋体"/>
          <w:b w:val="0"/>
          <w:bCs w:val="0"/>
          <w:sz w:val="24"/>
          <w:szCs w:val="24"/>
        </w:rPr>
        <w:t>2个刹车脚轮。</w:t>
      </w:r>
    </w:p>
    <w:p w14:paraId="742999D9">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配有两个抽屉。</w:t>
      </w:r>
    </w:p>
    <w:p w14:paraId="40E8C60F">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配有活动储物盒一个。</w:t>
      </w:r>
    </w:p>
    <w:p w14:paraId="7A24A035">
      <w:pPr>
        <w:pStyle w:val="10"/>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不锈钢输液架一个。</w:t>
      </w:r>
    </w:p>
    <w:p w14:paraId="318E073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auto"/>
        <w:rPr>
          <w:rFonts w:hint="eastAsia" w:ascii="宋体" w:hAnsi="宋体" w:eastAsia="宋体" w:cs="宋体"/>
          <w:bCs/>
          <w:sz w:val="24"/>
          <w:highlight w:val="none"/>
          <w:lang w:eastAsia="zh-CN"/>
        </w:rPr>
      </w:pPr>
    </w:p>
    <w:p w14:paraId="4DB3494A">
      <w:pPr>
        <w:keepNext w:val="0"/>
        <w:keepLines w:val="0"/>
        <w:pageBreakBefore w:val="0"/>
        <w:widowControl/>
        <w:kinsoku/>
        <w:wordWrap/>
        <w:overflowPunct/>
        <w:topLinePunct w:val="0"/>
        <w:autoSpaceDE w:val="0"/>
        <w:autoSpaceDN w:val="0"/>
        <w:bidi w:val="0"/>
        <w:adjustRightInd w:val="0"/>
        <w:snapToGrid w:val="0"/>
        <w:spacing w:before="157" w:beforeLines="50" w:line="360" w:lineRule="auto"/>
        <w:textAlignment w:val="auto"/>
        <w:rPr>
          <w:b/>
          <w:bCs/>
          <w:sz w:val="24"/>
          <w:szCs w:val="24"/>
          <w:highlight w:val="none"/>
          <w:lang w:eastAsia="zh-CN"/>
        </w:rPr>
      </w:pPr>
      <w:r>
        <w:rPr>
          <w:rFonts w:hint="eastAsia"/>
          <w:b/>
          <w:bCs/>
          <w:sz w:val="24"/>
          <w:szCs w:val="24"/>
          <w:highlight w:val="none"/>
          <w:lang w:eastAsia="zh-CN"/>
        </w:rPr>
        <w:t>2.2 采购标的需满足的服务标准、期限、效率等要求；</w:t>
      </w:r>
    </w:p>
    <w:p w14:paraId="25C16504">
      <w:pPr>
        <w:tabs>
          <w:tab w:val="left" w:pos="900"/>
        </w:tabs>
        <w:autoSpaceDE/>
        <w:autoSpaceDN/>
        <w:spacing w:line="360" w:lineRule="auto"/>
        <w:rPr>
          <w:sz w:val="24"/>
          <w:szCs w:val="24"/>
          <w:highlight w:val="none"/>
          <w:lang w:eastAsia="zh-CN"/>
        </w:rPr>
      </w:pPr>
      <w:r>
        <w:rPr>
          <w:rFonts w:hint="eastAsia"/>
          <w:sz w:val="24"/>
          <w:szCs w:val="24"/>
          <w:highlight w:val="none"/>
          <w:lang w:eastAsia="zh-CN"/>
        </w:rPr>
        <w:t>（1）采购标的需满足的服务标准、效率要求</w:t>
      </w:r>
    </w:p>
    <w:p w14:paraId="5584ABCA">
      <w:pPr>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1DB536AF">
      <w:pPr>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A53F3AA">
      <w:pPr>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4126B992">
      <w:pPr>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.应提供原厂维修配件明细表及报价单(如提供公开信息渠道可查询到的，可免提供，但须注明查询方法及来源)。</w:t>
      </w:r>
    </w:p>
    <w:p w14:paraId="15C6447C">
      <w:pPr>
        <w:pStyle w:val="4"/>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6B88AA0C">
      <w:pPr>
        <w:pStyle w:val="4"/>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632DC15C">
      <w:pPr>
        <w:pStyle w:val="4"/>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1CB3E5B8">
      <w:pPr>
        <w:pStyle w:val="4"/>
        <w:keepNext w:val="0"/>
        <w:keepLines w:val="0"/>
        <w:pageBreakBefore w:val="0"/>
        <w:numPr>
          <w:ilvl w:val="0"/>
          <w:numId w:val="0"/>
        </w:numPr>
        <w:kinsoku/>
        <w:wordWrap/>
        <w:overflowPunct/>
        <w:topLinePunct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6D2B4B55">
      <w:pPr>
        <w:pStyle w:val="4"/>
        <w:spacing w:before="50" w:line="360" w:lineRule="auto"/>
        <w:ind w:firstLine="480" w:firstLineChars="200"/>
        <w:rPr>
          <w:rFonts w:hAnsi="宋体" w:cs="宋体"/>
          <w:szCs w:val="24"/>
          <w:highlight w:val="none"/>
          <w:lang w:eastAsia="zh-CN"/>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6949A114">
      <w:pPr>
        <w:pStyle w:val="4"/>
        <w:spacing w:before="50" w:line="360" w:lineRule="auto"/>
        <w:ind w:firstLine="480" w:firstLineChars="200"/>
        <w:rPr>
          <w:rFonts w:hAnsi="宋体" w:cs="宋体"/>
          <w:szCs w:val="24"/>
          <w:highlight w:val="none"/>
          <w:lang w:eastAsia="zh-CN"/>
        </w:rPr>
      </w:pPr>
      <w:r>
        <w:rPr>
          <w:rFonts w:hint="eastAsia" w:hAnsi="宋体" w:cs="宋体"/>
          <w:szCs w:val="24"/>
          <w:highlight w:val="none"/>
          <w:lang w:eastAsia="zh-CN"/>
        </w:rPr>
        <w:t>（2）采购标的需满足的服务期限要求</w:t>
      </w:r>
    </w:p>
    <w:p w14:paraId="1150F9B2">
      <w:pPr>
        <w:pStyle w:val="4"/>
        <w:spacing w:line="360" w:lineRule="auto"/>
        <w:ind w:firstLine="480" w:firstLineChars="200"/>
        <w:rPr>
          <w:rFonts w:hAnsi="宋体" w:cs="宋体"/>
          <w:b/>
          <w:bCs/>
          <w:szCs w:val="24"/>
          <w:highlight w:val="none"/>
          <w:lang w:eastAsia="zh-CN"/>
        </w:rPr>
      </w:pPr>
      <w:r>
        <w:rPr>
          <w:rFonts w:hint="eastAsia" w:hAnsi="宋体" w:cs="宋体"/>
          <w:szCs w:val="24"/>
          <w:highlight w:val="none"/>
          <w:lang w:eastAsia="zh-CN"/>
        </w:rPr>
        <w:t>1. 质量保证期（保修期）及服务要求：详见本章“采购需求中商务要求4.质保服务”。</w:t>
      </w:r>
    </w:p>
    <w:p w14:paraId="321C6D0F">
      <w:pPr>
        <w:tabs>
          <w:tab w:val="left" w:pos="900"/>
        </w:tabs>
        <w:spacing w:before="156" w:beforeLines="50" w:line="360" w:lineRule="auto"/>
        <w:ind w:firstLine="482" w:firstLineChars="200"/>
        <w:rPr>
          <w:b/>
          <w:bCs/>
          <w:sz w:val="24"/>
          <w:szCs w:val="24"/>
          <w:highlight w:val="none"/>
          <w:lang w:eastAsia="zh-CN"/>
        </w:rPr>
      </w:pPr>
      <w:r>
        <w:rPr>
          <w:rFonts w:hint="eastAsia"/>
          <w:b/>
          <w:bCs/>
          <w:sz w:val="24"/>
          <w:szCs w:val="24"/>
          <w:highlight w:val="none"/>
          <w:lang w:eastAsia="zh-CN"/>
        </w:rPr>
        <w:t>2.3为落实政府采购政策需满足的要求；</w:t>
      </w:r>
    </w:p>
    <w:p w14:paraId="62635688">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72F2AE9">
      <w:pPr>
        <w:tabs>
          <w:tab w:val="left" w:pos="900"/>
        </w:tabs>
        <w:spacing w:line="360" w:lineRule="auto"/>
        <w:ind w:firstLine="480" w:firstLineChars="200"/>
        <w:rPr>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360" w:lineRule="auto"/>
        <w:ind w:firstLine="480" w:firstLineChars="200"/>
        <w:rPr>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360" w:lineRule="auto"/>
        <w:ind w:firstLine="480" w:firstLineChars="200"/>
        <w:rPr>
          <w:rFonts w:hint="eastAsia"/>
          <w:b/>
          <w:bCs/>
          <w:sz w:val="24"/>
          <w:szCs w:val="24"/>
          <w:highlight w:val="none"/>
          <w:lang w:eastAsia="zh-CN"/>
        </w:rPr>
      </w:pP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18B37A42">
      <w:pPr>
        <w:autoSpaceDE/>
        <w:autoSpaceDN/>
        <w:spacing w:before="20" w:line="360" w:lineRule="auto"/>
        <w:ind w:firstLine="482" w:firstLineChars="200"/>
        <w:rPr>
          <w:b/>
          <w:bCs/>
          <w:sz w:val="24"/>
          <w:szCs w:val="24"/>
          <w:highlight w:val="none"/>
          <w:lang w:eastAsia="zh-CN"/>
        </w:rPr>
      </w:pPr>
      <w:r>
        <w:rPr>
          <w:rFonts w:hint="eastAsia"/>
          <w:b/>
          <w:bCs/>
          <w:sz w:val="24"/>
          <w:szCs w:val="24"/>
          <w:highlight w:val="none"/>
          <w:lang w:eastAsia="zh-CN"/>
        </w:rPr>
        <w:t>2.4采购标的的其他技术、服务等要求；</w:t>
      </w:r>
    </w:p>
    <w:p w14:paraId="2B1C9053">
      <w:pPr>
        <w:tabs>
          <w:tab w:val="left" w:pos="900"/>
        </w:tabs>
        <w:spacing w:line="360" w:lineRule="auto"/>
        <w:ind w:firstLine="482" w:firstLineChars="200"/>
        <w:rPr>
          <w:b/>
          <w:bCs/>
          <w:iCs/>
          <w:sz w:val="24"/>
          <w:szCs w:val="24"/>
          <w:highlight w:val="none"/>
          <w:lang w:eastAsia="zh-CN"/>
        </w:rPr>
      </w:pPr>
      <w:bookmarkStart w:id="17" w:name="_Toc7340"/>
      <w:r>
        <w:rPr>
          <w:rFonts w:hint="eastAsia"/>
          <w:b/>
          <w:bCs/>
          <w:sz w:val="24"/>
          <w:szCs w:val="24"/>
          <w:highlight w:val="none"/>
          <w:lang w:eastAsia="zh-CN"/>
        </w:rPr>
        <w:t>（1）对于技术规格中标注“★”号的技术参数代表实质性指标，不满足该指标项将直接导致投标被拒绝。</w:t>
      </w:r>
    </w:p>
    <w:p w14:paraId="5ECCE213">
      <w:pPr>
        <w:tabs>
          <w:tab w:val="left" w:pos="900"/>
        </w:tabs>
        <w:spacing w:line="360" w:lineRule="auto"/>
        <w:ind w:firstLine="482" w:firstLineChars="200"/>
        <w:rPr>
          <w:b/>
          <w:bCs/>
          <w:sz w:val="24"/>
          <w:szCs w:val="24"/>
          <w:highlight w:val="none"/>
          <w:lang w:eastAsia="zh-CN"/>
        </w:rPr>
      </w:pPr>
      <w:r>
        <w:rPr>
          <w:rFonts w:hint="eastAsia"/>
          <w:b/>
          <w:bCs/>
          <w:sz w:val="24"/>
          <w:szCs w:val="24"/>
          <w:highlight w:val="none"/>
          <w:lang w:eastAsia="zh-CN"/>
        </w:rPr>
        <w:t>（2）须在投标文件中提供所投设备油印彩页并加盖公章。</w:t>
      </w:r>
    </w:p>
    <w:p w14:paraId="26CB60A6">
      <w:pPr>
        <w:tabs>
          <w:tab w:val="left" w:pos="900"/>
        </w:tabs>
        <w:spacing w:line="360" w:lineRule="auto"/>
        <w:ind w:firstLine="482" w:firstLineChars="200"/>
        <w:rPr>
          <w:b/>
          <w:bCs/>
          <w:iCs/>
          <w:sz w:val="24"/>
          <w:szCs w:val="24"/>
          <w:highlight w:val="none"/>
          <w:lang w:eastAsia="zh-CN"/>
        </w:rPr>
      </w:pPr>
      <w:r>
        <w:rPr>
          <w:rFonts w:hint="eastAsia"/>
          <w:b/>
          <w:bCs/>
          <w:sz w:val="24"/>
          <w:szCs w:val="24"/>
          <w:highlight w:val="none"/>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sz w:val="24"/>
          <w:szCs w:val="24"/>
          <w:highlight w:val="none"/>
          <w:lang w:eastAsia="zh-CN"/>
        </w:rPr>
        <w:t xml:space="preserve">。 </w:t>
      </w:r>
    </w:p>
    <w:p w14:paraId="20672CBC">
      <w:pPr>
        <w:tabs>
          <w:tab w:val="left" w:pos="900"/>
        </w:tabs>
        <w:spacing w:line="360" w:lineRule="auto"/>
        <w:ind w:firstLine="480" w:firstLineChars="200"/>
        <w:rPr>
          <w:iCs/>
          <w:sz w:val="24"/>
          <w:szCs w:val="24"/>
          <w:highlight w:val="none"/>
          <w:lang w:eastAsia="zh-CN"/>
        </w:rPr>
      </w:pPr>
      <w:r>
        <w:rPr>
          <w:rFonts w:hint="eastAsia"/>
          <w:sz w:val="24"/>
          <w:szCs w:val="24"/>
          <w:highlight w:val="none"/>
          <w:lang w:eastAsia="zh-CN"/>
        </w:rPr>
        <w:t>（4）</w:t>
      </w:r>
      <w:r>
        <w:rPr>
          <w:rFonts w:hint="eastAsia"/>
          <w:iCs/>
          <w:sz w:val="24"/>
          <w:szCs w:val="24"/>
          <w:highlight w:val="none"/>
          <w:lang w:eastAsia="zh-CN"/>
        </w:rPr>
        <w:t xml:space="preserve">投标人所提供的部件之间及设备之间的连线或接插件均视为设备内部部件，应包含在相应的配置中。 </w:t>
      </w:r>
    </w:p>
    <w:p w14:paraId="60A82D0D">
      <w:pPr>
        <w:tabs>
          <w:tab w:val="left" w:pos="900"/>
        </w:tabs>
        <w:spacing w:line="360" w:lineRule="auto"/>
        <w:ind w:firstLine="480" w:firstLineChars="200"/>
        <w:rPr>
          <w:iCs/>
          <w:sz w:val="24"/>
          <w:szCs w:val="24"/>
          <w:highlight w:val="none"/>
          <w:lang w:eastAsia="zh-CN"/>
        </w:rPr>
      </w:pPr>
      <w:r>
        <w:rPr>
          <w:rFonts w:hint="eastAsia"/>
          <w:sz w:val="24"/>
          <w:szCs w:val="24"/>
          <w:highlight w:val="none"/>
          <w:lang w:eastAsia="zh-CN"/>
        </w:rPr>
        <w:t>（5）</w:t>
      </w:r>
      <w:r>
        <w:rPr>
          <w:rFonts w:hint="eastAsia"/>
          <w:iCs/>
          <w:sz w:val="24"/>
          <w:szCs w:val="24"/>
          <w:highlight w:val="none"/>
          <w:lang w:eastAsia="zh-CN"/>
        </w:rPr>
        <w:t xml:space="preserve">工作条件：除了在技术规格中另有规定外，投标人提供的一切仪器、设备和系统，应符合下列条件： </w:t>
      </w:r>
    </w:p>
    <w:p w14:paraId="51A4FCF9">
      <w:pPr>
        <w:tabs>
          <w:tab w:val="left" w:pos="900"/>
        </w:tabs>
        <w:spacing w:line="360" w:lineRule="auto"/>
        <w:ind w:firstLine="480" w:firstLineChars="200"/>
        <w:rPr>
          <w:iCs/>
          <w:sz w:val="24"/>
          <w:szCs w:val="24"/>
          <w:highlight w:val="none"/>
          <w:lang w:eastAsia="zh-CN"/>
        </w:rPr>
      </w:pPr>
      <w:r>
        <w:rPr>
          <w:rFonts w:hint="eastAsia"/>
          <w:iCs/>
          <w:sz w:val="24"/>
          <w:szCs w:val="24"/>
          <w:highlight w:val="none"/>
          <w:lang w:eastAsia="zh-CN"/>
        </w:rPr>
        <w:t xml:space="preserve">1）仪器设备的插头要符合中国电工标准。如不符合，则应提供适合仪器插头的插座，必须要有接地。 </w:t>
      </w:r>
    </w:p>
    <w:p w14:paraId="6CE6BD77">
      <w:pPr>
        <w:tabs>
          <w:tab w:val="left" w:pos="900"/>
        </w:tabs>
        <w:spacing w:line="360" w:lineRule="auto"/>
        <w:ind w:firstLine="480" w:firstLineChars="200"/>
        <w:rPr>
          <w:iCs/>
          <w:sz w:val="24"/>
          <w:szCs w:val="24"/>
          <w:highlight w:val="none"/>
          <w:lang w:eastAsia="zh-CN"/>
        </w:rPr>
      </w:pPr>
      <w:r>
        <w:rPr>
          <w:rFonts w:hint="eastAsia"/>
          <w:iCs/>
          <w:sz w:val="24"/>
          <w:szCs w:val="24"/>
          <w:highlight w:val="none"/>
          <w:lang w:eastAsia="zh-CN"/>
        </w:rPr>
        <w:t>2）如果仪器设备需特殊的工作条件（如：水、电源、磁场强度、特殊温度、湿度、震动强度等），投标人应在有关投标文件中加以说明。</w:t>
      </w:r>
    </w:p>
    <w:p w14:paraId="7CA04C66">
      <w:pPr>
        <w:tabs>
          <w:tab w:val="left" w:pos="900"/>
        </w:tabs>
        <w:spacing w:line="360" w:lineRule="auto"/>
        <w:ind w:firstLine="480" w:firstLineChars="200"/>
        <w:rPr>
          <w:iCs/>
          <w:color w:val="FF0000"/>
          <w:sz w:val="24"/>
          <w:szCs w:val="24"/>
          <w:highlight w:val="none"/>
          <w:lang w:eastAsia="zh-CN"/>
        </w:rPr>
      </w:pPr>
      <w:r>
        <w:rPr>
          <w:rFonts w:hint="eastAsia"/>
          <w:iCs/>
          <w:sz w:val="24"/>
          <w:szCs w:val="24"/>
          <w:highlight w:val="none"/>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7"/>
    <w:p w14:paraId="188F749C">
      <w:pPr>
        <w:tabs>
          <w:tab w:val="left" w:pos="900"/>
        </w:tabs>
        <w:spacing w:before="156" w:beforeLines="50" w:line="360" w:lineRule="auto"/>
        <w:ind w:firstLine="482" w:firstLineChars="200"/>
        <w:rPr>
          <w:b/>
          <w:sz w:val="24"/>
          <w:szCs w:val="24"/>
          <w:highlight w:val="none"/>
          <w:lang w:eastAsia="zh-CN"/>
        </w:rPr>
      </w:pPr>
      <w:r>
        <w:rPr>
          <w:rFonts w:hint="eastAsia"/>
          <w:b/>
          <w:sz w:val="24"/>
          <w:szCs w:val="24"/>
          <w:highlight w:val="none"/>
          <w:lang w:eastAsia="zh-CN"/>
        </w:rPr>
        <w:t>3.采购标的的验收标准</w:t>
      </w:r>
    </w:p>
    <w:p w14:paraId="5DA8B02F">
      <w:pPr>
        <w:autoSpaceDE/>
        <w:autoSpaceDN/>
        <w:spacing w:line="360" w:lineRule="auto"/>
        <w:ind w:firstLine="480" w:firstLineChars="200"/>
        <w:rPr>
          <w:rFonts w:hint="eastAsia"/>
          <w:b w:val="0"/>
          <w:bCs/>
          <w:sz w:val="24"/>
          <w:szCs w:val="21"/>
          <w:highlight w:val="none"/>
          <w:lang w:eastAsia="zh-CN"/>
        </w:rPr>
      </w:pPr>
      <w:r>
        <w:rPr>
          <w:rFonts w:hint="eastAsia"/>
          <w:b w:val="0"/>
          <w:bCs/>
          <w:sz w:val="24"/>
          <w:szCs w:val="21"/>
          <w:highlight w:val="none"/>
          <w:lang w:val="en-US" w:eastAsia="zh-CN"/>
        </w:rPr>
        <w:t>3.</w:t>
      </w:r>
      <w:r>
        <w:rPr>
          <w:rFonts w:hint="eastAsia"/>
          <w:b w:val="0"/>
          <w:bCs/>
          <w:sz w:val="24"/>
          <w:szCs w:val="21"/>
          <w:highlight w:val="none"/>
          <w:lang w:eastAsia="zh-CN"/>
        </w:rPr>
        <w:t>1、采购标的的验收标准</w:t>
      </w:r>
    </w:p>
    <w:p w14:paraId="159DE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 xml:space="preserve">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265A7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 xml:space="preserve">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511F0D03">
      <w:pPr>
        <w:keepNext w:val="0"/>
        <w:keepLines w:val="0"/>
        <w:pageBreakBefore w:val="0"/>
        <w:kinsoku/>
        <w:wordWrap/>
        <w:overflowPunct/>
        <w:topLinePunct w:val="0"/>
        <w:autoSpaceDE/>
        <w:autoSpaceDN/>
        <w:bidi w:val="0"/>
        <w:adjustRightInd w:val="0"/>
        <w:snapToGrid/>
        <w:spacing w:line="360" w:lineRule="auto"/>
        <w:jc w:val="left"/>
        <w:textAlignment w:val="baseline"/>
        <w:outlineLvl w:val="0"/>
      </w:pPr>
      <w:bookmarkStart w:id="18" w:name="_Toc24181"/>
      <w:r>
        <w:rPr>
          <w:rFonts w:hint="eastAsia" w:cs="宋体"/>
          <w:color w:val="auto"/>
          <w:kern w:val="0"/>
          <w:sz w:val="24"/>
          <w:szCs w:val="24"/>
          <w:highlight w:val="none"/>
          <w:lang w:val="en-US" w:eastAsia="zh-CN"/>
        </w:rPr>
        <w:t xml:space="preserve">  </w:t>
      </w:r>
      <w:bookmarkStart w:id="19" w:name="_Toc13153"/>
      <w:r>
        <w:rPr>
          <w:rFonts w:hint="eastAsia"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投标人应负责使所供计量仪器通过计量部门的验收，并承担相关费用（包括运</w:t>
      </w:r>
      <w:bookmarkEnd w:id="19"/>
      <w:bookmarkStart w:id="20" w:name="_Toc14846"/>
      <w:bookmarkStart w:id="22" w:name="_GoBack"/>
      <w:bookmarkEnd w:id="22"/>
      <w:r>
        <w:rPr>
          <w:rFonts w:hint="eastAsia" w:ascii="宋体" w:hAnsi="宋体" w:eastAsia="宋体" w:cs="宋体"/>
          <w:color w:val="auto"/>
          <w:kern w:val="0"/>
          <w:sz w:val="24"/>
          <w:szCs w:val="24"/>
          <w:highlight w:val="none"/>
          <w:lang w:val="en-US" w:eastAsia="zh-CN"/>
        </w:rPr>
        <w:t>费）。若</w:t>
      </w:r>
      <w:bookmarkEnd w:id="18"/>
      <w:bookmarkStart w:id="21" w:name="_Toc14175"/>
      <w:r>
        <w:rPr>
          <w:rFonts w:hint="eastAsia" w:ascii="宋体" w:hAnsi="宋体" w:eastAsia="宋体" w:cs="宋体"/>
          <w:color w:val="auto"/>
          <w:kern w:val="0"/>
          <w:sz w:val="24"/>
          <w:szCs w:val="24"/>
          <w:highlight w:val="none"/>
          <w:lang w:val="en-US" w:eastAsia="zh-CN"/>
        </w:rPr>
        <w:t>需要，应在检测期间提供备用仪器，以便不影响采购人的使用。</w:t>
      </w:r>
      <w:bookmarkEnd w:id="20"/>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Regular">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F0D3F"/>
    <w:rsid w:val="41BF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customStyle="1" w:styleId="7">
    <w:name w:val="列表段落1"/>
    <w:basedOn w:val="1"/>
    <w:qFormat/>
    <w:uiPriority w:val="1"/>
    <w:pPr>
      <w:spacing w:before="134"/>
      <w:ind w:left="1196" w:hanging="720"/>
    </w:pPr>
    <w:rPr>
      <w:sz w:val="20"/>
    </w:rPr>
  </w:style>
  <w:style w:type="paragraph" w:customStyle="1" w:styleId="8">
    <w:name w:val="Table Paragraph"/>
    <w:basedOn w:val="1"/>
    <w:qFormat/>
    <w:uiPriority w:val="1"/>
  </w:style>
  <w:style w:type="paragraph" w:customStyle="1" w:styleId="9">
    <w:name w:val="列出段落1"/>
    <w:basedOn w:val="1"/>
    <w:qFormat/>
    <w:uiPriority w:val="1"/>
    <w:pPr>
      <w:spacing w:before="134"/>
      <w:ind w:left="1196" w:hanging="720"/>
    </w:pPr>
    <w:rPr>
      <w:sz w:val="20"/>
    </w:rPr>
  </w:style>
  <w:style w:type="paragraph" w:customStyle="1" w:styleId="10">
    <w:name w:val="_Style 1"/>
    <w:basedOn w:val="1"/>
    <w:qFormat/>
    <w:uiPriority w:val="34"/>
    <w:pPr>
      <w:ind w:firstLine="420" w:firstLineChars="200"/>
    </w:pPr>
    <w:rPr>
      <w:rFonts w:ascii="Cambria" w:hAnsi="Cambria"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2026-02-04T07:00:00Z</dcterms:created>
  <dc:creator>王崴</dc:creator>
  <cp:lastModifiedBy>王崴</cp:lastModifiedBy>
  <dcterms:modified xsi:type="dcterms:W3CDTF">2026-02-04T07:02:01Z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F195EF0B47E946D6B22CF339C091C2EA_11</vt:lpwstr>
  </property>
  <property fmtid="{D5CDD505-2E9C-101B-9397-08002B2CF9AE}" pid="4" name="KSOTemplateDocerSaveRecord">
    <vt:lpwstr>eyJoZGlkIjoiNTU3MWFmY2JmYjBmNTA2M2Q0ZWY5MzgxYzE5YjliMzUiLCJ1c2VySWQiOiI4NDYxOTIwMTUifQ==</vt:lpwstr>
  </property>
</Properties>
</file>