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CF777">
      <w:pPr>
        <w:snapToGrid w:val="0"/>
        <w:spacing w:line="540" w:lineRule="exact"/>
        <w:jc w:val="center"/>
        <w:outlineLvl w:val="0"/>
        <w:rPr>
          <w:rFonts w:hint="default" w:ascii="仿宋" w:hAnsi="仿宋" w:eastAsia="仿宋" w:cs="仿宋"/>
          <w:color w:val="auto"/>
          <w:sz w:val="32"/>
          <w:szCs w:val="32"/>
          <w:lang w:val="en-US" w:eastAsia="zh-CN"/>
        </w:rPr>
      </w:pPr>
      <w:r>
        <w:rPr>
          <w:rFonts w:hint="eastAsia" w:ascii="仿宋" w:hAnsi="仿宋" w:eastAsia="仿宋" w:cs="仿宋"/>
          <w:b/>
          <w:color w:val="auto"/>
          <w:sz w:val="36"/>
          <w:szCs w:val="36"/>
        </w:rPr>
        <w:t>免疫细胞工程技术创新平台建设</w:t>
      </w:r>
      <w:r>
        <w:rPr>
          <w:rFonts w:hint="eastAsia" w:ascii="仿宋" w:hAnsi="仿宋" w:eastAsia="仿宋" w:cs="仿宋"/>
          <w:b/>
          <w:color w:val="auto"/>
          <w:sz w:val="36"/>
          <w:szCs w:val="36"/>
          <w:lang w:val="en-US" w:eastAsia="zh-CN"/>
        </w:rPr>
        <w:t>公开招标公告</w:t>
      </w:r>
    </w:p>
    <w:p w14:paraId="235A4D23">
      <w:pPr>
        <w:pStyle w:val="3"/>
        <w:snapToGrid w:val="0"/>
        <w:spacing w:before="0" w:line="540" w:lineRule="exact"/>
        <w:jc w:val="left"/>
        <w:rPr>
          <w:rFonts w:hint="eastAsia" w:ascii="仿宋" w:hAnsi="仿宋" w:eastAsia="仿宋" w:cs="仿宋"/>
          <w:color w:val="auto"/>
          <w:sz w:val="24"/>
        </w:rPr>
      </w:pPr>
      <w:r>
        <w:rPr>
          <w:rFonts w:hint="eastAsia" w:ascii="仿宋" w:hAnsi="仿宋" w:eastAsia="仿宋" w:cs="仿宋"/>
          <w:color w:val="auto"/>
          <w:sz w:val="24"/>
          <w:szCs w:val="24"/>
        </w:rPr>
        <w:t>一、项目基本情况</w:t>
      </w:r>
    </w:p>
    <w:p w14:paraId="3643D063">
      <w:pPr>
        <w:snapToGrid w:val="0"/>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1.项目编号：</w:t>
      </w:r>
      <w:r>
        <w:rPr>
          <w:rFonts w:hint="eastAsia" w:ascii="仿宋" w:hAnsi="仿宋" w:eastAsia="仿宋" w:cs="仿宋"/>
          <w:color w:val="auto"/>
          <w:sz w:val="24"/>
          <w:u w:val="single"/>
        </w:rPr>
        <w:t>11000026210200163834-XM001</w:t>
      </w:r>
    </w:p>
    <w:p w14:paraId="5D2BE450">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2.项目名称：</w:t>
      </w:r>
      <w:r>
        <w:rPr>
          <w:rFonts w:hint="eastAsia" w:ascii="仿宋" w:hAnsi="仿宋" w:eastAsia="仿宋" w:cs="仿宋"/>
          <w:color w:val="auto"/>
          <w:sz w:val="24"/>
          <w:u w:val="single"/>
        </w:rPr>
        <w:t>免疫细胞工程技术创新平台建设</w:t>
      </w:r>
    </w:p>
    <w:p w14:paraId="615588B5">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3.项目预算金额：</w:t>
      </w:r>
      <w:r>
        <w:rPr>
          <w:rFonts w:hint="eastAsia" w:ascii="仿宋" w:hAnsi="仿宋" w:eastAsia="仿宋" w:cs="仿宋"/>
          <w:color w:val="auto"/>
          <w:sz w:val="24"/>
          <w:u w:val="single"/>
        </w:rPr>
        <w:t>426.9</w:t>
      </w:r>
      <w:r>
        <w:rPr>
          <w:rFonts w:hint="eastAsia" w:ascii="仿宋" w:hAnsi="仿宋" w:eastAsia="仿宋" w:cs="仿宋"/>
          <w:color w:val="auto"/>
          <w:sz w:val="24"/>
        </w:rPr>
        <w:t>万元、项目最高限价：</w:t>
      </w:r>
      <w:r>
        <w:rPr>
          <w:rFonts w:hint="eastAsia" w:ascii="仿宋" w:hAnsi="仿宋" w:eastAsia="仿宋" w:cs="仿宋"/>
          <w:color w:val="auto"/>
          <w:sz w:val="24"/>
          <w:u w:val="single"/>
        </w:rPr>
        <w:t>426.9</w:t>
      </w:r>
      <w:r>
        <w:rPr>
          <w:rFonts w:hint="eastAsia" w:ascii="仿宋" w:hAnsi="仿宋" w:eastAsia="仿宋" w:cs="仿宋"/>
          <w:color w:val="auto"/>
          <w:sz w:val="24"/>
        </w:rPr>
        <w:t>万元</w:t>
      </w:r>
    </w:p>
    <w:p w14:paraId="6D9DB19E">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4.采购需求：</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72"/>
        <w:gridCol w:w="694"/>
        <w:gridCol w:w="2562"/>
        <w:gridCol w:w="1028"/>
        <w:gridCol w:w="1106"/>
        <w:gridCol w:w="573"/>
        <w:gridCol w:w="1224"/>
      </w:tblGrid>
      <w:tr w14:paraId="3E4F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Align w:val="center"/>
          </w:tcPr>
          <w:p w14:paraId="234AC186">
            <w:pPr>
              <w:widowControl/>
              <w:spacing w:line="360" w:lineRule="auto"/>
              <w:jc w:val="center"/>
              <w:rPr>
                <w:rFonts w:hint="eastAsia" w:ascii="仿宋" w:hAnsi="仿宋" w:eastAsia="仿宋" w:cs="仿宋"/>
                <w:color w:val="auto"/>
                <w:kern w:val="0"/>
                <w:sz w:val="24"/>
              </w:rPr>
            </w:pPr>
            <w:bookmarkStart w:id="26" w:name="_GoBack"/>
            <w:r>
              <w:rPr>
                <w:rFonts w:hint="eastAsia" w:ascii="仿宋" w:hAnsi="仿宋" w:eastAsia="仿宋" w:cs="仿宋"/>
                <w:color w:val="auto"/>
                <w:kern w:val="0"/>
                <w:sz w:val="24"/>
              </w:rPr>
              <w:t>包号</w:t>
            </w:r>
          </w:p>
        </w:tc>
        <w:tc>
          <w:tcPr>
            <w:tcW w:w="515" w:type="pct"/>
            <w:vAlign w:val="center"/>
          </w:tcPr>
          <w:p w14:paraId="1E016CB7">
            <w:pPr>
              <w:widowControl/>
              <w:spacing w:line="360" w:lineRule="auto"/>
              <w:jc w:val="center"/>
              <w:rPr>
                <w:rFonts w:hint="eastAsia" w:ascii="仿宋" w:hAnsi="仿宋" w:eastAsia="仿宋" w:cs="仿宋"/>
                <w:color w:val="auto"/>
                <w:kern w:val="0"/>
                <w:sz w:val="24"/>
              </w:rPr>
            </w:pPr>
            <w:r>
              <w:rPr>
                <w:rFonts w:hint="eastAsia" w:ascii="仿宋" w:hAnsi="仿宋" w:eastAsia="仿宋" w:cs="仿宋"/>
                <w:color w:val="auto"/>
                <w:kern w:val="0"/>
                <w:sz w:val="24"/>
              </w:rPr>
              <w:t>标的名称</w:t>
            </w:r>
          </w:p>
        </w:tc>
        <w:tc>
          <w:tcPr>
            <w:tcW w:w="411" w:type="pct"/>
            <w:vAlign w:val="center"/>
          </w:tcPr>
          <w:p w14:paraId="4419D9F5">
            <w:pPr>
              <w:widowControl/>
              <w:spacing w:line="360" w:lineRule="auto"/>
              <w:jc w:val="center"/>
              <w:rPr>
                <w:rFonts w:hint="eastAsia" w:ascii="仿宋" w:hAnsi="仿宋" w:eastAsia="仿宋" w:cs="仿宋"/>
                <w:color w:val="auto"/>
                <w:kern w:val="0"/>
                <w:sz w:val="24"/>
              </w:rPr>
            </w:pPr>
            <w:r>
              <w:rPr>
                <w:rFonts w:hint="eastAsia" w:ascii="仿宋" w:hAnsi="仿宋" w:eastAsia="仿宋" w:cs="仿宋"/>
                <w:color w:val="auto"/>
                <w:kern w:val="0"/>
                <w:sz w:val="24"/>
              </w:rPr>
              <w:t>序号</w:t>
            </w:r>
          </w:p>
        </w:tc>
        <w:tc>
          <w:tcPr>
            <w:tcW w:w="1507" w:type="pct"/>
            <w:vAlign w:val="center"/>
          </w:tcPr>
          <w:p w14:paraId="51BF2285">
            <w:pPr>
              <w:widowControl/>
              <w:spacing w:line="360" w:lineRule="auto"/>
              <w:jc w:val="center"/>
              <w:rPr>
                <w:rFonts w:hint="eastAsia" w:ascii="仿宋" w:hAnsi="仿宋" w:eastAsia="仿宋" w:cs="仿宋"/>
                <w:color w:val="auto"/>
                <w:kern w:val="0"/>
                <w:sz w:val="24"/>
              </w:rPr>
            </w:pPr>
            <w:r>
              <w:rPr>
                <w:rFonts w:hint="eastAsia" w:ascii="仿宋" w:hAnsi="仿宋" w:eastAsia="仿宋" w:cs="仿宋"/>
                <w:color w:val="auto"/>
                <w:kern w:val="0"/>
                <w:sz w:val="24"/>
              </w:rPr>
              <w:t>标的分项名称</w:t>
            </w:r>
          </w:p>
          <w:p w14:paraId="50D6B8C3">
            <w:pPr>
              <w:widowControl/>
              <w:spacing w:line="360" w:lineRule="auto"/>
              <w:jc w:val="center"/>
              <w:rPr>
                <w:rFonts w:hint="eastAsia" w:ascii="仿宋" w:hAnsi="仿宋" w:eastAsia="仿宋" w:cs="仿宋"/>
                <w:color w:val="auto"/>
                <w:kern w:val="0"/>
                <w:sz w:val="24"/>
              </w:rPr>
            </w:pPr>
            <w:r>
              <w:rPr>
                <w:rFonts w:hint="eastAsia" w:ascii="仿宋" w:hAnsi="仿宋" w:eastAsia="仿宋" w:cs="仿宋"/>
                <w:color w:val="auto"/>
                <w:kern w:val="0"/>
                <w:sz w:val="24"/>
              </w:rPr>
              <w:t>(货物名称)</w:t>
            </w:r>
          </w:p>
        </w:tc>
        <w:tc>
          <w:tcPr>
            <w:tcW w:w="607" w:type="pct"/>
            <w:vAlign w:val="center"/>
          </w:tcPr>
          <w:p w14:paraId="3FDA40D6">
            <w:pPr>
              <w:widowControl/>
              <w:spacing w:line="360" w:lineRule="auto"/>
              <w:jc w:val="center"/>
              <w:rPr>
                <w:rFonts w:hint="eastAsia" w:ascii="仿宋" w:hAnsi="仿宋" w:eastAsia="仿宋" w:cs="仿宋"/>
                <w:color w:val="auto"/>
                <w:kern w:val="0"/>
                <w:sz w:val="24"/>
              </w:rPr>
            </w:pPr>
            <w:r>
              <w:rPr>
                <w:rFonts w:hint="eastAsia" w:ascii="仿宋" w:hAnsi="仿宋" w:eastAsia="仿宋" w:cs="仿宋"/>
                <w:color w:val="auto"/>
                <w:kern w:val="0"/>
                <w:sz w:val="24"/>
              </w:rPr>
              <w:t>包预算金额</w:t>
            </w:r>
          </w:p>
          <w:p w14:paraId="1FA537AD">
            <w:pPr>
              <w:widowControl/>
              <w:spacing w:line="360" w:lineRule="auto"/>
              <w:jc w:val="center"/>
              <w:rPr>
                <w:rFonts w:hint="eastAsia" w:ascii="仿宋" w:hAnsi="仿宋" w:eastAsia="仿宋" w:cs="仿宋"/>
                <w:color w:val="auto"/>
                <w:kern w:val="0"/>
                <w:sz w:val="24"/>
              </w:rPr>
            </w:pPr>
            <w:r>
              <w:rPr>
                <w:rFonts w:hint="eastAsia" w:ascii="仿宋" w:hAnsi="仿宋" w:eastAsia="仿宋" w:cs="仿宋"/>
                <w:color w:val="auto"/>
                <w:kern w:val="0"/>
                <w:sz w:val="24"/>
              </w:rPr>
              <w:t>（万元）</w:t>
            </w:r>
          </w:p>
        </w:tc>
        <w:tc>
          <w:tcPr>
            <w:tcW w:w="652" w:type="pct"/>
            <w:vAlign w:val="center"/>
          </w:tcPr>
          <w:p w14:paraId="518BC17C">
            <w:pPr>
              <w:widowControl/>
              <w:spacing w:line="360" w:lineRule="auto"/>
              <w:jc w:val="center"/>
              <w:rPr>
                <w:rFonts w:hint="eastAsia" w:ascii="仿宋" w:hAnsi="仿宋" w:eastAsia="仿宋" w:cs="仿宋"/>
                <w:color w:val="auto"/>
                <w:kern w:val="0"/>
                <w:sz w:val="24"/>
              </w:rPr>
            </w:pPr>
            <w:r>
              <w:rPr>
                <w:rFonts w:hint="eastAsia" w:ascii="仿宋" w:hAnsi="仿宋" w:eastAsia="仿宋" w:cs="仿宋"/>
                <w:color w:val="auto"/>
                <w:kern w:val="0"/>
                <w:sz w:val="24"/>
              </w:rPr>
              <w:t>包最高限价（万元）</w:t>
            </w:r>
          </w:p>
        </w:tc>
        <w:tc>
          <w:tcPr>
            <w:tcW w:w="339" w:type="pct"/>
            <w:vAlign w:val="center"/>
          </w:tcPr>
          <w:p w14:paraId="43B245C5">
            <w:pPr>
              <w:widowControl/>
              <w:spacing w:line="360" w:lineRule="auto"/>
              <w:jc w:val="center"/>
              <w:rPr>
                <w:rFonts w:hint="eastAsia" w:ascii="仿宋" w:hAnsi="仿宋" w:eastAsia="仿宋" w:cs="仿宋"/>
                <w:color w:val="auto"/>
                <w:kern w:val="0"/>
                <w:sz w:val="24"/>
              </w:rPr>
            </w:pPr>
            <w:r>
              <w:rPr>
                <w:rFonts w:hint="eastAsia" w:ascii="仿宋" w:hAnsi="仿宋" w:eastAsia="仿宋" w:cs="仿宋"/>
                <w:color w:val="auto"/>
                <w:kern w:val="0"/>
                <w:sz w:val="24"/>
              </w:rPr>
              <w:t>数量</w:t>
            </w:r>
          </w:p>
        </w:tc>
        <w:tc>
          <w:tcPr>
            <w:tcW w:w="721" w:type="pct"/>
            <w:vAlign w:val="center"/>
          </w:tcPr>
          <w:p w14:paraId="54509156">
            <w:pPr>
              <w:widowControl/>
              <w:spacing w:line="360" w:lineRule="auto"/>
              <w:jc w:val="center"/>
              <w:rPr>
                <w:rFonts w:hint="eastAsia" w:ascii="仿宋" w:hAnsi="仿宋" w:eastAsia="仿宋" w:cs="仿宋"/>
                <w:color w:val="auto"/>
                <w:kern w:val="0"/>
                <w:sz w:val="24"/>
              </w:rPr>
            </w:pPr>
            <w:r>
              <w:rPr>
                <w:rFonts w:hint="eastAsia" w:ascii="仿宋" w:hAnsi="仿宋" w:eastAsia="仿宋" w:cs="仿宋"/>
                <w:color w:val="auto"/>
                <w:kern w:val="0"/>
                <w:sz w:val="24"/>
              </w:rPr>
              <w:t>简要技术需求或服务要求</w:t>
            </w:r>
          </w:p>
        </w:tc>
      </w:tr>
      <w:tr w14:paraId="19BB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restart"/>
            <w:vAlign w:val="center"/>
          </w:tcPr>
          <w:p w14:paraId="1DCB545E">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w:t>
            </w:r>
          </w:p>
        </w:tc>
        <w:tc>
          <w:tcPr>
            <w:tcW w:w="515" w:type="pct"/>
            <w:vMerge w:val="restart"/>
            <w:vAlign w:val="center"/>
          </w:tcPr>
          <w:p w14:paraId="779F026B">
            <w:pPr>
              <w:widowControl/>
              <w:jc w:val="center"/>
              <w:textAlignment w:val="center"/>
              <w:rPr>
                <w:rFonts w:hint="eastAsia" w:ascii="仿宋" w:hAnsi="仿宋" w:eastAsia="仿宋" w:cs="仿宋"/>
                <w:color w:val="auto"/>
                <w:kern w:val="0"/>
                <w:sz w:val="22"/>
                <w:szCs w:val="22"/>
                <w:lang w:eastAsia="zh-CN" w:bidi="ar"/>
              </w:rPr>
            </w:pPr>
            <w:r>
              <w:rPr>
                <w:rFonts w:hint="eastAsia" w:ascii="仿宋" w:hAnsi="仿宋" w:eastAsia="仿宋" w:cs="仿宋"/>
                <w:color w:val="auto"/>
                <w:kern w:val="0"/>
                <w:sz w:val="22"/>
                <w:szCs w:val="22"/>
                <w:lang w:eastAsia="zh-CN" w:bidi="ar"/>
              </w:rPr>
              <w:t>免疫细胞工程技术创新平台建设-01</w:t>
            </w:r>
          </w:p>
        </w:tc>
        <w:tc>
          <w:tcPr>
            <w:tcW w:w="411" w:type="pct"/>
            <w:vAlign w:val="center"/>
          </w:tcPr>
          <w:p w14:paraId="5A9CBD50">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1-1</w:t>
            </w:r>
          </w:p>
        </w:tc>
        <w:tc>
          <w:tcPr>
            <w:tcW w:w="1507" w:type="pct"/>
            <w:vAlign w:val="center"/>
          </w:tcPr>
          <w:p w14:paraId="5CBECA58">
            <w:pPr>
              <w:widowControl/>
              <w:jc w:val="center"/>
              <w:rPr>
                <w:rFonts w:hint="eastAsia" w:ascii="仿宋" w:hAnsi="仿宋" w:eastAsia="仿宋" w:cs="仿宋"/>
                <w:color w:val="auto"/>
                <w:sz w:val="24"/>
              </w:rPr>
            </w:pPr>
            <w:r>
              <w:rPr>
                <w:rFonts w:hint="eastAsia" w:ascii="仿宋" w:hAnsi="仿宋" w:eastAsia="仿宋" w:cs="仿宋"/>
                <w:color w:val="auto"/>
                <w:sz w:val="24"/>
              </w:rPr>
              <w:t>高通量多维度免疫细胞解析系统</w:t>
            </w:r>
          </w:p>
        </w:tc>
        <w:tc>
          <w:tcPr>
            <w:tcW w:w="607" w:type="pct"/>
            <w:vMerge w:val="restart"/>
            <w:vAlign w:val="center"/>
          </w:tcPr>
          <w:p w14:paraId="544FB4D5">
            <w:pPr>
              <w:widowControl/>
              <w:spacing w:line="360" w:lineRule="auto"/>
              <w:jc w:val="center"/>
              <w:rPr>
                <w:rFonts w:hint="eastAsia" w:ascii="仿宋" w:hAnsi="仿宋" w:eastAsia="仿宋" w:cs="仿宋"/>
                <w:color w:val="auto"/>
                <w:sz w:val="24"/>
              </w:rPr>
            </w:pPr>
            <w:r>
              <w:rPr>
                <w:rFonts w:hint="eastAsia" w:ascii="仿宋" w:hAnsi="仿宋" w:eastAsia="仿宋" w:cs="仿宋"/>
                <w:color w:val="auto"/>
                <w:kern w:val="0"/>
                <w:sz w:val="24"/>
              </w:rPr>
              <w:t>124.40</w:t>
            </w:r>
          </w:p>
        </w:tc>
        <w:tc>
          <w:tcPr>
            <w:tcW w:w="652" w:type="pct"/>
            <w:vMerge w:val="restart"/>
            <w:vAlign w:val="center"/>
          </w:tcPr>
          <w:p w14:paraId="27D814E7">
            <w:pPr>
              <w:widowControl/>
              <w:spacing w:line="360" w:lineRule="auto"/>
              <w:jc w:val="center"/>
              <w:rPr>
                <w:rFonts w:hint="eastAsia" w:ascii="仿宋" w:hAnsi="仿宋" w:eastAsia="仿宋" w:cs="仿宋"/>
                <w:color w:val="auto"/>
                <w:sz w:val="24"/>
              </w:rPr>
            </w:pPr>
            <w:r>
              <w:rPr>
                <w:rFonts w:hint="eastAsia" w:ascii="仿宋" w:hAnsi="仿宋" w:eastAsia="仿宋" w:cs="仿宋"/>
                <w:color w:val="auto"/>
                <w:kern w:val="0"/>
                <w:sz w:val="24"/>
              </w:rPr>
              <w:t>124.40</w:t>
            </w:r>
          </w:p>
        </w:tc>
        <w:tc>
          <w:tcPr>
            <w:tcW w:w="339" w:type="pct"/>
            <w:vAlign w:val="center"/>
          </w:tcPr>
          <w:p w14:paraId="2F4E8469">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1台</w:t>
            </w:r>
          </w:p>
        </w:tc>
        <w:tc>
          <w:tcPr>
            <w:tcW w:w="721" w:type="pct"/>
            <w:vMerge w:val="restart"/>
            <w:vAlign w:val="center"/>
          </w:tcPr>
          <w:p w14:paraId="6B5FBFFA">
            <w:pPr>
              <w:widowControl/>
              <w:spacing w:line="360" w:lineRule="auto"/>
              <w:jc w:val="center"/>
              <w:rPr>
                <w:rFonts w:hint="eastAsia" w:ascii="仿宋" w:hAnsi="仿宋" w:eastAsia="仿宋" w:cs="仿宋"/>
                <w:color w:val="auto"/>
                <w:kern w:val="0"/>
                <w:sz w:val="24"/>
              </w:rPr>
            </w:pPr>
            <w:r>
              <w:rPr>
                <w:rFonts w:hint="eastAsia" w:ascii="仿宋" w:hAnsi="仿宋" w:eastAsia="仿宋" w:cs="仿宋"/>
                <w:color w:val="auto"/>
                <w:kern w:val="0"/>
                <w:sz w:val="24"/>
              </w:rPr>
              <w:t>详见第五章采购需求</w:t>
            </w:r>
          </w:p>
        </w:tc>
      </w:tr>
      <w:tr w14:paraId="0146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4BE2167D">
            <w:pPr>
              <w:spacing w:line="360" w:lineRule="auto"/>
              <w:jc w:val="center"/>
              <w:rPr>
                <w:rFonts w:hint="eastAsia" w:ascii="仿宋" w:hAnsi="仿宋" w:eastAsia="仿宋" w:cs="仿宋"/>
                <w:color w:val="auto"/>
                <w:sz w:val="24"/>
              </w:rPr>
            </w:pPr>
          </w:p>
        </w:tc>
        <w:tc>
          <w:tcPr>
            <w:tcW w:w="515" w:type="pct"/>
            <w:vMerge w:val="continue"/>
            <w:vAlign w:val="center"/>
          </w:tcPr>
          <w:p w14:paraId="73B0B0C3">
            <w:pPr>
              <w:widowControl/>
              <w:jc w:val="center"/>
              <w:textAlignment w:val="center"/>
              <w:rPr>
                <w:rFonts w:hint="eastAsia" w:ascii="仿宋" w:hAnsi="仿宋" w:eastAsia="仿宋" w:cs="仿宋"/>
                <w:color w:val="auto"/>
                <w:kern w:val="0"/>
                <w:sz w:val="22"/>
                <w:szCs w:val="22"/>
                <w:lang w:bidi="ar"/>
              </w:rPr>
            </w:pPr>
          </w:p>
        </w:tc>
        <w:tc>
          <w:tcPr>
            <w:tcW w:w="411" w:type="pct"/>
            <w:vAlign w:val="center"/>
          </w:tcPr>
          <w:p w14:paraId="50990275">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1-2</w:t>
            </w:r>
          </w:p>
        </w:tc>
        <w:tc>
          <w:tcPr>
            <w:tcW w:w="1507" w:type="pct"/>
            <w:vAlign w:val="center"/>
          </w:tcPr>
          <w:p w14:paraId="74994FB0">
            <w:pPr>
              <w:widowControl/>
              <w:jc w:val="center"/>
              <w:rPr>
                <w:rFonts w:hint="eastAsia" w:ascii="仿宋" w:hAnsi="仿宋" w:eastAsia="仿宋" w:cs="仿宋"/>
                <w:color w:val="auto"/>
                <w:sz w:val="24"/>
              </w:rPr>
            </w:pPr>
            <w:r>
              <w:rPr>
                <w:rFonts w:hint="eastAsia" w:ascii="仿宋" w:hAnsi="仿宋" w:eastAsia="仿宋" w:cs="仿宋"/>
                <w:color w:val="auto"/>
                <w:sz w:val="24"/>
              </w:rPr>
              <w:t>高通量细胞计数仪</w:t>
            </w:r>
          </w:p>
        </w:tc>
        <w:tc>
          <w:tcPr>
            <w:tcW w:w="607" w:type="pct"/>
            <w:vMerge w:val="continue"/>
            <w:vAlign w:val="center"/>
          </w:tcPr>
          <w:p w14:paraId="09C95DA6">
            <w:pPr>
              <w:widowControl/>
              <w:spacing w:line="360" w:lineRule="auto"/>
              <w:jc w:val="center"/>
              <w:rPr>
                <w:rFonts w:hint="eastAsia" w:ascii="仿宋" w:hAnsi="仿宋" w:eastAsia="仿宋" w:cs="仿宋"/>
                <w:color w:val="auto"/>
                <w:kern w:val="0"/>
                <w:sz w:val="24"/>
              </w:rPr>
            </w:pPr>
          </w:p>
        </w:tc>
        <w:tc>
          <w:tcPr>
            <w:tcW w:w="652" w:type="pct"/>
            <w:vMerge w:val="continue"/>
            <w:vAlign w:val="center"/>
          </w:tcPr>
          <w:p w14:paraId="66C631D5">
            <w:pPr>
              <w:widowControl/>
              <w:spacing w:line="360" w:lineRule="auto"/>
              <w:jc w:val="center"/>
              <w:rPr>
                <w:rFonts w:hint="eastAsia" w:ascii="仿宋" w:hAnsi="仿宋" w:eastAsia="仿宋" w:cs="仿宋"/>
                <w:color w:val="auto"/>
                <w:kern w:val="0"/>
                <w:sz w:val="24"/>
              </w:rPr>
            </w:pPr>
          </w:p>
        </w:tc>
        <w:tc>
          <w:tcPr>
            <w:tcW w:w="339" w:type="pct"/>
            <w:vAlign w:val="center"/>
          </w:tcPr>
          <w:p w14:paraId="58BF7094">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1台</w:t>
            </w:r>
          </w:p>
        </w:tc>
        <w:tc>
          <w:tcPr>
            <w:tcW w:w="721" w:type="pct"/>
            <w:vMerge w:val="continue"/>
            <w:vAlign w:val="center"/>
          </w:tcPr>
          <w:p w14:paraId="78A98C26">
            <w:pPr>
              <w:widowControl/>
              <w:spacing w:line="360" w:lineRule="auto"/>
              <w:jc w:val="center"/>
              <w:rPr>
                <w:rFonts w:hint="eastAsia" w:ascii="仿宋" w:hAnsi="仿宋" w:eastAsia="仿宋" w:cs="仿宋"/>
                <w:color w:val="auto"/>
                <w:kern w:val="0"/>
                <w:sz w:val="24"/>
              </w:rPr>
            </w:pPr>
          </w:p>
        </w:tc>
      </w:tr>
      <w:tr w14:paraId="305E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440AE13C">
            <w:pPr>
              <w:spacing w:line="360" w:lineRule="auto"/>
              <w:jc w:val="center"/>
              <w:rPr>
                <w:rFonts w:hint="eastAsia" w:ascii="仿宋" w:hAnsi="仿宋" w:eastAsia="仿宋" w:cs="仿宋"/>
                <w:color w:val="auto"/>
                <w:sz w:val="24"/>
              </w:rPr>
            </w:pPr>
          </w:p>
        </w:tc>
        <w:tc>
          <w:tcPr>
            <w:tcW w:w="515" w:type="pct"/>
            <w:vMerge w:val="continue"/>
            <w:vAlign w:val="center"/>
          </w:tcPr>
          <w:p w14:paraId="5E4E48CE">
            <w:pPr>
              <w:widowControl/>
              <w:jc w:val="center"/>
              <w:textAlignment w:val="center"/>
              <w:rPr>
                <w:rFonts w:hint="eastAsia" w:ascii="仿宋" w:hAnsi="仿宋" w:eastAsia="仿宋" w:cs="仿宋"/>
                <w:color w:val="auto"/>
                <w:kern w:val="0"/>
                <w:sz w:val="22"/>
                <w:szCs w:val="22"/>
                <w:lang w:bidi="ar"/>
              </w:rPr>
            </w:pPr>
          </w:p>
        </w:tc>
        <w:tc>
          <w:tcPr>
            <w:tcW w:w="411" w:type="pct"/>
            <w:vAlign w:val="center"/>
          </w:tcPr>
          <w:p w14:paraId="6B05E140">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1-3</w:t>
            </w:r>
          </w:p>
        </w:tc>
        <w:tc>
          <w:tcPr>
            <w:tcW w:w="1507" w:type="pct"/>
            <w:vAlign w:val="center"/>
          </w:tcPr>
          <w:p w14:paraId="14E057D8">
            <w:pPr>
              <w:widowControl/>
              <w:jc w:val="center"/>
              <w:rPr>
                <w:rFonts w:hint="eastAsia" w:ascii="仿宋" w:hAnsi="仿宋" w:eastAsia="仿宋" w:cs="仿宋"/>
                <w:color w:val="auto"/>
                <w:sz w:val="24"/>
              </w:rPr>
            </w:pPr>
            <w:r>
              <w:rPr>
                <w:rFonts w:hint="eastAsia" w:ascii="仿宋" w:hAnsi="仿宋" w:eastAsia="仿宋" w:cs="仿宋"/>
                <w:color w:val="auto"/>
                <w:sz w:val="24"/>
              </w:rPr>
              <w:t>微滴/微球制备仪</w:t>
            </w:r>
          </w:p>
        </w:tc>
        <w:tc>
          <w:tcPr>
            <w:tcW w:w="607" w:type="pct"/>
            <w:vMerge w:val="continue"/>
            <w:vAlign w:val="center"/>
          </w:tcPr>
          <w:p w14:paraId="1EBE06F4">
            <w:pPr>
              <w:widowControl/>
              <w:spacing w:line="360" w:lineRule="auto"/>
              <w:jc w:val="center"/>
              <w:rPr>
                <w:rFonts w:hint="eastAsia" w:ascii="仿宋" w:hAnsi="仿宋" w:eastAsia="仿宋" w:cs="仿宋"/>
                <w:color w:val="auto"/>
                <w:kern w:val="0"/>
                <w:sz w:val="24"/>
              </w:rPr>
            </w:pPr>
          </w:p>
        </w:tc>
        <w:tc>
          <w:tcPr>
            <w:tcW w:w="652" w:type="pct"/>
            <w:vMerge w:val="continue"/>
            <w:vAlign w:val="center"/>
          </w:tcPr>
          <w:p w14:paraId="5DC0C933">
            <w:pPr>
              <w:widowControl/>
              <w:spacing w:line="360" w:lineRule="auto"/>
              <w:jc w:val="center"/>
              <w:rPr>
                <w:rFonts w:hint="eastAsia" w:ascii="仿宋" w:hAnsi="仿宋" w:eastAsia="仿宋" w:cs="仿宋"/>
                <w:color w:val="auto"/>
                <w:kern w:val="0"/>
                <w:sz w:val="24"/>
              </w:rPr>
            </w:pPr>
          </w:p>
        </w:tc>
        <w:tc>
          <w:tcPr>
            <w:tcW w:w="339" w:type="pct"/>
            <w:vAlign w:val="center"/>
          </w:tcPr>
          <w:p w14:paraId="03D4C887">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1台</w:t>
            </w:r>
          </w:p>
        </w:tc>
        <w:tc>
          <w:tcPr>
            <w:tcW w:w="721" w:type="pct"/>
            <w:vMerge w:val="continue"/>
            <w:vAlign w:val="center"/>
          </w:tcPr>
          <w:p w14:paraId="305AF173">
            <w:pPr>
              <w:widowControl/>
              <w:spacing w:line="360" w:lineRule="auto"/>
              <w:jc w:val="center"/>
              <w:rPr>
                <w:rFonts w:hint="eastAsia" w:ascii="仿宋" w:hAnsi="仿宋" w:eastAsia="仿宋" w:cs="仿宋"/>
                <w:color w:val="auto"/>
                <w:kern w:val="0"/>
                <w:sz w:val="24"/>
              </w:rPr>
            </w:pPr>
          </w:p>
        </w:tc>
      </w:tr>
      <w:tr w14:paraId="4A25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37651B73">
            <w:pPr>
              <w:spacing w:line="360" w:lineRule="auto"/>
              <w:jc w:val="center"/>
              <w:rPr>
                <w:rFonts w:hint="eastAsia" w:ascii="仿宋" w:hAnsi="仿宋" w:eastAsia="仿宋" w:cs="仿宋"/>
                <w:color w:val="auto"/>
                <w:sz w:val="24"/>
              </w:rPr>
            </w:pPr>
          </w:p>
        </w:tc>
        <w:tc>
          <w:tcPr>
            <w:tcW w:w="515" w:type="pct"/>
            <w:vMerge w:val="continue"/>
            <w:vAlign w:val="center"/>
          </w:tcPr>
          <w:p w14:paraId="02081A4C">
            <w:pPr>
              <w:widowControl/>
              <w:jc w:val="center"/>
              <w:textAlignment w:val="center"/>
              <w:rPr>
                <w:rFonts w:hint="eastAsia" w:ascii="仿宋" w:hAnsi="仿宋" w:eastAsia="仿宋" w:cs="仿宋"/>
                <w:color w:val="auto"/>
                <w:kern w:val="0"/>
                <w:sz w:val="22"/>
                <w:szCs w:val="22"/>
                <w:lang w:bidi="ar"/>
              </w:rPr>
            </w:pPr>
          </w:p>
        </w:tc>
        <w:tc>
          <w:tcPr>
            <w:tcW w:w="411" w:type="pct"/>
            <w:vAlign w:val="center"/>
          </w:tcPr>
          <w:p w14:paraId="01D22B39">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1-4</w:t>
            </w:r>
          </w:p>
        </w:tc>
        <w:tc>
          <w:tcPr>
            <w:tcW w:w="1507" w:type="pct"/>
            <w:vAlign w:val="center"/>
          </w:tcPr>
          <w:p w14:paraId="1DC39EF1">
            <w:pPr>
              <w:widowControl/>
              <w:jc w:val="center"/>
              <w:rPr>
                <w:rFonts w:hint="eastAsia" w:ascii="仿宋" w:hAnsi="仿宋" w:eastAsia="仿宋" w:cs="仿宋"/>
                <w:color w:val="auto"/>
                <w:sz w:val="24"/>
              </w:rPr>
            </w:pPr>
            <w:r>
              <w:rPr>
                <w:rFonts w:hint="eastAsia" w:ascii="仿宋" w:hAnsi="仿宋" w:eastAsia="仿宋" w:cs="仿宋"/>
                <w:color w:val="auto"/>
                <w:sz w:val="24"/>
              </w:rPr>
              <w:t>匀胶机</w:t>
            </w:r>
          </w:p>
        </w:tc>
        <w:tc>
          <w:tcPr>
            <w:tcW w:w="607" w:type="pct"/>
            <w:vMerge w:val="continue"/>
            <w:vAlign w:val="center"/>
          </w:tcPr>
          <w:p w14:paraId="3BEB768A">
            <w:pPr>
              <w:widowControl/>
              <w:spacing w:line="360" w:lineRule="auto"/>
              <w:jc w:val="center"/>
              <w:rPr>
                <w:rFonts w:hint="eastAsia" w:ascii="仿宋" w:hAnsi="仿宋" w:eastAsia="仿宋" w:cs="仿宋"/>
                <w:color w:val="auto"/>
                <w:kern w:val="0"/>
                <w:sz w:val="24"/>
              </w:rPr>
            </w:pPr>
          </w:p>
        </w:tc>
        <w:tc>
          <w:tcPr>
            <w:tcW w:w="652" w:type="pct"/>
            <w:vMerge w:val="continue"/>
            <w:vAlign w:val="center"/>
          </w:tcPr>
          <w:p w14:paraId="590C3AAD">
            <w:pPr>
              <w:widowControl/>
              <w:spacing w:line="360" w:lineRule="auto"/>
              <w:jc w:val="center"/>
              <w:rPr>
                <w:rFonts w:hint="eastAsia" w:ascii="仿宋" w:hAnsi="仿宋" w:eastAsia="仿宋" w:cs="仿宋"/>
                <w:color w:val="auto"/>
                <w:kern w:val="0"/>
                <w:sz w:val="24"/>
              </w:rPr>
            </w:pPr>
          </w:p>
        </w:tc>
        <w:tc>
          <w:tcPr>
            <w:tcW w:w="339" w:type="pct"/>
            <w:vAlign w:val="center"/>
          </w:tcPr>
          <w:p w14:paraId="1D5E493F">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1台</w:t>
            </w:r>
          </w:p>
        </w:tc>
        <w:tc>
          <w:tcPr>
            <w:tcW w:w="721" w:type="pct"/>
            <w:vMerge w:val="continue"/>
            <w:vAlign w:val="center"/>
          </w:tcPr>
          <w:p w14:paraId="0F5C0718">
            <w:pPr>
              <w:widowControl/>
              <w:spacing w:line="360" w:lineRule="auto"/>
              <w:jc w:val="center"/>
              <w:rPr>
                <w:rFonts w:hint="eastAsia" w:ascii="仿宋" w:hAnsi="仿宋" w:eastAsia="仿宋" w:cs="仿宋"/>
                <w:color w:val="auto"/>
                <w:kern w:val="0"/>
                <w:sz w:val="24"/>
              </w:rPr>
            </w:pPr>
          </w:p>
        </w:tc>
      </w:tr>
      <w:tr w14:paraId="168B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4BD7F4ED">
            <w:pPr>
              <w:spacing w:line="360" w:lineRule="auto"/>
              <w:jc w:val="center"/>
              <w:rPr>
                <w:rFonts w:hint="eastAsia" w:ascii="仿宋" w:hAnsi="仿宋" w:eastAsia="仿宋" w:cs="仿宋"/>
                <w:color w:val="auto"/>
                <w:sz w:val="24"/>
              </w:rPr>
            </w:pPr>
          </w:p>
        </w:tc>
        <w:tc>
          <w:tcPr>
            <w:tcW w:w="515" w:type="pct"/>
            <w:vMerge w:val="continue"/>
            <w:vAlign w:val="center"/>
          </w:tcPr>
          <w:p w14:paraId="3078ECF8">
            <w:pPr>
              <w:widowControl/>
              <w:jc w:val="center"/>
              <w:textAlignment w:val="center"/>
              <w:rPr>
                <w:rFonts w:hint="eastAsia" w:ascii="仿宋" w:hAnsi="仿宋" w:eastAsia="仿宋" w:cs="仿宋"/>
                <w:color w:val="auto"/>
                <w:kern w:val="0"/>
                <w:sz w:val="22"/>
                <w:szCs w:val="22"/>
                <w:lang w:bidi="ar"/>
              </w:rPr>
            </w:pPr>
          </w:p>
        </w:tc>
        <w:tc>
          <w:tcPr>
            <w:tcW w:w="411" w:type="pct"/>
            <w:vAlign w:val="center"/>
          </w:tcPr>
          <w:p w14:paraId="0159F23A">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1-5</w:t>
            </w:r>
          </w:p>
        </w:tc>
        <w:tc>
          <w:tcPr>
            <w:tcW w:w="1507" w:type="pct"/>
            <w:vAlign w:val="center"/>
          </w:tcPr>
          <w:p w14:paraId="78789A16">
            <w:pPr>
              <w:widowControl/>
              <w:jc w:val="center"/>
              <w:rPr>
                <w:rFonts w:hint="eastAsia" w:ascii="仿宋" w:hAnsi="仿宋" w:eastAsia="仿宋" w:cs="仿宋"/>
                <w:color w:val="auto"/>
                <w:sz w:val="24"/>
              </w:rPr>
            </w:pPr>
            <w:r>
              <w:rPr>
                <w:rFonts w:hint="eastAsia" w:ascii="仿宋" w:hAnsi="仿宋" w:eastAsia="仿宋" w:cs="仿宋"/>
                <w:color w:val="auto"/>
                <w:sz w:val="24"/>
              </w:rPr>
              <w:t>多温区烘胶台(7寸)</w:t>
            </w:r>
          </w:p>
        </w:tc>
        <w:tc>
          <w:tcPr>
            <w:tcW w:w="607" w:type="pct"/>
            <w:vMerge w:val="continue"/>
            <w:vAlign w:val="center"/>
          </w:tcPr>
          <w:p w14:paraId="7B041367">
            <w:pPr>
              <w:widowControl/>
              <w:spacing w:line="360" w:lineRule="auto"/>
              <w:jc w:val="center"/>
              <w:rPr>
                <w:rFonts w:hint="eastAsia" w:ascii="仿宋" w:hAnsi="仿宋" w:eastAsia="仿宋" w:cs="仿宋"/>
                <w:color w:val="auto"/>
                <w:kern w:val="0"/>
                <w:sz w:val="24"/>
              </w:rPr>
            </w:pPr>
          </w:p>
        </w:tc>
        <w:tc>
          <w:tcPr>
            <w:tcW w:w="652" w:type="pct"/>
            <w:vMerge w:val="continue"/>
            <w:vAlign w:val="center"/>
          </w:tcPr>
          <w:p w14:paraId="287F46AD">
            <w:pPr>
              <w:widowControl/>
              <w:spacing w:line="360" w:lineRule="auto"/>
              <w:jc w:val="center"/>
              <w:rPr>
                <w:rFonts w:hint="eastAsia" w:ascii="仿宋" w:hAnsi="仿宋" w:eastAsia="仿宋" w:cs="仿宋"/>
                <w:color w:val="auto"/>
                <w:kern w:val="0"/>
                <w:sz w:val="24"/>
              </w:rPr>
            </w:pPr>
          </w:p>
        </w:tc>
        <w:tc>
          <w:tcPr>
            <w:tcW w:w="339" w:type="pct"/>
            <w:vAlign w:val="center"/>
          </w:tcPr>
          <w:p w14:paraId="60AA65E5">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1台</w:t>
            </w:r>
          </w:p>
        </w:tc>
        <w:tc>
          <w:tcPr>
            <w:tcW w:w="721" w:type="pct"/>
            <w:vMerge w:val="continue"/>
            <w:vAlign w:val="center"/>
          </w:tcPr>
          <w:p w14:paraId="3F10E679">
            <w:pPr>
              <w:widowControl/>
              <w:spacing w:line="360" w:lineRule="auto"/>
              <w:jc w:val="center"/>
              <w:rPr>
                <w:rFonts w:hint="eastAsia" w:ascii="仿宋" w:hAnsi="仿宋" w:eastAsia="仿宋" w:cs="仿宋"/>
                <w:color w:val="auto"/>
                <w:kern w:val="0"/>
                <w:sz w:val="24"/>
              </w:rPr>
            </w:pPr>
          </w:p>
        </w:tc>
      </w:tr>
      <w:tr w14:paraId="61F5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5B677A3C">
            <w:pPr>
              <w:spacing w:line="360" w:lineRule="auto"/>
              <w:jc w:val="center"/>
              <w:rPr>
                <w:rFonts w:hint="eastAsia" w:ascii="仿宋" w:hAnsi="仿宋" w:eastAsia="仿宋" w:cs="仿宋"/>
                <w:color w:val="auto"/>
                <w:sz w:val="24"/>
              </w:rPr>
            </w:pPr>
          </w:p>
        </w:tc>
        <w:tc>
          <w:tcPr>
            <w:tcW w:w="515" w:type="pct"/>
            <w:vMerge w:val="continue"/>
            <w:vAlign w:val="center"/>
          </w:tcPr>
          <w:p w14:paraId="361DCBBF">
            <w:pPr>
              <w:widowControl/>
              <w:jc w:val="center"/>
              <w:textAlignment w:val="center"/>
              <w:rPr>
                <w:rFonts w:hint="eastAsia" w:ascii="仿宋" w:hAnsi="仿宋" w:eastAsia="仿宋" w:cs="仿宋"/>
                <w:color w:val="auto"/>
                <w:kern w:val="0"/>
                <w:sz w:val="22"/>
                <w:szCs w:val="22"/>
                <w:lang w:bidi="ar"/>
              </w:rPr>
            </w:pPr>
          </w:p>
        </w:tc>
        <w:tc>
          <w:tcPr>
            <w:tcW w:w="411" w:type="pct"/>
            <w:vAlign w:val="center"/>
          </w:tcPr>
          <w:p w14:paraId="35DBF4BC">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1-6</w:t>
            </w:r>
          </w:p>
        </w:tc>
        <w:tc>
          <w:tcPr>
            <w:tcW w:w="1507" w:type="pct"/>
            <w:vAlign w:val="center"/>
          </w:tcPr>
          <w:p w14:paraId="7F0EC92B">
            <w:pPr>
              <w:widowControl/>
              <w:jc w:val="center"/>
              <w:rPr>
                <w:rFonts w:hint="eastAsia" w:ascii="仿宋" w:hAnsi="仿宋" w:eastAsia="仿宋" w:cs="仿宋"/>
                <w:color w:val="auto"/>
                <w:sz w:val="24"/>
              </w:rPr>
            </w:pPr>
            <w:r>
              <w:rPr>
                <w:rFonts w:hint="eastAsia" w:ascii="仿宋" w:hAnsi="仿宋" w:eastAsia="仿宋" w:cs="仿宋"/>
                <w:color w:val="auto"/>
                <w:sz w:val="24"/>
              </w:rPr>
              <w:t>真空热压键合机</w:t>
            </w:r>
          </w:p>
        </w:tc>
        <w:tc>
          <w:tcPr>
            <w:tcW w:w="607" w:type="pct"/>
            <w:vMerge w:val="continue"/>
            <w:vAlign w:val="center"/>
          </w:tcPr>
          <w:p w14:paraId="6C04068C">
            <w:pPr>
              <w:widowControl/>
              <w:spacing w:line="360" w:lineRule="auto"/>
              <w:jc w:val="center"/>
              <w:rPr>
                <w:rFonts w:hint="eastAsia" w:ascii="仿宋" w:hAnsi="仿宋" w:eastAsia="仿宋" w:cs="仿宋"/>
                <w:color w:val="auto"/>
                <w:kern w:val="0"/>
                <w:sz w:val="24"/>
              </w:rPr>
            </w:pPr>
          </w:p>
        </w:tc>
        <w:tc>
          <w:tcPr>
            <w:tcW w:w="652" w:type="pct"/>
            <w:vMerge w:val="continue"/>
            <w:vAlign w:val="center"/>
          </w:tcPr>
          <w:p w14:paraId="62A7DFBB">
            <w:pPr>
              <w:widowControl/>
              <w:spacing w:line="360" w:lineRule="auto"/>
              <w:jc w:val="center"/>
              <w:rPr>
                <w:rFonts w:hint="eastAsia" w:ascii="仿宋" w:hAnsi="仿宋" w:eastAsia="仿宋" w:cs="仿宋"/>
                <w:color w:val="auto"/>
                <w:kern w:val="0"/>
                <w:sz w:val="24"/>
              </w:rPr>
            </w:pPr>
          </w:p>
        </w:tc>
        <w:tc>
          <w:tcPr>
            <w:tcW w:w="339" w:type="pct"/>
            <w:vAlign w:val="center"/>
          </w:tcPr>
          <w:p w14:paraId="36BFD2BC">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1台</w:t>
            </w:r>
          </w:p>
        </w:tc>
        <w:tc>
          <w:tcPr>
            <w:tcW w:w="721" w:type="pct"/>
            <w:vMerge w:val="continue"/>
            <w:vAlign w:val="center"/>
          </w:tcPr>
          <w:p w14:paraId="1E587317">
            <w:pPr>
              <w:widowControl/>
              <w:spacing w:line="360" w:lineRule="auto"/>
              <w:jc w:val="center"/>
              <w:rPr>
                <w:rFonts w:hint="eastAsia" w:ascii="仿宋" w:hAnsi="仿宋" w:eastAsia="仿宋" w:cs="仿宋"/>
                <w:color w:val="auto"/>
                <w:kern w:val="0"/>
                <w:sz w:val="24"/>
              </w:rPr>
            </w:pPr>
          </w:p>
        </w:tc>
      </w:tr>
      <w:tr w14:paraId="2068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4891EAC5">
            <w:pPr>
              <w:spacing w:line="360" w:lineRule="auto"/>
              <w:jc w:val="center"/>
              <w:rPr>
                <w:rFonts w:hint="eastAsia" w:ascii="仿宋" w:hAnsi="仿宋" w:eastAsia="仿宋" w:cs="仿宋"/>
                <w:color w:val="auto"/>
                <w:sz w:val="24"/>
              </w:rPr>
            </w:pPr>
          </w:p>
        </w:tc>
        <w:tc>
          <w:tcPr>
            <w:tcW w:w="515" w:type="pct"/>
            <w:vMerge w:val="continue"/>
            <w:vAlign w:val="center"/>
          </w:tcPr>
          <w:p w14:paraId="74E1756A">
            <w:pPr>
              <w:widowControl/>
              <w:jc w:val="center"/>
              <w:textAlignment w:val="center"/>
              <w:rPr>
                <w:rFonts w:hint="eastAsia" w:ascii="仿宋" w:hAnsi="仿宋" w:eastAsia="仿宋" w:cs="仿宋"/>
                <w:color w:val="auto"/>
                <w:kern w:val="0"/>
                <w:sz w:val="22"/>
                <w:szCs w:val="22"/>
                <w:lang w:bidi="ar"/>
              </w:rPr>
            </w:pPr>
          </w:p>
        </w:tc>
        <w:tc>
          <w:tcPr>
            <w:tcW w:w="411" w:type="pct"/>
            <w:vAlign w:val="center"/>
          </w:tcPr>
          <w:p w14:paraId="511F3EF0">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1-7</w:t>
            </w:r>
          </w:p>
        </w:tc>
        <w:tc>
          <w:tcPr>
            <w:tcW w:w="1507" w:type="pct"/>
            <w:vAlign w:val="center"/>
          </w:tcPr>
          <w:p w14:paraId="1D25B85F">
            <w:pPr>
              <w:widowControl/>
              <w:jc w:val="center"/>
              <w:rPr>
                <w:rFonts w:hint="eastAsia" w:ascii="仿宋" w:hAnsi="仿宋" w:eastAsia="仿宋" w:cs="仿宋"/>
                <w:color w:val="auto"/>
                <w:sz w:val="24"/>
              </w:rPr>
            </w:pPr>
            <w:r>
              <w:rPr>
                <w:rFonts w:hint="eastAsia" w:ascii="仿宋" w:hAnsi="仿宋" w:eastAsia="仿宋" w:cs="仿宋"/>
                <w:color w:val="auto"/>
                <w:sz w:val="24"/>
              </w:rPr>
              <w:t>手持式等离子清洗机</w:t>
            </w:r>
          </w:p>
        </w:tc>
        <w:tc>
          <w:tcPr>
            <w:tcW w:w="607" w:type="pct"/>
            <w:vMerge w:val="continue"/>
            <w:vAlign w:val="center"/>
          </w:tcPr>
          <w:p w14:paraId="626B7FD5">
            <w:pPr>
              <w:widowControl/>
              <w:spacing w:line="360" w:lineRule="auto"/>
              <w:jc w:val="center"/>
              <w:rPr>
                <w:rFonts w:hint="eastAsia" w:ascii="仿宋" w:hAnsi="仿宋" w:eastAsia="仿宋" w:cs="仿宋"/>
                <w:color w:val="auto"/>
                <w:kern w:val="0"/>
                <w:sz w:val="24"/>
              </w:rPr>
            </w:pPr>
          </w:p>
        </w:tc>
        <w:tc>
          <w:tcPr>
            <w:tcW w:w="652" w:type="pct"/>
            <w:vMerge w:val="continue"/>
            <w:vAlign w:val="center"/>
          </w:tcPr>
          <w:p w14:paraId="1A4F8077">
            <w:pPr>
              <w:widowControl/>
              <w:spacing w:line="360" w:lineRule="auto"/>
              <w:jc w:val="center"/>
              <w:rPr>
                <w:rFonts w:hint="eastAsia" w:ascii="仿宋" w:hAnsi="仿宋" w:eastAsia="仿宋" w:cs="仿宋"/>
                <w:color w:val="auto"/>
                <w:kern w:val="0"/>
                <w:sz w:val="24"/>
              </w:rPr>
            </w:pPr>
          </w:p>
        </w:tc>
        <w:tc>
          <w:tcPr>
            <w:tcW w:w="339" w:type="pct"/>
            <w:vAlign w:val="center"/>
          </w:tcPr>
          <w:p w14:paraId="72AC82A8">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1台</w:t>
            </w:r>
          </w:p>
        </w:tc>
        <w:tc>
          <w:tcPr>
            <w:tcW w:w="721" w:type="pct"/>
            <w:vMerge w:val="continue"/>
            <w:vAlign w:val="center"/>
          </w:tcPr>
          <w:p w14:paraId="45E60036">
            <w:pPr>
              <w:widowControl/>
              <w:spacing w:line="360" w:lineRule="auto"/>
              <w:jc w:val="center"/>
              <w:rPr>
                <w:rFonts w:hint="eastAsia" w:ascii="仿宋" w:hAnsi="仿宋" w:eastAsia="仿宋" w:cs="仿宋"/>
                <w:color w:val="auto"/>
                <w:kern w:val="0"/>
                <w:sz w:val="24"/>
              </w:rPr>
            </w:pPr>
          </w:p>
        </w:tc>
      </w:tr>
      <w:tr w14:paraId="4DDD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3C6B6AC3">
            <w:pPr>
              <w:spacing w:line="360" w:lineRule="auto"/>
              <w:jc w:val="center"/>
              <w:rPr>
                <w:rFonts w:hint="eastAsia" w:ascii="仿宋" w:hAnsi="仿宋" w:eastAsia="仿宋" w:cs="仿宋"/>
                <w:color w:val="auto"/>
                <w:sz w:val="24"/>
              </w:rPr>
            </w:pPr>
          </w:p>
        </w:tc>
        <w:tc>
          <w:tcPr>
            <w:tcW w:w="515" w:type="pct"/>
            <w:vMerge w:val="continue"/>
            <w:vAlign w:val="center"/>
          </w:tcPr>
          <w:p w14:paraId="5E03CD23">
            <w:pPr>
              <w:widowControl/>
              <w:jc w:val="center"/>
              <w:textAlignment w:val="center"/>
              <w:rPr>
                <w:rFonts w:hint="eastAsia" w:ascii="仿宋" w:hAnsi="仿宋" w:eastAsia="仿宋" w:cs="仿宋"/>
                <w:color w:val="auto"/>
                <w:kern w:val="0"/>
                <w:sz w:val="22"/>
                <w:szCs w:val="22"/>
                <w:lang w:bidi="ar"/>
              </w:rPr>
            </w:pPr>
          </w:p>
        </w:tc>
        <w:tc>
          <w:tcPr>
            <w:tcW w:w="411" w:type="pct"/>
            <w:vAlign w:val="center"/>
          </w:tcPr>
          <w:p w14:paraId="7B65C0A1">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1-8</w:t>
            </w:r>
          </w:p>
        </w:tc>
        <w:tc>
          <w:tcPr>
            <w:tcW w:w="1507" w:type="pct"/>
            <w:vAlign w:val="center"/>
          </w:tcPr>
          <w:p w14:paraId="63920AF2">
            <w:pPr>
              <w:widowControl/>
              <w:jc w:val="center"/>
              <w:rPr>
                <w:rFonts w:hint="eastAsia" w:ascii="仿宋" w:hAnsi="仿宋" w:eastAsia="仿宋" w:cs="仿宋"/>
                <w:color w:val="auto"/>
                <w:sz w:val="24"/>
              </w:rPr>
            </w:pPr>
            <w:r>
              <w:rPr>
                <w:rFonts w:hint="eastAsia" w:ascii="仿宋" w:hAnsi="仿宋" w:eastAsia="仿宋" w:cs="仿宋"/>
                <w:color w:val="auto"/>
                <w:sz w:val="24"/>
              </w:rPr>
              <w:t>喷淋式显影清洗一体机</w:t>
            </w:r>
          </w:p>
        </w:tc>
        <w:tc>
          <w:tcPr>
            <w:tcW w:w="607" w:type="pct"/>
            <w:vMerge w:val="continue"/>
            <w:vAlign w:val="center"/>
          </w:tcPr>
          <w:p w14:paraId="2E175245">
            <w:pPr>
              <w:widowControl/>
              <w:spacing w:line="360" w:lineRule="auto"/>
              <w:jc w:val="center"/>
              <w:rPr>
                <w:rFonts w:hint="eastAsia" w:ascii="仿宋" w:hAnsi="仿宋" w:eastAsia="仿宋" w:cs="仿宋"/>
                <w:color w:val="auto"/>
                <w:kern w:val="0"/>
                <w:sz w:val="24"/>
              </w:rPr>
            </w:pPr>
          </w:p>
        </w:tc>
        <w:tc>
          <w:tcPr>
            <w:tcW w:w="652" w:type="pct"/>
            <w:vMerge w:val="continue"/>
            <w:vAlign w:val="center"/>
          </w:tcPr>
          <w:p w14:paraId="4E236924">
            <w:pPr>
              <w:widowControl/>
              <w:spacing w:line="360" w:lineRule="auto"/>
              <w:jc w:val="center"/>
              <w:rPr>
                <w:rFonts w:hint="eastAsia" w:ascii="仿宋" w:hAnsi="仿宋" w:eastAsia="仿宋" w:cs="仿宋"/>
                <w:color w:val="auto"/>
                <w:kern w:val="0"/>
                <w:sz w:val="24"/>
              </w:rPr>
            </w:pPr>
          </w:p>
        </w:tc>
        <w:tc>
          <w:tcPr>
            <w:tcW w:w="339" w:type="pct"/>
            <w:vAlign w:val="center"/>
          </w:tcPr>
          <w:p w14:paraId="082E4FD5">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1台</w:t>
            </w:r>
          </w:p>
        </w:tc>
        <w:tc>
          <w:tcPr>
            <w:tcW w:w="721" w:type="pct"/>
            <w:vMerge w:val="continue"/>
            <w:vAlign w:val="center"/>
          </w:tcPr>
          <w:p w14:paraId="37DD9AC7">
            <w:pPr>
              <w:widowControl/>
              <w:spacing w:line="360" w:lineRule="auto"/>
              <w:jc w:val="center"/>
              <w:rPr>
                <w:rFonts w:hint="eastAsia" w:ascii="仿宋" w:hAnsi="仿宋" w:eastAsia="仿宋" w:cs="仿宋"/>
                <w:color w:val="auto"/>
                <w:kern w:val="0"/>
                <w:sz w:val="24"/>
              </w:rPr>
            </w:pPr>
          </w:p>
        </w:tc>
      </w:tr>
      <w:tr w14:paraId="19CA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7494B178">
            <w:pPr>
              <w:spacing w:line="360" w:lineRule="auto"/>
              <w:jc w:val="center"/>
              <w:rPr>
                <w:rFonts w:hint="eastAsia" w:ascii="仿宋" w:hAnsi="仿宋" w:eastAsia="仿宋" w:cs="仿宋"/>
                <w:color w:val="auto"/>
                <w:sz w:val="24"/>
              </w:rPr>
            </w:pPr>
          </w:p>
        </w:tc>
        <w:tc>
          <w:tcPr>
            <w:tcW w:w="515" w:type="pct"/>
            <w:vMerge w:val="continue"/>
            <w:vAlign w:val="center"/>
          </w:tcPr>
          <w:p w14:paraId="38A3055C">
            <w:pPr>
              <w:widowControl/>
              <w:jc w:val="center"/>
              <w:textAlignment w:val="center"/>
              <w:rPr>
                <w:rFonts w:hint="eastAsia" w:ascii="仿宋" w:hAnsi="仿宋" w:eastAsia="仿宋" w:cs="仿宋"/>
                <w:color w:val="auto"/>
                <w:kern w:val="0"/>
                <w:sz w:val="22"/>
                <w:szCs w:val="22"/>
                <w:lang w:bidi="ar"/>
              </w:rPr>
            </w:pPr>
          </w:p>
        </w:tc>
        <w:tc>
          <w:tcPr>
            <w:tcW w:w="411" w:type="pct"/>
            <w:vAlign w:val="center"/>
          </w:tcPr>
          <w:p w14:paraId="548302CF">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1-9</w:t>
            </w:r>
          </w:p>
        </w:tc>
        <w:tc>
          <w:tcPr>
            <w:tcW w:w="1507" w:type="pct"/>
            <w:vAlign w:val="center"/>
          </w:tcPr>
          <w:p w14:paraId="695036C7">
            <w:pPr>
              <w:widowControl/>
              <w:jc w:val="center"/>
              <w:rPr>
                <w:rFonts w:hint="eastAsia" w:ascii="仿宋" w:hAnsi="仿宋" w:eastAsia="仿宋" w:cs="仿宋"/>
                <w:color w:val="auto"/>
                <w:sz w:val="24"/>
              </w:rPr>
            </w:pPr>
            <w:r>
              <w:rPr>
                <w:rFonts w:hint="eastAsia" w:ascii="仿宋" w:hAnsi="仿宋" w:eastAsia="仿宋" w:cs="仿宋"/>
                <w:color w:val="auto"/>
                <w:sz w:val="24"/>
              </w:rPr>
              <w:t>分体式注射泵</w:t>
            </w:r>
          </w:p>
        </w:tc>
        <w:tc>
          <w:tcPr>
            <w:tcW w:w="607" w:type="pct"/>
            <w:vMerge w:val="continue"/>
            <w:vAlign w:val="center"/>
          </w:tcPr>
          <w:p w14:paraId="7419555D">
            <w:pPr>
              <w:widowControl/>
              <w:spacing w:line="360" w:lineRule="auto"/>
              <w:jc w:val="center"/>
              <w:rPr>
                <w:rFonts w:hint="eastAsia" w:ascii="仿宋" w:hAnsi="仿宋" w:eastAsia="仿宋" w:cs="仿宋"/>
                <w:color w:val="auto"/>
                <w:kern w:val="0"/>
                <w:sz w:val="24"/>
              </w:rPr>
            </w:pPr>
          </w:p>
        </w:tc>
        <w:tc>
          <w:tcPr>
            <w:tcW w:w="652" w:type="pct"/>
            <w:vMerge w:val="continue"/>
            <w:vAlign w:val="center"/>
          </w:tcPr>
          <w:p w14:paraId="1205BA64">
            <w:pPr>
              <w:widowControl/>
              <w:spacing w:line="360" w:lineRule="auto"/>
              <w:jc w:val="center"/>
              <w:rPr>
                <w:rFonts w:hint="eastAsia" w:ascii="仿宋" w:hAnsi="仿宋" w:eastAsia="仿宋" w:cs="仿宋"/>
                <w:color w:val="auto"/>
                <w:kern w:val="0"/>
                <w:sz w:val="24"/>
              </w:rPr>
            </w:pPr>
          </w:p>
        </w:tc>
        <w:tc>
          <w:tcPr>
            <w:tcW w:w="339" w:type="pct"/>
            <w:vAlign w:val="center"/>
          </w:tcPr>
          <w:p w14:paraId="0F35ABAB">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1套</w:t>
            </w:r>
          </w:p>
        </w:tc>
        <w:tc>
          <w:tcPr>
            <w:tcW w:w="721" w:type="pct"/>
            <w:vMerge w:val="continue"/>
            <w:vAlign w:val="center"/>
          </w:tcPr>
          <w:p w14:paraId="5F554000">
            <w:pPr>
              <w:widowControl/>
              <w:spacing w:line="360" w:lineRule="auto"/>
              <w:jc w:val="center"/>
              <w:rPr>
                <w:rFonts w:hint="eastAsia" w:ascii="仿宋" w:hAnsi="仿宋" w:eastAsia="仿宋" w:cs="仿宋"/>
                <w:color w:val="auto"/>
                <w:kern w:val="0"/>
                <w:sz w:val="24"/>
              </w:rPr>
            </w:pPr>
          </w:p>
        </w:tc>
      </w:tr>
      <w:tr w14:paraId="24AB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28B145A3">
            <w:pPr>
              <w:spacing w:line="360" w:lineRule="auto"/>
              <w:jc w:val="center"/>
              <w:rPr>
                <w:rFonts w:hint="eastAsia" w:ascii="仿宋" w:hAnsi="仿宋" w:eastAsia="仿宋" w:cs="仿宋"/>
                <w:color w:val="auto"/>
                <w:sz w:val="24"/>
              </w:rPr>
            </w:pPr>
          </w:p>
        </w:tc>
        <w:tc>
          <w:tcPr>
            <w:tcW w:w="515" w:type="pct"/>
            <w:vMerge w:val="continue"/>
            <w:vAlign w:val="center"/>
          </w:tcPr>
          <w:p w14:paraId="124B3783">
            <w:pPr>
              <w:widowControl/>
              <w:jc w:val="center"/>
              <w:textAlignment w:val="center"/>
              <w:rPr>
                <w:rFonts w:hint="eastAsia" w:ascii="仿宋" w:hAnsi="仿宋" w:eastAsia="仿宋" w:cs="仿宋"/>
                <w:color w:val="auto"/>
                <w:kern w:val="0"/>
                <w:sz w:val="22"/>
                <w:szCs w:val="22"/>
                <w:lang w:bidi="ar"/>
              </w:rPr>
            </w:pPr>
          </w:p>
        </w:tc>
        <w:tc>
          <w:tcPr>
            <w:tcW w:w="411" w:type="pct"/>
            <w:vAlign w:val="center"/>
          </w:tcPr>
          <w:p w14:paraId="6FAB5EA9">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1-10</w:t>
            </w:r>
          </w:p>
        </w:tc>
        <w:tc>
          <w:tcPr>
            <w:tcW w:w="1507" w:type="pct"/>
            <w:vAlign w:val="center"/>
          </w:tcPr>
          <w:p w14:paraId="771543D2">
            <w:pPr>
              <w:widowControl/>
              <w:jc w:val="center"/>
              <w:rPr>
                <w:rFonts w:hint="eastAsia" w:ascii="仿宋" w:hAnsi="仿宋" w:eastAsia="仿宋" w:cs="仿宋"/>
                <w:color w:val="auto"/>
                <w:sz w:val="24"/>
              </w:rPr>
            </w:pPr>
            <w:r>
              <w:rPr>
                <w:rFonts w:hint="eastAsia" w:ascii="仿宋" w:hAnsi="仿宋" w:eastAsia="仿宋" w:cs="仿宋"/>
                <w:color w:val="auto"/>
                <w:sz w:val="24"/>
              </w:rPr>
              <w:t>双人安全防护柜</w:t>
            </w:r>
          </w:p>
        </w:tc>
        <w:tc>
          <w:tcPr>
            <w:tcW w:w="607" w:type="pct"/>
            <w:vMerge w:val="continue"/>
            <w:vAlign w:val="center"/>
          </w:tcPr>
          <w:p w14:paraId="245DE06E">
            <w:pPr>
              <w:widowControl/>
              <w:spacing w:line="360" w:lineRule="auto"/>
              <w:jc w:val="center"/>
              <w:rPr>
                <w:rFonts w:hint="eastAsia" w:ascii="仿宋" w:hAnsi="仿宋" w:eastAsia="仿宋" w:cs="仿宋"/>
                <w:color w:val="auto"/>
                <w:kern w:val="0"/>
                <w:sz w:val="24"/>
              </w:rPr>
            </w:pPr>
          </w:p>
        </w:tc>
        <w:tc>
          <w:tcPr>
            <w:tcW w:w="652" w:type="pct"/>
            <w:vMerge w:val="continue"/>
            <w:vAlign w:val="center"/>
          </w:tcPr>
          <w:p w14:paraId="05C94388">
            <w:pPr>
              <w:widowControl/>
              <w:spacing w:line="360" w:lineRule="auto"/>
              <w:jc w:val="center"/>
              <w:rPr>
                <w:rFonts w:hint="eastAsia" w:ascii="仿宋" w:hAnsi="仿宋" w:eastAsia="仿宋" w:cs="仿宋"/>
                <w:color w:val="auto"/>
                <w:kern w:val="0"/>
                <w:sz w:val="24"/>
              </w:rPr>
            </w:pPr>
          </w:p>
        </w:tc>
        <w:tc>
          <w:tcPr>
            <w:tcW w:w="339" w:type="pct"/>
            <w:vAlign w:val="center"/>
          </w:tcPr>
          <w:p w14:paraId="39FF92F2">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1台</w:t>
            </w:r>
          </w:p>
        </w:tc>
        <w:tc>
          <w:tcPr>
            <w:tcW w:w="721" w:type="pct"/>
            <w:vMerge w:val="continue"/>
            <w:vAlign w:val="center"/>
          </w:tcPr>
          <w:p w14:paraId="3640264F">
            <w:pPr>
              <w:widowControl/>
              <w:spacing w:line="360" w:lineRule="auto"/>
              <w:jc w:val="center"/>
              <w:rPr>
                <w:rFonts w:hint="eastAsia" w:ascii="仿宋" w:hAnsi="仿宋" w:eastAsia="仿宋" w:cs="仿宋"/>
                <w:color w:val="auto"/>
                <w:kern w:val="0"/>
                <w:sz w:val="24"/>
              </w:rPr>
            </w:pPr>
          </w:p>
        </w:tc>
      </w:tr>
      <w:tr w14:paraId="3A47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735CDA60">
            <w:pPr>
              <w:spacing w:line="360" w:lineRule="auto"/>
              <w:jc w:val="center"/>
              <w:rPr>
                <w:rFonts w:hint="eastAsia" w:ascii="仿宋" w:hAnsi="仿宋" w:eastAsia="仿宋" w:cs="仿宋"/>
                <w:color w:val="auto"/>
                <w:sz w:val="24"/>
              </w:rPr>
            </w:pPr>
          </w:p>
        </w:tc>
        <w:tc>
          <w:tcPr>
            <w:tcW w:w="515" w:type="pct"/>
            <w:vMerge w:val="continue"/>
            <w:vAlign w:val="center"/>
          </w:tcPr>
          <w:p w14:paraId="1FD9D85E">
            <w:pPr>
              <w:widowControl/>
              <w:jc w:val="center"/>
              <w:textAlignment w:val="center"/>
              <w:rPr>
                <w:rFonts w:hint="eastAsia" w:ascii="仿宋" w:hAnsi="仿宋" w:eastAsia="仿宋" w:cs="仿宋"/>
                <w:color w:val="auto"/>
                <w:kern w:val="0"/>
                <w:sz w:val="22"/>
                <w:szCs w:val="22"/>
                <w:lang w:bidi="ar"/>
              </w:rPr>
            </w:pPr>
          </w:p>
        </w:tc>
        <w:tc>
          <w:tcPr>
            <w:tcW w:w="411" w:type="pct"/>
            <w:vAlign w:val="center"/>
          </w:tcPr>
          <w:p w14:paraId="7D1A59CA">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1-11</w:t>
            </w:r>
          </w:p>
        </w:tc>
        <w:tc>
          <w:tcPr>
            <w:tcW w:w="1507" w:type="pct"/>
            <w:vAlign w:val="center"/>
          </w:tcPr>
          <w:p w14:paraId="4172B434">
            <w:pPr>
              <w:widowControl/>
              <w:jc w:val="center"/>
              <w:rPr>
                <w:rFonts w:hint="eastAsia" w:ascii="仿宋" w:hAnsi="仿宋" w:eastAsia="仿宋" w:cs="仿宋"/>
                <w:color w:val="auto"/>
                <w:sz w:val="24"/>
              </w:rPr>
            </w:pPr>
            <w:r>
              <w:rPr>
                <w:rFonts w:hint="eastAsia" w:ascii="仿宋" w:hAnsi="仿宋" w:eastAsia="仿宋" w:cs="仿宋"/>
                <w:color w:val="auto"/>
                <w:sz w:val="24"/>
              </w:rPr>
              <w:t>单人安全防护柜</w:t>
            </w:r>
          </w:p>
        </w:tc>
        <w:tc>
          <w:tcPr>
            <w:tcW w:w="607" w:type="pct"/>
            <w:vMerge w:val="continue"/>
            <w:vAlign w:val="center"/>
          </w:tcPr>
          <w:p w14:paraId="4B537577">
            <w:pPr>
              <w:widowControl/>
              <w:spacing w:line="360" w:lineRule="auto"/>
              <w:jc w:val="center"/>
              <w:rPr>
                <w:rFonts w:hint="eastAsia" w:ascii="仿宋" w:hAnsi="仿宋" w:eastAsia="仿宋" w:cs="仿宋"/>
                <w:color w:val="auto"/>
                <w:kern w:val="0"/>
                <w:sz w:val="24"/>
              </w:rPr>
            </w:pPr>
          </w:p>
        </w:tc>
        <w:tc>
          <w:tcPr>
            <w:tcW w:w="652" w:type="pct"/>
            <w:vMerge w:val="continue"/>
            <w:vAlign w:val="center"/>
          </w:tcPr>
          <w:p w14:paraId="2BBB587B">
            <w:pPr>
              <w:widowControl/>
              <w:spacing w:line="360" w:lineRule="auto"/>
              <w:jc w:val="center"/>
              <w:rPr>
                <w:rFonts w:hint="eastAsia" w:ascii="仿宋" w:hAnsi="仿宋" w:eastAsia="仿宋" w:cs="仿宋"/>
                <w:color w:val="auto"/>
                <w:kern w:val="0"/>
                <w:sz w:val="24"/>
              </w:rPr>
            </w:pPr>
          </w:p>
        </w:tc>
        <w:tc>
          <w:tcPr>
            <w:tcW w:w="339" w:type="pct"/>
            <w:vAlign w:val="center"/>
          </w:tcPr>
          <w:p w14:paraId="34C3E14E">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1台</w:t>
            </w:r>
          </w:p>
        </w:tc>
        <w:tc>
          <w:tcPr>
            <w:tcW w:w="721" w:type="pct"/>
            <w:vMerge w:val="continue"/>
            <w:vAlign w:val="center"/>
          </w:tcPr>
          <w:p w14:paraId="52710D0B">
            <w:pPr>
              <w:widowControl/>
              <w:spacing w:line="360" w:lineRule="auto"/>
              <w:jc w:val="center"/>
              <w:rPr>
                <w:rFonts w:hint="eastAsia" w:ascii="仿宋" w:hAnsi="仿宋" w:eastAsia="仿宋" w:cs="仿宋"/>
                <w:color w:val="auto"/>
                <w:kern w:val="0"/>
                <w:sz w:val="24"/>
              </w:rPr>
            </w:pPr>
          </w:p>
        </w:tc>
      </w:tr>
      <w:tr w14:paraId="3E45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restart"/>
            <w:vAlign w:val="center"/>
          </w:tcPr>
          <w:p w14:paraId="5AA6962C">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2</w:t>
            </w:r>
          </w:p>
        </w:tc>
        <w:tc>
          <w:tcPr>
            <w:tcW w:w="515" w:type="pct"/>
            <w:vMerge w:val="restart"/>
            <w:vAlign w:val="center"/>
          </w:tcPr>
          <w:p w14:paraId="4CDA21DA">
            <w:pPr>
              <w:widowControl/>
              <w:jc w:val="center"/>
              <w:textAlignment w:val="center"/>
              <w:rPr>
                <w:rFonts w:hint="eastAsia" w:ascii="仿宋" w:hAnsi="仿宋" w:eastAsia="仿宋" w:cs="仿宋"/>
                <w:color w:val="auto"/>
                <w:kern w:val="0"/>
                <w:sz w:val="22"/>
                <w:szCs w:val="22"/>
                <w:lang w:eastAsia="zh-CN" w:bidi="ar"/>
              </w:rPr>
            </w:pPr>
            <w:r>
              <w:rPr>
                <w:rFonts w:hint="eastAsia" w:ascii="仿宋" w:hAnsi="仿宋" w:eastAsia="仿宋" w:cs="仿宋"/>
                <w:color w:val="auto"/>
                <w:sz w:val="24"/>
                <w:lang w:eastAsia="zh-CN"/>
              </w:rPr>
              <w:t>免疫细胞工程技术创新平台建设-02</w:t>
            </w:r>
          </w:p>
        </w:tc>
        <w:tc>
          <w:tcPr>
            <w:tcW w:w="411" w:type="pct"/>
            <w:vAlign w:val="center"/>
          </w:tcPr>
          <w:p w14:paraId="06DF2182">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2-1</w:t>
            </w:r>
          </w:p>
        </w:tc>
        <w:tc>
          <w:tcPr>
            <w:tcW w:w="1507" w:type="pct"/>
            <w:vAlign w:val="center"/>
          </w:tcPr>
          <w:p w14:paraId="5A8F4533">
            <w:pPr>
              <w:widowControl/>
              <w:jc w:val="center"/>
              <w:rPr>
                <w:rFonts w:hint="eastAsia" w:ascii="仿宋" w:hAnsi="仿宋" w:eastAsia="仿宋" w:cs="仿宋"/>
                <w:color w:val="auto"/>
                <w:sz w:val="24"/>
              </w:rPr>
            </w:pPr>
            <w:r>
              <w:rPr>
                <w:rFonts w:hint="eastAsia" w:ascii="仿宋" w:hAnsi="仿宋" w:eastAsia="仿宋" w:cs="仿宋"/>
                <w:color w:val="auto"/>
                <w:sz w:val="24"/>
              </w:rPr>
              <w:t>微流控液滴单细胞分析筛选系统</w:t>
            </w:r>
          </w:p>
        </w:tc>
        <w:tc>
          <w:tcPr>
            <w:tcW w:w="607" w:type="pct"/>
            <w:vMerge w:val="restart"/>
            <w:vAlign w:val="center"/>
          </w:tcPr>
          <w:p w14:paraId="50F0B638">
            <w:pPr>
              <w:widowControl/>
              <w:spacing w:line="360" w:lineRule="auto"/>
              <w:jc w:val="center"/>
              <w:rPr>
                <w:rFonts w:hint="eastAsia" w:ascii="仿宋" w:hAnsi="仿宋" w:eastAsia="仿宋" w:cs="仿宋"/>
                <w:color w:val="auto"/>
                <w:kern w:val="0"/>
                <w:sz w:val="24"/>
              </w:rPr>
            </w:pPr>
            <w:r>
              <w:rPr>
                <w:rFonts w:hint="eastAsia" w:ascii="仿宋" w:hAnsi="仿宋" w:eastAsia="仿宋" w:cs="仿宋"/>
                <w:color w:val="auto"/>
                <w:kern w:val="0"/>
                <w:sz w:val="24"/>
              </w:rPr>
              <w:t>302.50</w:t>
            </w:r>
          </w:p>
        </w:tc>
        <w:tc>
          <w:tcPr>
            <w:tcW w:w="652" w:type="pct"/>
            <w:vMerge w:val="restart"/>
            <w:vAlign w:val="center"/>
          </w:tcPr>
          <w:p w14:paraId="1395CC4C">
            <w:pPr>
              <w:widowControl/>
              <w:spacing w:line="360" w:lineRule="auto"/>
              <w:jc w:val="center"/>
              <w:rPr>
                <w:rFonts w:hint="eastAsia" w:ascii="仿宋" w:hAnsi="仿宋" w:eastAsia="仿宋" w:cs="仿宋"/>
                <w:color w:val="auto"/>
                <w:kern w:val="0"/>
                <w:sz w:val="24"/>
              </w:rPr>
            </w:pPr>
            <w:r>
              <w:rPr>
                <w:rFonts w:hint="eastAsia" w:ascii="仿宋" w:hAnsi="仿宋" w:eastAsia="仿宋" w:cs="仿宋"/>
                <w:color w:val="auto"/>
                <w:kern w:val="0"/>
                <w:sz w:val="24"/>
              </w:rPr>
              <w:t>302.50</w:t>
            </w:r>
          </w:p>
        </w:tc>
        <w:tc>
          <w:tcPr>
            <w:tcW w:w="339" w:type="pct"/>
            <w:vAlign w:val="center"/>
          </w:tcPr>
          <w:p w14:paraId="367D8555">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1台</w:t>
            </w:r>
          </w:p>
        </w:tc>
        <w:tc>
          <w:tcPr>
            <w:tcW w:w="721" w:type="pct"/>
            <w:vMerge w:val="restart"/>
            <w:vAlign w:val="center"/>
          </w:tcPr>
          <w:p w14:paraId="4228E132">
            <w:pPr>
              <w:widowControl/>
              <w:spacing w:line="360" w:lineRule="auto"/>
              <w:jc w:val="center"/>
              <w:rPr>
                <w:rFonts w:hint="eastAsia" w:ascii="仿宋" w:hAnsi="仿宋" w:eastAsia="仿宋" w:cs="仿宋"/>
                <w:color w:val="auto"/>
                <w:kern w:val="0"/>
                <w:sz w:val="24"/>
              </w:rPr>
            </w:pPr>
            <w:r>
              <w:rPr>
                <w:rFonts w:hint="eastAsia" w:ascii="仿宋" w:hAnsi="仿宋" w:eastAsia="仿宋" w:cs="仿宋"/>
                <w:color w:val="auto"/>
                <w:kern w:val="0"/>
                <w:sz w:val="24"/>
              </w:rPr>
              <w:t>详见第五章采购需求</w:t>
            </w:r>
          </w:p>
        </w:tc>
      </w:tr>
      <w:tr w14:paraId="5E0C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193C193C">
            <w:pPr>
              <w:spacing w:line="360" w:lineRule="auto"/>
              <w:jc w:val="center"/>
              <w:rPr>
                <w:rFonts w:hint="eastAsia" w:ascii="仿宋" w:hAnsi="仿宋" w:eastAsia="仿宋" w:cs="仿宋"/>
                <w:color w:val="auto"/>
                <w:sz w:val="24"/>
              </w:rPr>
            </w:pPr>
          </w:p>
        </w:tc>
        <w:tc>
          <w:tcPr>
            <w:tcW w:w="515" w:type="pct"/>
            <w:vMerge w:val="continue"/>
            <w:vAlign w:val="center"/>
          </w:tcPr>
          <w:p w14:paraId="00B1C90F">
            <w:pPr>
              <w:widowControl/>
              <w:jc w:val="left"/>
              <w:textAlignment w:val="center"/>
              <w:rPr>
                <w:rFonts w:hint="eastAsia" w:ascii="仿宋" w:hAnsi="仿宋" w:eastAsia="仿宋" w:cs="仿宋"/>
                <w:color w:val="auto"/>
                <w:kern w:val="0"/>
                <w:sz w:val="22"/>
                <w:szCs w:val="22"/>
                <w:lang w:bidi="ar"/>
              </w:rPr>
            </w:pPr>
          </w:p>
        </w:tc>
        <w:tc>
          <w:tcPr>
            <w:tcW w:w="411" w:type="pct"/>
            <w:vAlign w:val="center"/>
          </w:tcPr>
          <w:p w14:paraId="45FD6E33">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2-2</w:t>
            </w:r>
          </w:p>
        </w:tc>
        <w:tc>
          <w:tcPr>
            <w:tcW w:w="1507" w:type="pct"/>
            <w:vAlign w:val="center"/>
          </w:tcPr>
          <w:p w14:paraId="6FDE80D7">
            <w:pPr>
              <w:widowControl/>
              <w:jc w:val="center"/>
              <w:rPr>
                <w:rFonts w:hint="eastAsia" w:ascii="仿宋" w:hAnsi="仿宋" w:eastAsia="仿宋" w:cs="仿宋"/>
                <w:color w:val="auto"/>
                <w:sz w:val="24"/>
              </w:rPr>
            </w:pPr>
            <w:r>
              <w:rPr>
                <w:rFonts w:hint="eastAsia" w:ascii="仿宋" w:hAnsi="仿宋" w:eastAsia="仿宋" w:cs="仿宋"/>
                <w:color w:val="auto"/>
                <w:sz w:val="24"/>
              </w:rPr>
              <w:t>生物孵化培养箱</w:t>
            </w:r>
          </w:p>
        </w:tc>
        <w:tc>
          <w:tcPr>
            <w:tcW w:w="607" w:type="pct"/>
            <w:vMerge w:val="continue"/>
            <w:vAlign w:val="center"/>
          </w:tcPr>
          <w:p w14:paraId="5243E65D">
            <w:pPr>
              <w:widowControl/>
              <w:spacing w:line="360" w:lineRule="auto"/>
              <w:jc w:val="center"/>
              <w:rPr>
                <w:rFonts w:hint="eastAsia" w:ascii="仿宋" w:hAnsi="仿宋" w:eastAsia="仿宋" w:cs="仿宋"/>
                <w:color w:val="auto"/>
                <w:sz w:val="24"/>
              </w:rPr>
            </w:pPr>
          </w:p>
        </w:tc>
        <w:tc>
          <w:tcPr>
            <w:tcW w:w="652" w:type="pct"/>
            <w:vMerge w:val="continue"/>
            <w:vAlign w:val="center"/>
          </w:tcPr>
          <w:p w14:paraId="3AD3ACB1">
            <w:pPr>
              <w:widowControl/>
              <w:spacing w:line="360" w:lineRule="auto"/>
              <w:jc w:val="center"/>
              <w:rPr>
                <w:rFonts w:hint="eastAsia" w:ascii="仿宋" w:hAnsi="仿宋" w:eastAsia="仿宋" w:cs="仿宋"/>
                <w:color w:val="auto"/>
                <w:sz w:val="24"/>
              </w:rPr>
            </w:pPr>
          </w:p>
        </w:tc>
        <w:tc>
          <w:tcPr>
            <w:tcW w:w="339" w:type="pct"/>
            <w:vAlign w:val="center"/>
          </w:tcPr>
          <w:p w14:paraId="1019F69E">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1台</w:t>
            </w:r>
          </w:p>
        </w:tc>
        <w:tc>
          <w:tcPr>
            <w:tcW w:w="721" w:type="pct"/>
            <w:vMerge w:val="continue"/>
            <w:vAlign w:val="center"/>
          </w:tcPr>
          <w:p w14:paraId="7B0D00A2">
            <w:pPr>
              <w:widowControl/>
              <w:spacing w:line="360" w:lineRule="auto"/>
              <w:jc w:val="left"/>
              <w:rPr>
                <w:rFonts w:hint="eastAsia" w:ascii="仿宋" w:hAnsi="仿宋" w:eastAsia="仿宋" w:cs="仿宋"/>
                <w:color w:val="auto"/>
                <w:kern w:val="0"/>
                <w:sz w:val="24"/>
              </w:rPr>
            </w:pPr>
          </w:p>
        </w:tc>
      </w:tr>
      <w:tr w14:paraId="5544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11B67066">
            <w:pPr>
              <w:spacing w:line="360" w:lineRule="auto"/>
              <w:jc w:val="center"/>
              <w:rPr>
                <w:rFonts w:hint="eastAsia" w:ascii="仿宋" w:hAnsi="仿宋" w:eastAsia="仿宋" w:cs="仿宋"/>
                <w:color w:val="auto"/>
                <w:sz w:val="24"/>
              </w:rPr>
            </w:pPr>
          </w:p>
        </w:tc>
        <w:tc>
          <w:tcPr>
            <w:tcW w:w="515" w:type="pct"/>
            <w:vMerge w:val="continue"/>
            <w:vAlign w:val="center"/>
          </w:tcPr>
          <w:p w14:paraId="7BF7B480">
            <w:pPr>
              <w:widowControl/>
              <w:jc w:val="left"/>
              <w:textAlignment w:val="center"/>
              <w:rPr>
                <w:rFonts w:hint="eastAsia" w:ascii="仿宋" w:hAnsi="仿宋" w:eastAsia="仿宋" w:cs="仿宋"/>
                <w:color w:val="auto"/>
                <w:kern w:val="0"/>
                <w:sz w:val="22"/>
                <w:szCs w:val="22"/>
                <w:lang w:bidi="ar"/>
              </w:rPr>
            </w:pPr>
          </w:p>
        </w:tc>
        <w:tc>
          <w:tcPr>
            <w:tcW w:w="411" w:type="pct"/>
            <w:vAlign w:val="center"/>
          </w:tcPr>
          <w:p w14:paraId="71DA5C37">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2-3</w:t>
            </w:r>
          </w:p>
        </w:tc>
        <w:tc>
          <w:tcPr>
            <w:tcW w:w="1507" w:type="pct"/>
            <w:vAlign w:val="center"/>
          </w:tcPr>
          <w:p w14:paraId="525A7E03">
            <w:pPr>
              <w:widowControl/>
              <w:jc w:val="center"/>
              <w:rPr>
                <w:rFonts w:hint="eastAsia" w:ascii="仿宋" w:hAnsi="仿宋" w:eastAsia="仿宋" w:cs="仿宋"/>
                <w:color w:val="auto"/>
                <w:sz w:val="24"/>
              </w:rPr>
            </w:pPr>
            <w:r>
              <w:rPr>
                <w:rFonts w:hint="eastAsia" w:ascii="仿宋" w:hAnsi="仿宋" w:eastAsia="仿宋" w:cs="仿宋"/>
                <w:color w:val="auto"/>
                <w:sz w:val="24"/>
              </w:rPr>
              <w:t>生长曲线分析仪</w:t>
            </w:r>
          </w:p>
        </w:tc>
        <w:tc>
          <w:tcPr>
            <w:tcW w:w="607" w:type="pct"/>
            <w:vMerge w:val="continue"/>
            <w:vAlign w:val="center"/>
          </w:tcPr>
          <w:p w14:paraId="090CBA30">
            <w:pPr>
              <w:widowControl/>
              <w:spacing w:line="360" w:lineRule="auto"/>
              <w:jc w:val="center"/>
              <w:rPr>
                <w:rFonts w:hint="eastAsia" w:ascii="仿宋" w:hAnsi="仿宋" w:eastAsia="仿宋" w:cs="仿宋"/>
                <w:color w:val="auto"/>
                <w:sz w:val="24"/>
              </w:rPr>
            </w:pPr>
          </w:p>
        </w:tc>
        <w:tc>
          <w:tcPr>
            <w:tcW w:w="652" w:type="pct"/>
            <w:vMerge w:val="continue"/>
            <w:vAlign w:val="center"/>
          </w:tcPr>
          <w:p w14:paraId="43264B87">
            <w:pPr>
              <w:widowControl/>
              <w:spacing w:line="360" w:lineRule="auto"/>
              <w:jc w:val="center"/>
              <w:rPr>
                <w:rFonts w:hint="eastAsia" w:ascii="仿宋" w:hAnsi="仿宋" w:eastAsia="仿宋" w:cs="仿宋"/>
                <w:color w:val="auto"/>
                <w:sz w:val="24"/>
              </w:rPr>
            </w:pPr>
          </w:p>
        </w:tc>
        <w:tc>
          <w:tcPr>
            <w:tcW w:w="339" w:type="pct"/>
            <w:vAlign w:val="center"/>
          </w:tcPr>
          <w:p w14:paraId="0007574F">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1台</w:t>
            </w:r>
          </w:p>
        </w:tc>
        <w:tc>
          <w:tcPr>
            <w:tcW w:w="721" w:type="pct"/>
            <w:vMerge w:val="continue"/>
            <w:vAlign w:val="center"/>
          </w:tcPr>
          <w:p w14:paraId="69EA10FB">
            <w:pPr>
              <w:widowControl/>
              <w:spacing w:line="360" w:lineRule="auto"/>
              <w:jc w:val="left"/>
              <w:rPr>
                <w:rFonts w:hint="eastAsia" w:ascii="仿宋" w:hAnsi="仿宋" w:eastAsia="仿宋" w:cs="仿宋"/>
                <w:color w:val="auto"/>
                <w:kern w:val="0"/>
                <w:sz w:val="24"/>
              </w:rPr>
            </w:pPr>
          </w:p>
        </w:tc>
      </w:tr>
      <w:tr w14:paraId="3579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67E65EE3">
            <w:pPr>
              <w:spacing w:line="360" w:lineRule="auto"/>
              <w:jc w:val="center"/>
              <w:rPr>
                <w:rFonts w:hint="eastAsia" w:ascii="仿宋" w:hAnsi="仿宋" w:eastAsia="仿宋" w:cs="仿宋"/>
                <w:color w:val="auto"/>
                <w:sz w:val="24"/>
              </w:rPr>
            </w:pPr>
          </w:p>
        </w:tc>
        <w:tc>
          <w:tcPr>
            <w:tcW w:w="515" w:type="pct"/>
            <w:vMerge w:val="continue"/>
            <w:vAlign w:val="center"/>
          </w:tcPr>
          <w:p w14:paraId="225FA391">
            <w:pPr>
              <w:widowControl/>
              <w:jc w:val="left"/>
              <w:textAlignment w:val="center"/>
              <w:rPr>
                <w:rFonts w:hint="eastAsia" w:ascii="仿宋" w:hAnsi="仿宋" w:eastAsia="仿宋" w:cs="仿宋"/>
                <w:color w:val="auto"/>
                <w:kern w:val="0"/>
                <w:sz w:val="22"/>
                <w:szCs w:val="22"/>
                <w:lang w:bidi="ar"/>
              </w:rPr>
            </w:pPr>
          </w:p>
        </w:tc>
        <w:tc>
          <w:tcPr>
            <w:tcW w:w="411" w:type="pct"/>
            <w:vAlign w:val="center"/>
          </w:tcPr>
          <w:p w14:paraId="095933FB">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2-4</w:t>
            </w:r>
          </w:p>
        </w:tc>
        <w:tc>
          <w:tcPr>
            <w:tcW w:w="1507" w:type="pct"/>
            <w:vAlign w:val="center"/>
          </w:tcPr>
          <w:p w14:paraId="6596499E">
            <w:pPr>
              <w:widowControl/>
              <w:jc w:val="center"/>
              <w:rPr>
                <w:rFonts w:hint="eastAsia" w:ascii="仿宋" w:hAnsi="仿宋" w:eastAsia="仿宋" w:cs="仿宋"/>
                <w:color w:val="auto"/>
                <w:sz w:val="24"/>
              </w:rPr>
            </w:pPr>
            <w:r>
              <w:rPr>
                <w:rFonts w:hint="eastAsia" w:ascii="仿宋" w:hAnsi="仿宋" w:eastAsia="仿宋" w:cs="仿宋"/>
                <w:color w:val="auto"/>
                <w:sz w:val="24"/>
              </w:rPr>
              <w:t>生长环境模拟试验箱</w:t>
            </w:r>
          </w:p>
        </w:tc>
        <w:tc>
          <w:tcPr>
            <w:tcW w:w="607" w:type="pct"/>
            <w:vMerge w:val="continue"/>
            <w:vAlign w:val="center"/>
          </w:tcPr>
          <w:p w14:paraId="486BF0FE">
            <w:pPr>
              <w:widowControl/>
              <w:spacing w:line="360" w:lineRule="auto"/>
              <w:jc w:val="center"/>
              <w:rPr>
                <w:rFonts w:hint="eastAsia" w:ascii="仿宋" w:hAnsi="仿宋" w:eastAsia="仿宋" w:cs="仿宋"/>
                <w:color w:val="auto"/>
                <w:sz w:val="24"/>
              </w:rPr>
            </w:pPr>
          </w:p>
        </w:tc>
        <w:tc>
          <w:tcPr>
            <w:tcW w:w="652" w:type="pct"/>
            <w:vMerge w:val="continue"/>
            <w:vAlign w:val="center"/>
          </w:tcPr>
          <w:p w14:paraId="1FD75405">
            <w:pPr>
              <w:widowControl/>
              <w:spacing w:line="360" w:lineRule="auto"/>
              <w:jc w:val="center"/>
              <w:rPr>
                <w:rFonts w:hint="eastAsia" w:ascii="仿宋" w:hAnsi="仿宋" w:eastAsia="仿宋" w:cs="仿宋"/>
                <w:color w:val="auto"/>
                <w:sz w:val="24"/>
              </w:rPr>
            </w:pPr>
          </w:p>
        </w:tc>
        <w:tc>
          <w:tcPr>
            <w:tcW w:w="339" w:type="pct"/>
            <w:vAlign w:val="center"/>
          </w:tcPr>
          <w:p w14:paraId="07679F77">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1台</w:t>
            </w:r>
          </w:p>
        </w:tc>
        <w:tc>
          <w:tcPr>
            <w:tcW w:w="721" w:type="pct"/>
            <w:vMerge w:val="continue"/>
            <w:vAlign w:val="center"/>
          </w:tcPr>
          <w:p w14:paraId="38C04F1B">
            <w:pPr>
              <w:widowControl/>
              <w:spacing w:line="360" w:lineRule="auto"/>
              <w:jc w:val="left"/>
              <w:rPr>
                <w:rFonts w:hint="eastAsia" w:ascii="仿宋" w:hAnsi="仿宋" w:eastAsia="仿宋" w:cs="仿宋"/>
                <w:color w:val="auto"/>
                <w:kern w:val="0"/>
                <w:sz w:val="24"/>
              </w:rPr>
            </w:pPr>
          </w:p>
        </w:tc>
      </w:tr>
      <w:tr w14:paraId="50C3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6CC262DD">
            <w:pPr>
              <w:spacing w:line="360" w:lineRule="auto"/>
              <w:jc w:val="center"/>
              <w:rPr>
                <w:rFonts w:hint="eastAsia" w:ascii="仿宋" w:hAnsi="仿宋" w:eastAsia="仿宋" w:cs="仿宋"/>
                <w:color w:val="auto"/>
                <w:sz w:val="24"/>
              </w:rPr>
            </w:pPr>
          </w:p>
        </w:tc>
        <w:tc>
          <w:tcPr>
            <w:tcW w:w="515" w:type="pct"/>
            <w:vMerge w:val="continue"/>
            <w:vAlign w:val="center"/>
          </w:tcPr>
          <w:p w14:paraId="239223B2">
            <w:pPr>
              <w:widowControl/>
              <w:jc w:val="left"/>
              <w:textAlignment w:val="center"/>
              <w:rPr>
                <w:rFonts w:hint="eastAsia" w:ascii="仿宋" w:hAnsi="仿宋" w:eastAsia="仿宋" w:cs="仿宋"/>
                <w:color w:val="auto"/>
                <w:kern w:val="0"/>
                <w:sz w:val="22"/>
                <w:szCs w:val="22"/>
                <w:lang w:bidi="ar"/>
              </w:rPr>
            </w:pPr>
          </w:p>
        </w:tc>
        <w:tc>
          <w:tcPr>
            <w:tcW w:w="411" w:type="pct"/>
            <w:vAlign w:val="center"/>
          </w:tcPr>
          <w:p w14:paraId="6449C7CE">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2-5</w:t>
            </w:r>
          </w:p>
        </w:tc>
        <w:tc>
          <w:tcPr>
            <w:tcW w:w="1507" w:type="pct"/>
            <w:vAlign w:val="center"/>
          </w:tcPr>
          <w:p w14:paraId="06BD5057">
            <w:pPr>
              <w:widowControl/>
              <w:jc w:val="center"/>
              <w:rPr>
                <w:rFonts w:hint="eastAsia" w:ascii="仿宋" w:hAnsi="仿宋" w:eastAsia="仿宋" w:cs="仿宋"/>
                <w:color w:val="auto"/>
                <w:sz w:val="24"/>
              </w:rPr>
            </w:pPr>
            <w:r>
              <w:rPr>
                <w:rFonts w:hint="eastAsia" w:ascii="仿宋" w:hAnsi="仿宋" w:eastAsia="仿宋" w:cs="仿宋"/>
                <w:color w:val="auto"/>
                <w:sz w:val="24"/>
              </w:rPr>
              <w:t>菌剂低温储存机</w:t>
            </w:r>
          </w:p>
        </w:tc>
        <w:tc>
          <w:tcPr>
            <w:tcW w:w="607" w:type="pct"/>
            <w:vMerge w:val="continue"/>
            <w:vAlign w:val="center"/>
          </w:tcPr>
          <w:p w14:paraId="574A593F">
            <w:pPr>
              <w:widowControl/>
              <w:spacing w:line="360" w:lineRule="auto"/>
              <w:jc w:val="center"/>
              <w:rPr>
                <w:rFonts w:hint="eastAsia" w:ascii="仿宋" w:hAnsi="仿宋" w:eastAsia="仿宋" w:cs="仿宋"/>
                <w:color w:val="auto"/>
                <w:sz w:val="24"/>
              </w:rPr>
            </w:pPr>
          </w:p>
        </w:tc>
        <w:tc>
          <w:tcPr>
            <w:tcW w:w="652" w:type="pct"/>
            <w:vMerge w:val="continue"/>
            <w:vAlign w:val="center"/>
          </w:tcPr>
          <w:p w14:paraId="24595661">
            <w:pPr>
              <w:widowControl/>
              <w:spacing w:line="360" w:lineRule="auto"/>
              <w:jc w:val="center"/>
              <w:rPr>
                <w:rFonts w:hint="eastAsia" w:ascii="仿宋" w:hAnsi="仿宋" w:eastAsia="仿宋" w:cs="仿宋"/>
                <w:color w:val="auto"/>
                <w:sz w:val="24"/>
              </w:rPr>
            </w:pPr>
          </w:p>
        </w:tc>
        <w:tc>
          <w:tcPr>
            <w:tcW w:w="339" w:type="pct"/>
            <w:vAlign w:val="center"/>
          </w:tcPr>
          <w:p w14:paraId="1168D4C9">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1台</w:t>
            </w:r>
          </w:p>
        </w:tc>
        <w:tc>
          <w:tcPr>
            <w:tcW w:w="721" w:type="pct"/>
            <w:vMerge w:val="continue"/>
            <w:vAlign w:val="center"/>
          </w:tcPr>
          <w:p w14:paraId="7E7686A4">
            <w:pPr>
              <w:widowControl/>
              <w:spacing w:line="360" w:lineRule="auto"/>
              <w:jc w:val="left"/>
              <w:rPr>
                <w:rFonts w:hint="eastAsia" w:ascii="仿宋" w:hAnsi="仿宋" w:eastAsia="仿宋" w:cs="仿宋"/>
                <w:color w:val="auto"/>
                <w:kern w:val="0"/>
                <w:sz w:val="24"/>
              </w:rPr>
            </w:pPr>
          </w:p>
        </w:tc>
      </w:tr>
      <w:tr w14:paraId="0853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228AA5E7">
            <w:pPr>
              <w:spacing w:line="360" w:lineRule="auto"/>
              <w:jc w:val="center"/>
              <w:rPr>
                <w:rFonts w:hint="eastAsia" w:ascii="仿宋" w:hAnsi="仿宋" w:eastAsia="仿宋" w:cs="仿宋"/>
                <w:color w:val="auto"/>
                <w:sz w:val="24"/>
              </w:rPr>
            </w:pPr>
          </w:p>
        </w:tc>
        <w:tc>
          <w:tcPr>
            <w:tcW w:w="515" w:type="pct"/>
            <w:vMerge w:val="continue"/>
            <w:vAlign w:val="center"/>
          </w:tcPr>
          <w:p w14:paraId="006CFA7F">
            <w:pPr>
              <w:widowControl/>
              <w:jc w:val="left"/>
              <w:textAlignment w:val="center"/>
              <w:rPr>
                <w:rFonts w:hint="eastAsia" w:ascii="仿宋" w:hAnsi="仿宋" w:eastAsia="仿宋" w:cs="仿宋"/>
                <w:color w:val="auto"/>
                <w:kern w:val="0"/>
                <w:sz w:val="22"/>
                <w:szCs w:val="22"/>
                <w:lang w:bidi="ar"/>
              </w:rPr>
            </w:pPr>
          </w:p>
        </w:tc>
        <w:tc>
          <w:tcPr>
            <w:tcW w:w="411" w:type="pct"/>
            <w:vAlign w:val="center"/>
          </w:tcPr>
          <w:p w14:paraId="1DC22E02">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2-6</w:t>
            </w:r>
          </w:p>
        </w:tc>
        <w:tc>
          <w:tcPr>
            <w:tcW w:w="1507" w:type="pct"/>
            <w:vAlign w:val="center"/>
          </w:tcPr>
          <w:p w14:paraId="1F05304C">
            <w:pPr>
              <w:widowControl/>
              <w:jc w:val="center"/>
              <w:rPr>
                <w:rFonts w:hint="eastAsia" w:ascii="仿宋" w:hAnsi="仿宋" w:eastAsia="仿宋" w:cs="仿宋"/>
                <w:color w:val="auto"/>
                <w:sz w:val="24"/>
              </w:rPr>
            </w:pPr>
            <w:r>
              <w:rPr>
                <w:rFonts w:hint="eastAsia" w:ascii="仿宋" w:hAnsi="仿宋" w:eastAsia="仿宋" w:cs="仿宋"/>
                <w:color w:val="auto"/>
                <w:sz w:val="24"/>
              </w:rPr>
              <w:t>气升式双层板式培养仪</w:t>
            </w:r>
          </w:p>
        </w:tc>
        <w:tc>
          <w:tcPr>
            <w:tcW w:w="607" w:type="pct"/>
            <w:vMerge w:val="continue"/>
            <w:vAlign w:val="center"/>
          </w:tcPr>
          <w:p w14:paraId="72154321">
            <w:pPr>
              <w:widowControl/>
              <w:spacing w:line="360" w:lineRule="auto"/>
              <w:jc w:val="center"/>
              <w:rPr>
                <w:rFonts w:hint="eastAsia" w:ascii="仿宋" w:hAnsi="仿宋" w:eastAsia="仿宋" w:cs="仿宋"/>
                <w:color w:val="auto"/>
                <w:sz w:val="24"/>
              </w:rPr>
            </w:pPr>
          </w:p>
        </w:tc>
        <w:tc>
          <w:tcPr>
            <w:tcW w:w="652" w:type="pct"/>
            <w:vMerge w:val="continue"/>
            <w:vAlign w:val="center"/>
          </w:tcPr>
          <w:p w14:paraId="6274DB4D">
            <w:pPr>
              <w:widowControl/>
              <w:spacing w:line="360" w:lineRule="auto"/>
              <w:jc w:val="center"/>
              <w:rPr>
                <w:rFonts w:hint="eastAsia" w:ascii="仿宋" w:hAnsi="仿宋" w:eastAsia="仿宋" w:cs="仿宋"/>
                <w:color w:val="auto"/>
                <w:sz w:val="24"/>
              </w:rPr>
            </w:pPr>
          </w:p>
        </w:tc>
        <w:tc>
          <w:tcPr>
            <w:tcW w:w="339" w:type="pct"/>
            <w:vAlign w:val="center"/>
          </w:tcPr>
          <w:p w14:paraId="2C8713E9">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1台</w:t>
            </w:r>
          </w:p>
        </w:tc>
        <w:tc>
          <w:tcPr>
            <w:tcW w:w="721" w:type="pct"/>
            <w:vMerge w:val="continue"/>
            <w:vAlign w:val="center"/>
          </w:tcPr>
          <w:p w14:paraId="7CC0595F">
            <w:pPr>
              <w:widowControl/>
              <w:spacing w:line="360" w:lineRule="auto"/>
              <w:jc w:val="left"/>
              <w:rPr>
                <w:rFonts w:hint="eastAsia" w:ascii="仿宋" w:hAnsi="仿宋" w:eastAsia="仿宋" w:cs="仿宋"/>
                <w:color w:val="auto"/>
                <w:kern w:val="0"/>
                <w:sz w:val="24"/>
              </w:rPr>
            </w:pPr>
          </w:p>
        </w:tc>
      </w:tr>
      <w:tr w14:paraId="762C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56544B4C">
            <w:pPr>
              <w:spacing w:line="360" w:lineRule="auto"/>
              <w:jc w:val="center"/>
              <w:rPr>
                <w:rFonts w:hint="eastAsia" w:ascii="仿宋" w:hAnsi="仿宋" w:eastAsia="仿宋" w:cs="仿宋"/>
                <w:color w:val="auto"/>
                <w:sz w:val="24"/>
              </w:rPr>
            </w:pPr>
          </w:p>
        </w:tc>
        <w:tc>
          <w:tcPr>
            <w:tcW w:w="515" w:type="pct"/>
            <w:vMerge w:val="continue"/>
            <w:vAlign w:val="center"/>
          </w:tcPr>
          <w:p w14:paraId="29EA688F">
            <w:pPr>
              <w:widowControl/>
              <w:jc w:val="left"/>
              <w:textAlignment w:val="center"/>
              <w:rPr>
                <w:rFonts w:hint="eastAsia" w:ascii="仿宋" w:hAnsi="仿宋" w:eastAsia="仿宋" w:cs="仿宋"/>
                <w:color w:val="auto"/>
                <w:kern w:val="0"/>
                <w:sz w:val="22"/>
                <w:szCs w:val="22"/>
                <w:lang w:bidi="ar"/>
              </w:rPr>
            </w:pPr>
          </w:p>
        </w:tc>
        <w:tc>
          <w:tcPr>
            <w:tcW w:w="411" w:type="pct"/>
            <w:vAlign w:val="center"/>
          </w:tcPr>
          <w:p w14:paraId="4C6FB821">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2-7</w:t>
            </w:r>
          </w:p>
        </w:tc>
        <w:tc>
          <w:tcPr>
            <w:tcW w:w="1507" w:type="pct"/>
            <w:vAlign w:val="center"/>
          </w:tcPr>
          <w:p w14:paraId="0C72C271">
            <w:pPr>
              <w:widowControl/>
              <w:jc w:val="center"/>
              <w:rPr>
                <w:rFonts w:hint="eastAsia" w:ascii="仿宋" w:hAnsi="仿宋" w:eastAsia="仿宋" w:cs="仿宋"/>
                <w:color w:val="auto"/>
                <w:sz w:val="24"/>
              </w:rPr>
            </w:pPr>
            <w:r>
              <w:rPr>
                <w:rFonts w:hint="eastAsia" w:ascii="仿宋" w:hAnsi="仿宋" w:eastAsia="仿宋" w:cs="仿宋"/>
                <w:color w:val="auto"/>
                <w:sz w:val="24"/>
              </w:rPr>
              <w:t>四元泵</w:t>
            </w:r>
          </w:p>
        </w:tc>
        <w:tc>
          <w:tcPr>
            <w:tcW w:w="607" w:type="pct"/>
            <w:vMerge w:val="continue"/>
            <w:vAlign w:val="center"/>
          </w:tcPr>
          <w:p w14:paraId="1035091E">
            <w:pPr>
              <w:widowControl/>
              <w:spacing w:line="360" w:lineRule="auto"/>
              <w:jc w:val="center"/>
              <w:rPr>
                <w:rFonts w:hint="eastAsia" w:ascii="仿宋" w:hAnsi="仿宋" w:eastAsia="仿宋" w:cs="仿宋"/>
                <w:color w:val="auto"/>
                <w:sz w:val="24"/>
              </w:rPr>
            </w:pPr>
          </w:p>
        </w:tc>
        <w:tc>
          <w:tcPr>
            <w:tcW w:w="652" w:type="pct"/>
            <w:vMerge w:val="continue"/>
            <w:vAlign w:val="center"/>
          </w:tcPr>
          <w:p w14:paraId="4EC80BF7">
            <w:pPr>
              <w:widowControl/>
              <w:spacing w:line="360" w:lineRule="auto"/>
              <w:jc w:val="center"/>
              <w:rPr>
                <w:rFonts w:hint="eastAsia" w:ascii="仿宋" w:hAnsi="仿宋" w:eastAsia="仿宋" w:cs="仿宋"/>
                <w:color w:val="auto"/>
                <w:sz w:val="24"/>
              </w:rPr>
            </w:pPr>
          </w:p>
        </w:tc>
        <w:tc>
          <w:tcPr>
            <w:tcW w:w="339" w:type="pct"/>
            <w:vAlign w:val="center"/>
          </w:tcPr>
          <w:p w14:paraId="3FFB4559">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1台</w:t>
            </w:r>
          </w:p>
        </w:tc>
        <w:tc>
          <w:tcPr>
            <w:tcW w:w="721" w:type="pct"/>
            <w:vMerge w:val="continue"/>
            <w:vAlign w:val="center"/>
          </w:tcPr>
          <w:p w14:paraId="252C55AC">
            <w:pPr>
              <w:widowControl/>
              <w:spacing w:line="360" w:lineRule="auto"/>
              <w:jc w:val="left"/>
              <w:rPr>
                <w:rFonts w:hint="eastAsia" w:ascii="仿宋" w:hAnsi="仿宋" w:eastAsia="仿宋" w:cs="仿宋"/>
                <w:color w:val="auto"/>
                <w:kern w:val="0"/>
                <w:sz w:val="24"/>
              </w:rPr>
            </w:pPr>
          </w:p>
        </w:tc>
      </w:tr>
      <w:tr w14:paraId="2640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28EAB1F6">
            <w:pPr>
              <w:spacing w:line="360" w:lineRule="auto"/>
              <w:jc w:val="center"/>
              <w:rPr>
                <w:rFonts w:hint="eastAsia" w:ascii="仿宋" w:hAnsi="仿宋" w:eastAsia="仿宋" w:cs="仿宋"/>
                <w:color w:val="auto"/>
                <w:sz w:val="24"/>
              </w:rPr>
            </w:pPr>
          </w:p>
        </w:tc>
        <w:tc>
          <w:tcPr>
            <w:tcW w:w="515" w:type="pct"/>
            <w:vMerge w:val="continue"/>
            <w:vAlign w:val="center"/>
          </w:tcPr>
          <w:p w14:paraId="52475612">
            <w:pPr>
              <w:widowControl/>
              <w:jc w:val="left"/>
              <w:textAlignment w:val="center"/>
              <w:rPr>
                <w:rFonts w:hint="eastAsia" w:ascii="仿宋" w:hAnsi="仿宋" w:eastAsia="仿宋" w:cs="仿宋"/>
                <w:color w:val="auto"/>
                <w:kern w:val="0"/>
                <w:sz w:val="22"/>
                <w:szCs w:val="22"/>
                <w:lang w:bidi="ar"/>
              </w:rPr>
            </w:pPr>
          </w:p>
        </w:tc>
        <w:tc>
          <w:tcPr>
            <w:tcW w:w="411" w:type="pct"/>
            <w:vAlign w:val="center"/>
          </w:tcPr>
          <w:p w14:paraId="33A95F6E">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2-8</w:t>
            </w:r>
          </w:p>
        </w:tc>
        <w:tc>
          <w:tcPr>
            <w:tcW w:w="1507" w:type="pct"/>
            <w:vAlign w:val="center"/>
          </w:tcPr>
          <w:p w14:paraId="6D7D41D1">
            <w:pPr>
              <w:widowControl/>
              <w:jc w:val="center"/>
              <w:rPr>
                <w:rFonts w:hint="eastAsia" w:ascii="仿宋" w:hAnsi="仿宋" w:eastAsia="仿宋" w:cs="仿宋"/>
                <w:color w:val="auto"/>
                <w:sz w:val="24"/>
              </w:rPr>
            </w:pPr>
            <w:r>
              <w:rPr>
                <w:rFonts w:hint="eastAsia" w:ascii="仿宋" w:hAnsi="仿宋" w:eastAsia="仿宋" w:cs="仿宋"/>
                <w:color w:val="auto"/>
                <w:sz w:val="24"/>
              </w:rPr>
              <w:t>多功能生物反应器</w:t>
            </w:r>
          </w:p>
        </w:tc>
        <w:tc>
          <w:tcPr>
            <w:tcW w:w="607" w:type="pct"/>
            <w:vMerge w:val="continue"/>
            <w:vAlign w:val="center"/>
          </w:tcPr>
          <w:p w14:paraId="77EAB3C1">
            <w:pPr>
              <w:widowControl/>
              <w:spacing w:line="360" w:lineRule="auto"/>
              <w:jc w:val="center"/>
              <w:rPr>
                <w:rFonts w:hint="eastAsia" w:ascii="仿宋" w:hAnsi="仿宋" w:eastAsia="仿宋" w:cs="仿宋"/>
                <w:color w:val="auto"/>
                <w:sz w:val="24"/>
              </w:rPr>
            </w:pPr>
          </w:p>
        </w:tc>
        <w:tc>
          <w:tcPr>
            <w:tcW w:w="652" w:type="pct"/>
            <w:vMerge w:val="continue"/>
            <w:vAlign w:val="center"/>
          </w:tcPr>
          <w:p w14:paraId="27E057A7">
            <w:pPr>
              <w:widowControl/>
              <w:spacing w:line="360" w:lineRule="auto"/>
              <w:jc w:val="center"/>
              <w:rPr>
                <w:rFonts w:hint="eastAsia" w:ascii="仿宋" w:hAnsi="仿宋" w:eastAsia="仿宋" w:cs="仿宋"/>
                <w:color w:val="auto"/>
                <w:sz w:val="24"/>
              </w:rPr>
            </w:pPr>
          </w:p>
        </w:tc>
        <w:tc>
          <w:tcPr>
            <w:tcW w:w="339" w:type="pct"/>
            <w:vAlign w:val="center"/>
          </w:tcPr>
          <w:p w14:paraId="77DA1E86">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1台</w:t>
            </w:r>
          </w:p>
        </w:tc>
        <w:tc>
          <w:tcPr>
            <w:tcW w:w="721" w:type="pct"/>
            <w:vMerge w:val="continue"/>
            <w:vAlign w:val="center"/>
          </w:tcPr>
          <w:p w14:paraId="32E111B7">
            <w:pPr>
              <w:widowControl/>
              <w:spacing w:line="360" w:lineRule="auto"/>
              <w:jc w:val="left"/>
              <w:rPr>
                <w:rFonts w:hint="eastAsia" w:ascii="仿宋" w:hAnsi="仿宋" w:eastAsia="仿宋" w:cs="仿宋"/>
                <w:color w:val="auto"/>
                <w:kern w:val="0"/>
                <w:sz w:val="24"/>
              </w:rPr>
            </w:pPr>
          </w:p>
        </w:tc>
      </w:tr>
      <w:bookmarkEnd w:id="26"/>
    </w:tbl>
    <w:p w14:paraId="678B878E">
      <w:pPr>
        <w:tabs>
          <w:tab w:val="left" w:pos="2014"/>
        </w:tabs>
        <w:snapToGrid w:val="0"/>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5.合同履行期限：</w:t>
      </w:r>
      <w:r>
        <w:rPr>
          <w:rFonts w:hint="eastAsia" w:ascii="仿宋" w:hAnsi="仿宋" w:eastAsia="仿宋" w:cs="仿宋"/>
          <w:color w:val="auto"/>
          <w:sz w:val="24"/>
          <w:u w:val="single"/>
        </w:rPr>
        <w:t>合同签订后60天内交货。</w:t>
      </w:r>
    </w:p>
    <w:p w14:paraId="0C135488">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6.本项目是否接受联合体投标：□是  ■否。</w:t>
      </w:r>
    </w:p>
    <w:p w14:paraId="701084E0">
      <w:pPr>
        <w:pStyle w:val="3"/>
        <w:snapToGrid w:val="0"/>
        <w:spacing w:before="0" w:line="540" w:lineRule="exact"/>
        <w:jc w:val="left"/>
        <w:rPr>
          <w:rFonts w:hint="eastAsia" w:ascii="仿宋" w:hAnsi="仿宋" w:eastAsia="仿宋" w:cs="仿宋"/>
          <w:color w:val="auto"/>
          <w:sz w:val="24"/>
          <w:szCs w:val="24"/>
        </w:rPr>
      </w:pPr>
      <w:bookmarkStart w:id="0" w:name="_Toc35393622"/>
      <w:bookmarkStart w:id="1" w:name="_Toc28359003"/>
      <w:bookmarkStart w:id="2" w:name="_Toc35393791"/>
      <w:bookmarkStart w:id="3" w:name="_Toc28359080"/>
      <w:r>
        <w:rPr>
          <w:rFonts w:hint="eastAsia" w:ascii="仿宋" w:hAnsi="仿宋" w:eastAsia="仿宋" w:cs="仿宋"/>
          <w:color w:val="auto"/>
          <w:sz w:val="24"/>
          <w:szCs w:val="24"/>
        </w:rPr>
        <w:t>二、申请人的资格要求（须同时满足）</w:t>
      </w:r>
      <w:bookmarkEnd w:id="0"/>
      <w:bookmarkEnd w:id="1"/>
      <w:bookmarkEnd w:id="2"/>
      <w:bookmarkEnd w:id="3"/>
    </w:p>
    <w:p w14:paraId="57A24735">
      <w:pPr>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1.满足《中华人民共和国政府采购法》第二十二条规定；</w:t>
      </w:r>
    </w:p>
    <w:p w14:paraId="1D76BA52">
      <w:pPr>
        <w:snapToGrid w:val="0"/>
        <w:spacing w:line="540" w:lineRule="exact"/>
        <w:ind w:firstLine="480" w:firstLineChars="200"/>
        <w:rPr>
          <w:rFonts w:hint="eastAsia" w:ascii="仿宋" w:hAnsi="仿宋" w:eastAsia="仿宋" w:cs="仿宋"/>
          <w:color w:val="auto"/>
          <w:sz w:val="24"/>
        </w:rPr>
      </w:pPr>
      <w:bookmarkStart w:id="4" w:name="_Toc28359004"/>
      <w:bookmarkStart w:id="5" w:name="_Toc28359081"/>
      <w:r>
        <w:rPr>
          <w:rFonts w:hint="eastAsia" w:ascii="仿宋" w:hAnsi="仿宋" w:eastAsia="仿宋" w:cs="仿宋"/>
          <w:color w:val="auto"/>
          <w:sz w:val="24"/>
        </w:rPr>
        <w:t>2.落实政府采购政策需满足的资格要求：</w:t>
      </w:r>
    </w:p>
    <w:p w14:paraId="43DFB828">
      <w:pPr>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 中小企业政策</w:t>
      </w:r>
    </w:p>
    <w:p w14:paraId="054073F0">
      <w:pPr>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■本项目不专门面向中小企业预留采购份额。</w:t>
      </w:r>
    </w:p>
    <w:p w14:paraId="5B1C893D">
      <w:pPr>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□本项目专门面向中小企业采购。</w:t>
      </w:r>
    </w:p>
    <w:p w14:paraId="2E279268">
      <w:pPr>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即：提供的货物全部由符合政策要求的中小企业制造、服务全部由符合政策要求的中小企业承接。</w:t>
      </w:r>
    </w:p>
    <w:p w14:paraId="1A09B7F4">
      <w:pPr>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color w:val="auto"/>
          <w:sz w:val="24"/>
          <w:u w:val="single"/>
        </w:rPr>
        <w:t xml:space="preserve">      </w:t>
      </w:r>
    </w:p>
    <w:p w14:paraId="3457C464">
      <w:pPr>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2.2 其它落实政府采购政策的资格要求（如有）：</w:t>
      </w:r>
      <w:r>
        <w:rPr>
          <w:rFonts w:hint="eastAsia" w:ascii="仿宋" w:hAnsi="仿宋" w:eastAsia="仿宋" w:cs="仿宋"/>
          <w:color w:val="auto"/>
          <w:sz w:val="24"/>
          <w:u w:val="single"/>
        </w:rPr>
        <w:t xml:space="preserve">/ </w:t>
      </w:r>
    </w:p>
    <w:p w14:paraId="74B90A28">
      <w:pPr>
        <w:snapToGrid w:val="0"/>
        <w:spacing w:line="540" w:lineRule="exact"/>
        <w:ind w:firstLine="480" w:firstLineChars="200"/>
        <w:rPr>
          <w:rFonts w:hint="eastAsia" w:ascii="仿宋" w:hAnsi="仿宋" w:eastAsia="仿宋" w:cs="仿宋"/>
          <w:i/>
          <w:iCs/>
          <w:color w:val="auto"/>
          <w:sz w:val="24"/>
          <w:u w:val="single"/>
        </w:rPr>
      </w:pPr>
      <w:r>
        <w:rPr>
          <w:rFonts w:hint="eastAsia" w:ascii="仿宋" w:hAnsi="仿宋" w:eastAsia="仿宋" w:cs="仿宋"/>
          <w:color w:val="auto"/>
          <w:sz w:val="24"/>
        </w:rPr>
        <w:t>3.本项目的特定资格要求：</w:t>
      </w:r>
    </w:p>
    <w:p w14:paraId="25F370EF">
      <w:pPr>
        <w:tabs>
          <w:tab w:val="left" w:pos="900"/>
          <w:tab w:val="left" w:pos="1134"/>
          <w:tab w:val="left" w:pos="1589"/>
          <w:tab w:val="left" w:pos="5521"/>
        </w:tabs>
        <w:snapToGrid w:val="0"/>
        <w:spacing w:line="540" w:lineRule="exact"/>
        <w:ind w:firstLine="480" w:firstLineChars="200"/>
        <w:rPr>
          <w:rFonts w:hint="eastAsia" w:ascii="仿宋" w:hAnsi="仿宋" w:eastAsia="仿宋" w:cs="仿宋"/>
          <w:i/>
          <w:color w:val="auto"/>
          <w:sz w:val="24"/>
        </w:rPr>
      </w:pPr>
      <w:r>
        <w:rPr>
          <w:rFonts w:hint="eastAsia" w:ascii="仿宋" w:hAnsi="仿宋" w:eastAsia="仿宋" w:cs="仿宋"/>
          <w:color w:val="auto"/>
          <w:sz w:val="24"/>
        </w:rPr>
        <w:t>3.1本项目是否接受分支机构参与投标：□是   ■否；</w:t>
      </w:r>
    </w:p>
    <w:p w14:paraId="5ABBDDE5">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3.2本项目是否属于政府购买服务：</w:t>
      </w:r>
    </w:p>
    <w:p w14:paraId="78D54A2D">
      <w:pPr>
        <w:tabs>
          <w:tab w:val="left" w:pos="900"/>
          <w:tab w:val="left" w:pos="1134"/>
          <w:tab w:val="left" w:pos="1589"/>
          <w:tab w:val="left" w:pos="5521"/>
        </w:tabs>
        <w:snapToGrid w:val="0"/>
        <w:spacing w:line="540" w:lineRule="exact"/>
        <w:ind w:left="991" w:leftChars="472" w:firstLine="2"/>
        <w:rPr>
          <w:rFonts w:hint="eastAsia" w:ascii="仿宋" w:hAnsi="仿宋" w:eastAsia="仿宋" w:cs="仿宋"/>
          <w:color w:val="auto"/>
          <w:sz w:val="24"/>
        </w:rPr>
      </w:pPr>
      <w:r>
        <w:rPr>
          <w:rFonts w:hint="eastAsia" w:ascii="仿宋" w:hAnsi="仿宋" w:eastAsia="仿宋" w:cs="仿宋"/>
          <w:color w:val="auto"/>
          <w:sz w:val="24"/>
        </w:rPr>
        <w:t>■否</w:t>
      </w:r>
    </w:p>
    <w:p w14:paraId="514D8868">
      <w:pPr>
        <w:tabs>
          <w:tab w:val="left" w:pos="900"/>
          <w:tab w:val="left" w:pos="1134"/>
          <w:tab w:val="left" w:pos="1589"/>
          <w:tab w:val="left" w:pos="5521"/>
        </w:tabs>
        <w:snapToGrid w:val="0"/>
        <w:spacing w:line="540" w:lineRule="exact"/>
        <w:ind w:left="991" w:leftChars="472" w:firstLine="2"/>
        <w:rPr>
          <w:rFonts w:hint="eastAsia" w:ascii="仿宋" w:hAnsi="仿宋" w:eastAsia="仿宋" w:cs="仿宋"/>
          <w:color w:val="auto"/>
          <w:sz w:val="24"/>
        </w:rPr>
      </w:pPr>
      <w:r>
        <w:rPr>
          <w:rFonts w:hint="eastAsia" w:ascii="仿宋" w:hAnsi="仿宋" w:eastAsia="仿宋" w:cs="仿宋"/>
          <w:color w:val="auto"/>
          <w:sz w:val="24"/>
        </w:rPr>
        <w:t>□是，公益一类事业单位、使用事业编制且由财政拨款保障的群团组织，不得作为承接主体；</w:t>
      </w:r>
    </w:p>
    <w:p w14:paraId="7002CBA4">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3.3其他特定资格要求：</w:t>
      </w:r>
    </w:p>
    <w:p w14:paraId="75FE2897">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3.3.1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528E4566">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3.3.2单位负责人为同一人或者存在直接控股、管理关系的不同供应商，不得参加同一合同项下的政府采购活动;</w:t>
      </w:r>
    </w:p>
    <w:p w14:paraId="79D57ED6">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3.3.3为采购项目提供整体设计、规范编制或者项目管理、监理、检测等服务的供应商，不得再参加该采购项目的其他采购活动;</w:t>
      </w:r>
    </w:p>
    <w:p w14:paraId="0C2E5C49">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3.3.4投标人应获取本项目招标文件。</w:t>
      </w:r>
    </w:p>
    <w:bookmarkEnd w:id="4"/>
    <w:bookmarkEnd w:id="5"/>
    <w:p w14:paraId="6742B73E">
      <w:pPr>
        <w:pStyle w:val="3"/>
        <w:widowControl/>
        <w:snapToGrid w:val="0"/>
        <w:spacing w:before="0" w:line="540" w:lineRule="exact"/>
        <w:jc w:val="left"/>
        <w:rPr>
          <w:rFonts w:hint="eastAsia" w:ascii="仿宋" w:hAnsi="仿宋" w:eastAsia="仿宋" w:cs="仿宋"/>
          <w:color w:val="auto"/>
          <w:sz w:val="24"/>
          <w:szCs w:val="24"/>
        </w:rPr>
      </w:pPr>
      <w:bookmarkStart w:id="6" w:name="_Toc35393623"/>
      <w:bookmarkStart w:id="7" w:name="_Toc35393792"/>
      <w:r>
        <w:rPr>
          <w:rFonts w:hint="eastAsia" w:ascii="仿宋" w:hAnsi="仿宋" w:eastAsia="仿宋" w:cs="仿宋"/>
          <w:color w:val="auto"/>
          <w:sz w:val="24"/>
          <w:szCs w:val="24"/>
        </w:rPr>
        <w:t>三、获取招标文件</w:t>
      </w:r>
      <w:bookmarkEnd w:id="6"/>
      <w:bookmarkEnd w:id="7"/>
    </w:p>
    <w:p w14:paraId="56C1409F">
      <w:pPr>
        <w:adjustRightInd w:val="0"/>
        <w:snapToGrid w:val="0"/>
        <w:spacing w:line="540" w:lineRule="exact"/>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bidi="ar"/>
        </w:rPr>
        <w:t>1.时间：2026年2月</w:t>
      </w:r>
      <w:r>
        <w:rPr>
          <w:rFonts w:hint="eastAsia" w:ascii="仿宋" w:hAnsi="仿宋" w:eastAsia="仿宋" w:cs="仿宋"/>
          <w:color w:val="auto"/>
          <w:sz w:val="24"/>
          <w:lang w:val="en-US" w:eastAsia="zh-CN" w:bidi="ar"/>
        </w:rPr>
        <w:t>14</w:t>
      </w:r>
      <w:r>
        <w:rPr>
          <w:rFonts w:hint="eastAsia" w:ascii="仿宋" w:hAnsi="仿宋" w:eastAsia="仿宋" w:cs="仿宋"/>
          <w:color w:val="auto"/>
          <w:sz w:val="24"/>
          <w:lang w:bidi="ar"/>
        </w:rPr>
        <w:t>日至2026年2月</w:t>
      </w:r>
      <w:r>
        <w:rPr>
          <w:rFonts w:hint="eastAsia" w:ascii="仿宋" w:hAnsi="仿宋" w:eastAsia="仿宋" w:cs="仿宋"/>
          <w:color w:val="auto"/>
          <w:sz w:val="24"/>
          <w:lang w:val="en-US" w:eastAsia="zh-CN" w:bidi="ar"/>
        </w:rPr>
        <w:t>28</w:t>
      </w:r>
      <w:r>
        <w:rPr>
          <w:rFonts w:hint="eastAsia" w:ascii="仿宋" w:hAnsi="仿宋" w:eastAsia="仿宋" w:cs="仿宋"/>
          <w:color w:val="auto"/>
          <w:sz w:val="24"/>
          <w:lang w:bidi="ar"/>
        </w:rPr>
        <w:t>日，每天上午9:00至12:00，下午12：00至16:00（北京时间，法定节假日除外）。</w:t>
      </w:r>
    </w:p>
    <w:p w14:paraId="37F8B8FE">
      <w:pPr>
        <w:adjustRightInd w:val="0"/>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bidi="ar"/>
        </w:rPr>
        <w:t>2.地点：北京市政府采购电子交易平台</w:t>
      </w:r>
    </w:p>
    <w:p w14:paraId="3B410AB2">
      <w:pPr>
        <w:widowControl/>
        <w:adjustRightInd w:val="0"/>
        <w:snapToGrid w:val="0"/>
        <w:spacing w:line="540" w:lineRule="exact"/>
        <w:ind w:firstLine="480" w:firstLineChars="200"/>
        <w:jc w:val="left"/>
        <w:rPr>
          <w:rFonts w:hint="eastAsia" w:ascii="仿宋" w:hAnsi="仿宋" w:eastAsia="仿宋" w:cs="仿宋"/>
          <w:b/>
          <w:bCs/>
          <w:color w:val="auto"/>
          <w:sz w:val="24"/>
          <w:lang w:bidi="ar"/>
        </w:rPr>
      </w:pPr>
      <w:r>
        <w:rPr>
          <w:rFonts w:hint="eastAsia" w:ascii="仿宋" w:hAnsi="仿宋" w:eastAsia="仿宋" w:cs="仿宋"/>
          <w:color w:val="auto"/>
          <w:sz w:val="24"/>
          <w:lang w:bidi="ar"/>
        </w:rPr>
        <w:t>3.方式：供应商持CA数字认证证书登录北京市政府采购电子交易平台（http://zbcg-bjzc.zhongcy.com/bjczj-portal-site/index.html#/home）获取电子版招标文件</w:t>
      </w:r>
      <w:r>
        <w:rPr>
          <w:rFonts w:hint="eastAsia" w:ascii="仿宋" w:hAnsi="仿宋" w:eastAsia="仿宋" w:cs="仿宋"/>
          <w:b/>
          <w:bCs/>
          <w:color w:val="auto"/>
          <w:sz w:val="24"/>
          <w:lang w:bidi="ar"/>
        </w:rPr>
        <w:t>。</w:t>
      </w:r>
    </w:p>
    <w:p w14:paraId="78000DCA">
      <w:pPr>
        <w:widowControl/>
        <w:adjustRightInd w:val="0"/>
        <w:snapToGrid w:val="0"/>
        <w:spacing w:line="5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lang w:bidi="ar"/>
        </w:rPr>
        <w:t>4.售价：0元。</w:t>
      </w:r>
    </w:p>
    <w:p w14:paraId="6ED11A77">
      <w:pPr>
        <w:pStyle w:val="3"/>
        <w:widowControl/>
        <w:snapToGrid w:val="0"/>
        <w:spacing w:before="0" w:line="540" w:lineRule="exact"/>
        <w:jc w:val="left"/>
        <w:rPr>
          <w:rFonts w:hint="eastAsia" w:ascii="仿宋" w:hAnsi="仿宋" w:eastAsia="仿宋" w:cs="仿宋"/>
          <w:color w:val="auto"/>
          <w:sz w:val="24"/>
          <w:szCs w:val="24"/>
        </w:rPr>
      </w:pPr>
      <w:bookmarkStart w:id="8" w:name="_Toc28359082"/>
      <w:bookmarkStart w:id="9" w:name="_Toc28359005"/>
      <w:bookmarkStart w:id="10" w:name="_Toc35393624"/>
      <w:bookmarkStart w:id="11" w:name="_Toc35393793"/>
      <w:r>
        <w:rPr>
          <w:rFonts w:hint="eastAsia" w:ascii="仿宋" w:hAnsi="仿宋" w:eastAsia="仿宋" w:cs="仿宋"/>
          <w:color w:val="auto"/>
          <w:sz w:val="24"/>
          <w:szCs w:val="24"/>
        </w:rPr>
        <w:t>四、提交投标文件</w:t>
      </w:r>
      <w:bookmarkEnd w:id="8"/>
      <w:bookmarkEnd w:id="9"/>
      <w:r>
        <w:rPr>
          <w:rFonts w:hint="eastAsia" w:ascii="仿宋" w:hAnsi="仿宋" w:eastAsia="仿宋" w:cs="仿宋"/>
          <w:color w:val="auto"/>
          <w:sz w:val="24"/>
          <w:szCs w:val="24"/>
        </w:rPr>
        <w:t>截止时间、开标时间和地点</w:t>
      </w:r>
      <w:bookmarkEnd w:id="10"/>
      <w:bookmarkEnd w:id="11"/>
    </w:p>
    <w:p w14:paraId="6F5B45AB">
      <w:pPr>
        <w:snapToGrid w:val="0"/>
        <w:spacing w:line="540" w:lineRule="exact"/>
        <w:ind w:firstLine="480" w:firstLineChars="200"/>
        <w:rPr>
          <w:rFonts w:hint="eastAsia" w:ascii="仿宋" w:hAnsi="仿宋" w:eastAsia="仿宋" w:cs="仿宋"/>
          <w:bCs/>
          <w:color w:val="auto"/>
          <w:sz w:val="24"/>
          <w:u w:val="single"/>
        </w:rPr>
      </w:pPr>
      <w:r>
        <w:rPr>
          <w:rFonts w:hint="eastAsia" w:ascii="仿宋" w:hAnsi="仿宋" w:eastAsia="仿宋" w:cs="仿宋"/>
          <w:color w:val="auto"/>
          <w:sz w:val="24"/>
          <w:lang w:bidi="ar"/>
        </w:rPr>
        <w:t>投标截止时间、开标时间：2026年</w:t>
      </w:r>
      <w:r>
        <w:rPr>
          <w:rFonts w:hint="eastAsia" w:ascii="仿宋" w:hAnsi="仿宋" w:eastAsia="仿宋" w:cs="仿宋"/>
          <w:color w:val="auto"/>
          <w:sz w:val="24"/>
          <w:lang w:val="en-US" w:eastAsia="zh-CN" w:bidi="ar"/>
        </w:rPr>
        <w:t>3</w:t>
      </w:r>
      <w:r>
        <w:rPr>
          <w:rFonts w:hint="eastAsia" w:ascii="仿宋" w:hAnsi="仿宋" w:eastAsia="仿宋" w:cs="仿宋"/>
          <w:color w:val="auto"/>
          <w:sz w:val="24"/>
          <w:lang w:bidi="ar"/>
        </w:rPr>
        <w:t>月</w:t>
      </w:r>
      <w:r>
        <w:rPr>
          <w:rFonts w:hint="eastAsia" w:ascii="仿宋" w:hAnsi="仿宋" w:eastAsia="仿宋" w:cs="仿宋"/>
          <w:color w:val="auto"/>
          <w:sz w:val="24"/>
          <w:lang w:val="en-US" w:eastAsia="zh-CN" w:bidi="ar"/>
        </w:rPr>
        <w:t>6</w:t>
      </w:r>
      <w:r>
        <w:rPr>
          <w:rFonts w:hint="eastAsia" w:ascii="仿宋" w:hAnsi="仿宋" w:eastAsia="仿宋" w:cs="仿宋"/>
          <w:color w:val="auto"/>
          <w:sz w:val="24"/>
          <w:lang w:bidi="ar"/>
        </w:rPr>
        <w:t>日</w:t>
      </w:r>
      <w:r>
        <w:rPr>
          <w:rFonts w:hint="eastAsia" w:ascii="仿宋" w:hAnsi="仿宋" w:eastAsia="仿宋" w:cs="仿宋"/>
          <w:color w:val="auto"/>
          <w:sz w:val="24"/>
          <w:lang w:val="en-US" w:eastAsia="zh-CN" w:bidi="ar"/>
        </w:rPr>
        <w:t>13</w:t>
      </w:r>
      <w:r>
        <w:rPr>
          <w:rFonts w:hint="eastAsia" w:ascii="仿宋" w:hAnsi="仿宋" w:eastAsia="仿宋" w:cs="仿宋"/>
          <w:color w:val="auto"/>
          <w:sz w:val="24"/>
          <w:lang w:bidi="ar"/>
        </w:rPr>
        <w:t>点</w:t>
      </w:r>
      <w:r>
        <w:rPr>
          <w:rFonts w:hint="eastAsia" w:ascii="仿宋" w:hAnsi="仿宋" w:eastAsia="仿宋" w:cs="仿宋"/>
          <w:color w:val="auto"/>
          <w:sz w:val="24"/>
          <w:lang w:val="en-US" w:eastAsia="zh-CN" w:bidi="ar"/>
        </w:rPr>
        <w:t>3</w:t>
      </w:r>
      <w:r>
        <w:rPr>
          <w:rFonts w:hint="eastAsia" w:ascii="仿宋" w:hAnsi="仿宋" w:eastAsia="仿宋" w:cs="仿宋"/>
          <w:color w:val="auto"/>
          <w:sz w:val="24"/>
          <w:lang w:bidi="ar"/>
        </w:rPr>
        <w:t>0分</w:t>
      </w:r>
      <w:r>
        <w:rPr>
          <w:rFonts w:hint="eastAsia" w:ascii="仿宋" w:hAnsi="仿宋" w:eastAsia="仿宋" w:cs="仿宋"/>
          <w:bCs/>
          <w:color w:val="auto"/>
          <w:sz w:val="24"/>
          <w:lang w:bidi="ar"/>
        </w:rPr>
        <w:t>（北京时间）</w:t>
      </w:r>
      <w:r>
        <w:rPr>
          <w:rFonts w:hint="eastAsia" w:ascii="仿宋" w:hAnsi="仿宋" w:eastAsia="仿宋" w:cs="仿宋"/>
          <w:iCs/>
          <w:color w:val="auto"/>
          <w:sz w:val="24"/>
          <w:lang w:bidi="ar"/>
        </w:rPr>
        <w:t>。</w:t>
      </w:r>
    </w:p>
    <w:p w14:paraId="3C45BFF5">
      <w:pPr>
        <w:snapToGrid w:val="0"/>
        <w:spacing w:line="540" w:lineRule="exact"/>
        <w:ind w:firstLine="480" w:firstLineChars="200"/>
        <w:rPr>
          <w:rFonts w:hint="eastAsia" w:ascii="仿宋" w:hAnsi="仿宋" w:eastAsia="仿宋" w:cs="仿宋"/>
          <w:bCs/>
          <w:color w:val="auto"/>
          <w:sz w:val="24"/>
          <w:u w:val="single"/>
        </w:rPr>
      </w:pPr>
      <w:r>
        <w:rPr>
          <w:rFonts w:hint="eastAsia" w:ascii="仿宋" w:hAnsi="仿宋" w:eastAsia="仿宋" w:cs="仿宋"/>
          <w:color w:val="auto"/>
          <w:sz w:val="24"/>
          <w:lang w:bidi="ar"/>
        </w:rPr>
        <w:t>地点：</w:t>
      </w:r>
      <w:r>
        <w:rPr>
          <w:rFonts w:hint="eastAsia" w:ascii="仿宋" w:hAnsi="仿宋" w:eastAsia="仿宋" w:cs="仿宋"/>
          <w:color w:val="auto"/>
          <w:sz w:val="24"/>
        </w:rPr>
        <w:t>北京市政府采购电子交易平台</w:t>
      </w:r>
      <w:r>
        <w:rPr>
          <w:rFonts w:hint="eastAsia" w:ascii="仿宋" w:hAnsi="仿宋" w:eastAsia="仿宋" w:cs="仿宋"/>
          <w:color w:val="auto"/>
          <w:sz w:val="24"/>
          <w:lang w:val="zh-TW" w:bidi="ar"/>
        </w:rPr>
        <w:t>。</w:t>
      </w:r>
    </w:p>
    <w:p w14:paraId="3423557B">
      <w:pPr>
        <w:pStyle w:val="3"/>
        <w:snapToGrid w:val="0"/>
        <w:spacing w:before="0" w:line="540" w:lineRule="exact"/>
        <w:jc w:val="left"/>
        <w:rPr>
          <w:rFonts w:hint="eastAsia" w:ascii="仿宋" w:hAnsi="仿宋" w:eastAsia="仿宋" w:cs="仿宋"/>
          <w:color w:val="auto"/>
          <w:sz w:val="24"/>
          <w:szCs w:val="24"/>
        </w:rPr>
      </w:pPr>
      <w:bookmarkStart w:id="12" w:name="_Toc28359084"/>
      <w:bookmarkStart w:id="13" w:name="_Toc35393794"/>
      <w:bookmarkStart w:id="14" w:name="_Toc35393625"/>
      <w:bookmarkStart w:id="15" w:name="_Toc28359007"/>
      <w:r>
        <w:rPr>
          <w:rFonts w:hint="eastAsia" w:ascii="仿宋" w:hAnsi="仿宋" w:eastAsia="仿宋" w:cs="仿宋"/>
          <w:color w:val="auto"/>
          <w:sz w:val="24"/>
          <w:szCs w:val="24"/>
        </w:rPr>
        <w:t>五、公告期限</w:t>
      </w:r>
      <w:bookmarkEnd w:id="12"/>
      <w:bookmarkEnd w:id="13"/>
      <w:bookmarkEnd w:id="14"/>
      <w:bookmarkEnd w:id="15"/>
    </w:p>
    <w:p w14:paraId="2105713C">
      <w:pPr>
        <w:snapToGrid w:val="0"/>
        <w:spacing w:line="54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自本公告发布之日起5个工作日。</w:t>
      </w:r>
      <w:bookmarkStart w:id="16" w:name="_Toc35393795"/>
      <w:bookmarkStart w:id="17" w:name="_Toc35393626"/>
    </w:p>
    <w:p w14:paraId="250BD79C">
      <w:pPr>
        <w:snapToGrid w:val="0"/>
        <w:spacing w:line="540" w:lineRule="exact"/>
        <w:rPr>
          <w:rFonts w:hint="eastAsia" w:ascii="仿宋" w:hAnsi="仿宋" w:eastAsia="仿宋" w:cs="仿宋"/>
          <w:color w:val="auto"/>
          <w:sz w:val="24"/>
        </w:rPr>
      </w:pPr>
      <w:r>
        <w:rPr>
          <w:rFonts w:hint="eastAsia" w:ascii="仿宋" w:hAnsi="仿宋" w:eastAsia="仿宋" w:cs="仿宋"/>
          <w:b/>
          <w:color w:val="auto"/>
          <w:kern w:val="0"/>
          <w:sz w:val="24"/>
        </w:rPr>
        <w:t>六、其他补充事宜</w:t>
      </w:r>
      <w:bookmarkEnd w:id="16"/>
      <w:bookmarkEnd w:id="17"/>
    </w:p>
    <w:p w14:paraId="79B1A81A">
      <w:pPr>
        <w:snapToGrid w:val="0"/>
        <w:spacing w:line="540" w:lineRule="exact"/>
        <w:ind w:firstLine="480" w:firstLineChars="200"/>
        <w:jc w:val="left"/>
        <w:rPr>
          <w:rFonts w:hint="eastAsia" w:ascii="仿宋" w:hAnsi="仿宋" w:eastAsia="仿宋" w:cs="仿宋"/>
          <w:color w:val="auto"/>
          <w:sz w:val="24"/>
          <w:u w:val="single"/>
        </w:rPr>
      </w:pPr>
      <w:r>
        <w:rPr>
          <w:rFonts w:hint="eastAsia" w:ascii="仿宋" w:hAnsi="仿宋" w:eastAsia="仿宋" w:cs="仿宋"/>
          <w:color w:val="auto"/>
          <w:sz w:val="24"/>
        </w:rPr>
        <w:t>招标编号：0701-26410719X004</w:t>
      </w:r>
    </w:p>
    <w:p w14:paraId="444CD71E">
      <w:pPr>
        <w:snapToGrid w:val="0"/>
        <w:spacing w:line="5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本项目需要落实的政府采购政策：</w:t>
      </w:r>
    </w:p>
    <w:p w14:paraId="64698E06">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1.鼓励节能、环保政策：依据《财政部发展改革委生态环境部市场监管总局关于调整优化节能产品、环境标志产品政府采购执行机制的通知（财库（2019）9号）》执行。</w:t>
      </w:r>
    </w:p>
    <w:p w14:paraId="161537A5">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2.扶持中小企业政策：评审时小型和微型企业产品享受10%的价格扣除。监狱企业视同小型、微型企业。残疾人福利性单位视同小型、微型企业，不重复享受政策。</w:t>
      </w:r>
    </w:p>
    <w:p w14:paraId="4287BF28">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3.本项目采购标的接受进口产品情况：本项目不适用。</w:t>
      </w:r>
    </w:p>
    <w:p w14:paraId="4F3D2767">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4.本项目采用全流程电子化采购方式，请供应商认真学习北京市政府采购电子交易 平台发布的相关操作手册(供应商可在交易平台下载相关手册),办理 CA 数字证书或  电子营业执照、进行北京市政府采购电子交易平台注册绑定，并认真核实CA 数字证书</w:t>
      </w:r>
    </w:p>
    <w:p w14:paraId="703E4B3F">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或电子营业执照情况确认是否符合本项目电子化采购流程要求。</w:t>
      </w:r>
    </w:p>
    <w:p w14:paraId="069767E5">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CA 数字证书服务热线 010-58511086</w:t>
      </w:r>
    </w:p>
    <w:p w14:paraId="0A538D91">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电子营业执照服务热线 400-699-7000</w:t>
      </w:r>
    </w:p>
    <w:p w14:paraId="2C0B5F28">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技术支持服务热线   010-86483801</w:t>
      </w:r>
    </w:p>
    <w:p w14:paraId="53C16AEA">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4.1办理 CA 数字证书或电子营业执照</w:t>
      </w:r>
    </w:p>
    <w:p w14:paraId="49022CEB">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供应商登录北京市政府采购电子交易平台查阅“用户指南”—“操作指南”—“市场主体 CA 办理操作流程指引”/“电子营业执照使用指南”,按照程序要求办理。</w:t>
      </w:r>
    </w:p>
    <w:p w14:paraId="767F37CF">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4.2注册</w:t>
      </w:r>
    </w:p>
    <w:p w14:paraId="5928DE6B">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供应商登录北京市政府采购电子交易平台“用户指南”—“操作指南”—“市场主体注册入库操作流程指引”进行自助注册绑定。</w:t>
      </w:r>
    </w:p>
    <w:p w14:paraId="2F8637EC">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4.3驱动、客户端下载</w:t>
      </w:r>
    </w:p>
    <w:p w14:paraId="2A2CF2D6">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供应商登录北京市政府采购电子交易平台“用户指南”—“工具下载”—“招标采购系统文件驱动安装包”下载相关驱动。</w:t>
      </w:r>
    </w:p>
    <w:p w14:paraId="5E58DD1C">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供应商登录北京市政府采购电子交易平台“用户指南”—“工具下载”—“投标文件编制工具”下载相关客户端。</w:t>
      </w:r>
    </w:p>
    <w:p w14:paraId="476138E5">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4.4  获取电子招标文件</w:t>
      </w:r>
    </w:p>
    <w:p w14:paraId="58BC1D9A">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供应商使用CA 数字证书或电子营业执照登录北京市政府采购电子交易平台获取电子招标文件。</w:t>
      </w:r>
    </w:p>
    <w:p w14:paraId="705C17C9">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在【我的项目】栏目依次选择对应采购包，进入项目工作台招标/采购文件环节分别按采购包下载招标文件电子版。未在规定期限内按上述操作获取文件的采购包，供应商无法提交相应包的电子投标文件。</w:t>
      </w:r>
    </w:p>
    <w:p w14:paraId="2DC1139C">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4.5编制电子投标文件</w:t>
      </w:r>
    </w:p>
    <w:p w14:paraId="5F79D886">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供应商应使用电子投标客户端编制电子投标文件并进行线上投标，供应商电子投标  文件需要加密并加盖电子签章，如无法按照要求在电子投标文件中加盖电子签章和加密，请及时通过技术支持服务热线联系技术人员。</w:t>
      </w:r>
    </w:p>
    <w:p w14:paraId="34C05CDC">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4.6 提交电子投标文件</w:t>
      </w:r>
    </w:p>
    <w:p w14:paraId="260961FE">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供应商应于投标截止时间前在北京市政府采购电子交易平台提交电子投标文件，上传电子投标文件过程中请保持与互联网的连接畅通。</w:t>
      </w:r>
    </w:p>
    <w:p w14:paraId="7CCAAB0C">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4.7电子开标</w:t>
      </w:r>
    </w:p>
    <w:p w14:paraId="50697212">
      <w:pPr>
        <w:widowControl/>
        <w:tabs>
          <w:tab w:val="left" w:pos="1080"/>
        </w:tabs>
        <w:snapToGrid w:val="0"/>
        <w:spacing w:line="540" w:lineRule="exact"/>
        <w:ind w:left="-269" w:leftChars="-128" w:firstLine="720" w:firstLineChars="300"/>
        <w:jc w:val="left"/>
        <w:rPr>
          <w:rFonts w:hint="eastAsia" w:ascii="仿宋" w:hAnsi="仿宋" w:eastAsia="仿宋" w:cs="仿宋"/>
          <w:color w:val="auto"/>
        </w:rPr>
      </w:pPr>
      <w:r>
        <w:rPr>
          <w:rFonts w:hint="eastAsia" w:ascii="仿宋" w:hAnsi="仿宋" w:eastAsia="仿宋" w:cs="仿宋"/>
          <w:color w:val="auto"/>
          <w:kern w:val="0"/>
          <w:sz w:val="24"/>
        </w:rPr>
        <w:t>供应商在开标地点使用CA 数字证书或电子营业执照登录北京市政府采购电子交易平台进行电子开标。</w:t>
      </w:r>
    </w:p>
    <w:p w14:paraId="27F6D0E8">
      <w:pPr>
        <w:pStyle w:val="3"/>
        <w:snapToGrid w:val="0"/>
        <w:spacing w:before="0" w:line="540" w:lineRule="exact"/>
        <w:jc w:val="left"/>
        <w:rPr>
          <w:rFonts w:hint="eastAsia" w:ascii="仿宋" w:hAnsi="仿宋" w:eastAsia="仿宋" w:cs="仿宋"/>
          <w:color w:val="auto"/>
          <w:sz w:val="24"/>
          <w:szCs w:val="24"/>
        </w:rPr>
      </w:pPr>
      <w:bookmarkStart w:id="18" w:name="_Toc28359085"/>
      <w:bookmarkStart w:id="19" w:name="_Toc35393627"/>
      <w:bookmarkStart w:id="20" w:name="_Toc35393796"/>
      <w:bookmarkStart w:id="21" w:name="_Toc28359008"/>
      <w:r>
        <w:rPr>
          <w:rFonts w:hint="eastAsia" w:ascii="仿宋" w:hAnsi="仿宋" w:eastAsia="仿宋" w:cs="仿宋"/>
          <w:color w:val="auto"/>
          <w:sz w:val="24"/>
          <w:szCs w:val="24"/>
        </w:rPr>
        <w:t>七、对本次招标提出询问，请按以下方式联系。</w:t>
      </w:r>
      <w:bookmarkEnd w:id="18"/>
      <w:bookmarkEnd w:id="19"/>
      <w:bookmarkEnd w:id="20"/>
      <w:bookmarkEnd w:id="21"/>
    </w:p>
    <w:p w14:paraId="3A1F00FE">
      <w:pPr>
        <w:widowControl/>
        <w:snapToGrid w:val="0"/>
        <w:spacing w:line="540" w:lineRule="exact"/>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1.采购人信息</w:t>
      </w:r>
    </w:p>
    <w:p w14:paraId="600623A9">
      <w:pPr>
        <w:snapToGrid w:val="0"/>
        <w:spacing w:line="540" w:lineRule="exact"/>
        <w:ind w:firstLine="480" w:firstLineChars="200"/>
        <w:jc w:val="left"/>
        <w:rPr>
          <w:rFonts w:hint="eastAsia" w:ascii="仿宋" w:hAnsi="仿宋" w:eastAsia="仿宋" w:cs="仿宋"/>
          <w:color w:val="auto"/>
          <w:sz w:val="24"/>
        </w:rPr>
      </w:pPr>
      <w:bookmarkStart w:id="22" w:name="_Toc28359086"/>
      <w:bookmarkStart w:id="23" w:name="_Toc28359009"/>
      <w:r>
        <w:rPr>
          <w:rFonts w:hint="eastAsia" w:ascii="仿宋" w:hAnsi="仿宋" w:eastAsia="仿宋" w:cs="仿宋"/>
          <w:color w:val="auto"/>
          <w:sz w:val="24"/>
        </w:rPr>
        <w:t xml:space="preserve">名    称：北京市科学技术研究院 </w:t>
      </w:r>
    </w:p>
    <w:p w14:paraId="0D098520">
      <w:pPr>
        <w:snapToGrid w:val="0"/>
        <w:spacing w:line="5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地    址：北京市海淀区西三环北路27号</w:t>
      </w:r>
    </w:p>
    <w:p w14:paraId="23BC9FBE">
      <w:pPr>
        <w:snapToGrid w:val="0"/>
        <w:spacing w:line="5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联系方式：李老师 010-66020472-7001</w:t>
      </w:r>
    </w:p>
    <w:p w14:paraId="2369BA58">
      <w:pPr>
        <w:snapToGrid w:val="0"/>
        <w:spacing w:line="540" w:lineRule="exact"/>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2.采购代理机构信息</w:t>
      </w:r>
      <w:bookmarkEnd w:id="22"/>
      <w:bookmarkEnd w:id="23"/>
    </w:p>
    <w:p w14:paraId="488CF272">
      <w:pPr>
        <w:snapToGrid w:val="0"/>
        <w:spacing w:line="540" w:lineRule="exact"/>
        <w:ind w:firstLine="480" w:firstLineChars="200"/>
        <w:jc w:val="left"/>
        <w:rPr>
          <w:rFonts w:hint="eastAsia" w:ascii="仿宋" w:hAnsi="仿宋" w:eastAsia="仿宋" w:cs="仿宋"/>
          <w:color w:val="auto"/>
          <w:sz w:val="24"/>
        </w:rPr>
      </w:pPr>
      <w:bookmarkStart w:id="24" w:name="_Toc28359010"/>
      <w:bookmarkStart w:id="25" w:name="_Toc28359087"/>
      <w:r>
        <w:rPr>
          <w:rFonts w:hint="eastAsia" w:ascii="仿宋" w:hAnsi="仿宋" w:eastAsia="仿宋" w:cs="仿宋"/>
          <w:color w:val="auto"/>
          <w:sz w:val="24"/>
        </w:rPr>
        <w:t>名    称：中技国际招标有限公司</w:t>
      </w:r>
    </w:p>
    <w:p w14:paraId="4227A5D3">
      <w:pPr>
        <w:snapToGrid w:val="0"/>
        <w:spacing w:line="5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地    址：北京市丰台区西营街1号院通用时代中心C座9层</w:t>
      </w:r>
    </w:p>
    <w:p w14:paraId="7DBD05D3">
      <w:pPr>
        <w:snapToGrid w:val="0"/>
        <w:spacing w:line="540" w:lineRule="exact"/>
        <w:ind w:firstLine="480" w:firstLineChars="200"/>
        <w:jc w:val="left"/>
        <w:rPr>
          <w:rFonts w:hint="eastAsia" w:ascii="仿宋" w:hAnsi="仿宋" w:eastAsia="仿宋" w:cs="仿宋"/>
          <w:color w:val="auto"/>
          <w:sz w:val="24"/>
          <w:u w:val="single"/>
        </w:rPr>
      </w:pPr>
      <w:r>
        <w:rPr>
          <w:rFonts w:hint="eastAsia" w:ascii="仿宋" w:hAnsi="仿宋" w:eastAsia="仿宋" w:cs="仿宋"/>
          <w:color w:val="auto"/>
          <w:sz w:val="24"/>
        </w:rPr>
        <w:t>联系方式：010-81168493</w:t>
      </w:r>
    </w:p>
    <w:p w14:paraId="116190D0">
      <w:pPr>
        <w:snapToGrid w:val="0"/>
        <w:spacing w:line="540" w:lineRule="exact"/>
        <w:ind w:firstLine="482" w:firstLineChars="200"/>
        <w:rPr>
          <w:rFonts w:hint="eastAsia" w:ascii="仿宋" w:hAnsi="仿宋" w:eastAsia="仿宋" w:cs="仿宋"/>
          <w:b/>
          <w:color w:val="auto"/>
          <w:sz w:val="24"/>
          <w:u w:val="single"/>
        </w:rPr>
      </w:pPr>
      <w:r>
        <w:rPr>
          <w:rFonts w:hint="eastAsia" w:ascii="仿宋" w:hAnsi="仿宋" w:eastAsia="仿宋" w:cs="仿宋"/>
          <w:b/>
          <w:color w:val="auto"/>
          <w:sz w:val="24"/>
        </w:rPr>
        <w:t>3.项目联系方式</w:t>
      </w:r>
      <w:bookmarkEnd w:id="24"/>
      <w:bookmarkEnd w:id="25"/>
    </w:p>
    <w:p w14:paraId="29525CA7">
      <w:pPr>
        <w:pStyle w:val="4"/>
        <w:snapToGrid w:val="0"/>
        <w:spacing w:line="540" w:lineRule="exact"/>
        <w:ind w:firstLine="480" w:firstLineChars="200"/>
        <w:rPr>
          <w:rFonts w:ascii="仿宋" w:hAnsi="仿宋" w:eastAsia="仿宋" w:cs="仿宋"/>
          <w:color w:val="auto"/>
          <w:sz w:val="24"/>
          <w:szCs w:val="24"/>
        </w:rPr>
      </w:pPr>
      <w:r>
        <w:rPr>
          <w:rFonts w:ascii="仿宋" w:hAnsi="仿宋" w:eastAsia="仿宋" w:cs="仿宋"/>
          <w:color w:val="auto"/>
          <w:sz w:val="24"/>
          <w:szCs w:val="24"/>
        </w:rPr>
        <w:t>项目联系人：陈刚、王昕</w:t>
      </w:r>
    </w:p>
    <w:p w14:paraId="2C4AC9BA">
      <w:pPr>
        <w:pStyle w:val="4"/>
        <w:snapToGrid w:val="0"/>
        <w:spacing w:line="540" w:lineRule="exact"/>
        <w:ind w:firstLine="480" w:firstLineChars="200"/>
        <w:rPr>
          <w:rFonts w:ascii="仿宋" w:hAnsi="仿宋" w:eastAsia="仿宋" w:cs="仿宋"/>
          <w:color w:val="auto"/>
          <w:sz w:val="24"/>
          <w:szCs w:val="24"/>
        </w:rPr>
      </w:pPr>
      <w:r>
        <w:rPr>
          <w:rFonts w:ascii="仿宋" w:hAnsi="仿宋" w:eastAsia="仿宋" w:cs="仿宋"/>
          <w:color w:val="auto"/>
          <w:sz w:val="24"/>
          <w:szCs w:val="24"/>
        </w:rPr>
        <w:t>电      话：</w:t>
      </w:r>
      <w:r>
        <w:rPr>
          <w:rFonts w:ascii="仿宋" w:hAnsi="仿宋" w:eastAsia="仿宋" w:cs="仿宋"/>
          <w:color w:val="auto"/>
          <w:sz w:val="24"/>
        </w:rPr>
        <w:t>010-81168493、81168289</w:t>
      </w:r>
    </w:p>
    <w:p w14:paraId="1809393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AD0299"/>
    <w:rsid w:val="0FAC6143"/>
    <w:rsid w:val="201211E1"/>
    <w:rsid w:val="2D9A5EE2"/>
    <w:rsid w:val="395C1CA2"/>
    <w:rsid w:val="3AAD0299"/>
    <w:rsid w:val="4CC7713D"/>
    <w:rsid w:val="516C7467"/>
    <w:rsid w:val="77CA22DF"/>
    <w:rsid w:val="77E42AB3"/>
    <w:rsid w:val="7EFE4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50" w:beforeLines="50" w:beforeAutospacing="0" w:afterLines="0" w:afterAutospacing="0" w:line="480" w:lineRule="auto"/>
      <w:outlineLvl w:val="1"/>
    </w:pPr>
    <w:rPr>
      <w:rFonts w:eastAsia="黑体" w:asciiTheme="minorAscii" w:hAnsiTheme="minorAscii"/>
      <w:b/>
      <w:kern w:val="44"/>
      <w:sz w:val="36"/>
    </w:rPr>
  </w:style>
  <w:style w:type="paragraph" w:styleId="3">
    <w:name w:val="heading 2"/>
    <w:basedOn w:val="1"/>
    <w:next w:val="1"/>
    <w:link w:val="11"/>
    <w:semiHidden/>
    <w:unhideWhenUsed/>
    <w:qFormat/>
    <w:uiPriority w:val="0"/>
    <w:pPr>
      <w:keepNext/>
      <w:keepLines/>
      <w:spacing w:before="260" w:after="260" w:line="416" w:lineRule="auto"/>
      <w:outlineLvl w:val="2"/>
    </w:pPr>
    <w:rPr>
      <w:rFonts w:ascii="Cambria" w:hAnsi="Cambria" w:cs="Times New Roman"/>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hint="eastAsia" w:ascii="宋体" w:hAnsi="Courier New"/>
      <w:szCs w:val="20"/>
    </w:rPr>
  </w:style>
  <w:style w:type="paragraph" w:styleId="5">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rPr>
      <w:rFonts w:ascii="宋体" w:hAnsi="宋体" w:eastAsia="宋体" w:cs="宋体"/>
      <w:sz w:val="24"/>
    </w:rPr>
  </w:style>
  <w:style w:type="paragraph" w:styleId="8">
    <w:name w:val="toc 2"/>
    <w:basedOn w:val="1"/>
    <w:next w:val="1"/>
    <w:qFormat/>
    <w:uiPriority w:val="0"/>
    <w:pPr>
      <w:ind w:left="420" w:leftChars="200"/>
    </w:pPr>
    <w:rPr>
      <w:rFonts w:asciiTheme="minorAscii" w:hAnsiTheme="minorAscii"/>
      <w:sz w:val="24"/>
    </w:rPr>
  </w:style>
  <w:style w:type="character" w:customStyle="1" w:styleId="11">
    <w:name w:val="标题 2 Char"/>
    <w:link w:val="3"/>
    <w:qFormat/>
    <w:uiPriority w:val="9"/>
    <w:rPr>
      <w:rFonts w:ascii="Cambria" w:hAnsi="Cambria" w:cs="Times New Roman" w:eastAsiaTheme="minorEastAsia"/>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2026-02-13T07:19:00Z</dcterms:created>
  <dc:creator>XX</dc:creator>
  <cp:lastModifiedBy>XX</cp:lastModifiedBy>
  <dcterms:modified xsi:type="dcterms:W3CDTF">2026-02-13T07:37:33Z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BFAADE36C70B4C3DA8ADA6CE555FAF63_13</vt:lpwstr>
  </property>
  <property fmtid="{D5CDD505-2E9C-101B-9397-08002B2CF9AE}" pid="4" name="KSOTemplateDocerSaveRecord">
    <vt:lpwstr>eyJoZGlkIjoiYWFhMmMwOTEzMDZjNDIwMDQxMTdiMzZhOGFjOGYxMzUiLCJ1c2VySWQiOiIyMjkxNDI4MjQifQ==</vt:lpwstr>
  </property>
</Properties>
</file>