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r>
        <w:rPr>
          <w:rFonts w:hint="eastAsia" w:ascii="宋体" w:hAnsi="宋体" w:cs="宋体"/>
          <w:sz w:val="28"/>
          <w:szCs w:val="28"/>
          <w:lang w:eastAsia="zh-CN"/>
        </w:rPr>
        <w:t>（</w:t>
      </w:r>
      <w:r>
        <w:rPr>
          <w:rFonts w:hint="eastAsia" w:ascii="宋体" w:hAnsi="宋体" w:cs="宋体"/>
          <w:sz w:val="28"/>
          <w:szCs w:val="28"/>
          <w:lang w:val="en-US" w:eastAsia="zh-CN"/>
        </w:rPr>
        <w:t>01、04、12、13包</w:t>
      </w:r>
      <w:r>
        <w:rPr>
          <w:rFonts w:hint="eastAsia" w:ascii="宋体" w:hAnsi="宋体" w:cs="宋体"/>
          <w:sz w:val="28"/>
          <w:szCs w:val="28"/>
          <w:lang w:eastAsia="zh-CN"/>
        </w:rPr>
        <w:t>）</w:t>
      </w:r>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妇产医院医用设备购置（自筹）</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35393790"/>
      <w:bookmarkStart w:id="3" w:name="_Toc35393621"/>
      <w:bookmarkStart w:id="4" w:name="_Toc28359002"/>
      <w:bookmarkStart w:id="5" w:name="_Toc28359079"/>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0686-2611BI043909Z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妇产医院医用设备购置（自筹）</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388.88</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6"/>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2"/>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1965"/>
        <w:gridCol w:w="1309"/>
        <w:gridCol w:w="1309"/>
        <w:gridCol w:w="1268"/>
        <w:gridCol w:w="1726"/>
      </w:tblGrid>
      <w:tr w14:paraId="36FBF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13C134F5">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3C52E8BB">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1965" w:type="dxa"/>
            <w:vAlign w:val="center"/>
          </w:tcPr>
          <w:p w14:paraId="4887DEE6">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309" w:type="dxa"/>
            <w:vAlign w:val="center"/>
          </w:tcPr>
          <w:p w14:paraId="1E1F50DE">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3DEF5243">
            <w:pP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309" w:type="dxa"/>
            <w:vAlign w:val="center"/>
          </w:tcPr>
          <w:p w14:paraId="0CB61652">
            <w:pPr>
              <w:jc w:val="center"/>
              <w:rPr>
                <w:rFonts w:hint="eastAsia" w:cs="宋体"/>
                <w:bCs/>
                <w:spacing w:val="0"/>
                <w:sz w:val="24"/>
                <w:szCs w:val="24"/>
                <w:highlight w:val="none"/>
                <w:lang w:val="en-US" w:eastAsia="zh-CN"/>
              </w:rPr>
            </w:pPr>
            <w:r>
              <w:rPr>
                <w:rFonts w:hint="eastAsia" w:cs="宋体"/>
                <w:bCs/>
                <w:spacing w:val="0"/>
                <w:sz w:val="24"/>
                <w:szCs w:val="24"/>
                <w:highlight w:val="none"/>
                <w:lang w:val="en-US" w:eastAsia="zh-CN"/>
              </w:rPr>
              <w:t>采购包</w:t>
            </w:r>
          </w:p>
          <w:p w14:paraId="68960868">
            <w:pPr>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预算金额</w:t>
            </w:r>
          </w:p>
          <w:p w14:paraId="489CD5B6">
            <w:pPr>
              <w:jc w:val="center"/>
              <w:rPr>
                <w:rFonts w:hint="eastAsia" w:ascii="宋体" w:hAnsi="宋体" w:eastAsia="宋体" w:cs="宋体"/>
                <w:bCs/>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268" w:type="dxa"/>
            <w:vAlign w:val="center"/>
          </w:tcPr>
          <w:p w14:paraId="3FB14A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cs="宋体"/>
                <w:b w:val="0"/>
                <w:bCs w:val="0"/>
                <w:i w:val="0"/>
                <w:iCs w:val="0"/>
                <w:color w:val="000000"/>
                <w:kern w:val="0"/>
                <w:sz w:val="24"/>
                <w:szCs w:val="24"/>
                <w:highlight w:val="none"/>
                <w:u w:val="none"/>
                <w:lang w:val="en-US" w:eastAsia="zh-CN" w:bidi="ar"/>
              </w:rPr>
              <w:t>最高限价</w:t>
            </w:r>
          </w:p>
          <w:p w14:paraId="2BE2ED1F">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726" w:type="dxa"/>
            <w:vAlign w:val="center"/>
          </w:tcPr>
          <w:p w14:paraId="0871FD44">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3EC83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576" w:type="dxa"/>
            <w:vAlign w:val="center"/>
          </w:tcPr>
          <w:p w14:paraId="5ADCAE3C">
            <w:pPr>
              <w:pStyle w:val="50"/>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w:t>
            </w:r>
          </w:p>
        </w:tc>
        <w:tc>
          <w:tcPr>
            <w:tcW w:w="877" w:type="dxa"/>
            <w:vAlign w:val="center"/>
          </w:tcPr>
          <w:p w14:paraId="433DCCDD">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1-1</w:t>
            </w:r>
          </w:p>
        </w:tc>
        <w:tc>
          <w:tcPr>
            <w:tcW w:w="1965" w:type="dxa"/>
            <w:vAlign w:val="center"/>
          </w:tcPr>
          <w:p w14:paraId="6D3C946F">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输液泵</w:t>
            </w:r>
          </w:p>
        </w:tc>
        <w:tc>
          <w:tcPr>
            <w:tcW w:w="1309" w:type="dxa"/>
            <w:vAlign w:val="center"/>
          </w:tcPr>
          <w:p w14:paraId="1C24B20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c>
          <w:tcPr>
            <w:tcW w:w="1309" w:type="dxa"/>
            <w:vAlign w:val="center"/>
          </w:tcPr>
          <w:p w14:paraId="59260C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1268" w:type="dxa"/>
            <w:vAlign w:val="center"/>
          </w:tcPr>
          <w:p w14:paraId="0389480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0.5</w:t>
            </w:r>
          </w:p>
        </w:tc>
        <w:tc>
          <w:tcPr>
            <w:tcW w:w="1726" w:type="dxa"/>
            <w:vMerge w:val="restart"/>
            <w:vAlign w:val="center"/>
          </w:tcPr>
          <w:p w14:paraId="173620CB">
            <w:pPr>
              <w:pStyle w:val="50"/>
              <w:jc w:val="center"/>
              <w:rPr>
                <w:rFonts w:hint="eastAsia" w:ascii="宋体" w:hAnsi="宋体" w:eastAsia="宋体" w:cs="宋体"/>
                <w:spacing w:val="0"/>
                <w:sz w:val="24"/>
                <w:szCs w:val="24"/>
                <w:highlight w:val="none"/>
                <w:lang w:val="en-US" w:eastAsia="zh-CN"/>
              </w:rPr>
            </w:pPr>
            <w:r>
              <w:rPr>
                <w:rFonts w:hint="eastAsia" w:cs="宋体"/>
                <w:sz w:val="24"/>
                <w:szCs w:val="24"/>
                <w:highlight w:val="none"/>
                <w:lang w:val="en-US" w:eastAsia="zh-CN"/>
              </w:rPr>
              <w:t>详见“采</w:t>
            </w:r>
            <w:bookmarkStart w:id="29" w:name="_GoBack"/>
            <w:bookmarkEnd w:id="29"/>
            <w:r>
              <w:rPr>
                <w:rFonts w:hint="eastAsia" w:cs="宋体"/>
                <w:sz w:val="24"/>
                <w:szCs w:val="24"/>
                <w:highlight w:val="none"/>
                <w:lang w:val="en-US" w:eastAsia="zh-CN"/>
              </w:rPr>
              <w:t>购需求”</w:t>
            </w:r>
          </w:p>
        </w:tc>
      </w:tr>
      <w:tr w14:paraId="64B8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6F5180EE">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4</w:t>
            </w:r>
          </w:p>
        </w:tc>
        <w:tc>
          <w:tcPr>
            <w:tcW w:w="877" w:type="dxa"/>
            <w:vAlign w:val="center"/>
          </w:tcPr>
          <w:p w14:paraId="5826491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4-1</w:t>
            </w:r>
          </w:p>
        </w:tc>
        <w:tc>
          <w:tcPr>
            <w:tcW w:w="1965" w:type="dxa"/>
            <w:vAlign w:val="center"/>
          </w:tcPr>
          <w:p w14:paraId="7B7B0089">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DSA高压注射器</w:t>
            </w:r>
          </w:p>
        </w:tc>
        <w:tc>
          <w:tcPr>
            <w:tcW w:w="1309" w:type="dxa"/>
            <w:vAlign w:val="center"/>
          </w:tcPr>
          <w:p w14:paraId="728A50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7CFD85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24.25</w:t>
            </w:r>
          </w:p>
        </w:tc>
        <w:tc>
          <w:tcPr>
            <w:tcW w:w="1268" w:type="dxa"/>
            <w:vAlign w:val="center"/>
          </w:tcPr>
          <w:p w14:paraId="20C53AB5">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24.25</w:t>
            </w:r>
          </w:p>
        </w:tc>
        <w:tc>
          <w:tcPr>
            <w:tcW w:w="1726" w:type="dxa"/>
            <w:vMerge w:val="continue"/>
            <w:vAlign w:val="center"/>
          </w:tcPr>
          <w:p w14:paraId="0BEB90E3">
            <w:pPr>
              <w:jc w:val="center"/>
              <w:rPr>
                <w:rFonts w:hint="eastAsia" w:ascii="宋体" w:hAnsi="宋体" w:eastAsia="宋体" w:cs="宋体"/>
                <w:spacing w:val="0"/>
                <w:sz w:val="24"/>
                <w:szCs w:val="24"/>
                <w:highlight w:val="none"/>
                <w:lang w:val="en-US" w:eastAsia="zh-CN"/>
              </w:rPr>
            </w:pPr>
          </w:p>
        </w:tc>
      </w:tr>
      <w:tr w14:paraId="27B4F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0D2B6F7D">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12</w:t>
            </w:r>
          </w:p>
        </w:tc>
        <w:tc>
          <w:tcPr>
            <w:tcW w:w="877" w:type="dxa"/>
            <w:vAlign w:val="center"/>
          </w:tcPr>
          <w:p w14:paraId="63DE936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12-1</w:t>
            </w:r>
          </w:p>
        </w:tc>
        <w:tc>
          <w:tcPr>
            <w:tcW w:w="1965" w:type="dxa"/>
            <w:vAlign w:val="center"/>
          </w:tcPr>
          <w:p w14:paraId="11893E8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高频电刀</w:t>
            </w:r>
          </w:p>
        </w:tc>
        <w:tc>
          <w:tcPr>
            <w:tcW w:w="1309" w:type="dxa"/>
            <w:vAlign w:val="center"/>
          </w:tcPr>
          <w:p w14:paraId="0AA22B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2A7D8E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6.85</w:t>
            </w:r>
          </w:p>
        </w:tc>
        <w:tc>
          <w:tcPr>
            <w:tcW w:w="1268" w:type="dxa"/>
            <w:vAlign w:val="center"/>
          </w:tcPr>
          <w:p w14:paraId="2843A3A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6.85</w:t>
            </w:r>
          </w:p>
        </w:tc>
        <w:tc>
          <w:tcPr>
            <w:tcW w:w="1726" w:type="dxa"/>
            <w:vMerge w:val="continue"/>
            <w:vAlign w:val="center"/>
          </w:tcPr>
          <w:p w14:paraId="469527D8">
            <w:pPr>
              <w:pStyle w:val="50"/>
              <w:jc w:val="center"/>
              <w:rPr>
                <w:rFonts w:hint="eastAsia" w:ascii="宋体" w:hAnsi="宋体" w:eastAsia="宋体" w:cs="宋体"/>
                <w:spacing w:val="0"/>
                <w:sz w:val="24"/>
                <w:szCs w:val="24"/>
                <w:highlight w:val="none"/>
                <w:lang w:val="en-US" w:eastAsia="zh-CN"/>
              </w:rPr>
            </w:pPr>
          </w:p>
        </w:tc>
      </w:tr>
      <w:tr w14:paraId="29C9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457FB8D0">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13</w:t>
            </w:r>
          </w:p>
        </w:tc>
        <w:tc>
          <w:tcPr>
            <w:tcW w:w="877" w:type="dxa"/>
            <w:vAlign w:val="center"/>
          </w:tcPr>
          <w:p w14:paraId="1FAFF1B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13-1</w:t>
            </w:r>
          </w:p>
        </w:tc>
        <w:tc>
          <w:tcPr>
            <w:tcW w:w="1965" w:type="dxa"/>
            <w:vAlign w:val="center"/>
          </w:tcPr>
          <w:p w14:paraId="755F7609">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全息腔内治疗仪</w:t>
            </w:r>
          </w:p>
        </w:tc>
        <w:tc>
          <w:tcPr>
            <w:tcW w:w="1309" w:type="dxa"/>
            <w:vAlign w:val="center"/>
          </w:tcPr>
          <w:p w14:paraId="428FA5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64F451D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26.7</w:t>
            </w:r>
          </w:p>
        </w:tc>
        <w:tc>
          <w:tcPr>
            <w:tcW w:w="1268" w:type="dxa"/>
            <w:vAlign w:val="center"/>
          </w:tcPr>
          <w:p w14:paraId="6BAF943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26.7</w:t>
            </w:r>
          </w:p>
        </w:tc>
        <w:tc>
          <w:tcPr>
            <w:tcW w:w="1726" w:type="dxa"/>
            <w:vMerge w:val="continue"/>
            <w:vAlign w:val="center"/>
          </w:tcPr>
          <w:p w14:paraId="5F26DC59">
            <w:pPr>
              <w:pStyle w:val="50"/>
              <w:jc w:val="center"/>
              <w:rPr>
                <w:rFonts w:hint="eastAsia" w:ascii="宋体" w:hAnsi="宋体" w:eastAsia="宋体" w:cs="宋体"/>
                <w:spacing w:val="0"/>
                <w:sz w:val="24"/>
                <w:szCs w:val="24"/>
                <w:highlight w:val="none"/>
                <w:lang w:val="en-US" w:eastAsia="zh-CN"/>
              </w:rPr>
            </w:pPr>
          </w:p>
        </w:tc>
      </w:tr>
    </w:tbl>
    <w:p w14:paraId="0A9BBB60">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pacing w:val="0"/>
          <w:w w:val="105"/>
          <w:sz w:val="24"/>
          <w:szCs w:val="24"/>
          <w:highlight w:val="none"/>
          <w:lang w:val="en-US" w:eastAsia="zh-CN"/>
        </w:rPr>
        <w:t>详见《采购需求》中各包技术要求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03"/>
      <w:bookmarkStart w:id="8" w:name="_Toc28359080"/>
      <w:bookmarkStart w:id="9" w:name="_Toc35393622"/>
      <w:bookmarkStart w:id="10" w:name="_Toc35393791"/>
      <w:r>
        <w:rPr>
          <w:rFonts w:hint="eastAsia" w:ascii="宋体" w:hAnsi="宋体" w:eastAsia="宋体" w:cs="宋体"/>
          <w:b w:val="0"/>
          <w:sz w:val="24"/>
          <w:szCs w:val="24"/>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2.落实政府采购政策需满足的资格要求：</w:t>
      </w:r>
    </w:p>
    <w:p w14:paraId="19014F57">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2.1中小企业政策</w:t>
      </w:r>
    </w:p>
    <w:p w14:paraId="5FDB1F74">
      <w:pPr>
        <w:pageBreakBefore w:val="0"/>
        <w:kinsoku/>
        <w:overflowPunct/>
        <w:bidi w:val="0"/>
        <w:spacing w:line="360" w:lineRule="auto"/>
        <w:ind w:left="559" w:leftChars="266"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■本项目不专门面向中小企业预留采购份额。</w:t>
      </w:r>
    </w:p>
    <w:p w14:paraId="17A4877D">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2.2其它落实政府采购政策的资格要求：无。</w:t>
      </w:r>
    </w:p>
    <w:p w14:paraId="5B61BB84">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623"/>
      <w:bookmarkStart w:id="14" w:name="_Toc35393792"/>
    </w:p>
    <w:p w14:paraId="29D6F6D6">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■否</w:t>
      </w:r>
    </w:p>
    <w:p w14:paraId="221F4F5B">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3.3其他特定资格要求：</w:t>
      </w:r>
      <w:r>
        <w:rPr>
          <w:rFonts w:hint="eastAsia" w:ascii="宋体" w:hAnsi="宋体" w:eastAsia="宋体" w:cs="宋体"/>
          <w:sz w:val="24"/>
          <w:szCs w:val="24"/>
          <w:lang w:eastAsia="zh-CN"/>
        </w:rPr>
        <w:t>投标产品属于医疗器械的，供应商如为代理商，应具有合法的医疗器械经营资格；供应商如为制造商，使用自身生产的产品投标时，应具有合法的医疗器械生产资格。</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794"/>
      <w:bookmarkStart w:id="20" w:name="_Toc28359084"/>
      <w:bookmarkStart w:id="21" w:name="_Toc28359007"/>
      <w:bookmarkStart w:id="22" w:name="_Toc35393625"/>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08"/>
      <w:bookmarkStart w:id="27" w:name="_Toc28359085"/>
      <w:bookmarkStart w:id="28" w:name="_Toc35393796"/>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称：首都医科大学附属北京妇产医院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址：北京市朝阳区姚家园路251号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联系方式：010-65910599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786794"/>
    <w:rsid w:val="0BA430E7"/>
    <w:rsid w:val="0C1D1568"/>
    <w:rsid w:val="0E0B286D"/>
    <w:rsid w:val="0E4C6701"/>
    <w:rsid w:val="0FE614C3"/>
    <w:rsid w:val="103E71C0"/>
    <w:rsid w:val="12A51AA6"/>
    <w:rsid w:val="130E27A5"/>
    <w:rsid w:val="13400495"/>
    <w:rsid w:val="134C1D1E"/>
    <w:rsid w:val="13EA45AA"/>
    <w:rsid w:val="13F86009"/>
    <w:rsid w:val="141D78B9"/>
    <w:rsid w:val="15065107"/>
    <w:rsid w:val="15735CFA"/>
    <w:rsid w:val="1573694A"/>
    <w:rsid w:val="158C674C"/>
    <w:rsid w:val="17CF0DE0"/>
    <w:rsid w:val="18335BC8"/>
    <w:rsid w:val="19F03C9C"/>
    <w:rsid w:val="1A3C3D20"/>
    <w:rsid w:val="1A9A5817"/>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1F55FE"/>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D0657A9"/>
    <w:rsid w:val="3D7344A5"/>
    <w:rsid w:val="3DA90D42"/>
    <w:rsid w:val="3DDF3943"/>
    <w:rsid w:val="3F302C3B"/>
    <w:rsid w:val="3F3630FE"/>
    <w:rsid w:val="3F640B0B"/>
    <w:rsid w:val="40331F2C"/>
    <w:rsid w:val="40E6314D"/>
    <w:rsid w:val="40FD2E2B"/>
    <w:rsid w:val="425D1A0B"/>
    <w:rsid w:val="43CA6B8D"/>
    <w:rsid w:val="440700DA"/>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471644"/>
    <w:rsid w:val="50B018E0"/>
    <w:rsid w:val="50C8175A"/>
    <w:rsid w:val="5186480E"/>
    <w:rsid w:val="52C23F57"/>
    <w:rsid w:val="52EF249C"/>
    <w:rsid w:val="530F2992"/>
    <w:rsid w:val="531E6325"/>
    <w:rsid w:val="53457C95"/>
    <w:rsid w:val="53A86942"/>
    <w:rsid w:val="53D23BDF"/>
    <w:rsid w:val="548D63DA"/>
    <w:rsid w:val="567B02F2"/>
    <w:rsid w:val="56C00491"/>
    <w:rsid w:val="5814071D"/>
    <w:rsid w:val="59413C36"/>
    <w:rsid w:val="594828CF"/>
    <w:rsid w:val="5A59165A"/>
    <w:rsid w:val="5B4857A8"/>
    <w:rsid w:val="5BC0634E"/>
    <w:rsid w:val="5C69757C"/>
    <w:rsid w:val="5CC179A9"/>
    <w:rsid w:val="5D5B3753"/>
    <w:rsid w:val="5DBE13B2"/>
    <w:rsid w:val="5E127261"/>
    <w:rsid w:val="5F100B70"/>
    <w:rsid w:val="5F1617EB"/>
    <w:rsid w:val="609E2FA1"/>
    <w:rsid w:val="62AC0550"/>
    <w:rsid w:val="62B40FD5"/>
    <w:rsid w:val="62CA27A3"/>
    <w:rsid w:val="63064B86"/>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AEA338E"/>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2376</Words>
  <Characters>2761</Characters>
  <Lines>18</Lines>
  <Paragraphs>5</Paragraphs>
  <TotalTime>2</TotalTime>
  <ScaleCrop>false</ScaleCrop>
  <LinksUpToDate>false</LinksUpToDate>
  <CharactersWithSpaces>2827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2026-02-02T02:53:27Z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74BA95B50C21478CB262F0C99698CE7D_13</vt:lpwstr>
  </property>
  <property fmtid="{D5CDD505-2E9C-101B-9397-08002B2CF9AE}" pid="4" name="KSOTemplateDocerSaveRecord">
    <vt:lpwstr>eyJoZGlkIjoiNTU3MWFmY2JmYjBmNTA2M2Q0ZWY5MzgxYzE5YjliMzUiLCJ1c2VySWQiOiI4NDYxOTIwMTUifQ==</vt:lpwstr>
  </property>
</Properties>
</file>