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北京安定医院SomaScan蛋白组学服务项目公开招标公告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val="en-US" w:eastAsia="zh-CN"/>
        </w:rPr>
        <w:t>北京安定医院SomaScan蛋白组学服务项目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招标编号：0686-2611BC064307Z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采购人电话：010-58303014</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73F674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合同履行期限：自合同签订后1年内（以最终签订合同为准）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896万元</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采购需求：我院拟采购SomaScan蛋白组学测试服务，用于脑计划多中心大样本队列生物标记物筛选和建模，为后续靶向检测及临床试剂盒转化奠定基础。</w:t>
      </w:r>
      <w:bookmarkStart w:id="2" w:name="_GoBack"/>
      <w:bookmarkEnd w:id="2"/>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4B34A4B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3ADBD818">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81"/>
      <w:bookmarkStart w:id="1" w:name="_Toc28359004"/>
      <w:r>
        <w:rPr>
          <w:rFonts w:hint="eastAsia" w:asciiTheme="minorEastAsia" w:hAnsiTheme="minorEastAsia" w:eastAsiaTheme="minorEastAsia"/>
          <w:szCs w:val="21"/>
        </w:rPr>
        <w:t>2.落实政府采购政策需满足的资格要求：</w:t>
      </w:r>
    </w:p>
    <w:p w14:paraId="7432C49C">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56D062E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■本项目不专门面向中小企业预留采购份额。</w:t>
      </w:r>
    </w:p>
    <w:p w14:paraId="0BCDB19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38782360">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077788C3">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256E649A">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0DCB3D2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3.1本项目是否属于政府购买服务：■否</w:t>
      </w:r>
    </w:p>
    <w:p w14:paraId="07916AE6">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3.2其他特定资格要求：/</w:t>
      </w:r>
      <w:bookmarkEnd w:id="0"/>
      <w:bookmarkEnd w:id="1"/>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纸质投标文件递交时间：2026年4月9日08时30分至2026年4月9日09时00分（北京时间）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开标时间：2026年4月9日9时00分（北京时间）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19</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C4D2080"/>
    <w:rsid w:val="5D355D88"/>
    <w:rsid w:val="6056380A"/>
    <w:rsid w:val="6074092F"/>
    <w:rsid w:val="6212406C"/>
    <w:rsid w:val="62481652"/>
    <w:rsid w:val="63807067"/>
    <w:rsid w:val="647F29CF"/>
    <w:rsid w:val="649657C3"/>
    <w:rsid w:val="66A0423F"/>
    <w:rsid w:val="679101FE"/>
    <w:rsid w:val="68D23AEE"/>
    <w:rsid w:val="69197868"/>
    <w:rsid w:val="691E480E"/>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2332</Words>
  <Characters>2687</Characters>
  <Lines>15</Lines>
  <Paragraphs>4</Paragraphs>
  <TotalTime>0</TotalTime>
  <ScaleCrop>false</ScaleCrop>
  <LinksUpToDate>false</LinksUpToDate>
  <CharactersWithSpaces>2706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2026-03-19T02:14:40Z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