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rFonts w:hint="eastAsia"/>
          <w:b/>
          <w:sz w:val="36"/>
          <w:szCs w:val="36"/>
        </w:rPr>
        <w:t>北京市公共资源交易（综合）分平台信息化建设技术运维服务项目（2026年度）</w:t>
      </w:r>
      <w:r>
        <w:rPr>
          <w:b/>
          <w:sz w:val="36"/>
          <w:szCs w:val="36"/>
        </w:rPr>
        <w:t>采购需求</w:t>
      </w:r>
    </w:p>
    <w:p>
      <w:pPr>
        <w:pStyle w:val="6"/>
        <w:numPr>
          <w:ilvl w:val="0"/>
          <w:numId w:val="1"/>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采购标的</w:t>
      </w:r>
    </w:p>
    <w:p>
      <w:pPr>
        <w:numPr>
          <w:ilvl w:val="0"/>
          <w:numId w:val="2"/>
        </w:numPr>
        <w:spacing w:line="360" w:lineRule="auto"/>
        <w:contextualSpacing/>
        <w:rPr>
          <w:bCs/>
          <w:sz w:val="24"/>
        </w:rPr>
      </w:pPr>
      <w:r>
        <w:rPr>
          <w:bCs/>
          <w:sz w:val="24"/>
        </w:rPr>
        <w:t>采购标的</w:t>
      </w:r>
    </w:p>
    <w:p>
      <w:pPr>
        <w:pStyle w:val="3"/>
        <w:spacing w:line="360" w:lineRule="auto"/>
        <w:ind w:firstLine="480" w:firstLineChars="200"/>
        <w:jc w:val="both"/>
        <w:rPr>
          <w:rFonts w:ascii="Times New Roman"/>
        </w:rPr>
      </w:pPr>
      <w:r>
        <w:rPr>
          <w:rFonts w:hint="eastAsia" w:ascii="Times New Roman"/>
        </w:rPr>
        <w:t>北京市公共资源交易（综合）分平台信息化建设技术运维服务（202</w:t>
      </w:r>
      <w:r>
        <w:rPr>
          <w:rFonts w:ascii="Times New Roman"/>
        </w:rPr>
        <w:t>6</w:t>
      </w:r>
      <w:r>
        <w:rPr>
          <w:rFonts w:hint="eastAsia" w:ascii="Times New Roman"/>
        </w:rPr>
        <w:t>年度）</w:t>
      </w:r>
    </w:p>
    <w:p>
      <w:pPr>
        <w:numPr>
          <w:ilvl w:val="0"/>
          <w:numId w:val="3"/>
        </w:numPr>
        <w:spacing w:line="360" w:lineRule="auto"/>
        <w:contextualSpacing/>
        <w:rPr>
          <w:bCs/>
          <w:sz w:val="24"/>
        </w:rPr>
      </w:pPr>
      <w:r>
        <w:rPr>
          <w:bCs/>
          <w:sz w:val="24"/>
        </w:rPr>
        <w:t>项目背景</w:t>
      </w:r>
    </w:p>
    <w:p>
      <w:pPr>
        <w:pStyle w:val="3"/>
        <w:spacing w:line="360" w:lineRule="auto"/>
        <w:ind w:firstLine="480" w:firstLineChars="200"/>
        <w:jc w:val="both"/>
        <w:rPr>
          <w:rFonts w:ascii="Times New Roman"/>
        </w:rPr>
      </w:pPr>
      <w:r>
        <w:rPr>
          <w:rFonts w:ascii="Times New Roman"/>
        </w:rPr>
        <w:t>为了贯彻落实</w:t>
      </w:r>
      <w:r>
        <w:rPr>
          <w:rFonts w:hint="eastAsia" w:ascii="Times New Roman"/>
        </w:rPr>
        <w:t>关于《国务院办公厅关于印发〈整合建立</w:t>
      </w:r>
      <w:bookmarkStart w:id="0" w:name="_GoBack"/>
      <w:bookmarkEnd w:id="0"/>
      <w:r>
        <w:rPr>
          <w:rFonts w:hint="eastAsia" w:ascii="Times New Roman"/>
        </w:rPr>
        <w:t>统一的公共资源交易平台工作方案〉的通知》（国办发〔2015〕63 号）</w:t>
      </w:r>
      <w:r>
        <w:rPr>
          <w:rFonts w:ascii="Times New Roman"/>
        </w:rPr>
        <w:t>、《北京市人民政府办公厅关于印发&lt;北京市整合建立统一规范的公共资源交易平台实施方案&gt;的通知》（京政办发〔2016〕9号）和《北京市发展和改革委员会关于切实用好全国公共资源交易平台有关事项的通知》（京发改〔2017〕1018号）的相关要求，北京市经济信息中心根据《北京市发展和改革委员会关于北京市公共资源交易（综合）分平台信息化建设项目建议书（代可行性研究报告）的批复》（京发改（审）〔2018〕610号），完成北京市公共资源交易（综合）分平台信息化建设项目的建设工作。</w:t>
      </w:r>
    </w:p>
    <w:p>
      <w:pPr>
        <w:pStyle w:val="3"/>
        <w:spacing w:line="360" w:lineRule="auto"/>
        <w:ind w:firstLine="480" w:firstLineChars="200"/>
        <w:jc w:val="both"/>
        <w:rPr>
          <w:rFonts w:ascii="Times New Roman"/>
        </w:rPr>
      </w:pPr>
      <w:r>
        <w:rPr>
          <w:rFonts w:hint="eastAsia" w:ascii="Times New Roman"/>
        </w:rPr>
        <w:t>2021年12月30日，北京市公共资源交易中心（以下简称交易中心）正式成立。依据《中共北京市委机构编制委员会关于印发〈北京市公共资源交易中心机构职能编制规定〉的通知》（京编委发〔2021〕19号），交易中心承担承担本市统一的公共资源交易平台整合建设、规范运行和服务管理相关工作，负责本市统一的公共资源交易电子平台整合建设、运行管理相关工作。</w:t>
      </w:r>
    </w:p>
    <w:p>
      <w:pPr>
        <w:pStyle w:val="3"/>
        <w:spacing w:line="360" w:lineRule="auto"/>
        <w:ind w:firstLine="480" w:firstLineChars="200"/>
        <w:jc w:val="both"/>
        <w:rPr>
          <w:rFonts w:ascii="Times New Roman"/>
          <w:b/>
        </w:rPr>
      </w:pPr>
      <w:r>
        <w:rPr>
          <w:rFonts w:hint="eastAsia" w:ascii="Times New Roman"/>
        </w:rPr>
        <w:t>为保障北京市公共资源交易（综合）分平台信息化项目在免费质保期到期后的安全可靠运行，交易中心需要委托第三方服务团队，在交易中心的管理下专门负责项目信息化运维工作</w:t>
      </w:r>
      <w:r>
        <w:rPr>
          <w:rFonts w:ascii="Times New Roman"/>
        </w:rPr>
        <w:t>。</w:t>
      </w:r>
    </w:p>
    <w:p>
      <w:pPr>
        <w:pStyle w:val="6"/>
        <w:numPr>
          <w:ilvl w:val="0"/>
          <w:numId w:val="1"/>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商务要求</w:t>
      </w:r>
    </w:p>
    <w:p>
      <w:pPr>
        <w:numPr>
          <w:ilvl w:val="0"/>
          <w:numId w:val="4"/>
        </w:numPr>
        <w:spacing w:line="360" w:lineRule="auto"/>
        <w:ind w:firstLine="480" w:firstLineChars="200"/>
        <w:contextualSpacing/>
        <w:outlineLvl w:val="2"/>
      </w:pPr>
      <w:r>
        <w:rPr>
          <w:rFonts w:hint="eastAsia"/>
          <w:sz w:val="24"/>
        </w:rPr>
        <w:t>交付（实施）的时间（期限）和地点（范围）</w:t>
      </w:r>
    </w:p>
    <w:p>
      <w:pPr>
        <w:pStyle w:val="3"/>
        <w:rPr>
          <w:rFonts w:hint="eastAsia"/>
        </w:rPr>
      </w:pPr>
      <w:r>
        <w:rPr>
          <w:rFonts w:hint="eastAsia"/>
        </w:rPr>
        <w:t>服务期限：</w:t>
      </w:r>
      <w:r>
        <w:rPr>
          <w:rFonts w:hint="eastAsia" w:hAnsi="宋体"/>
        </w:rPr>
        <w:t>在2026年5月1日至2027年4月30日</w:t>
      </w:r>
    </w:p>
    <w:p>
      <w:pPr>
        <w:pStyle w:val="6"/>
        <w:spacing w:line="360" w:lineRule="auto"/>
        <w:ind w:firstLine="566" w:firstLineChars="236"/>
        <w:rPr>
          <w:rFonts w:ascii="宋体" w:hAnsi="宋体"/>
          <w:sz w:val="24"/>
          <w:szCs w:val="24"/>
        </w:rPr>
      </w:pPr>
      <w:r>
        <w:rPr>
          <w:rFonts w:hint="eastAsia" w:ascii="宋体" w:hAnsi="宋体"/>
          <w:sz w:val="24"/>
          <w:szCs w:val="24"/>
        </w:rPr>
        <w:t>对项目所涉及的开评标服务局域网、网络安全管理设备、服务器、操作系统、数据库、中间件、应用软件系统、信息化设备设施的日常巡检、基础维护、功能维护、应急处置，需要委托第三方服务团队，专门负责运行维护工作，保障北京市公共资源交易（综合）分平台在2026年5月1日至2027年4月30日期间的安全可靠运行。</w:t>
      </w:r>
    </w:p>
    <w:p>
      <w:pPr>
        <w:spacing w:line="360" w:lineRule="auto"/>
        <w:ind w:firstLine="480" w:firstLineChars="200"/>
        <w:contextualSpacing/>
        <w:outlineLvl w:val="2"/>
        <w:rPr>
          <w:sz w:val="24"/>
        </w:rPr>
      </w:pPr>
      <w:r>
        <w:rPr>
          <w:sz w:val="24"/>
        </w:rPr>
        <w:t xml:space="preserve">2. </w:t>
      </w:r>
      <w:r>
        <w:rPr>
          <w:rFonts w:hint="eastAsia"/>
          <w:sz w:val="24"/>
        </w:rPr>
        <w:t>付款条件（进度和方式）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（1）本合同签署生效且财政资金拨付到位后，于202</w:t>
      </w:r>
      <w:r>
        <w:rPr>
          <w:rFonts w:ascii="宋体" w:hAnsi="宋体" w:cs="宋体"/>
          <w:sz w:val="24"/>
        </w:rPr>
        <w:t>6</w:t>
      </w:r>
      <w:r>
        <w:rPr>
          <w:rFonts w:hint="eastAsia" w:ascii="宋体" w:hAnsi="宋体" w:cs="宋体"/>
          <w:sz w:val="24"/>
        </w:rPr>
        <w:t>年</w:t>
      </w:r>
      <w:r>
        <w:rPr>
          <w:rFonts w:ascii="宋体" w:hAnsi="宋体" w:cs="宋体"/>
          <w:sz w:val="24"/>
        </w:rPr>
        <w:t>6</w:t>
      </w:r>
      <w:r>
        <w:rPr>
          <w:rFonts w:hint="eastAsia" w:ascii="宋体" w:hAnsi="宋体" w:cs="宋体"/>
          <w:sz w:val="24"/>
        </w:rPr>
        <w:t>月3</w:t>
      </w:r>
      <w:r>
        <w:rPr>
          <w:rFonts w:ascii="宋体" w:hAnsi="宋体" w:cs="宋体"/>
          <w:sz w:val="24"/>
        </w:rPr>
        <w:t>0</w:t>
      </w:r>
      <w:r>
        <w:rPr>
          <w:rFonts w:hint="eastAsia" w:ascii="宋体" w:hAnsi="宋体" w:cs="宋体"/>
          <w:sz w:val="24"/>
        </w:rPr>
        <w:t xml:space="preserve">日前，采购人向中标人支付本合同首款，为合同总价格的50%，计人民币（大写）：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（2）中标人按合同要求完成相应工作并经采购人阶段性验收通过后，于202</w:t>
      </w:r>
      <w:r>
        <w:rPr>
          <w:rFonts w:ascii="宋体" w:hAnsi="宋体" w:cs="宋体"/>
          <w:sz w:val="24"/>
        </w:rPr>
        <w:t>6</w:t>
      </w:r>
      <w:r>
        <w:rPr>
          <w:rFonts w:hint="eastAsia" w:ascii="宋体" w:hAnsi="宋体" w:cs="宋体"/>
          <w:sz w:val="24"/>
        </w:rPr>
        <w:t>年1</w:t>
      </w:r>
      <w:r>
        <w:rPr>
          <w:rFonts w:ascii="宋体" w:hAnsi="宋体" w:cs="宋体"/>
          <w:sz w:val="24"/>
        </w:rPr>
        <w:t>2</w:t>
      </w:r>
      <w:r>
        <w:rPr>
          <w:rFonts w:hint="eastAsia" w:ascii="宋体" w:hAnsi="宋体" w:cs="宋体"/>
          <w:sz w:val="24"/>
        </w:rPr>
        <w:t>月30日前，采购人向乙方支付本合同中期款，为合同总价格的</w:t>
      </w:r>
      <w:r>
        <w:rPr>
          <w:rFonts w:ascii="宋体" w:hAnsi="宋体" w:cs="宋体"/>
          <w:sz w:val="24"/>
        </w:rPr>
        <w:t>16.67</w:t>
      </w:r>
      <w:r>
        <w:rPr>
          <w:rFonts w:hint="eastAsia" w:ascii="宋体" w:hAnsi="宋体" w:cs="宋体"/>
          <w:sz w:val="24"/>
        </w:rPr>
        <w:t>%，计人民币（大写）：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元</w:t>
      </w:r>
      <w:r>
        <w:rPr>
          <w:rFonts w:hint="eastAsia" w:ascii="宋体" w:hAnsi="宋体" w:cs="宋体"/>
          <w:sz w:val="24"/>
        </w:rPr>
        <w:t>（￥</w:t>
      </w:r>
      <w:r>
        <w:rPr>
          <w:rFonts w:ascii="宋体" w:hAnsi="宋体" w:cs="宋体"/>
          <w:sz w:val="24"/>
          <w:u w:val="single"/>
        </w:rPr>
        <w:t xml:space="preserve">    </w:t>
      </w:r>
      <w:r>
        <w:rPr>
          <w:rFonts w:hint="eastAsia" w:ascii="宋体" w:hAnsi="宋体" w:cs="宋体"/>
          <w:sz w:val="24"/>
        </w:rPr>
        <w:t>元）；</w:t>
      </w:r>
    </w:p>
    <w:p>
      <w:pPr>
        <w:spacing w:line="360" w:lineRule="auto"/>
        <w:ind w:firstLine="480" w:firstLineChars="200"/>
        <w:contextualSpacing/>
        <w:outlineLvl w:val="2"/>
        <w:rPr>
          <w:sz w:val="24"/>
        </w:rPr>
      </w:pPr>
      <w:r>
        <w:rPr>
          <w:rFonts w:hint="eastAsia" w:ascii="宋体" w:hAnsi="宋体" w:cs="宋体"/>
          <w:sz w:val="24"/>
        </w:rPr>
        <w:t>（3）中标人按合同要求完成全部工作并经采购人验收通过，且202</w:t>
      </w:r>
      <w:r>
        <w:rPr>
          <w:rFonts w:ascii="宋体" w:hAnsi="宋体" w:cs="宋体"/>
          <w:sz w:val="24"/>
        </w:rPr>
        <w:t>7</w:t>
      </w:r>
      <w:r>
        <w:rPr>
          <w:rFonts w:hint="eastAsia" w:ascii="宋体" w:hAnsi="宋体" w:cs="宋体"/>
          <w:sz w:val="24"/>
        </w:rPr>
        <w:t>年财政资金拨付到位后，于202</w:t>
      </w:r>
      <w:r>
        <w:rPr>
          <w:rFonts w:ascii="宋体" w:hAnsi="宋体" w:cs="宋体"/>
          <w:sz w:val="24"/>
        </w:rPr>
        <w:t>7</w:t>
      </w:r>
      <w:r>
        <w:rPr>
          <w:rFonts w:hint="eastAsia" w:ascii="宋体" w:hAnsi="宋体" w:cs="宋体"/>
          <w:sz w:val="24"/>
        </w:rPr>
        <w:t>年</w:t>
      </w:r>
      <w:r>
        <w:rPr>
          <w:rFonts w:ascii="宋体" w:hAnsi="宋体" w:cs="宋体"/>
          <w:sz w:val="24"/>
        </w:rPr>
        <w:t>6</w:t>
      </w:r>
      <w:r>
        <w:rPr>
          <w:rFonts w:hint="eastAsia" w:ascii="宋体" w:hAnsi="宋体" w:cs="宋体"/>
          <w:sz w:val="24"/>
        </w:rPr>
        <w:t>月3</w:t>
      </w:r>
      <w:r>
        <w:rPr>
          <w:rFonts w:ascii="宋体" w:hAnsi="宋体" w:cs="宋体"/>
          <w:sz w:val="24"/>
        </w:rPr>
        <w:t>0</w:t>
      </w:r>
      <w:r>
        <w:rPr>
          <w:rFonts w:hint="eastAsia" w:ascii="宋体" w:hAnsi="宋体" w:cs="宋体"/>
          <w:sz w:val="24"/>
        </w:rPr>
        <w:t>日前，采购人向乙方支付本合同尾款，本合同总价格的</w:t>
      </w:r>
      <w:r>
        <w:rPr>
          <w:rFonts w:ascii="宋体" w:hAnsi="宋体" w:cs="宋体"/>
          <w:sz w:val="24"/>
        </w:rPr>
        <w:t>33.33</w:t>
      </w:r>
      <w:r>
        <w:rPr>
          <w:rFonts w:hint="eastAsia" w:ascii="宋体" w:hAnsi="宋体" w:cs="宋体"/>
          <w:sz w:val="24"/>
        </w:rPr>
        <w:t xml:space="preserve">%，计人民币（大写）： </w:t>
      </w:r>
      <w:r>
        <w:rPr>
          <w:rFonts w:ascii="宋体" w:hAnsi="宋体" w:cs="宋体"/>
          <w:sz w:val="24"/>
        </w:rPr>
        <w:t xml:space="preserve">  </w:t>
      </w:r>
      <w:r>
        <w:rPr>
          <w:rFonts w:hint="eastAsia" w:ascii="宋体" w:hAnsi="宋体" w:cs="宋体"/>
          <w:sz w:val="24"/>
          <w:u w:val="single"/>
        </w:rPr>
        <w:t xml:space="preserve"> 元</w:t>
      </w:r>
      <w:r>
        <w:rPr>
          <w:rFonts w:hint="eastAsia" w:ascii="宋体" w:hAnsi="宋体" w:cs="宋体"/>
          <w:sz w:val="24"/>
        </w:rPr>
        <w:t>（￥</w:t>
      </w:r>
      <w:r>
        <w:rPr>
          <w:rFonts w:ascii="宋体" w:hAnsi="宋体" w:cs="宋体"/>
          <w:sz w:val="24"/>
          <w:u w:val="single"/>
        </w:rPr>
        <w:t xml:space="preserve">    </w:t>
      </w:r>
      <w:r>
        <w:rPr>
          <w:rFonts w:hint="eastAsia" w:ascii="宋体" w:hAnsi="宋体" w:cs="宋体"/>
          <w:sz w:val="24"/>
        </w:rPr>
        <w:t>元）。</w:t>
      </w:r>
      <w:r>
        <w:rPr>
          <w:sz w:val="24"/>
        </w:rPr>
        <w:t>3.</w:t>
      </w:r>
      <w:r>
        <w:rPr>
          <w:rFonts w:hint="eastAsia"/>
          <w:sz w:val="24"/>
        </w:rPr>
        <w:t>类似业绩</w:t>
      </w:r>
    </w:p>
    <w:p>
      <w:pPr>
        <w:pStyle w:val="6"/>
        <w:spacing w:line="360" w:lineRule="auto"/>
        <w:ind w:firstLine="566" w:firstLineChars="236"/>
        <w:rPr>
          <w:rFonts w:ascii="宋体" w:hAnsi="宋体"/>
          <w:sz w:val="24"/>
          <w:szCs w:val="24"/>
        </w:rPr>
      </w:pPr>
      <w:r>
        <w:rPr>
          <w:rFonts w:hint="eastAsia" w:ascii="宋体" w:hAnsi="宋体"/>
          <w:sz w:val="24"/>
          <w:szCs w:val="24"/>
        </w:rPr>
        <w:t>投标人近3年内（2023年4月1日至投标文件递交截止时间，以合同签订日期为准）承担过类似业绩，并提供上述业绩证明（提供合同复印件加盖投标人单位公章，合同复印件至少包含合同双方信息、项目名称、签署时间及合同盖章页。）</w:t>
      </w:r>
    </w:p>
    <w:p>
      <w:pPr>
        <w:spacing w:line="360" w:lineRule="auto"/>
        <w:ind w:firstLine="480" w:firstLineChars="200"/>
        <w:contextualSpacing/>
        <w:outlineLvl w:val="2"/>
        <w:rPr>
          <w:sz w:val="24"/>
        </w:rPr>
      </w:pPr>
      <w:r>
        <w:rPr>
          <w:sz w:val="24"/>
        </w:rPr>
        <w:t>4.资质能力要求</w:t>
      </w:r>
    </w:p>
    <w:p>
      <w:pPr>
        <w:pStyle w:val="6"/>
        <w:spacing w:line="360" w:lineRule="auto"/>
        <w:ind w:firstLine="566" w:firstLineChars="236"/>
        <w:rPr>
          <w:rFonts w:ascii="Times New Roman" w:hAnsi="Times New Roman"/>
          <w:sz w:val="24"/>
          <w:szCs w:val="24"/>
        </w:rPr>
      </w:pPr>
      <w:r>
        <w:rPr>
          <w:rFonts w:ascii="Times New Roman" w:hAnsi="Times New Roman"/>
          <w:sz w:val="24"/>
          <w:szCs w:val="24"/>
        </w:rPr>
        <w:t>投标人具有有效的质量管理体系认证证书、信息安全管理体系认证证书、信息技术服务管理体系认证证书。</w:t>
      </w:r>
    </w:p>
    <w:p>
      <w:pPr>
        <w:pStyle w:val="6"/>
        <w:spacing w:line="360" w:lineRule="auto"/>
        <w:ind w:firstLine="566" w:firstLineChars="236"/>
        <w:rPr>
          <w:rFonts w:hint="eastAsia" w:ascii="宋体" w:hAnsi="宋体"/>
          <w:sz w:val="24"/>
          <w:szCs w:val="24"/>
        </w:rPr>
      </w:pPr>
      <w:r>
        <w:rPr>
          <w:rFonts w:hint="eastAsia" w:ascii="宋体" w:hAnsi="宋体" w:cs="宋体"/>
          <w:color w:val="000000"/>
          <w:sz w:val="24"/>
        </w:rPr>
        <w:t>注：须提供证书及一年内监督审核证明复印件或扫描件(新办证书不用提供年度监督审核证明)或提供全国认证认可公共服务平台查询结果为“有效”信息（提供截图），否则不得分。</w:t>
      </w:r>
    </w:p>
    <w:p>
      <w:pPr>
        <w:spacing w:line="360" w:lineRule="auto"/>
        <w:ind w:firstLine="480" w:firstLineChars="200"/>
        <w:contextualSpacing/>
        <w:outlineLvl w:val="2"/>
        <w:rPr>
          <w:sz w:val="24"/>
        </w:rPr>
      </w:pPr>
      <w:r>
        <w:rPr>
          <w:sz w:val="24"/>
        </w:rPr>
        <w:t>5.</w:t>
      </w:r>
      <w:r>
        <w:rPr>
          <w:rFonts w:hint="eastAsia"/>
          <w:sz w:val="24"/>
        </w:rPr>
        <w:t>人员要求</w:t>
      </w:r>
    </w:p>
    <w:p>
      <w:pPr>
        <w:pStyle w:val="6"/>
        <w:spacing w:line="360" w:lineRule="auto"/>
        <w:ind w:firstLine="566" w:firstLineChars="236"/>
        <w:rPr>
          <w:rFonts w:ascii="宋体" w:hAnsi="宋体"/>
          <w:sz w:val="24"/>
          <w:szCs w:val="24"/>
        </w:rPr>
      </w:pPr>
      <w:r>
        <w:rPr>
          <w:rFonts w:hint="eastAsia" w:ascii="宋体" w:hAnsi="宋体"/>
          <w:sz w:val="24"/>
          <w:szCs w:val="24"/>
        </w:rPr>
        <w:t>本项目由市公共资源交易中心主导组建运维团队，统一组织协调系统运行中的日常事务，牵头制订系统运维的各项规章制度。</w:t>
      </w:r>
    </w:p>
    <w:p>
      <w:pPr>
        <w:pStyle w:val="6"/>
        <w:spacing w:line="360" w:lineRule="auto"/>
        <w:ind w:firstLine="566" w:firstLineChars="236"/>
        <w:rPr>
          <w:rFonts w:ascii="宋体" w:hAnsi="宋体"/>
          <w:sz w:val="24"/>
          <w:szCs w:val="24"/>
        </w:rPr>
      </w:pPr>
      <w:r>
        <w:rPr>
          <w:rFonts w:hint="eastAsia" w:ascii="宋体" w:hAnsi="宋体"/>
          <w:sz w:val="24"/>
          <w:szCs w:val="24"/>
        </w:rPr>
        <w:t>运维团队按照各项规章制度执行运维工作，负责运维管理工作，开展日常巡检和维护、功能更新和应急处置工作，做好重点时期保障工作。</w:t>
      </w:r>
    </w:p>
    <w:p>
      <w:pPr>
        <w:pStyle w:val="6"/>
        <w:spacing w:line="360" w:lineRule="auto"/>
        <w:ind w:firstLine="566" w:firstLineChars="236"/>
        <w:rPr>
          <w:rFonts w:ascii="宋体" w:hAnsi="宋体"/>
          <w:sz w:val="24"/>
          <w:szCs w:val="24"/>
        </w:rPr>
      </w:pPr>
      <w:r>
        <w:rPr>
          <w:rFonts w:hint="eastAsia" w:ascii="宋体" w:hAnsi="宋体"/>
          <w:sz w:val="24"/>
          <w:szCs w:val="24"/>
        </w:rPr>
        <w:t>运行维护组织机构根据工作内容的不同分为：运维管理组、巡检服务及基础维护组、维护开发及应急支持组。</w:t>
      </w:r>
    </w:p>
    <w:p>
      <w:pPr>
        <w:pStyle w:val="6"/>
        <w:spacing w:line="360" w:lineRule="auto"/>
        <w:ind w:firstLine="566" w:firstLineChars="236"/>
        <w:rPr>
          <w:rFonts w:ascii="宋体" w:hAnsi="宋体"/>
          <w:sz w:val="24"/>
          <w:szCs w:val="24"/>
        </w:rPr>
      </w:pPr>
      <w:r>
        <w:rPr>
          <w:rFonts w:hint="eastAsia" w:ascii="宋体" w:hAnsi="宋体"/>
          <w:sz w:val="24"/>
          <w:szCs w:val="24"/>
        </w:rPr>
        <w:t>本运维项目中涉及运维项目经理、运维工程师、技术支持工程师、开发工程师、测试工程师等各类角色，不同角色可能是由不同人担当，也可能多个角色由同一人担当。</w:t>
      </w:r>
    </w:p>
    <w:p>
      <w:pPr>
        <w:pStyle w:val="6"/>
        <w:spacing w:line="360" w:lineRule="auto"/>
        <w:ind w:firstLine="566" w:firstLineChars="236"/>
        <w:rPr>
          <w:rFonts w:ascii="宋体" w:hAnsi="宋体"/>
          <w:sz w:val="24"/>
          <w:szCs w:val="24"/>
        </w:rPr>
      </w:pPr>
      <w:r>
        <w:rPr>
          <w:rFonts w:hint="eastAsia" w:ascii="宋体" w:hAnsi="宋体"/>
          <w:sz w:val="24"/>
          <w:szCs w:val="24"/>
        </w:rPr>
        <w:t>根据本项目实际需求，采用驻场技术服务和后台技术支持服务团队结合的方式，需要至少安排2名驻场服务人员。</w:t>
      </w:r>
    </w:p>
    <w:p>
      <w:pPr>
        <w:pStyle w:val="6"/>
        <w:spacing w:line="360" w:lineRule="auto"/>
        <w:ind w:firstLine="566" w:firstLineChars="236"/>
        <w:rPr>
          <w:rFonts w:ascii="宋体" w:hAnsi="宋体"/>
          <w:sz w:val="24"/>
          <w:szCs w:val="24"/>
        </w:rPr>
      </w:pPr>
      <w:r>
        <w:rPr>
          <w:rFonts w:hint="eastAsia" w:ascii="宋体" w:hAnsi="宋体"/>
          <w:sz w:val="24"/>
          <w:szCs w:val="24"/>
        </w:rPr>
        <w:t>项目团队需明确项目经理、技术负责人，其中：</w:t>
      </w:r>
    </w:p>
    <w:p>
      <w:pPr>
        <w:pStyle w:val="6"/>
        <w:spacing w:line="360" w:lineRule="auto"/>
        <w:ind w:firstLine="566" w:firstLineChars="236"/>
        <w:rPr>
          <w:rFonts w:ascii="宋体" w:hAnsi="宋体"/>
          <w:sz w:val="24"/>
          <w:szCs w:val="24"/>
        </w:rPr>
      </w:pPr>
      <w:r>
        <w:rPr>
          <w:rFonts w:hint="eastAsia" w:ascii="宋体" w:hAnsi="宋体"/>
          <w:sz w:val="24"/>
          <w:szCs w:val="24"/>
        </w:rPr>
        <w:t>（1）项目经理需具备信息系统项目管理师证书；</w:t>
      </w:r>
    </w:p>
    <w:p>
      <w:pPr>
        <w:pStyle w:val="6"/>
        <w:spacing w:line="360" w:lineRule="auto"/>
        <w:ind w:firstLine="566" w:firstLineChars="236"/>
        <w:rPr>
          <w:rFonts w:ascii="宋体" w:hAnsi="宋体"/>
          <w:sz w:val="24"/>
          <w:szCs w:val="24"/>
        </w:rPr>
      </w:pPr>
      <w:r>
        <w:rPr>
          <w:rFonts w:hint="eastAsia" w:ascii="宋体" w:hAnsi="宋体"/>
          <w:sz w:val="24"/>
          <w:szCs w:val="24"/>
        </w:rPr>
        <w:t>（2）技术负责人需同时具备系统分析师证书、系统架构设计师证书；</w:t>
      </w:r>
    </w:p>
    <w:p>
      <w:pPr>
        <w:pStyle w:val="6"/>
        <w:spacing w:line="360" w:lineRule="auto"/>
        <w:ind w:firstLine="566" w:firstLineChars="236"/>
        <w:rPr>
          <w:rFonts w:hint="eastAsia" w:ascii="宋体" w:hAnsi="宋体"/>
          <w:sz w:val="24"/>
          <w:szCs w:val="24"/>
        </w:rPr>
      </w:pPr>
      <w:r>
        <w:rPr>
          <w:rFonts w:hint="eastAsia" w:ascii="宋体" w:hAnsi="宋体"/>
          <w:sz w:val="24"/>
          <w:szCs w:val="24"/>
        </w:rPr>
        <w:t>（3）团队人员需提供个人在职证明（加盖投标人公章的合同或承诺函）、资格证书复印件。</w:t>
      </w:r>
      <w:r>
        <w:rPr>
          <w:rFonts w:hint="eastAsia" w:ascii="宋体" w:hAnsi="宋体" w:cs="Arial"/>
          <w:sz w:val="24"/>
        </w:rPr>
        <w:t>其余拟派团队人具有计算机类专业技术资格中、高级证书</w:t>
      </w:r>
      <w:r>
        <w:rPr>
          <w:rFonts w:hint="eastAsia"/>
        </w:rPr>
        <w:t>。</w:t>
      </w:r>
    </w:p>
    <w:p>
      <w:pPr>
        <w:pStyle w:val="6"/>
        <w:numPr>
          <w:ilvl w:val="0"/>
          <w:numId w:val="1"/>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技术要求</w:t>
      </w:r>
    </w:p>
    <w:p>
      <w:pPr>
        <w:spacing w:line="360" w:lineRule="auto"/>
        <w:ind w:firstLine="480" w:firstLineChars="200"/>
        <w:contextualSpacing/>
        <w:outlineLvl w:val="2"/>
        <w:rPr>
          <w:sz w:val="24"/>
        </w:rPr>
      </w:pPr>
      <w:r>
        <w:rPr>
          <w:sz w:val="24"/>
        </w:rPr>
        <w:t>1. 基本要求</w:t>
      </w:r>
    </w:p>
    <w:p>
      <w:pPr>
        <w:pStyle w:val="6"/>
        <w:spacing w:line="360" w:lineRule="auto"/>
        <w:ind w:firstLine="566" w:firstLineChars="236"/>
        <w:rPr>
          <w:rFonts w:ascii="宋体" w:hAnsi="宋体"/>
        </w:rPr>
      </w:pPr>
      <w:r>
        <w:rPr>
          <w:rFonts w:hint="eastAsia" w:ascii="宋体" w:hAnsi="宋体"/>
          <w:sz w:val="24"/>
          <w:szCs w:val="24"/>
        </w:rPr>
        <w:t>北京市公共资源交易（综合）分平台信息化建设项目于</w:t>
      </w:r>
      <w:r>
        <w:rPr>
          <w:rFonts w:ascii="宋体" w:hAnsi="宋体"/>
          <w:sz w:val="24"/>
          <w:szCs w:val="24"/>
        </w:rPr>
        <w:t>2020年07月10日完成最终验收工作并正式投入使用，为保障北京市公共资源交易（综合）分平台信息化项目的安全可靠运行，需要委托第三方服务团队，在</w:t>
      </w:r>
      <w:r>
        <w:rPr>
          <w:rFonts w:hint="eastAsia" w:ascii="宋体" w:hAnsi="宋体"/>
          <w:sz w:val="24"/>
          <w:szCs w:val="24"/>
        </w:rPr>
        <w:t>北京市公共资源交易中心</w:t>
      </w:r>
      <w:r>
        <w:rPr>
          <w:rFonts w:ascii="宋体" w:hAnsi="宋体"/>
          <w:sz w:val="24"/>
          <w:szCs w:val="24"/>
        </w:rPr>
        <w:t>的管理下专门负责项目信息化运维工作。</w:t>
      </w:r>
    </w:p>
    <w:p>
      <w:pPr>
        <w:spacing w:line="360" w:lineRule="auto"/>
        <w:ind w:firstLine="480" w:firstLineChars="200"/>
        <w:contextualSpacing/>
        <w:outlineLvl w:val="2"/>
        <w:rPr>
          <w:sz w:val="24"/>
        </w:rPr>
      </w:pPr>
      <w:r>
        <w:rPr>
          <w:sz w:val="24"/>
        </w:rPr>
        <w:t>2. 服务内容及要求</w:t>
      </w:r>
    </w:p>
    <w:p>
      <w:pPr>
        <w:spacing w:line="360" w:lineRule="auto"/>
        <w:ind w:firstLine="480" w:firstLineChars="200"/>
        <w:rPr>
          <w:sz w:val="24"/>
        </w:rPr>
      </w:pPr>
      <w:r>
        <w:rPr>
          <w:rFonts w:hint="eastAsia"/>
          <w:sz w:val="24"/>
        </w:rPr>
        <w:t>服务内容包括</w:t>
      </w:r>
      <w:r>
        <w:rPr>
          <w:sz w:val="24"/>
        </w:rPr>
        <w:t>开评标服务局域网、网络安全管理设备、服务器、操作系统、数据库、中间件、应用软件系统、信息化设备设施的日常巡检、基础维护、功能维护、应急处置</w:t>
      </w:r>
      <w:r>
        <w:rPr>
          <w:rFonts w:hint="eastAsia"/>
          <w:sz w:val="24"/>
        </w:rPr>
        <w:t>。由受</w:t>
      </w:r>
      <w:r>
        <w:rPr>
          <w:sz w:val="24"/>
        </w:rPr>
        <w:t>委托</w:t>
      </w:r>
      <w:r>
        <w:rPr>
          <w:rFonts w:hint="eastAsia"/>
          <w:sz w:val="24"/>
        </w:rPr>
        <w:t>的</w:t>
      </w:r>
      <w:r>
        <w:rPr>
          <w:sz w:val="24"/>
        </w:rPr>
        <w:t>第三方服务团队专门负责运行维护工作，保障北京市公共资源交易（综合）分平台的安全可靠运行。</w:t>
      </w:r>
    </w:p>
    <w:p>
      <w:pPr>
        <w:widowControl/>
        <w:spacing w:after="5" w:line="520" w:lineRule="exact"/>
        <w:ind w:left="490" w:hanging="10"/>
        <w:jc w:val="left"/>
        <w:outlineLvl w:val="3"/>
        <w:rPr>
          <w:rFonts w:ascii="宋体" w:hAnsi="宋体" w:cs="微软雅黑"/>
          <w:b/>
          <w:bCs/>
          <w:sz w:val="24"/>
          <w:szCs w:val="22"/>
        </w:rPr>
      </w:pPr>
      <w:r>
        <w:rPr>
          <w:rFonts w:hint="eastAsia" w:ascii="宋体" w:hAnsi="宋体" w:cs="微软雅黑"/>
          <w:b/>
          <w:bCs/>
          <w:sz w:val="24"/>
          <w:szCs w:val="22"/>
        </w:rPr>
        <w:t>（一）运维范围</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北京市公共资源交易（综合）分平台信息化建设技术运维服务（2026年度）的运维范围包括：开评标服务局域网、局域网安全管理设备（包括安全管理设备和网络设备）、服务器、操作系统、数据库、中间件、应用系统、场地信息化设备设施，详细情况如下。</w:t>
      </w:r>
    </w:p>
    <w:tbl>
      <w:tblPr>
        <w:tblStyle w:val="4"/>
        <w:tblW w:w="8826" w:type="dxa"/>
        <w:tblInd w:w="113" w:type="dxa"/>
        <w:tblLayout w:type="fixed"/>
        <w:tblCellMar>
          <w:top w:w="0" w:type="dxa"/>
          <w:left w:w="108" w:type="dxa"/>
          <w:bottom w:w="0" w:type="dxa"/>
          <w:right w:w="108" w:type="dxa"/>
        </w:tblCellMar>
      </w:tblPr>
      <w:tblGrid>
        <w:gridCol w:w="1321"/>
        <w:gridCol w:w="4847"/>
        <w:gridCol w:w="1322"/>
        <w:gridCol w:w="1336"/>
      </w:tblGrid>
      <w:tr>
        <w:tblPrEx>
          <w:tblLayout w:type="fixed"/>
          <w:tblCellMar>
            <w:top w:w="0" w:type="dxa"/>
            <w:left w:w="108" w:type="dxa"/>
            <w:bottom w:w="0" w:type="dxa"/>
            <w:right w:w="108" w:type="dxa"/>
          </w:tblCellMar>
        </w:tblPrEx>
        <w:trPr>
          <w:trHeight w:val="300" w:hRule="atLeast"/>
          <w:tblHeader/>
        </w:trPr>
        <w:tc>
          <w:tcPr>
            <w:tcW w:w="13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484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名称</w:t>
            </w:r>
          </w:p>
        </w:tc>
        <w:tc>
          <w:tcPr>
            <w:tcW w:w="132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24"/>
              </w:rPr>
            </w:pPr>
            <w:r>
              <w:rPr>
                <w:rFonts w:hint="eastAsia" w:ascii="宋体" w:hAnsi="宋体" w:cs="宋体"/>
                <w:b/>
                <w:bCs/>
                <w:kern w:val="0"/>
                <w:sz w:val="24"/>
              </w:rPr>
              <w:t>数量</w:t>
            </w:r>
          </w:p>
        </w:tc>
        <w:tc>
          <w:tcPr>
            <w:tcW w:w="133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一</w:t>
            </w:r>
          </w:p>
        </w:tc>
        <w:tc>
          <w:tcPr>
            <w:tcW w:w="750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服务器</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cs="宋体"/>
                <w:sz w:val="24"/>
              </w:rPr>
              <w:t>场地智能管理系统-应用服务器</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7</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cs="宋体"/>
                <w:sz w:val="24"/>
              </w:rPr>
              <w:t>场地智能管理系统-数据库服务器</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2</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cs="宋体"/>
                <w:sz w:val="24"/>
              </w:rPr>
              <w:t>视音频中心管理服务器</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cs="宋体"/>
                <w:sz w:val="24"/>
              </w:rPr>
              <w:t>视音频录制服务器</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2</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cs="宋体"/>
                <w:sz w:val="24"/>
              </w:rPr>
              <w:t>视音频数据转换服务器</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2</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二</w:t>
            </w:r>
          </w:p>
        </w:tc>
        <w:tc>
          <w:tcPr>
            <w:tcW w:w="750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操作系统</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ascii="宋体" w:hAnsi="宋体" w:cs="宋体"/>
                <w:color w:val="000000"/>
                <w:kern w:val="0"/>
                <w:sz w:val="24"/>
              </w:rPr>
              <w:t>Windows Server</w:t>
            </w:r>
          </w:p>
        </w:tc>
        <w:tc>
          <w:tcPr>
            <w:tcW w:w="132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4</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ascii="宋体" w:hAnsi="宋体" w:cs="宋体"/>
                <w:color w:val="000000"/>
                <w:kern w:val="0"/>
                <w:sz w:val="24"/>
              </w:rPr>
              <w:t>CentOS</w:t>
            </w:r>
          </w:p>
        </w:tc>
        <w:tc>
          <w:tcPr>
            <w:tcW w:w="132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10</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三</w:t>
            </w:r>
          </w:p>
        </w:tc>
        <w:tc>
          <w:tcPr>
            <w:tcW w:w="750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数据库</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ascii="宋体" w:hAnsi="宋体" w:cs="宋体"/>
                <w:color w:val="000000"/>
                <w:kern w:val="0"/>
                <w:sz w:val="24"/>
              </w:rPr>
              <w:t>Mysql</w:t>
            </w:r>
          </w:p>
        </w:tc>
        <w:tc>
          <w:tcPr>
            <w:tcW w:w="132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3</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四</w:t>
            </w:r>
          </w:p>
        </w:tc>
        <w:tc>
          <w:tcPr>
            <w:tcW w:w="750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中间件</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ascii="宋体" w:hAnsi="宋体" w:cs="宋体"/>
                <w:color w:val="000000"/>
                <w:kern w:val="0"/>
                <w:sz w:val="24"/>
              </w:rPr>
              <w:t>Tomcat</w:t>
            </w:r>
          </w:p>
        </w:tc>
        <w:tc>
          <w:tcPr>
            <w:tcW w:w="132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10</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五</w:t>
            </w:r>
          </w:p>
        </w:tc>
        <w:tc>
          <w:tcPr>
            <w:tcW w:w="750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应用系统</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场地智能管理系统</w:t>
            </w:r>
          </w:p>
        </w:tc>
        <w:tc>
          <w:tcPr>
            <w:tcW w:w="132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1</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六</w:t>
            </w:r>
          </w:p>
        </w:tc>
        <w:tc>
          <w:tcPr>
            <w:tcW w:w="750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开评标服务局域网</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防火墙</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数据库审计</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杀毒软件</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核心交换机</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ascii="宋体" w:hAnsi="宋体" w:cs="宋体"/>
                <w:color w:val="000000"/>
                <w:kern w:val="0"/>
                <w:sz w:val="24"/>
              </w:rPr>
              <w:t>B2汇聚交换机</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楼层汇聚交换机</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8</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双机软件</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七</w:t>
            </w:r>
          </w:p>
        </w:tc>
        <w:tc>
          <w:tcPr>
            <w:tcW w:w="750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场地信息化设备设施</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（一）</w:t>
            </w:r>
          </w:p>
        </w:tc>
        <w:tc>
          <w:tcPr>
            <w:tcW w:w="750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大厅等候区</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综合数据接收终端</w:t>
            </w:r>
          </w:p>
        </w:tc>
        <w:tc>
          <w:tcPr>
            <w:tcW w:w="132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8</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（二）</w:t>
            </w:r>
          </w:p>
        </w:tc>
        <w:tc>
          <w:tcPr>
            <w:tcW w:w="750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开标区</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开标客户端</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7</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路</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电脑远程维护软件</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7</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点</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解密一体机</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8</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数字展台</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7</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多功能数据呈现终端</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7</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综合数据接收终端</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小型开标扩音设备</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6</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暗标文件编号设备</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4</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ascii="宋体" w:hAnsi="宋体" w:cs="宋体"/>
                <w:color w:val="000000"/>
                <w:kern w:val="0"/>
                <w:sz w:val="24"/>
              </w:rPr>
              <w:t>9</w:t>
            </w:r>
          </w:p>
        </w:tc>
        <w:tc>
          <w:tcPr>
            <w:tcW w:w="4847" w:type="dxa"/>
            <w:tcBorders>
              <w:top w:val="nil"/>
              <w:left w:val="nil"/>
              <w:bottom w:val="single" w:color="auto" w:sz="4" w:space="0"/>
              <w:right w:val="single" w:color="auto" w:sz="4" w:space="0"/>
            </w:tcBorders>
            <w:shd w:val="clear" w:color="auto" w:fill="auto"/>
            <w:noWrap w:val="0"/>
            <w:vAlign w:val="center"/>
          </w:tcPr>
          <w:p>
            <w:pPr>
              <w:widowControl/>
              <w:jc w:val="left"/>
              <w:rPr>
                <w:rFonts w:cs="宋体"/>
                <w:sz w:val="24"/>
              </w:rPr>
            </w:pPr>
            <w:r>
              <w:rPr>
                <w:rFonts w:hint="eastAsia" w:cs="宋体"/>
                <w:sz w:val="24"/>
              </w:rPr>
              <w:t>调音台（拍卖厅）</w:t>
            </w:r>
          </w:p>
        </w:tc>
        <w:tc>
          <w:tcPr>
            <w:tcW w:w="1322" w:type="dxa"/>
            <w:tcBorders>
              <w:top w:val="nil"/>
              <w:left w:val="nil"/>
              <w:bottom w:val="single" w:color="auto" w:sz="4" w:space="0"/>
              <w:right w:val="single" w:color="auto" w:sz="4" w:space="0"/>
            </w:tcBorders>
            <w:shd w:val="clear" w:color="000000" w:fill="FFFFFF"/>
            <w:noWrap w:val="0"/>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音频处理设备</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4847" w:type="dxa"/>
            <w:tcBorders>
              <w:top w:val="nil"/>
              <w:left w:val="nil"/>
              <w:bottom w:val="single" w:color="auto" w:sz="4" w:space="0"/>
              <w:right w:val="single" w:color="auto" w:sz="4" w:space="0"/>
            </w:tcBorders>
            <w:shd w:val="clear" w:color="auto" w:fill="auto"/>
            <w:noWrap w:val="0"/>
            <w:vAlign w:val="center"/>
          </w:tcPr>
          <w:p>
            <w:pPr>
              <w:widowControl/>
              <w:jc w:val="left"/>
              <w:rPr>
                <w:rFonts w:cs="宋体"/>
                <w:sz w:val="24"/>
              </w:rPr>
            </w:pPr>
            <w:r>
              <w:rPr>
                <w:rFonts w:hint="eastAsia" w:cs="宋体"/>
                <w:sz w:val="24"/>
              </w:rPr>
              <w:t>无线话筒一拖二</w:t>
            </w:r>
          </w:p>
        </w:tc>
        <w:tc>
          <w:tcPr>
            <w:tcW w:w="1322" w:type="dxa"/>
            <w:tcBorders>
              <w:top w:val="nil"/>
              <w:left w:val="nil"/>
              <w:bottom w:val="single" w:color="auto" w:sz="4" w:space="0"/>
              <w:right w:val="single" w:color="auto" w:sz="4" w:space="0"/>
            </w:tcBorders>
            <w:shd w:val="clear" w:color="000000" w:fill="FFFFFF"/>
            <w:noWrap w:val="0"/>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（三）</w:t>
            </w:r>
          </w:p>
        </w:tc>
        <w:tc>
          <w:tcPr>
            <w:tcW w:w="7505"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专家通道</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二合一多功能读卡器</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手机检测门</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手持手机检测仪</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综合数据接收终端</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4</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闸机</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（四）</w:t>
            </w:r>
          </w:p>
        </w:tc>
        <w:tc>
          <w:tcPr>
            <w:tcW w:w="7505"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评标区</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电脑摄像头</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153</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澄清对讲耳麦</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153</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专家客户端</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153</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路</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电脑远程维护软件</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153</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点</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监控摄像头</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置顶全向拾音器</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综合数据接收终端</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二合一多功能读卡器</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17</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门禁控制器（单门）</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16</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门禁控制器（双门）</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多功能数据呈现终端</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17</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12</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手写板</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51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13</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高端述标信息展示输出设备</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14</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普通述标信息展示输出设备</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4</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15</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电子显示屏</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6</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（五）</w:t>
            </w:r>
          </w:p>
        </w:tc>
        <w:tc>
          <w:tcPr>
            <w:tcW w:w="7505"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澄清申请调度室</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澄清调度工作站</w:t>
            </w:r>
          </w:p>
        </w:tc>
        <w:tc>
          <w:tcPr>
            <w:tcW w:w="132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ascii="宋体" w:hAnsi="宋体" w:cs="宋体"/>
                <w:kern w:val="0"/>
                <w:sz w:val="24"/>
              </w:rPr>
              <w:t>1</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（六）</w:t>
            </w:r>
          </w:p>
        </w:tc>
        <w:tc>
          <w:tcPr>
            <w:tcW w:w="7505"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澄清室</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澄清对讲耳麦</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3</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澄清客户端</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3</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路</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监控摄像头</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3</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监控级拾音器</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3</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电脑远程维护软件</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3</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点</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（七）</w:t>
            </w:r>
          </w:p>
        </w:tc>
        <w:tc>
          <w:tcPr>
            <w:tcW w:w="7505"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场地综合管理系统（机房内购置的设备）</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视音频中心管理软件</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视音频录播服务软件</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4847"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视音频转码服务软件</w:t>
            </w:r>
          </w:p>
        </w:tc>
        <w:tc>
          <w:tcPr>
            <w:tcW w:w="13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ascii="宋体" w:hAnsi="宋体" w:cs="宋体"/>
                <w:kern w:val="0"/>
                <w:sz w:val="24"/>
              </w:rPr>
              <w:t>2</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（八）</w:t>
            </w:r>
          </w:p>
        </w:tc>
        <w:tc>
          <w:tcPr>
            <w:tcW w:w="7505"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系统总控室</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液晶拼接屏</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12</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拼接屏安装架</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拼接控制器</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监控摄像头（总控）</w:t>
            </w:r>
          </w:p>
        </w:tc>
        <w:tc>
          <w:tcPr>
            <w:tcW w:w="1322" w:type="dxa"/>
            <w:tcBorders>
              <w:top w:val="nil"/>
              <w:left w:val="nil"/>
              <w:bottom w:val="single" w:color="auto" w:sz="4" w:space="0"/>
              <w:right w:val="single" w:color="auto" w:sz="4" w:space="0"/>
            </w:tcBorders>
            <w:noWrap w:val="0"/>
            <w:vAlign w:val="center"/>
          </w:tcPr>
          <w:p>
            <w:pPr>
              <w:widowControl/>
              <w:jc w:val="center"/>
              <w:rPr>
                <w:rFonts w:cs="宋体"/>
                <w:sz w:val="24"/>
              </w:rPr>
            </w:pPr>
            <w:r>
              <w:rPr>
                <w:rFonts w:hint="eastAsia" w:cs="宋体"/>
                <w:sz w:val="24"/>
              </w:rPr>
              <w:t>3</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个</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视频信息采集电脑</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4</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4847" w:type="dxa"/>
            <w:tcBorders>
              <w:top w:val="nil"/>
              <w:left w:val="nil"/>
              <w:bottom w:val="single" w:color="auto" w:sz="4" w:space="0"/>
              <w:right w:val="single" w:color="auto" w:sz="4" w:space="0"/>
            </w:tcBorders>
            <w:shd w:val="clear" w:color="auto" w:fill="auto"/>
            <w:noWrap w:val="0"/>
            <w:vAlign w:val="center"/>
          </w:tcPr>
          <w:p>
            <w:pPr>
              <w:widowControl/>
              <w:jc w:val="left"/>
              <w:rPr>
                <w:rFonts w:cs="宋体"/>
                <w:sz w:val="24"/>
              </w:rPr>
            </w:pPr>
            <w:r>
              <w:rPr>
                <w:rFonts w:hint="eastAsia" w:cs="宋体"/>
                <w:sz w:val="24"/>
              </w:rPr>
              <w:t>调音台（总控）</w:t>
            </w:r>
          </w:p>
        </w:tc>
        <w:tc>
          <w:tcPr>
            <w:tcW w:w="1322" w:type="dxa"/>
            <w:tcBorders>
              <w:top w:val="nil"/>
              <w:left w:val="nil"/>
              <w:bottom w:val="single" w:color="auto" w:sz="4" w:space="0"/>
              <w:right w:val="single" w:color="auto" w:sz="4" w:space="0"/>
            </w:tcBorders>
            <w:shd w:val="clear" w:color="000000" w:fill="FFFFFF"/>
            <w:noWrap w:val="0"/>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ascii="宋体" w:hAnsi="宋体" w:cs="宋体"/>
                <w:color w:val="000000"/>
                <w:kern w:val="0"/>
                <w:sz w:val="24"/>
              </w:rPr>
              <w:t>7</w:t>
            </w:r>
          </w:p>
        </w:tc>
        <w:tc>
          <w:tcPr>
            <w:tcW w:w="4847" w:type="dxa"/>
            <w:tcBorders>
              <w:top w:val="nil"/>
              <w:left w:val="nil"/>
              <w:bottom w:val="single" w:color="auto" w:sz="4" w:space="0"/>
              <w:right w:val="single" w:color="auto" w:sz="4" w:space="0"/>
            </w:tcBorders>
            <w:shd w:val="clear" w:color="auto" w:fill="auto"/>
            <w:noWrap w:val="0"/>
            <w:vAlign w:val="center"/>
          </w:tcPr>
          <w:p>
            <w:pPr>
              <w:widowControl/>
              <w:jc w:val="left"/>
              <w:rPr>
                <w:rFonts w:cs="宋体"/>
                <w:sz w:val="24"/>
              </w:rPr>
            </w:pPr>
            <w:r>
              <w:rPr>
                <w:rFonts w:hint="eastAsia" w:cs="宋体"/>
                <w:sz w:val="24"/>
              </w:rPr>
              <w:t>音频处理设备（总控）</w:t>
            </w:r>
          </w:p>
        </w:tc>
        <w:tc>
          <w:tcPr>
            <w:tcW w:w="1322" w:type="dxa"/>
            <w:tcBorders>
              <w:top w:val="nil"/>
              <w:left w:val="nil"/>
              <w:bottom w:val="single" w:color="auto" w:sz="4" w:space="0"/>
              <w:right w:val="single" w:color="auto" w:sz="4" w:space="0"/>
            </w:tcBorders>
            <w:shd w:val="clear" w:color="000000" w:fill="FFFFFF"/>
            <w:noWrap w:val="0"/>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ascii="宋体" w:hAnsi="宋体" w:cs="宋体"/>
                <w:color w:val="000000"/>
                <w:kern w:val="0"/>
                <w:sz w:val="24"/>
              </w:rPr>
              <w:t>8</w:t>
            </w:r>
          </w:p>
        </w:tc>
        <w:tc>
          <w:tcPr>
            <w:tcW w:w="4847" w:type="dxa"/>
            <w:tcBorders>
              <w:top w:val="nil"/>
              <w:left w:val="nil"/>
              <w:bottom w:val="single" w:color="auto" w:sz="4" w:space="0"/>
              <w:right w:val="single" w:color="auto" w:sz="4" w:space="0"/>
            </w:tcBorders>
            <w:shd w:val="clear" w:color="auto" w:fill="auto"/>
            <w:noWrap w:val="0"/>
            <w:vAlign w:val="center"/>
          </w:tcPr>
          <w:p>
            <w:pPr>
              <w:widowControl/>
              <w:jc w:val="left"/>
              <w:rPr>
                <w:rFonts w:cs="宋体"/>
                <w:sz w:val="24"/>
              </w:rPr>
            </w:pPr>
            <w:r>
              <w:rPr>
                <w:rFonts w:hint="eastAsia" w:cs="宋体"/>
                <w:sz w:val="24"/>
              </w:rPr>
              <w:t>无线话筒一拖二（总控）</w:t>
            </w:r>
          </w:p>
        </w:tc>
        <w:tc>
          <w:tcPr>
            <w:tcW w:w="1322" w:type="dxa"/>
            <w:tcBorders>
              <w:top w:val="nil"/>
              <w:left w:val="nil"/>
              <w:bottom w:val="single" w:color="auto" w:sz="4" w:space="0"/>
              <w:right w:val="single" w:color="auto" w:sz="4" w:space="0"/>
            </w:tcBorders>
            <w:shd w:val="clear" w:color="000000" w:fill="FFFFFF"/>
            <w:noWrap w:val="0"/>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24口千兆交换机</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2</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台</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监控操作台</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套</w:t>
            </w:r>
          </w:p>
        </w:tc>
      </w:tr>
      <w:tr>
        <w:tblPrEx>
          <w:tblLayout w:type="fixed"/>
          <w:tblCellMar>
            <w:top w:w="0" w:type="dxa"/>
            <w:left w:w="108" w:type="dxa"/>
            <w:bottom w:w="0" w:type="dxa"/>
            <w:right w:w="108" w:type="dxa"/>
          </w:tblCellMar>
        </w:tblPrEx>
        <w:trPr>
          <w:trHeight w:val="300" w:hRule="atLeast"/>
        </w:trPr>
        <w:tc>
          <w:tcPr>
            <w:tcW w:w="132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11</w:t>
            </w:r>
          </w:p>
        </w:tc>
        <w:tc>
          <w:tcPr>
            <w:tcW w:w="4847" w:type="dxa"/>
            <w:tcBorders>
              <w:top w:val="nil"/>
              <w:left w:val="nil"/>
              <w:bottom w:val="single" w:color="auto" w:sz="4" w:space="0"/>
              <w:right w:val="single" w:color="auto" w:sz="4" w:space="0"/>
            </w:tcBorders>
            <w:noWrap w:val="0"/>
            <w:vAlign w:val="center"/>
          </w:tcPr>
          <w:p>
            <w:pPr>
              <w:widowControl/>
              <w:jc w:val="left"/>
              <w:rPr>
                <w:rFonts w:cs="宋体"/>
                <w:sz w:val="24"/>
              </w:rPr>
            </w:pPr>
            <w:r>
              <w:rPr>
                <w:rFonts w:hint="eastAsia" w:cs="宋体"/>
                <w:sz w:val="24"/>
              </w:rPr>
              <w:t>人脸识别门禁设备</w:t>
            </w:r>
          </w:p>
        </w:tc>
        <w:tc>
          <w:tcPr>
            <w:tcW w:w="1322" w:type="dxa"/>
            <w:tcBorders>
              <w:top w:val="nil"/>
              <w:left w:val="nil"/>
              <w:bottom w:val="single" w:color="auto" w:sz="4" w:space="0"/>
              <w:right w:val="single" w:color="auto" w:sz="4" w:space="0"/>
            </w:tcBorders>
            <w:noWrap/>
            <w:vAlign w:val="center"/>
          </w:tcPr>
          <w:p>
            <w:pPr>
              <w:widowControl/>
              <w:jc w:val="center"/>
              <w:rPr>
                <w:rFonts w:cs="宋体"/>
                <w:sz w:val="24"/>
              </w:rPr>
            </w:pPr>
            <w:r>
              <w:rPr>
                <w:rFonts w:hint="eastAsia" w:cs="宋体"/>
                <w:sz w:val="24"/>
              </w:rPr>
              <w:t>1</w:t>
            </w:r>
          </w:p>
        </w:tc>
        <w:tc>
          <w:tcPr>
            <w:tcW w:w="133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台</w:t>
            </w:r>
          </w:p>
        </w:tc>
      </w:tr>
    </w:tbl>
    <w:p>
      <w:pPr>
        <w:widowControl/>
        <w:spacing w:after="5" w:line="520" w:lineRule="exact"/>
        <w:ind w:firstLine="480"/>
        <w:rPr>
          <w:rFonts w:ascii="宋体" w:hAnsi="宋体" w:cs="微软雅黑"/>
          <w:b/>
          <w:sz w:val="24"/>
          <w:szCs w:val="22"/>
        </w:rPr>
      </w:pPr>
      <w:r>
        <w:rPr>
          <w:rFonts w:ascii="宋体" w:hAnsi="宋体" w:cs="微软雅黑"/>
          <w:b/>
          <w:sz w:val="24"/>
          <w:szCs w:val="22"/>
        </w:rPr>
        <w:t>1、网络及策略</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北京市公共资源交易（综合）分平台信息化建设网络主要涉及政务外网区和开评标服务局域网区。</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政务外网区：综合分平台服务子域，涉及2个外部访问策略，对指定IP和指定端口进行开放；</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开评标服务局域网区：运维子域、业务服务子域、开评标子域、开评标辅助子域4个子域。涉及3个外部访问策略和3个内部访问策略，分别对指定IP和指定端口进行开放。</w:t>
      </w:r>
    </w:p>
    <w:p>
      <w:pPr>
        <w:widowControl/>
        <w:spacing w:after="5" w:line="520" w:lineRule="exact"/>
        <w:ind w:firstLine="480"/>
        <w:rPr>
          <w:rFonts w:ascii="宋体" w:hAnsi="宋体" w:cs="微软雅黑"/>
          <w:b/>
          <w:sz w:val="24"/>
          <w:szCs w:val="22"/>
        </w:rPr>
      </w:pPr>
      <w:r>
        <w:rPr>
          <w:rFonts w:ascii="宋体" w:hAnsi="宋体" w:cs="微软雅黑"/>
          <w:b/>
          <w:sz w:val="24"/>
          <w:szCs w:val="22"/>
        </w:rPr>
        <w:t>2、服务器</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政务外网区：共部署了9台云服务器和5台物理服务器，为场地智能管理系统的业务调度、见证服务、视音频数据管理提供服务支撑。</w:t>
      </w:r>
    </w:p>
    <w:p>
      <w:pPr>
        <w:widowControl/>
        <w:spacing w:after="5" w:line="520" w:lineRule="exact"/>
        <w:ind w:firstLine="480"/>
        <w:rPr>
          <w:rFonts w:ascii="宋体" w:hAnsi="宋体" w:cs="微软雅黑"/>
          <w:b/>
          <w:sz w:val="24"/>
          <w:szCs w:val="22"/>
        </w:rPr>
      </w:pPr>
      <w:r>
        <w:rPr>
          <w:rFonts w:ascii="宋体" w:hAnsi="宋体" w:cs="微软雅黑"/>
          <w:b/>
          <w:sz w:val="24"/>
          <w:szCs w:val="22"/>
        </w:rPr>
        <w:t>3、操作系统</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包括</w:t>
      </w:r>
      <w:r>
        <w:rPr>
          <w:rFonts w:ascii="宋体" w:hAnsi="宋体" w:cs="微软雅黑"/>
          <w:sz w:val="24"/>
          <w:szCs w:val="22"/>
        </w:rPr>
        <w:t>10套Linux操作系统、4套Windows操作系统。</w:t>
      </w:r>
    </w:p>
    <w:p>
      <w:pPr>
        <w:widowControl/>
        <w:spacing w:after="5" w:line="520" w:lineRule="exact"/>
        <w:ind w:firstLine="480"/>
        <w:rPr>
          <w:rFonts w:ascii="宋体" w:hAnsi="宋体" w:cs="微软雅黑"/>
          <w:b/>
          <w:sz w:val="24"/>
          <w:szCs w:val="22"/>
        </w:rPr>
      </w:pPr>
      <w:r>
        <w:rPr>
          <w:rFonts w:ascii="宋体" w:hAnsi="宋体" w:cs="微软雅黑"/>
          <w:b/>
          <w:sz w:val="24"/>
          <w:szCs w:val="22"/>
        </w:rPr>
        <w:t>4、数据库</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包括</w:t>
      </w:r>
      <w:r>
        <w:rPr>
          <w:rFonts w:ascii="宋体" w:hAnsi="宋体" w:cs="微软雅黑"/>
          <w:sz w:val="24"/>
          <w:szCs w:val="22"/>
        </w:rPr>
        <w:t>3套MySQL数据库。</w:t>
      </w:r>
    </w:p>
    <w:p>
      <w:pPr>
        <w:widowControl/>
        <w:spacing w:after="5" w:line="520" w:lineRule="exact"/>
        <w:ind w:firstLine="480"/>
        <w:rPr>
          <w:rFonts w:ascii="宋体" w:hAnsi="宋体" w:cs="微软雅黑"/>
          <w:b/>
          <w:sz w:val="24"/>
          <w:szCs w:val="22"/>
        </w:rPr>
      </w:pPr>
      <w:r>
        <w:rPr>
          <w:rFonts w:ascii="宋体" w:hAnsi="宋体" w:cs="微软雅黑"/>
          <w:b/>
          <w:sz w:val="24"/>
          <w:szCs w:val="22"/>
        </w:rPr>
        <w:t>5、中间件</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包括</w:t>
      </w:r>
      <w:r>
        <w:rPr>
          <w:rFonts w:ascii="宋体" w:hAnsi="宋体" w:cs="微软雅黑"/>
          <w:sz w:val="24"/>
          <w:szCs w:val="22"/>
        </w:rPr>
        <w:t>10套Tomcat中间件。</w:t>
      </w:r>
    </w:p>
    <w:p>
      <w:pPr>
        <w:widowControl/>
        <w:spacing w:after="5" w:line="520" w:lineRule="exact"/>
        <w:ind w:firstLine="480"/>
        <w:rPr>
          <w:rFonts w:ascii="宋体" w:hAnsi="宋体" w:cs="微软雅黑"/>
          <w:b/>
          <w:sz w:val="24"/>
          <w:szCs w:val="22"/>
        </w:rPr>
      </w:pPr>
      <w:r>
        <w:rPr>
          <w:rFonts w:ascii="宋体" w:hAnsi="宋体" w:cs="微软雅黑"/>
          <w:b/>
          <w:sz w:val="24"/>
          <w:szCs w:val="22"/>
        </w:rPr>
        <w:t>6、应用软件系统</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场地智能管理系统包括场地总控、业务调度、见证服务、视音频数据管理、系统管理功能，以及与综合交易相关服务对接的服务接口。</w:t>
      </w:r>
    </w:p>
    <w:p>
      <w:pPr>
        <w:widowControl/>
        <w:spacing w:after="5" w:line="520" w:lineRule="exact"/>
        <w:ind w:firstLine="480"/>
        <w:rPr>
          <w:rFonts w:ascii="宋体" w:hAnsi="宋体" w:cs="微软雅黑"/>
          <w:b/>
          <w:sz w:val="24"/>
          <w:szCs w:val="22"/>
        </w:rPr>
      </w:pPr>
      <w:r>
        <w:rPr>
          <w:rFonts w:ascii="宋体" w:hAnsi="宋体" w:cs="微软雅黑"/>
          <w:b/>
          <w:sz w:val="24"/>
          <w:szCs w:val="22"/>
        </w:rPr>
        <w:t>7、场地信息化设备设施</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包括大厅等候区、开标区、专家通道及专家等候室、封闭评标区、澄清及述标业务调度室、澄清室、系统总控室所部署的相关信息化设备设施。</w:t>
      </w:r>
    </w:p>
    <w:p>
      <w:pPr>
        <w:widowControl/>
        <w:spacing w:after="5" w:line="520" w:lineRule="exact"/>
        <w:ind w:left="490" w:hanging="10"/>
        <w:jc w:val="left"/>
        <w:outlineLvl w:val="3"/>
        <w:rPr>
          <w:rFonts w:ascii="宋体" w:hAnsi="宋体" w:cs="微软雅黑"/>
          <w:b/>
          <w:bCs/>
          <w:sz w:val="24"/>
          <w:szCs w:val="22"/>
        </w:rPr>
      </w:pPr>
      <w:r>
        <w:rPr>
          <w:rFonts w:hint="eastAsia" w:ascii="宋体" w:hAnsi="宋体" w:cs="微软雅黑"/>
          <w:b/>
          <w:bCs/>
          <w:sz w:val="24"/>
          <w:szCs w:val="22"/>
        </w:rPr>
        <w:t>（二）日常</w:t>
      </w:r>
      <w:r>
        <w:rPr>
          <w:rFonts w:ascii="宋体" w:hAnsi="宋体" w:cs="微软雅黑"/>
          <w:b/>
          <w:bCs/>
          <w:sz w:val="24"/>
          <w:szCs w:val="22"/>
        </w:rPr>
        <w:t>管理</w:t>
      </w:r>
      <w:r>
        <w:rPr>
          <w:rFonts w:hint="eastAsia" w:ascii="宋体" w:hAnsi="宋体" w:cs="微软雅黑"/>
          <w:b/>
          <w:bCs/>
          <w:sz w:val="24"/>
          <w:szCs w:val="22"/>
        </w:rPr>
        <w:t>工作</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工作内容包括：综合分平台信息化资产管理、版本管理和运维工作计划及总结编制。</w:t>
      </w:r>
    </w:p>
    <w:p>
      <w:pPr>
        <w:widowControl/>
        <w:spacing w:after="5" w:line="520" w:lineRule="exact"/>
        <w:ind w:firstLine="480"/>
        <w:rPr>
          <w:rFonts w:ascii="宋体" w:hAnsi="宋体" w:cs="微软雅黑"/>
          <w:b/>
          <w:sz w:val="24"/>
          <w:szCs w:val="22"/>
        </w:rPr>
      </w:pPr>
      <w:r>
        <w:rPr>
          <w:rFonts w:ascii="宋体" w:hAnsi="宋体" w:cs="微软雅黑"/>
          <w:b/>
          <w:sz w:val="24"/>
          <w:szCs w:val="22"/>
        </w:rPr>
        <w:t>1、资产管理</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对北京市公共资源交易（综合）分平台信息化建设项目所涉及的信息资产进行分类登记和管理，更好的提供系统的运行维护工作。</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内容包括：对网络、服务器、软件产品以及场地信息化设备设施的统计登记和管理。</w:t>
      </w:r>
    </w:p>
    <w:p>
      <w:pPr>
        <w:widowControl/>
        <w:spacing w:after="5" w:line="520" w:lineRule="exact"/>
        <w:ind w:firstLine="480"/>
        <w:rPr>
          <w:rFonts w:ascii="宋体" w:hAnsi="宋体" w:cs="微软雅黑"/>
          <w:b/>
          <w:sz w:val="24"/>
          <w:szCs w:val="22"/>
        </w:rPr>
      </w:pPr>
      <w:r>
        <w:rPr>
          <w:rFonts w:ascii="宋体" w:hAnsi="宋体" w:cs="微软雅黑"/>
          <w:b/>
          <w:sz w:val="24"/>
          <w:szCs w:val="22"/>
        </w:rPr>
        <w:t>2、版本管理</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对操作系统、数据库、中间件、应用系统、场地信息化设备设施所涉及的第三方软件进行版本记录与管理。</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按照每月定期对操作系统、数据库、中间件、应用系统、场地信息化设备设施所涉及的第三方软件的版本进行更新查询，发现更新版本后，对更新版本进行分析，并整理提交版本更新方案。</w:t>
      </w:r>
    </w:p>
    <w:p>
      <w:pPr>
        <w:widowControl/>
        <w:spacing w:after="5" w:line="520" w:lineRule="exact"/>
        <w:ind w:firstLine="480"/>
        <w:rPr>
          <w:rFonts w:ascii="宋体" w:hAnsi="宋体" w:cs="微软雅黑"/>
          <w:b/>
          <w:sz w:val="24"/>
          <w:szCs w:val="22"/>
        </w:rPr>
      </w:pPr>
      <w:r>
        <w:rPr>
          <w:rFonts w:ascii="宋体" w:hAnsi="宋体" w:cs="微软雅黑"/>
          <w:b/>
          <w:sz w:val="24"/>
          <w:szCs w:val="22"/>
        </w:rPr>
        <w:t>3、运</w:t>
      </w:r>
      <w:r>
        <w:rPr>
          <w:rFonts w:hint="eastAsia" w:ascii="宋体" w:hAnsi="宋体" w:cs="微软雅黑"/>
          <w:b/>
          <w:sz w:val="24"/>
          <w:szCs w:val="22"/>
        </w:rPr>
        <w:t>维工作计划及总结</w:t>
      </w:r>
    </w:p>
    <w:p>
      <w:pPr>
        <w:widowControl/>
        <w:numPr>
          <w:ilvl w:val="0"/>
          <w:numId w:val="5"/>
        </w:numPr>
        <w:spacing w:after="5" w:line="520" w:lineRule="exact"/>
        <w:rPr>
          <w:rFonts w:ascii="宋体" w:hAnsi="宋体" w:cs="微软雅黑"/>
          <w:sz w:val="24"/>
          <w:szCs w:val="22"/>
        </w:rPr>
      </w:pPr>
      <w:r>
        <w:rPr>
          <w:rFonts w:hint="eastAsia" w:ascii="宋体" w:hAnsi="宋体" w:cs="微软雅黑"/>
          <w:sz w:val="24"/>
          <w:szCs w:val="22"/>
        </w:rPr>
        <w:t>年度</w:t>
      </w:r>
      <w:r>
        <w:rPr>
          <w:rFonts w:ascii="宋体" w:hAnsi="宋体" w:cs="微软雅黑"/>
          <w:sz w:val="24"/>
          <w:szCs w:val="22"/>
        </w:rPr>
        <w:t>运维</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制定服务期运维工作计划，编写服务期运维工作总结。</w:t>
      </w:r>
    </w:p>
    <w:p>
      <w:pPr>
        <w:widowControl/>
        <w:numPr>
          <w:ilvl w:val="0"/>
          <w:numId w:val="5"/>
        </w:numPr>
        <w:spacing w:after="5" w:line="520" w:lineRule="exact"/>
        <w:rPr>
          <w:rFonts w:ascii="宋体" w:hAnsi="宋体" w:cs="微软雅黑"/>
          <w:sz w:val="24"/>
          <w:szCs w:val="22"/>
        </w:rPr>
      </w:pPr>
      <w:r>
        <w:rPr>
          <w:rFonts w:ascii="宋体" w:hAnsi="宋体" w:cs="微软雅黑"/>
          <w:sz w:val="24"/>
          <w:szCs w:val="22"/>
        </w:rPr>
        <w:t>专项运维</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针对每年常规的两次漏洞扫描和一次等保测评的测评结果，制定专项运维工作计划、编写专项运维工作总结。</w:t>
      </w:r>
    </w:p>
    <w:p>
      <w:pPr>
        <w:widowControl/>
        <w:spacing w:after="5" w:line="520" w:lineRule="exact"/>
        <w:ind w:left="490" w:hanging="10"/>
        <w:jc w:val="left"/>
        <w:outlineLvl w:val="3"/>
        <w:rPr>
          <w:rFonts w:ascii="宋体" w:hAnsi="宋体" w:cs="微软雅黑"/>
          <w:b/>
          <w:bCs/>
          <w:sz w:val="24"/>
          <w:szCs w:val="22"/>
        </w:rPr>
      </w:pPr>
      <w:r>
        <w:rPr>
          <w:rFonts w:hint="eastAsia" w:ascii="宋体" w:hAnsi="宋体" w:cs="微软雅黑"/>
          <w:b/>
          <w:bCs/>
          <w:sz w:val="24"/>
          <w:szCs w:val="22"/>
        </w:rPr>
        <w:t>（三）日常巡检工作</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工作内容包括：运行监控、可用性检查、数据检查。</w:t>
      </w:r>
    </w:p>
    <w:p>
      <w:pPr>
        <w:widowControl/>
        <w:spacing w:after="5" w:line="520" w:lineRule="exact"/>
        <w:ind w:firstLine="480"/>
        <w:rPr>
          <w:rFonts w:ascii="宋体" w:hAnsi="宋体" w:cs="微软雅黑"/>
          <w:b/>
          <w:sz w:val="24"/>
          <w:szCs w:val="22"/>
        </w:rPr>
      </w:pPr>
      <w:r>
        <w:rPr>
          <w:rFonts w:ascii="宋体" w:hAnsi="宋体" w:cs="微软雅黑"/>
          <w:b/>
          <w:sz w:val="24"/>
          <w:szCs w:val="22"/>
        </w:rPr>
        <w:t>1、运行监控</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包括对网络、主机、数据库、中间件、应用系统监控、场地信息化设备设施运行状态进行监控。</w:t>
      </w:r>
    </w:p>
    <w:p>
      <w:pPr>
        <w:widowControl/>
        <w:spacing w:after="5" w:line="520" w:lineRule="exact"/>
        <w:ind w:firstLine="480"/>
        <w:rPr>
          <w:rFonts w:ascii="宋体" w:hAnsi="宋体" w:cs="微软雅黑"/>
          <w:b/>
          <w:sz w:val="24"/>
          <w:szCs w:val="22"/>
        </w:rPr>
      </w:pPr>
      <w:r>
        <w:rPr>
          <w:rFonts w:ascii="宋体" w:hAnsi="宋体" w:cs="微软雅黑"/>
          <w:b/>
          <w:sz w:val="24"/>
          <w:szCs w:val="22"/>
        </w:rPr>
        <w:t>2</w:t>
      </w:r>
      <w:r>
        <w:rPr>
          <w:rFonts w:hint="eastAsia" w:ascii="宋体" w:hAnsi="宋体" w:cs="微软雅黑"/>
          <w:b/>
          <w:sz w:val="24"/>
          <w:szCs w:val="22"/>
        </w:rPr>
        <w:t>、可用性检查</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包括系统人机交互功能和主要对外接口进行可用性检查。</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（1）</w:t>
      </w:r>
      <w:r>
        <w:rPr>
          <w:rFonts w:ascii="宋体" w:hAnsi="宋体" w:cs="微软雅黑"/>
          <w:sz w:val="24"/>
          <w:szCs w:val="22"/>
        </w:rPr>
        <w:t>应用系统人机交互功能检查</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每工作日分</w:t>
      </w:r>
      <w:r>
        <w:rPr>
          <w:rFonts w:ascii="宋体" w:hAnsi="宋体" w:cs="微软雅黑"/>
          <w:sz w:val="24"/>
          <w:szCs w:val="22"/>
        </w:rPr>
        <w:t>2次安排专人人工检查应用系统人机交互功能是否能够正常访问。当相关功能不能正常运行时，需及时通知技术支持人员对故障进行处理。</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（2）</w:t>
      </w:r>
      <w:r>
        <w:rPr>
          <w:rFonts w:ascii="宋体" w:hAnsi="宋体" w:cs="微软雅黑"/>
          <w:sz w:val="24"/>
          <w:szCs w:val="22"/>
        </w:rPr>
        <w:t>对外服务接口功能检查</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每工作日分</w:t>
      </w:r>
      <w:r>
        <w:rPr>
          <w:rFonts w:ascii="宋体" w:hAnsi="宋体" w:cs="微软雅黑"/>
          <w:sz w:val="24"/>
          <w:szCs w:val="22"/>
        </w:rPr>
        <w:t>2次检查数据接口能否正常获取对方提交的数据，对外提供的数据的接口服务功能是否正常。当相关数据接口服务不能正常获取数据时，需及时通知技术支持人员对故障进行处理。</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 xml:space="preserve">3、数据检查  </w:t>
      </w:r>
    </w:p>
    <w:p>
      <w:pPr>
        <w:widowControl/>
        <w:spacing w:after="5" w:line="520" w:lineRule="exact"/>
        <w:ind w:firstLine="480"/>
        <w:rPr>
          <w:rFonts w:hint="eastAsia" w:ascii="宋体" w:hAnsi="宋体" w:cs="微软雅黑"/>
          <w:sz w:val="24"/>
          <w:szCs w:val="22"/>
        </w:rPr>
      </w:pPr>
      <w:r>
        <w:rPr>
          <w:rFonts w:hint="eastAsia" w:ascii="宋体" w:hAnsi="宋体" w:cs="微软雅黑"/>
          <w:sz w:val="24"/>
          <w:szCs w:val="22"/>
        </w:rPr>
        <w:t>每工作日分2次，检查各类数据解析是否正常，检查系统共享的数据能否正常获取及发出。</w:t>
      </w:r>
    </w:p>
    <w:p>
      <w:pPr>
        <w:widowControl/>
        <w:spacing w:after="5" w:line="520" w:lineRule="exact"/>
        <w:ind w:firstLine="480"/>
        <w:outlineLvl w:val="3"/>
        <w:rPr>
          <w:rFonts w:ascii="宋体" w:hAnsi="宋体" w:cs="微软雅黑"/>
          <w:b/>
          <w:sz w:val="24"/>
          <w:szCs w:val="22"/>
        </w:rPr>
      </w:pPr>
      <w:r>
        <w:rPr>
          <w:rFonts w:hint="eastAsia" w:ascii="宋体" w:hAnsi="宋体" w:cs="微软雅黑"/>
          <w:b/>
          <w:sz w:val="24"/>
          <w:szCs w:val="22"/>
        </w:rPr>
        <w:t>（四）基础维护工作</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工作内容包括：补丁安装、账户及权限管理、策略及配置管理、数据、网络及设备维护服务。</w:t>
      </w:r>
    </w:p>
    <w:p>
      <w:pPr>
        <w:widowControl/>
        <w:spacing w:after="5" w:line="520" w:lineRule="exact"/>
        <w:ind w:firstLine="480"/>
        <w:rPr>
          <w:rFonts w:ascii="宋体" w:hAnsi="宋体" w:cs="微软雅黑"/>
          <w:b/>
          <w:sz w:val="24"/>
          <w:szCs w:val="22"/>
        </w:rPr>
      </w:pPr>
      <w:r>
        <w:rPr>
          <w:rFonts w:ascii="宋体" w:hAnsi="宋体" w:cs="微软雅黑"/>
          <w:b/>
          <w:sz w:val="24"/>
          <w:szCs w:val="22"/>
        </w:rPr>
        <w:t>1、</w:t>
      </w:r>
      <w:r>
        <w:rPr>
          <w:rFonts w:hint="eastAsia" w:ascii="宋体" w:hAnsi="宋体" w:cs="微软雅黑"/>
          <w:b/>
          <w:sz w:val="24"/>
          <w:szCs w:val="22"/>
        </w:rPr>
        <w:t>应用软件维护</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（1）</w:t>
      </w:r>
      <w:r>
        <w:rPr>
          <w:rFonts w:ascii="宋体" w:hAnsi="宋体" w:cs="微软雅黑"/>
          <w:b/>
          <w:sz w:val="24"/>
          <w:szCs w:val="22"/>
        </w:rPr>
        <w:t>补丁安装</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每季度安装操作系统、数据库、中间件、第三方软件的补丁，并根据上级安全部门的警示通知及时安装相关补丁</w:t>
      </w:r>
      <w:r>
        <w:rPr>
          <w:rFonts w:ascii="宋体" w:hAnsi="宋体" w:cs="微软雅黑"/>
          <w:sz w:val="24"/>
          <w:szCs w:val="22"/>
        </w:rPr>
        <w:t>。</w:t>
      </w:r>
      <w:r>
        <w:rPr>
          <w:rFonts w:hint="eastAsia" w:ascii="宋体" w:hAnsi="宋体" w:cs="微软雅黑"/>
          <w:sz w:val="24"/>
          <w:szCs w:val="22"/>
        </w:rPr>
        <w:t>制定详细的补丁加固计划与方案，对补丁进行兼容性测试。</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（2）账户及权限管理</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对操作系统、数据库、中间件进行账户维护及权限管理。包括对操作系统、数据库的管理员账户、一般维护人员账户的创建和授权，以及中间件后台管理账户的创建和维护。</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（3）</w:t>
      </w:r>
      <w:r>
        <w:rPr>
          <w:rFonts w:ascii="宋体" w:hAnsi="宋体" w:cs="微软雅黑"/>
          <w:b/>
          <w:sz w:val="24"/>
          <w:szCs w:val="22"/>
        </w:rPr>
        <w:t>策略及配置管理</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对操作系统、数据库、中间件进行账户维护及权限管理。</w:t>
      </w:r>
    </w:p>
    <w:p>
      <w:pPr>
        <w:widowControl/>
        <w:spacing w:after="5" w:line="520" w:lineRule="exact"/>
        <w:ind w:firstLine="480"/>
        <w:rPr>
          <w:rFonts w:ascii="宋体" w:hAnsi="宋体" w:cs="微软雅黑"/>
          <w:sz w:val="24"/>
          <w:szCs w:val="22"/>
        </w:rPr>
      </w:pPr>
      <w:r>
        <w:rPr>
          <w:rFonts w:ascii="宋体" w:hAnsi="宋体" w:cs="微软雅黑"/>
          <w:sz w:val="24"/>
          <w:szCs w:val="22"/>
        </w:rPr>
        <w:t>操作系统策略及配置管理，包括主机、防火墙、重要系统策略的配置、变更。</w:t>
      </w:r>
    </w:p>
    <w:p>
      <w:pPr>
        <w:widowControl/>
        <w:spacing w:after="5" w:line="520" w:lineRule="exact"/>
        <w:ind w:firstLine="480"/>
        <w:rPr>
          <w:rFonts w:ascii="宋体" w:hAnsi="宋体" w:cs="微软雅黑"/>
          <w:sz w:val="24"/>
          <w:szCs w:val="22"/>
        </w:rPr>
      </w:pPr>
      <w:r>
        <w:rPr>
          <w:rFonts w:ascii="宋体" w:hAnsi="宋体" w:cs="微软雅黑"/>
          <w:sz w:val="24"/>
          <w:szCs w:val="22"/>
        </w:rPr>
        <w:t>数据库策略及配置管理，包括数据实例、索引创建优化、相关授权配置、数据库主从结构的配置和调整。</w:t>
      </w:r>
    </w:p>
    <w:p>
      <w:pPr>
        <w:widowControl/>
        <w:spacing w:after="5" w:line="520" w:lineRule="exact"/>
        <w:ind w:firstLine="480"/>
        <w:rPr>
          <w:rFonts w:ascii="宋体" w:hAnsi="宋体" w:cs="微软雅黑"/>
          <w:sz w:val="24"/>
          <w:szCs w:val="22"/>
        </w:rPr>
      </w:pPr>
      <w:r>
        <w:rPr>
          <w:rFonts w:ascii="宋体" w:hAnsi="宋体" w:cs="微软雅黑"/>
          <w:sz w:val="24"/>
          <w:szCs w:val="22"/>
        </w:rPr>
        <w:t>中间件策略及配置管理，包括Tomcat管理后台相关配置。</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w:t>
      </w:r>
      <w:r>
        <w:rPr>
          <w:rFonts w:ascii="宋体" w:hAnsi="宋体" w:cs="微软雅黑"/>
          <w:b/>
          <w:sz w:val="24"/>
          <w:szCs w:val="22"/>
        </w:rPr>
        <w:t>4</w:t>
      </w:r>
      <w:r>
        <w:rPr>
          <w:rFonts w:hint="eastAsia" w:ascii="宋体" w:hAnsi="宋体" w:cs="微软雅黑"/>
          <w:b/>
          <w:sz w:val="24"/>
          <w:szCs w:val="22"/>
        </w:rPr>
        <w:t>）</w:t>
      </w:r>
      <w:r>
        <w:rPr>
          <w:rFonts w:ascii="宋体" w:hAnsi="宋体" w:cs="微软雅黑"/>
          <w:b/>
          <w:sz w:val="24"/>
          <w:szCs w:val="22"/>
        </w:rPr>
        <w:t>数据的基础维护</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每月检查和维护数据库实例主键约束、字段类型范围等关于数据完整性规则的工作。每月检查数据表之间的关联关系、数据库备份是否正常。每季度优化数据库索引、优化数据库空间。</w:t>
      </w:r>
    </w:p>
    <w:p>
      <w:pPr>
        <w:widowControl/>
        <w:spacing w:after="5" w:line="520" w:lineRule="exact"/>
        <w:ind w:firstLine="480"/>
        <w:rPr>
          <w:rFonts w:ascii="宋体" w:hAnsi="宋体" w:cs="微软雅黑"/>
          <w:b/>
          <w:sz w:val="24"/>
          <w:szCs w:val="22"/>
        </w:rPr>
      </w:pPr>
      <w:r>
        <w:rPr>
          <w:rFonts w:ascii="宋体" w:hAnsi="宋体" w:cs="微软雅黑"/>
          <w:b/>
          <w:sz w:val="24"/>
          <w:szCs w:val="22"/>
        </w:rPr>
        <w:t>2、</w:t>
      </w:r>
      <w:r>
        <w:rPr>
          <w:rFonts w:hint="eastAsia" w:ascii="宋体" w:hAnsi="宋体" w:cs="微软雅黑"/>
          <w:b/>
          <w:sz w:val="24"/>
          <w:szCs w:val="22"/>
        </w:rPr>
        <w:t>网络及设备维护</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（1）</w:t>
      </w:r>
      <w:r>
        <w:rPr>
          <w:rFonts w:ascii="宋体" w:hAnsi="宋体" w:cs="微软雅黑"/>
          <w:b/>
          <w:sz w:val="24"/>
          <w:szCs w:val="22"/>
        </w:rPr>
        <w:t>开评标服务</w:t>
      </w:r>
      <w:r>
        <w:rPr>
          <w:rFonts w:hint="eastAsia" w:ascii="宋体" w:hAnsi="宋体" w:cs="微软雅黑"/>
          <w:b/>
          <w:sz w:val="24"/>
          <w:szCs w:val="22"/>
        </w:rPr>
        <w:t>局域网基础维护</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维护开评标服务专用局域网的网络配置、端口设置；管理网络安全设备的账户权限、特征库维护；优化网络及安全策略。</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（2）</w:t>
      </w:r>
      <w:r>
        <w:rPr>
          <w:rFonts w:ascii="宋体" w:hAnsi="宋体" w:cs="微软雅黑"/>
          <w:b/>
          <w:sz w:val="24"/>
          <w:szCs w:val="22"/>
        </w:rPr>
        <w:t>场地信息化设备设施基础维护</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维护场地信息化设备设施的配套软件系统，对设备设施硬件进行定期清洁、维护。</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（3）延保服务</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为以下场地信息化设备设施提供运维年度的维修服务，具体设备设施清单如下：</w:t>
      </w:r>
    </w:p>
    <w:tbl>
      <w:tblPr>
        <w:tblStyle w:val="4"/>
        <w:tblW w:w="9052" w:type="dxa"/>
        <w:tblInd w:w="0" w:type="dxa"/>
        <w:tblLayout w:type="fixed"/>
        <w:tblCellMar>
          <w:top w:w="0" w:type="dxa"/>
          <w:left w:w="108" w:type="dxa"/>
          <w:bottom w:w="0" w:type="dxa"/>
          <w:right w:w="108" w:type="dxa"/>
        </w:tblCellMar>
      </w:tblPr>
      <w:tblGrid>
        <w:gridCol w:w="986"/>
        <w:gridCol w:w="6088"/>
        <w:gridCol w:w="990"/>
        <w:gridCol w:w="988"/>
      </w:tblGrid>
      <w:tr>
        <w:tblPrEx>
          <w:tblLayout w:type="fixed"/>
          <w:tblCellMar>
            <w:top w:w="0" w:type="dxa"/>
            <w:left w:w="108" w:type="dxa"/>
            <w:bottom w:w="0" w:type="dxa"/>
            <w:right w:w="108" w:type="dxa"/>
          </w:tblCellMar>
        </w:tblPrEx>
        <w:trPr>
          <w:trHeight w:val="358" w:hRule="atLeast"/>
          <w:tblHeader/>
        </w:trPr>
        <w:tc>
          <w:tcPr>
            <w:tcW w:w="986"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6088"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设备名称</w:t>
            </w:r>
          </w:p>
        </w:tc>
        <w:tc>
          <w:tcPr>
            <w:tcW w:w="990"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988"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spacing w:line="276" w:lineRule="auto"/>
              <w:jc w:val="center"/>
              <w:rPr>
                <w:rFonts w:ascii="宋体" w:hAnsi="宋体" w:cs="宋体"/>
                <w:b/>
                <w:bCs/>
                <w:color w:val="000000"/>
                <w:kern w:val="0"/>
                <w:sz w:val="24"/>
              </w:rPr>
            </w:pPr>
            <w:r>
              <w:rPr>
                <w:rFonts w:hint="eastAsia" w:ascii="宋体" w:hAnsi="宋体" w:cs="宋体"/>
                <w:b/>
                <w:bCs/>
                <w:color w:val="000000"/>
                <w:kern w:val="0"/>
                <w:sz w:val="24"/>
              </w:rPr>
              <w:t>单位</w:t>
            </w:r>
          </w:p>
        </w:tc>
      </w:tr>
      <w:tr>
        <w:tblPrEx>
          <w:tblLayout w:type="fixed"/>
          <w:tblCellMar>
            <w:top w:w="0" w:type="dxa"/>
            <w:left w:w="108" w:type="dxa"/>
            <w:bottom w:w="0" w:type="dxa"/>
            <w:right w:w="108" w:type="dxa"/>
          </w:tblCellMar>
        </w:tblPrEx>
        <w:trPr>
          <w:trHeight w:val="358" w:hRule="atLeast"/>
        </w:trPr>
        <w:tc>
          <w:tcPr>
            <w:tcW w:w="986"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276" w:lineRule="auto"/>
              <w:jc w:val="left"/>
              <w:rPr>
                <w:rFonts w:ascii="宋体" w:hAnsi="宋体" w:cs="宋体"/>
                <w:b/>
                <w:bCs/>
                <w:color w:val="000000"/>
                <w:kern w:val="0"/>
                <w:sz w:val="24"/>
              </w:rPr>
            </w:pPr>
          </w:p>
        </w:tc>
        <w:tc>
          <w:tcPr>
            <w:tcW w:w="6088"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276" w:lineRule="auto"/>
              <w:jc w:val="left"/>
              <w:rPr>
                <w:rFonts w:ascii="宋体" w:hAnsi="宋体" w:cs="宋体"/>
                <w:b/>
                <w:bCs/>
                <w:color w:val="000000"/>
                <w:kern w:val="0"/>
                <w:sz w:val="24"/>
              </w:rPr>
            </w:pPr>
          </w:p>
        </w:tc>
        <w:tc>
          <w:tcPr>
            <w:tcW w:w="990"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276" w:lineRule="auto"/>
              <w:jc w:val="left"/>
              <w:rPr>
                <w:rFonts w:ascii="宋体" w:hAnsi="宋体" w:cs="宋体"/>
                <w:b/>
                <w:bCs/>
                <w:color w:val="000000"/>
                <w:kern w:val="0"/>
                <w:sz w:val="24"/>
              </w:rPr>
            </w:pPr>
          </w:p>
        </w:tc>
        <w:tc>
          <w:tcPr>
            <w:tcW w:w="988"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spacing w:line="276" w:lineRule="auto"/>
              <w:jc w:val="left"/>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高端述标信息展示输出设备</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普通述标信息展示输出设备</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4</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澄清调度工作站</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4</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视频信息采集电脑</w:t>
            </w:r>
          </w:p>
        </w:tc>
        <w:tc>
          <w:tcPr>
            <w:tcW w:w="990"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4</w:t>
            </w:r>
          </w:p>
        </w:tc>
        <w:tc>
          <w:tcPr>
            <w:tcW w:w="988"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5</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暗标文件编号设备</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4</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6</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手写板</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51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7</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电子显示屏</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6</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个</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8</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监控操作台</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9</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综合数据接收终端</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14</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10</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解密一体机</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8</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11</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多功能数据呈现终端</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24</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12</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调音台（拍卖厅）</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只</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13</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音频处理设备</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14</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无线话筒一拖二</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15</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二合一多功能读卡器</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19</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16</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手机检测门</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个</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17</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闸机</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18</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监控摄像头</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5</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个</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19</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置顶全向拾音器</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个</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20</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门禁控制器（单门）</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16</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21</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门禁控制器（双门）</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22</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监控级拾音器</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个</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23</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液晶拼接屏</w:t>
            </w:r>
          </w:p>
        </w:tc>
        <w:tc>
          <w:tcPr>
            <w:tcW w:w="990"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12</w:t>
            </w:r>
          </w:p>
        </w:tc>
        <w:tc>
          <w:tcPr>
            <w:tcW w:w="988"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块</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24</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拼接屏安装架</w:t>
            </w:r>
          </w:p>
        </w:tc>
        <w:tc>
          <w:tcPr>
            <w:tcW w:w="990"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25</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拼接控制器</w:t>
            </w:r>
          </w:p>
        </w:tc>
        <w:tc>
          <w:tcPr>
            <w:tcW w:w="990"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26</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监控摄像头（总控）</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个</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27</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调音台（总控）</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28</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音频处理设备（总控）</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29</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无线话筒一拖二（总控）</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30</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人脸识别门禁设备</w:t>
            </w:r>
          </w:p>
        </w:tc>
        <w:tc>
          <w:tcPr>
            <w:tcW w:w="990"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31</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24口千兆交换机</w:t>
            </w:r>
          </w:p>
        </w:tc>
        <w:tc>
          <w:tcPr>
            <w:tcW w:w="990" w:type="dxa"/>
            <w:tcBorders>
              <w:top w:val="nil"/>
              <w:left w:val="nil"/>
              <w:bottom w:val="single" w:color="auto" w:sz="8" w:space="0"/>
              <w:right w:val="single" w:color="auto" w:sz="8" w:space="0"/>
            </w:tcBorders>
            <w:noWrap/>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32</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防火墙</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33</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数据库审计</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34</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杀毒软件</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1</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35</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核心交换机</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36</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B2汇聚交换机</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2</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20" w:hRule="atLeast"/>
        </w:trPr>
        <w:tc>
          <w:tcPr>
            <w:tcW w:w="986" w:type="dxa"/>
            <w:tcBorders>
              <w:top w:val="nil"/>
              <w:left w:val="single" w:color="auto" w:sz="8" w:space="0"/>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37</w:t>
            </w:r>
          </w:p>
        </w:tc>
        <w:tc>
          <w:tcPr>
            <w:tcW w:w="6088" w:type="dxa"/>
            <w:tcBorders>
              <w:top w:val="nil"/>
              <w:left w:val="nil"/>
              <w:bottom w:val="single" w:color="auto" w:sz="8" w:space="0"/>
              <w:right w:val="single" w:color="auto" w:sz="8" w:space="0"/>
            </w:tcBorders>
            <w:noWrap w:val="0"/>
            <w:vAlign w:val="center"/>
          </w:tcPr>
          <w:p>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楼层汇聚交换机</w:t>
            </w:r>
          </w:p>
        </w:tc>
        <w:tc>
          <w:tcPr>
            <w:tcW w:w="990"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8</w:t>
            </w:r>
          </w:p>
        </w:tc>
        <w:tc>
          <w:tcPr>
            <w:tcW w:w="988" w:type="dxa"/>
            <w:tcBorders>
              <w:top w:val="nil"/>
              <w:left w:val="nil"/>
              <w:bottom w:val="single" w:color="auto" w:sz="8" w:space="0"/>
              <w:right w:val="single" w:color="auto" w:sz="8" w:space="0"/>
            </w:tcBorders>
            <w:noWrap w:val="0"/>
            <w:vAlign w:val="center"/>
          </w:tcPr>
          <w:p>
            <w:pPr>
              <w:widowControl/>
              <w:spacing w:line="276" w:lineRule="auto"/>
              <w:jc w:val="center"/>
              <w:rPr>
                <w:rFonts w:ascii="宋体" w:hAnsi="宋体" w:cs="宋体"/>
                <w:color w:val="000000"/>
                <w:kern w:val="0"/>
                <w:sz w:val="24"/>
              </w:rPr>
            </w:pPr>
            <w:r>
              <w:rPr>
                <w:rFonts w:hint="eastAsia" w:ascii="宋体" w:hAnsi="宋体" w:cs="宋体"/>
                <w:color w:val="000000"/>
                <w:kern w:val="0"/>
                <w:sz w:val="24"/>
              </w:rPr>
              <w:t>台</w:t>
            </w:r>
          </w:p>
        </w:tc>
      </w:tr>
    </w:tbl>
    <w:p>
      <w:pPr>
        <w:widowControl/>
        <w:spacing w:after="5" w:line="520" w:lineRule="exact"/>
        <w:ind w:firstLine="480"/>
        <w:outlineLvl w:val="3"/>
        <w:rPr>
          <w:rFonts w:ascii="宋体" w:hAnsi="宋体" w:cs="微软雅黑"/>
          <w:b/>
          <w:sz w:val="24"/>
          <w:szCs w:val="22"/>
        </w:rPr>
      </w:pPr>
      <w:r>
        <w:rPr>
          <w:rFonts w:hint="eastAsia" w:ascii="宋体" w:hAnsi="宋体" w:cs="微软雅黑"/>
          <w:b/>
          <w:sz w:val="24"/>
          <w:szCs w:val="22"/>
        </w:rPr>
        <w:t>（五）功能维护工作</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工作内容包括：应用系统功能完善、资源变更。</w:t>
      </w:r>
    </w:p>
    <w:p>
      <w:pPr>
        <w:widowControl/>
        <w:spacing w:after="5" w:line="520" w:lineRule="exact"/>
        <w:ind w:firstLine="480"/>
        <w:rPr>
          <w:rFonts w:ascii="宋体" w:hAnsi="宋体" w:cs="微软雅黑"/>
          <w:b/>
          <w:sz w:val="24"/>
          <w:szCs w:val="22"/>
        </w:rPr>
      </w:pPr>
      <w:r>
        <w:rPr>
          <w:rFonts w:ascii="宋体" w:hAnsi="宋体" w:cs="微软雅黑"/>
          <w:b/>
          <w:sz w:val="24"/>
          <w:szCs w:val="22"/>
        </w:rPr>
        <w:t>1、功能完善</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能够根据用户提出的完善需求，进行需求分析，制定完善方案，确定完善计划，验证完善后的功能，进行部署上线。</w:t>
      </w:r>
    </w:p>
    <w:p>
      <w:pPr>
        <w:widowControl/>
        <w:spacing w:after="5" w:line="520" w:lineRule="exact"/>
        <w:ind w:firstLine="480"/>
        <w:rPr>
          <w:rFonts w:ascii="宋体" w:hAnsi="宋体" w:cs="微软雅黑"/>
          <w:b/>
          <w:sz w:val="24"/>
          <w:szCs w:val="22"/>
        </w:rPr>
      </w:pPr>
      <w:r>
        <w:rPr>
          <w:rFonts w:ascii="宋体" w:hAnsi="宋体" w:cs="微软雅黑"/>
          <w:b/>
          <w:sz w:val="24"/>
          <w:szCs w:val="22"/>
        </w:rPr>
        <w:t>2、资源变更</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对网络、主机、数据库、中间件性能检查结果进行分析，对网络带宽、</w:t>
      </w:r>
      <w:r>
        <w:rPr>
          <w:rFonts w:ascii="宋体" w:hAnsi="宋体" w:cs="微软雅黑"/>
          <w:sz w:val="24"/>
          <w:szCs w:val="22"/>
        </w:rPr>
        <w:t>CPU、内存、磁盘空间进行合理化配置，制定资源变更计划及实施方案，提交资源变更申请，并跟踪资源变更情况。</w:t>
      </w:r>
    </w:p>
    <w:p>
      <w:pPr>
        <w:widowControl/>
        <w:spacing w:after="5" w:line="520" w:lineRule="exact"/>
        <w:ind w:firstLine="480"/>
        <w:outlineLvl w:val="3"/>
        <w:rPr>
          <w:rFonts w:ascii="宋体" w:hAnsi="宋体" w:cs="微软雅黑"/>
          <w:b/>
          <w:sz w:val="24"/>
          <w:szCs w:val="22"/>
        </w:rPr>
      </w:pPr>
      <w:r>
        <w:rPr>
          <w:rFonts w:hint="eastAsia" w:ascii="宋体" w:hAnsi="宋体" w:cs="微软雅黑"/>
          <w:b/>
          <w:sz w:val="24"/>
          <w:szCs w:val="22"/>
        </w:rPr>
        <w:t>（六）应急处置工作</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工作内容包括：应急预案的制定和修订、应急演练、应急处置。</w:t>
      </w:r>
    </w:p>
    <w:p>
      <w:pPr>
        <w:widowControl/>
        <w:spacing w:after="5" w:line="520" w:lineRule="exact"/>
        <w:ind w:firstLine="480"/>
        <w:rPr>
          <w:rFonts w:ascii="宋体" w:hAnsi="宋体" w:cs="微软雅黑"/>
          <w:b/>
          <w:sz w:val="24"/>
          <w:szCs w:val="22"/>
        </w:rPr>
      </w:pPr>
      <w:r>
        <w:rPr>
          <w:rFonts w:ascii="宋体" w:hAnsi="宋体" w:cs="微软雅黑"/>
          <w:b/>
          <w:sz w:val="24"/>
          <w:szCs w:val="22"/>
        </w:rPr>
        <w:t>1</w:t>
      </w:r>
      <w:r>
        <w:rPr>
          <w:rFonts w:hint="eastAsia" w:ascii="宋体" w:hAnsi="宋体" w:cs="微软雅黑"/>
          <w:b/>
          <w:sz w:val="24"/>
          <w:szCs w:val="22"/>
        </w:rPr>
        <w:t>、应急预案的制定和修订</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（1）</w:t>
      </w:r>
      <w:r>
        <w:rPr>
          <w:rFonts w:ascii="宋体" w:hAnsi="宋体" w:cs="微软雅黑"/>
          <w:sz w:val="24"/>
          <w:szCs w:val="22"/>
        </w:rPr>
        <w:t>系统级应急预案制定和修订</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对开评标服务局域网网络、场地智能管理系统、场地信息化设备设施制定相对独立的应急预案并做相关修订，配备相关应急资源，针对突发紧急情况，启动技术专家现场服务，必要时联合多方面专家进行联合分析诊断、事件定位与紧急处理，持续跟进直到问题完全解决。</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应急预案主要包括：</w:t>
      </w:r>
    </w:p>
    <w:p>
      <w:pPr>
        <w:widowControl/>
        <w:spacing w:after="5" w:line="520" w:lineRule="exact"/>
        <w:ind w:firstLine="480"/>
        <w:rPr>
          <w:rFonts w:ascii="宋体" w:hAnsi="宋体" w:cs="微软雅黑"/>
          <w:sz w:val="24"/>
          <w:szCs w:val="22"/>
        </w:rPr>
      </w:pPr>
      <w:r>
        <w:rPr>
          <w:rFonts w:ascii="宋体" w:hAnsi="宋体" w:cs="微软雅黑"/>
          <w:sz w:val="24"/>
          <w:szCs w:val="22"/>
        </w:rPr>
        <w:t>《北京市公共资源交易（综合）分平台信息化建设项目应急预案》</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（2）</w:t>
      </w:r>
      <w:r>
        <w:rPr>
          <w:rFonts w:ascii="宋体" w:hAnsi="宋体" w:cs="微软雅黑"/>
          <w:sz w:val="24"/>
          <w:szCs w:val="22"/>
        </w:rPr>
        <w:t>重点业务应急预案制定和修订</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根据重点业务运维保障的特点，对场地智能管理系制定相对独立的应急预案并做相关修订，配备相关应急资源，针对突发紧急情况，启动技术专家现场服务，必要时联合多方面专家进行联合分析诊断、事件定位与紧急处理，持续跟进直到问题完全解决。</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应急预案主要包括：</w:t>
      </w:r>
    </w:p>
    <w:p>
      <w:pPr>
        <w:widowControl/>
        <w:spacing w:after="5" w:line="520" w:lineRule="exact"/>
        <w:ind w:firstLine="480"/>
        <w:rPr>
          <w:rFonts w:ascii="宋体" w:hAnsi="宋体" w:cs="微软雅黑"/>
          <w:sz w:val="24"/>
          <w:szCs w:val="22"/>
        </w:rPr>
      </w:pPr>
      <w:r>
        <w:rPr>
          <w:rFonts w:ascii="宋体" w:hAnsi="宋体" w:cs="微软雅黑"/>
          <w:sz w:val="24"/>
          <w:szCs w:val="22"/>
        </w:rPr>
        <w:t>《场地智能管理系统应急预案》</w:t>
      </w:r>
    </w:p>
    <w:p>
      <w:pPr>
        <w:widowControl/>
        <w:spacing w:after="5" w:line="520" w:lineRule="exact"/>
        <w:ind w:firstLine="480"/>
        <w:rPr>
          <w:rFonts w:ascii="宋体" w:hAnsi="宋体" w:cs="微软雅黑"/>
          <w:b/>
          <w:sz w:val="24"/>
          <w:szCs w:val="22"/>
        </w:rPr>
      </w:pPr>
      <w:r>
        <w:rPr>
          <w:rFonts w:ascii="宋体" w:hAnsi="宋体" w:cs="微软雅黑"/>
          <w:b/>
          <w:sz w:val="24"/>
          <w:szCs w:val="22"/>
        </w:rPr>
        <w:t>2、应急演练</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每年至少对场地智能管理系统业务调度、见证服务、视音频数据管理的主要业务功能和系统数据备份与恢复进行两次应急演练，制定详细的演练方案和演练计划，演练过程中记录具体演练流程，在演练结束后及时完成演练总结报告。</w:t>
      </w:r>
    </w:p>
    <w:p>
      <w:pPr>
        <w:widowControl/>
        <w:spacing w:after="5" w:line="520" w:lineRule="exact"/>
        <w:ind w:firstLine="480"/>
        <w:rPr>
          <w:rFonts w:ascii="宋体" w:hAnsi="宋体" w:cs="微软雅黑"/>
          <w:b/>
          <w:sz w:val="24"/>
          <w:szCs w:val="22"/>
        </w:rPr>
      </w:pPr>
      <w:r>
        <w:rPr>
          <w:rFonts w:ascii="宋体" w:hAnsi="宋体" w:cs="微软雅黑"/>
          <w:b/>
          <w:sz w:val="24"/>
          <w:szCs w:val="22"/>
        </w:rPr>
        <w:t>3、应急处置</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（1）</w:t>
      </w:r>
      <w:r>
        <w:rPr>
          <w:rFonts w:ascii="宋体" w:hAnsi="宋体" w:cs="微软雅黑"/>
          <w:sz w:val="24"/>
          <w:szCs w:val="22"/>
        </w:rPr>
        <w:t>一般性事件应急处置</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一般性事件定义：现有系统的操作性能严重降低，或由于网络性能失常或安全事件严重影响数据中心业务运作，持续小于</w:t>
      </w:r>
      <w:r>
        <w:rPr>
          <w:rFonts w:ascii="宋体" w:hAnsi="宋体" w:cs="微软雅黑"/>
          <w:sz w:val="24"/>
          <w:szCs w:val="22"/>
        </w:rPr>
        <w:t>4小时，造成一定范围的不良影响的事件。持续时间超过4小时则升级到重大事件。包括一般网站事件、严重网络事件、严重应用事件和基础设施故障安全事件。</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一般性事件服务响应：工作时间</w:t>
      </w:r>
      <w:r>
        <w:rPr>
          <w:rFonts w:ascii="宋体" w:hAnsi="宋体" w:cs="微软雅黑"/>
          <w:sz w:val="24"/>
          <w:szCs w:val="22"/>
        </w:rPr>
        <w:t>1小时之内启动应急响应，非工作时间2小时之内启动应急响应。</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一般性事件处置：一般性事件需在</w:t>
      </w:r>
      <w:r>
        <w:rPr>
          <w:rFonts w:ascii="宋体" w:hAnsi="宋体" w:cs="微软雅黑"/>
          <w:sz w:val="24"/>
          <w:szCs w:val="22"/>
        </w:rPr>
        <w:t>4小时之内完成业务恢复、备机启用。</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（2）</w:t>
      </w:r>
      <w:r>
        <w:rPr>
          <w:rFonts w:ascii="宋体" w:hAnsi="宋体" w:cs="微软雅黑"/>
          <w:sz w:val="24"/>
          <w:szCs w:val="22"/>
        </w:rPr>
        <w:t>重大事件应急处置</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重大事件定义：现有的系统宕机，或遭到严重攻击、入侵等行为，使业务系统无法正常提供服务、信息系统的正常业务运作产生重大影响，或严重影响到业务提供服务的服务质量的，造成大范围不良影响的重大事件。包括重大网络事件、网站事件、应用事件和严重的基础设施故障安全事件。</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重大事件服务响应：工作时间</w:t>
      </w:r>
      <w:r>
        <w:rPr>
          <w:rFonts w:ascii="宋体" w:hAnsi="宋体" w:cs="微软雅黑"/>
          <w:sz w:val="24"/>
          <w:szCs w:val="22"/>
        </w:rPr>
        <w:t>10分钟之内启动应急响应，非工作时间20分钟之内启动应急响应。</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重大事件处置：重大事件需在</w:t>
      </w:r>
      <w:r>
        <w:rPr>
          <w:rFonts w:ascii="宋体" w:hAnsi="宋体" w:cs="微软雅黑"/>
          <w:sz w:val="24"/>
          <w:szCs w:val="22"/>
        </w:rPr>
        <w:t>30分钟之内完成业务恢复、备机启用。</w:t>
      </w:r>
    </w:p>
    <w:p>
      <w:pPr>
        <w:widowControl/>
        <w:spacing w:after="5" w:line="520" w:lineRule="exact"/>
        <w:ind w:firstLine="480"/>
        <w:outlineLvl w:val="3"/>
        <w:rPr>
          <w:rFonts w:ascii="宋体" w:hAnsi="宋体" w:cs="微软雅黑"/>
          <w:b/>
          <w:sz w:val="24"/>
          <w:szCs w:val="22"/>
        </w:rPr>
      </w:pPr>
      <w:r>
        <w:rPr>
          <w:rFonts w:hint="eastAsia" w:ascii="宋体" w:hAnsi="宋体" w:cs="微软雅黑"/>
          <w:b/>
          <w:sz w:val="24"/>
          <w:szCs w:val="22"/>
        </w:rPr>
        <w:t>（七）重点时期保障</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1、保障时间和范围</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w:t>
      </w:r>
      <w:r>
        <w:rPr>
          <w:rFonts w:ascii="宋体" w:hAnsi="宋体" w:cs="微软雅黑"/>
          <w:b/>
          <w:sz w:val="24"/>
          <w:szCs w:val="22"/>
        </w:rPr>
        <w:t>1</w:t>
      </w:r>
      <w:r>
        <w:rPr>
          <w:rFonts w:hint="eastAsia" w:ascii="宋体" w:hAnsi="宋体" w:cs="微软雅黑"/>
          <w:b/>
          <w:sz w:val="24"/>
          <w:szCs w:val="22"/>
        </w:rPr>
        <w:t>）重点时期</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考虑到北京市公共资源交易（综合）分平台信息化建设项目在本市公共资源交易中的重要作用，需要重点时期安排专人值守，保障系统的正常运转。</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2</w:t>
      </w:r>
      <w:r>
        <w:rPr>
          <w:rFonts w:ascii="宋体" w:hAnsi="宋体" w:cs="微软雅黑"/>
          <w:sz w:val="24"/>
          <w:szCs w:val="22"/>
        </w:rPr>
        <w:t>026</w:t>
      </w:r>
      <w:r>
        <w:rPr>
          <w:rFonts w:hint="eastAsia" w:ascii="宋体" w:hAnsi="宋体" w:cs="微软雅黑"/>
          <w:sz w:val="24"/>
          <w:szCs w:val="22"/>
        </w:rPr>
        <w:t>年</w:t>
      </w:r>
      <w:r>
        <w:rPr>
          <w:rFonts w:ascii="宋体" w:hAnsi="宋体" w:cs="微软雅黑"/>
          <w:sz w:val="24"/>
          <w:szCs w:val="22"/>
        </w:rPr>
        <w:t>5</w:t>
      </w:r>
      <w:r>
        <w:rPr>
          <w:rFonts w:hint="eastAsia" w:ascii="宋体" w:hAnsi="宋体" w:cs="微软雅黑"/>
          <w:sz w:val="24"/>
          <w:szCs w:val="22"/>
        </w:rPr>
        <w:t>月～</w:t>
      </w:r>
      <w:r>
        <w:rPr>
          <w:rFonts w:ascii="宋体" w:hAnsi="宋体" w:cs="微软雅黑"/>
          <w:sz w:val="24"/>
          <w:szCs w:val="22"/>
        </w:rPr>
        <w:t>2027</w:t>
      </w:r>
      <w:r>
        <w:rPr>
          <w:rFonts w:hint="eastAsia" w:ascii="宋体" w:hAnsi="宋体" w:cs="微软雅黑"/>
          <w:sz w:val="24"/>
          <w:szCs w:val="22"/>
        </w:rPr>
        <w:t>年4月重点值守时期包括：</w:t>
      </w:r>
    </w:p>
    <w:tbl>
      <w:tblPr>
        <w:tblStyle w:val="4"/>
        <w:tblW w:w="75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495" w:type="dxa"/>
            <w:noWrap w:val="0"/>
            <w:vAlign w:val="top"/>
          </w:tcPr>
          <w:p>
            <w:pPr>
              <w:jc w:val="center"/>
              <w:rPr>
                <w:b/>
                <w:sz w:val="24"/>
              </w:rPr>
            </w:pPr>
            <w:r>
              <w:rPr>
                <w:rFonts w:hint="eastAsia"/>
                <w:b/>
                <w:sz w:val="24"/>
              </w:rPr>
              <w:t>重点时期</w:t>
            </w:r>
          </w:p>
        </w:tc>
        <w:tc>
          <w:tcPr>
            <w:tcW w:w="3095" w:type="dxa"/>
            <w:noWrap w:val="0"/>
            <w:vAlign w:val="top"/>
          </w:tcPr>
          <w:p>
            <w:pPr>
              <w:jc w:val="center"/>
              <w:rPr>
                <w:b/>
                <w:sz w:val="24"/>
              </w:rPr>
            </w:pPr>
            <w:r>
              <w:rPr>
                <w:rFonts w:hint="eastAsia"/>
                <w:b/>
                <w:sz w:val="24"/>
              </w:rPr>
              <w:t>值守天数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95" w:type="dxa"/>
            <w:noWrap w:val="0"/>
            <w:vAlign w:val="top"/>
          </w:tcPr>
          <w:p>
            <w:pPr>
              <w:rPr>
                <w:sz w:val="24"/>
              </w:rPr>
            </w:pPr>
            <w:r>
              <w:rPr>
                <w:rFonts w:hint="eastAsia"/>
                <w:sz w:val="24"/>
              </w:rPr>
              <w:t>全国两会</w:t>
            </w:r>
          </w:p>
        </w:tc>
        <w:tc>
          <w:tcPr>
            <w:tcW w:w="3095" w:type="dxa"/>
            <w:noWrap w:val="0"/>
            <w:vAlign w:val="top"/>
          </w:tcPr>
          <w:p>
            <w:pPr>
              <w:rPr>
                <w:sz w:val="24"/>
              </w:rPr>
            </w:pPr>
            <w:r>
              <w:rPr>
                <w:sz w:val="24"/>
              </w:rPr>
              <w:t>20</w:t>
            </w:r>
            <w:r>
              <w:rPr>
                <w:rFonts w:hint="eastAsia"/>
                <w:sz w:val="24"/>
              </w:rPr>
              <w:t>天</w:t>
            </w:r>
          </w:p>
        </w:tc>
      </w:tr>
    </w:tbl>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（2）监控和保障范围</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保障重要时期北京市公共资源交易（综合）分平台信息化项目重点业务的正常运行。</w:t>
      </w:r>
    </w:p>
    <w:p>
      <w:pPr>
        <w:widowControl/>
        <w:spacing w:after="5" w:line="520" w:lineRule="exact"/>
        <w:ind w:firstLine="480"/>
        <w:rPr>
          <w:rFonts w:ascii="宋体" w:hAnsi="宋体" w:cs="微软雅黑"/>
          <w:b/>
          <w:sz w:val="24"/>
          <w:szCs w:val="22"/>
        </w:rPr>
      </w:pPr>
      <w:r>
        <w:rPr>
          <w:rFonts w:ascii="宋体" w:hAnsi="宋体" w:cs="微软雅黑"/>
          <w:b/>
          <w:sz w:val="24"/>
          <w:szCs w:val="22"/>
        </w:rPr>
        <w:t>2</w:t>
      </w:r>
      <w:r>
        <w:rPr>
          <w:rFonts w:hint="eastAsia" w:ascii="宋体" w:hAnsi="宋体" w:cs="微软雅黑"/>
          <w:b/>
          <w:sz w:val="24"/>
          <w:szCs w:val="22"/>
        </w:rPr>
        <w:t>、保障服务</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（1）服务要求</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提高业务系统人机巡检频次，安排人员进行每日</w:t>
      </w:r>
      <w:r>
        <w:rPr>
          <w:rFonts w:ascii="宋体" w:hAnsi="宋体" w:cs="微软雅黑"/>
          <w:sz w:val="24"/>
          <w:szCs w:val="22"/>
        </w:rPr>
        <w:t>2</w:t>
      </w:r>
      <w:r>
        <w:rPr>
          <w:rFonts w:hint="eastAsia" w:ascii="宋体" w:hAnsi="宋体" w:cs="微软雅黑"/>
          <w:sz w:val="24"/>
          <w:szCs w:val="22"/>
        </w:rPr>
        <w:t>次（</w:t>
      </w:r>
      <w:r>
        <w:rPr>
          <w:rFonts w:ascii="宋体" w:hAnsi="宋体" w:cs="微软雅黑"/>
          <w:sz w:val="24"/>
          <w:szCs w:val="22"/>
        </w:rPr>
        <w:t>10</w:t>
      </w:r>
      <w:r>
        <w:rPr>
          <w:rFonts w:hint="eastAsia" w:ascii="宋体" w:hAnsi="宋体" w:cs="微软雅黑"/>
          <w:sz w:val="24"/>
          <w:szCs w:val="22"/>
        </w:rPr>
        <w:t>时、</w:t>
      </w:r>
      <w:r>
        <w:rPr>
          <w:rFonts w:ascii="宋体" w:hAnsi="宋体" w:cs="微软雅黑"/>
          <w:sz w:val="24"/>
          <w:szCs w:val="22"/>
        </w:rPr>
        <w:t>17</w:t>
      </w:r>
      <w:r>
        <w:rPr>
          <w:rFonts w:hint="eastAsia" w:ascii="宋体" w:hAnsi="宋体" w:cs="微软雅黑"/>
          <w:sz w:val="24"/>
          <w:szCs w:val="22"/>
        </w:rPr>
        <w:t>时）读网值守工作，值守人员需按值守时间要求对业务系统重点业务功能是否正常进行巡检，并及时汇报巡检结果。如发现问题，值守人员应及时汇报，并按照应急预案要求进行处理。</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（2）人员安排</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重点时期的值守服务应当明确具体人员安排，人员安排需要到人到天到班，形成《重点时期值守人员安排表》和《重点时期应急人员电话表》。</w:t>
      </w:r>
    </w:p>
    <w:p>
      <w:pPr>
        <w:widowControl/>
        <w:spacing w:after="5" w:line="520" w:lineRule="exact"/>
        <w:ind w:firstLine="480"/>
        <w:rPr>
          <w:rFonts w:ascii="宋体" w:hAnsi="宋体" w:cs="微软雅黑"/>
          <w:b/>
          <w:sz w:val="24"/>
          <w:szCs w:val="22"/>
        </w:rPr>
      </w:pPr>
      <w:r>
        <w:rPr>
          <w:rFonts w:hint="eastAsia" w:ascii="宋体" w:hAnsi="宋体" w:cs="微软雅黑"/>
          <w:b/>
          <w:sz w:val="24"/>
          <w:szCs w:val="22"/>
        </w:rPr>
        <w:t>（3）重点时期专项应急预案制定</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根据重点时期运维保障的特点，制定相应的应急预案，配备相关应急资源，针对突发紧急情况，启动技术专家现场服务，必要时联合多方面专家进行联合分析诊断、事件定位与紧急处理，持续跟进直到问题完全解决。</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制定标准化的应急响应服务流程，建立分级故障响应机制，明确组织结构及职责划分。</w:t>
      </w:r>
    </w:p>
    <w:p>
      <w:pPr>
        <w:widowControl/>
        <w:spacing w:after="5" w:line="520" w:lineRule="exact"/>
        <w:ind w:firstLine="480"/>
        <w:outlineLvl w:val="3"/>
        <w:rPr>
          <w:rFonts w:ascii="宋体" w:hAnsi="宋体" w:cs="微软雅黑"/>
          <w:b/>
          <w:sz w:val="24"/>
          <w:szCs w:val="22"/>
        </w:rPr>
      </w:pPr>
      <w:r>
        <w:rPr>
          <w:rFonts w:hint="eastAsia" w:ascii="宋体" w:hAnsi="宋体" w:cs="微软雅黑"/>
          <w:b/>
          <w:sz w:val="24"/>
          <w:szCs w:val="22"/>
        </w:rPr>
        <w:t>（八）实施条件</w:t>
      </w:r>
    </w:p>
    <w:p>
      <w:pPr>
        <w:widowControl/>
        <w:spacing w:after="5" w:line="520" w:lineRule="exact"/>
        <w:ind w:firstLine="480"/>
        <w:rPr>
          <w:rFonts w:ascii="微软雅黑" w:hAnsi="微软雅黑" w:eastAsia="微软雅黑" w:cs="微软雅黑"/>
          <w:color w:val="000000"/>
          <w:sz w:val="24"/>
          <w:szCs w:val="22"/>
        </w:rPr>
      </w:pPr>
      <w:r>
        <w:rPr>
          <w:rFonts w:ascii="宋体" w:hAnsi="宋体" w:cs="微软雅黑"/>
          <w:b/>
          <w:sz w:val="24"/>
          <w:szCs w:val="22"/>
        </w:rPr>
        <w:t>1、资金条件</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本项目费用全部由市财政拨付。</w:t>
      </w:r>
    </w:p>
    <w:p>
      <w:pPr>
        <w:widowControl/>
        <w:spacing w:after="5" w:line="520" w:lineRule="exact"/>
        <w:ind w:firstLine="480"/>
        <w:rPr>
          <w:rFonts w:ascii="微软雅黑" w:hAnsi="微软雅黑" w:eastAsia="微软雅黑" w:cs="微软雅黑"/>
          <w:color w:val="000000"/>
          <w:sz w:val="24"/>
          <w:szCs w:val="22"/>
        </w:rPr>
      </w:pPr>
      <w:r>
        <w:rPr>
          <w:rFonts w:ascii="宋体" w:hAnsi="宋体" w:cs="微软雅黑"/>
          <w:b/>
          <w:sz w:val="24"/>
          <w:szCs w:val="22"/>
        </w:rPr>
        <w:t>2、基础条件</w:t>
      </w:r>
    </w:p>
    <w:p>
      <w:pPr>
        <w:widowControl/>
        <w:spacing w:after="5" w:line="520" w:lineRule="exact"/>
        <w:ind w:firstLine="480"/>
        <w:rPr>
          <w:rFonts w:ascii="宋体" w:hAnsi="宋体" w:eastAsia="微软雅黑" w:cs="微软雅黑"/>
          <w:color w:val="000000"/>
          <w:sz w:val="24"/>
          <w:szCs w:val="22"/>
        </w:rPr>
      </w:pPr>
      <w:r>
        <w:rPr>
          <w:rFonts w:hint="eastAsia" w:ascii="宋体" w:hAnsi="宋体" w:cs="微软雅黑"/>
          <w:sz w:val="24"/>
          <w:szCs w:val="22"/>
        </w:rPr>
        <w:t>市公共资源交易（综合）分平台场地智能管理系统部署于市级政务云平台（太极云平台），局域网及网络安全设备、场地信息化设备设施部署于分平台机房及场地内。</w:t>
      </w:r>
    </w:p>
    <w:p>
      <w:pPr>
        <w:pStyle w:val="6"/>
        <w:numPr>
          <w:ilvl w:val="0"/>
          <w:numId w:val="1"/>
        </w:numPr>
        <w:ind w:firstLine="482"/>
        <w:outlineLvl w:val="1"/>
        <w:rPr>
          <w:rFonts w:ascii="Times New Roman" w:hAnsi="Times New Roman"/>
          <w:b/>
          <w:sz w:val="24"/>
          <w:szCs w:val="24"/>
        </w:rPr>
      </w:pPr>
      <w:r>
        <w:rPr>
          <w:rFonts w:ascii="Times New Roman" w:hAnsi="Times New Roman"/>
          <w:b/>
          <w:sz w:val="24"/>
          <w:szCs w:val="24"/>
        </w:rPr>
        <w:t>验收标准</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1、中标人按照合同约定能够按时、保质完成阶段性服务工作。</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2、按时提交阶段性服务报告，内容较完整。</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3、应对突发事件及时妥当。</w:t>
      </w:r>
    </w:p>
    <w:p>
      <w:pPr>
        <w:widowControl/>
        <w:spacing w:after="5" w:line="520" w:lineRule="exact"/>
        <w:ind w:firstLine="480"/>
        <w:rPr>
          <w:rFonts w:ascii="宋体" w:hAnsi="宋体" w:cs="微软雅黑"/>
          <w:sz w:val="24"/>
          <w:szCs w:val="22"/>
        </w:rPr>
      </w:pPr>
      <w:r>
        <w:rPr>
          <w:rFonts w:hint="eastAsia" w:ascii="宋体" w:hAnsi="宋体" w:cs="微软雅黑"/>
          <w:sz w:val="24"/>
          <w:szCs w:val="22"/>
        </w:rPr>
        <w:t>4、不存在人为原因造成业务运行中断或错误情况。</w:t>
      </w:r>
    </w:p>
    <w:p>
      <w:pPr>
        <w:widowControl/>
        <w:spacing w:after="5" w:line="520" w:lineRule="exact"/>
        <w:ind w:firstLine="480"/>
      </w:pPr>
      <w:r>
        <w:rPr>
          <w:rFonts w:hint="eastAsia" w:ascii="宋体" w:hAnsi="宋体" w:cs="微软雅黑"/>
          <w:sz w:val="24"/>
          <w:szCs w:val="22"/>
        </w:rPr>
        <w:t>5、未收到相关投诉或举报。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55F3F8"/>
    <w:multiLevelType w:val="singleLevel"/>
    <w:tmpl w:val="F355F3F8"/>
    <w:lvl w:ilvl="0" w:tentative="0">
      <w:start w:val="1"/>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7A5F1"/>
    <w:multiLevelType w:val="singleLevel"/>
    <w:tmpl w:val="2DD7A5F1"/>
    <w:lvl w:ilvl="0" w:tentative="0">
      <w:start w:val="1"/>
      <w:numFmt w:val="decimal"/>
      <w:suff w:val="space"/>
      <w:lvlText w:val="%1."/>
      <w:lvlJc w:val="left"/>
    </w:lvl>
  </w:abstractNum>
  <w:abstractNum w:abstractNumId="3">
    <w:nsid w:val="37FD1BFB"/>
    <w:multiLevelType w:val="multilevel"/>
    <w:tmpl w:val="37FD1BF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71587A27"/>
    <w:multiLevelType w:val="singleLevel"/>
    <w:tmpl w:val="71587A27"/>
    <w:lvl w:ilvl="0" w:tentative="0">
      <w:start w:val="2"/>
      <w:numFmt w:val="decimal"/>
      <w:suff w:val="space"/>
      <w:lvlText w:val="%1."/>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F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2026-03-31T02:54:49Z</dcterms:created>
  <dc:creator>user</dc:creator>
  <cp:lastModifiedBy>11</cp:lastModifiedBy>
  <dcterms:modified xsi:type="dcterms:W3CDTF">2026-03-31T02:55:54Z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