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65BB8D">
      <w:pPr>
        <w:spacing w:line="360" w:lineRule="auto"/>
        <w:jc w:val="center"/>
        <w:outlineLvl w:val="0"/>
        <w:rPr>
          <w:b/>
          <w:sz w:val="36"/>
          <w:szCs w:val="36"/>
        </w:rPr>
      </w:pPr>
      <w:bookmarkStart w:id="0" w:name="_Toc99301424"/>
      <w:bookmarkStart w:id="1" w:name="_Toc150774760"/>
      <w:bookmarkStart w:id="2" w:name="_Toc305158897"/>
      <w:bookmarkStart w:id="3" w:name="_Toc150480793"/>
      <w:bookmarkStart w:id="4" w:name="_Toc305158823"/>
      <w:bookmarkStart w:id="5" w:name="_Toc226965828"/>
      <w:bookmarkStart w:id="6" w:name="_Toc265228393"/>
      <w:bookmarkStart w:id="7" w:name="_Toc127151555"/>
      <w:bookmarkStart w:id="8" w:name="_Toc142311057"/>
      <w:bookmarkStart w:id="9" w:name="_Toc226337251"/>
      <w:bookmarkStart w:id="10" w:name="_Toc195842920"/>
      <w:bookmarkStart w:id="11" w:name="_Toc264969245"/>
      <w:bookmarkStart w:id="12" w:name="_Toc353873935"/>
      <w:bookmarkStart w:id="13" w:name="_Toc353873665"/>
      <w:bookmarkStart w:id="14" w:name="_Toc353825545"/>
      <w:r>
        <w:rPr>
          <w:b/>
          <w:sz w:val="36"/>
          <w:szCs w:val="36"/>
        </w:rPr>
        <w:t>采购需求</w:t>
      </w:r>
      <w:bookmarkEnd w:id="0"/>
    </w:p>
    <w:p w14:paraId="4B601D5A">
      <w:pPr>
        <w:pStyle w:val="257"/>
        <w:numPr>
          <w:ilvl w:val="0"/>
          <w:numId w:val="8"/>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22DC58A6">
      <w:pPr>
        <w:spacing w:before="120" w:beforeLines="50" w:after="120" w:afterLines="50"/>
        <w:rPr>
          <w:b/>
          <w:bCs/>
          <w:color w:val="376092" w:themeColor="accent1" w:themeShade="BF"/>
          <w:sz w:val="24"/>
          <w:szCs w:val="32"/>
        </w:rPr>
      </w:pPr>
      <w:r>
        <w:rPr>
          <w:rFonts w:hint="eastAsia"/>
          <w:b/>
          <w:bCs/>
          <w:sz w:val="24"/>
          <w:szCs w:val="32"/>
        </w:rPr>
        <w:t>1、采购产品一览表</w:t>
      </w:r>
    </w:p>
    <w:tbl>
      <w:tblPr>
        <w:tblStyle w:val="43"/>
        <w:tblW w:w="48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2495"/>
        <w:gridCol w:w="2114"/>
        <w:gridCol w:w="2177"/>
        <w:gridCol w:w="776"/>
        <w:gridCol w:w="805"/>
      </w:tblGrid>
      <w:tr w14:paraId="0E58F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82" w:type="pct"/>
            <w:tcBorders>
              <w:top w:val="single" w:color="auto" w:sz="4" w:space="0"/>
              <w:left w:val="single" w:color="auto" w:sz="4" w:space="0"/>
              <w:bottom w:val="single" w:color="auto" w:sz="4" w:space="0"/>
              <w:right w:val="single" w:color="auto" w:sz="4" w:space="0"/>
            </w:tcBorders>
            <w:shd w:val="clear" w:color="auto" w:fill="BFBFBF"/>
            <w:vAlign w:val="center"/>
          </w:tcPr>
          <w:p w14:paraId="5FD2132D">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376" w:type="pct"/>
            <w:tcBorders>
              <w:top w:val="single" w:color="auto" w:sz="4" w:space="0"/>
              <w:left w:val="single" w:color="auto" w:sz="4" w:space="0"/>
              <w:bottom w:val="single" w:color="auto" w:sz="4" w:space="0"/>
              <w:right w:val="single" w:color="auto" w:sz="4" w:space="0"/>
            </w:tcBorders>
            <w:shd w:val="clear" w:color="auto" w:fill="BFBFBF"/>
            <w:vAlign w:val="center"/>
          </w:tcPr>
          <w:p w14:paraId="716A0526">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标的名称</w:t>
            </w:r>
          </w:p>
        </w:tc>
        <w:tc>
          <w:tcPr>
            <w:tcW w:w="1166" w:type="pct"/>
            <w:tcBorders>
              <w:top w:val="single" w:color="auto" w:sz="4" w:space="0"/>
              <w:left w:val="single" w:color="auto" w:sz="4" w:space="0"/>
              <w:bottom w:val="single" w:color="auto" w:sz="4" w:space="0"/>
              <w:right w:val="single" w:color="auto" w:sz="4" w:space="0"/>
            </w:tcBorders>
            <w:shd w:val="clear" w:color="auto" w:fill="BFBFBF"/>
            <w:vAlign w:val="center"/>
          </w:tcPr>
          <w:p w14:paraId="420E20A0">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是否为核心产品</w:t>
            </w:r>
          </w:p>
          <w:p w14:paraId="3004FB40">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w:t>
            </w:r>
          </w:p>
        </w:tc>
        <w:tc>
          <w:tcPr>
            <w:tcW w:w="1201" w:type="pct"/>
            <w:tcBorders>
              <w:top w:val="single" w:color="auto" w:sz="4" w:space="0"/>
              <w:left w:val="single" w:color="auto" w:sz="4" w:space="0"/>
              <w:bottom w:val="single" w:color="auto" w:sz="4" w:space="0"/>
              <w:right w:val="single" w:color="auto" w:sz="4" w:space="0"/>
            </w:tcBorders>
            <w:shd w:val="clear" w:color="auto" w:fill="BFBFBF"/>
            <w:vAlign w:val="center"/>
          </w:tcPr>
          <w:p w14:paraId="6DF65F8B">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是否采购进口产品</w:t>
            </w:r>
          </w:p>
          <w:p w14:paraId="16FBD0EE">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w:t>
            </w:r>
          </w:p>
        </w:tc>
        <w:tc>
          <w:tcPr>
            <w:tcW w:w="428" w:type="pct"/>
            <w:tcBorders>
              <w:top w:val="single" w:color="auto" w:sz="4" w:space="0"/>
              <w:left w:val="single" w:color="auto" w:sz="4" w:space="0"/>
              <w:bottom w:val="single" w:color="auto" w:sz="4" w:space="0"/>
              <w:right w:val="single" w:color="auto" w:sz="4" w:space="0"/>
            </w:tcBorders>
            <w:shd w:val="clear" w:color="auto" w:fill="BFBFBF"/>
            <w:vAlign w:val="center"/>
          </w:tcPr>
          <w:p w14:paraId="6EDC0D36">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w:t>
            </w:r>
          </w:p>
        </w:tc>
        <w:tc>
          <w:tcPr>
            <w:tcW w:w="444" w:type="pct"/>
            <w:tcBorders>
              <w:top w:val="single" w:color="auto" w:sz="4" w:space="0"/>
              <w:left w:val="single" w:color="auto" w:sz="4" w:space="0"/>
              <w:bottom w:val="single" w:color="auto" w:sz="4" w:space="0"/>
              <w:right w:val="single" w:color="auto" w:sz="4" w:space="0"/>
            </w:tcBorders>
            <w:shd w:val="clear" w:color="auto" w:fill="BFBFBF"/>
            <w:vAlign w:val="center"/>
          </w:tcPr>
          <w:p w14:paraId="6A9DC782">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数量</w:t>
            </w:r>
          </w:p>
        </w:tc>
      </w:tr>
      <w:tr w14:paraId="2CF1F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82" w:type="pct"/>
            <w:tcBorders>
              <w:top w:val="single" w:color="auto" w:sz="4" w:space="0"/>
              <w:left w:val="single" w:color="auto" w:sz="4" w:space="0"/>
              <w:bottom w:val="single" w:color="auto" w:sz="4" w:space="0"/>
              <w:right w:val="single" w:color="auto" w:sz="4" w:space="0"/>
            </w:tcBorders>
            <w:vAlign w:val="center"/>
          </w:tcPr>
          <w:p w14:paraId="0E6B725E">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p>
        </w:tc>
        <w:tc>
          <w:tcPr>
            <w:tcW w:w="1376" w:type="pct"/>
            <w:vAlign w:val="center"/>
          </w:tcPr>
          <w:p w14:paraId="413F2B4A">
            <w:pPr>
              <w:snapToGrid w:val="0"/>
              <w:jc w:val="center"/>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工作站</w:t>
            </w:r>
          </w:p>
        </w:tc>
        <w:tc>
          <w:tcPr>
            <w:tcW w:w="1166" w:type="pct"/>
            <w:tcBorders>
              <w:top w:val="single" w:color="auto" w:sz="4" w:space="0"/>
              <w:left w:val="single" w:color="auto" w:sz="4" w:space="0"/>
              <w:bottom w:val="single" w:color="auto" w:sz="4" w:space="0"/>
              <w:right w:val="single" w:color="auto" w:sz="4" w:space="0"/>
            </w:tcBorders>
            <w:vAlign w:val="center"/>
          </w:tcPr>
          <w:p w14:paraId="6AE868C2">
            <w:pPr>
              <w:snapToGrid w:val="0"/>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1201" w:type="pct"/>
            <w:tcBorders>
              <w:top w:val="single" w:color="auto" w:sz="4" w:space="0"/>
              <w:left w:val="single" w:color="auto" w:sz="4" w:space="0"/>
              <w:bottom w:val="single" w:color="auto" w:sz="4" w:space="0"/>
              <w:right w:val="single" w:color="auto" w:sz="4" w:space="0"/>
            </w:tcBorders>
            <w:vAlign w:val="center"/>
          </w:tcPr>
          <w:p w14:paraId="6373019A">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否</w:t>
            </w:r>
          </w:p>
        </w:tc>
        <w:tc>
          <w:tcPr>
            <w:tcW w:w="428" w:type="pct"/>
            <w:vAlign w:val="center"/>
          </w:tcPr>
          <w:p w14:paraId="159FEBEA">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36</w:t>
            </w:r>
          </w:p>
        </w:tc>
        <w:tc>
          <w:tcPr>
            <w:tcW w:w="444" w:type="pct"/>
            <w:vAlign w:val="center"/>
          </w:tcPr>
          <w:p w14:paraId="094ABEC7">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台</w:t>
            </w:r>
          </w:p>
        </w:tc>
      </w:tr>
      <w:tr w14:paraId="236A4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82" w:type="pct"/>
            <w:tcBorders>
              <w:top w:val="single" w:color="auto" w:sz="4" w:space="0"/>
              <w:left w:val="single" w:color="auto" w:sz="4" w:space="0"/>
              <w:bottom w:val="single" w:color="auto" w:sz="4" w:space="0"/>
              <w:right w:val="single" w:color="auto" w:sz="4" w:space="0"/>
            </w:tcBorders>
            <w:vAlign w:val="center"/>
          </w:tcPr>
          <w:p w14:paraId="1D475257">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w:t>
            </w:r>
          </w:p>
        </w:tc>
        <w:tc>
          <w:tcPr>
            <w:tcW w:w="1376" w:type="pct"/>
            <w:vAlign w:val="center"/>
          </w:tcPr>
          <w:p w14:paraId="3D2CF6A0">
            <w:pPr>
              <w:snapToGrid w:val="0"/>
              <w:jc w:val="center"/>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显示器</w:t>
            </w:r>
          </w:p>
        </w:tc>
        <w:tc>
          <w:tcPr>
            <w:tcW w:w="1166" w:type="pct"/>
            <w:tcBorders>
              <w:top w:val="single" w:color="auto" w:sz="4" w:space="0"/>
              <w:left w:val="single" w:color="auto" w:sz="4" w:space="0"/>
              <w:bottom w:val="single" w:color="auto" w:sz="4" w:space="0"/>
              <w:right w:val="single" w:color="auto" w:sz="4" w:space="0"/>
            </w:tcBorders>
            <w:shd w:val="clear" w:color="auto" w:fill="auto"/>
            <w:vAlign w:val="center"/>
          </w:tcPr>
          <w:p w14:paraId="7DDEFF24">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否</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745D0EB5">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否</w:t>
            </w:r>
          </w:p>
        </w:tc>
        <w:tc>
          <w:tcPr>
            <w:tcW w:w="428" w:type="pct"/>
            <w:shd w:val="clear" w:color="auto" w:fill="auto"/>
            <w:vAlign w:val="center"/>
          </w:tcPr>
          <w:p w14:paraId="6F8A7115">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72</w:t>
            </w:r>
          </w:p>
        </w:tc>
        <w:tc>
          <w:tcPr>
            <w:tcW w:w="444" w:type="pct"/>
            <w:shd w:val="clear" w:color="auto" w:fill="auto"/>
            <w:vAlign w:val="center"/>
          </w:tcPr>
          <w:p w14:paraId="64BE2576">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台</w:t>
            </w:r>
          </w:p>
        </w:tc>
      </w:tr>
      <w:tr w14:paraId="101A0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82" w:type="pct"/>
            <w:tcBorders>
              <w:top w:val="single" w:color="auto" w:sz="4" w:space="0"/>
              <w:left w:val="single" w:color="auto" w:sz="4" w:space="0"/>
              <w:bottom w:val="single" w:color="auto" w:sz="4" w:space="0"/>
              <w:right w:val="single" w:color="auto" w:sz="4" w:space="0"/>
            </w:tcBorders>
            <w:vAlign w:val="center"/>
          </w:tcPr>
          <w:p w14:paraId="1ED14C3D">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w:t>
            </w:r>
          </w:p>
        </w:tc>
        <w:tc>
          <w:tcPr>
            <w:tcW w:w="1376" w:type="pct"/>
            <w:vAlign w:val="center"/>
          </w:tcPr>
          <w:p w14:paraId="0E3E3D7F">
            <w:pPr>
              <w:snapToGrid w:val="0"/>
              <w:jc w:val="center"/>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机房管理系统</w:t>
            </w:r>
          </w:p>
        </w:tc>
        <w:tc>
          <w:tcPr>
            <w:tcW w:w="1166" w:type="pct"/>
            <w:tcBorders>
              <w:top w:val="single" w:color="auto" w:sz="4" w:space="0"/>
              <w:left w:val="single" w:color="auto" w:sz="4" w:space="0"/>
              <w:bottom w:val="single" w:color="auto" w:sz="4" w:space="0"/>
              <w:right w:val="single" w:color="auto" w:sz="4" w:space="0"/>
            </w:tcBorders>
            <w:shd w:val="clear" w:color="auto" w:fill="auto"/>
            <w:vAlign w:val="center"/>
          </w:tcPr>
          <w:p w14:paraId="043C8E37">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否</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6CE5BA4C">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否</w:t>
            </w:r>
          </w:p>
        </w:tc>
        <w:tc>
          <w:tcPr>
            <w:tcW w:w="428" w:type="pct"/>
            <w:shd w:val="clear" w:color="auto" w:fill="auto"/>
            <w:vAlign w:val="center"/>
          </w:tcPr>
          <w:p w14:paraId="502C415C">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p>
        </w:tc>
        <w:tc>
          <w:tcPr>
            <w:tcW w:w="444" w:type="pct"/>
            <w:shd w:val="clear" w:color="auto" w:fill="auto"/>
            <w:vAlign w:val="center"/>
          </w:tcPr>
          <w:p w14:paraId="7EA0E7A6">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套</w:t>
            </w:r>
          </w:p>
        </w:tc>
      </w:tr>
      <w:tr w14:paraId="55E8F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82" w:type="pct"/>
            <w:tcBorders>
              <w:top w:val="single" w:color="auto" w:sz="4" w:space="0"/>
              <w:left w:val="single" w:color="auto" w:sz="4" w:space="0"/>
              <w:bottom w:val="single" w:color="auto" w:sz="4" w:space="0"/>
              <w:right w:val="single" w:color="auto" w:sz="4" w:space="0"/>
            </w:tcBorders>
            <w:vAlign w:val="center"/>
          </w:tcPr>
          <w:p w14:paraId="0404E6F2">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p>
        </w:tc>
        <w:tc>
          <w:tcPr>
            <w:tcW w:w="1376" w:type="pct"/>
            <w:vAlign w:val="center"/>
          </w:tcPr>
          <w:p w14:paraId="140AE39D">
            <w:pPr>
              <w:snapToGrid w:val="0"/>
              <w:jc w:val="center"/>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交换机</w:t>
            </w:r>
          </w:p>
        </w:tc>
        <w:tc>
          <w:tcPr>
            <w:tcW w:w="1166" w:type="pct"/>
            <w:tcBorders>
              <w:top w:val="single" w:color="auto" w:sz="4" w:space="0"/>
              <w:left w:val="single" w:color="auto" w:sz="4" w:space="0"/>
              <w:bottom w:val="single" w:color="auto" w:sz="4" w:space="0"/>
              <w:right w:val="single" w:color="auto" w:sz="4" w:space="0"/>
            </w:tcBorders>
            <w:shd w:val="clear" w:color="auto" w:fill="auto"/>
            <w:vAlign w:val="center"/>
          </w:tcPr>
          <w:p w14:paraId="4CB1DF0A">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否</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30027113">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否</w:t>
            </w:r>
          </w:p>
        </w:tc>
        <w:tc>
          <w:tcPr>
            <w:tcW w:w="428" w:type="pct"/>
            <w:shd w:val="clear" w:color="auto" w:fill="auto"/>
            <w:vAlign w:val="center"/>
          </w:tcPr>
          <w:p w14:paraId="14F52798">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p>
        </w:tc>
        <w:tc>
          <w:tcPr>
            <w:tcW w:w="444" w:type="pct"/>
            <w:shd w:val="clear" w:color="auto" w:fill="auto"/>
            <w:vAlign w:val="center"/>
          </w:tcPr>
          <w:p w14:paraId="42EB0F1E">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件</w:t>
            </w:r>
          </w:p>
        </w:tc>
      </w:tr>
      <w:tr w14:paraId="40931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82" w:type="pct"/>
            <w:tcBorders>
              <w:top w:val="single" w:color="auto" w:sz="4" w:space="0"/>
              <w:left w:val="single" w:color="auto" w:sz="4" w:space="0"/>
              <w:bottom w:val="single" w:color="auto" w:sz="4" w:space="0"/>
              <w:right w:val="single" w:color="auto" w:sz="4" w:space="0"/>
            </w:tcBorders>
            <w:vAlign w:val="center"/>
          </w:tcPr>
          <w:p w14:paraId="015AF35A">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5</w:t>
            </w:r>
          </w:p>
        </w:tc>
        <w:tc>
          <w:tcPr>
            <w:tcW w:w="1376" w:type="pct"/>
            <w:vAlign w:val="center"/>
          </w:tcPr>
          <w:p w14:paraId="4BA254FA">
            <w:pPr>
              <w:snapToGrid w:val="0"/>
              <w:jc w:val="center"/>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功放</w:t>
            </w:r>
          </w:p>
        </w:tc>
        <w:tc>
          <w:tcPr>
            <w:tcW w:w="1166" w:type="pct"/>
            <w:tcBorders>
              <w:top w:val="single" w:color="auto" w:sz="4" w:space="0"/>
              <w:left w:val="single" w:color="auto" w:sz="4" w:space="0"/>
              <w:bottom w:val="single" w:color="auto" w:sz="4" w:space="0"/>
              <w:right w:val="single" w:color="auto" w:sz="4" w:space="0"/>
            </w:tcBorders>
            <w:shd w:val="clear" w:color="auto" w:fill="auto"/>
            <w:vAlign w:val="center"/>
          </w:tcPr>
          <w:p w14:paraId="08C61BBE">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否</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758DD5C1">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否</w:t>
            </w:r>
          </w:p>
        </w:tc>
        <w:tc>
          <w:tcPr>
            <w:tcW w:w="428" w:type="pct"/>
            <w:shd w:val="clear" w:color="auto" w:fill="auto"/>
            <w:vAlign w:val="center"/>
          </w:tcPr>
          <w:p w14:paraId="6B3A57F3">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p>
        </w:tc>
        <w:tc>
          <w:tcPr>
            <w:tcW w:w="444" w:type="pct"/>
            <w:shd w:val="clear" w:color="auto" w:fill="auto"/>
            <w:vAlign w:val="center"/>
          </w:tcPr>
          <w:p w14:paraId="61C8E607">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台</w:t>
            </w:r>
          </w:p>
        </w:tc>
      </w:tr>
      <w:tr w14:paraId="4B5EE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82" w:type="pct"/>
            <w:tcBorders>
              <w:top w:val="single" w:color="auto" w:sz="4" w:space="0"/>
              <w:left w:val="single" w:color="auto" w:sz="4" w:space="0"/>
              <w:bottom w:val="single" w:color="auto" w:sz="4" w:space="0"/>
              <w:right w:val="single" w:color="auto" w:sz="4" w:space="0"/>
            </w:tcBorders>
            <w:vAlign w:val="center"/>
          </w:tcPr>
          <w:p w14:paraId="30EB3A0F">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6</w:t>
            </w:r>
          </w:p>
        </w:tc>
        <w:tc>
          <w:tcPr>
            <w:tcW w:w="1376" w:type="pct"/>
            <w:vAlign w:val="center"/>
          </w:tcPr>
          <w:p w14:paraId="5C3E09F4">
            <w:pPr>
              <w:snapToGrid w:val="0"/>
              <w:jc w:val="center"/>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无线麦克风</w:t>
            </w:r>
          </w:p>
        </w:tc>
        <w:tc>
          <w:tcPr>
            <w:tcW w:w="1166" w:type="pct"/>
            <w:tcBorders>
              <w:top w:val="single" w:color="auto" w:sz="4" w:space="0"/>
              <w:left w:val="single" w:color="auto" w:sz="4" w:space="0"/>
              <w:bottom w:val="single" w:color="auto" w:sz="4" w:space="0"/>
              <w:right w:val="single" w:color="auto" w:sz="4" w:space="0"/>
            </w:tcBorders>
            <w:shd w:val="clear" w:color="auto" w:fill="auto"/>
            <w:vAlign w:val="center"/>
          </w:tcPr>
          <w:p w14:paraId="60B62D46">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否</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08A443F4">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否</w:t>
            </w:r>
          </w:p>
        </w:tc>
        <w:tc>
          <w:tcPr>
            <w:tcW w:w="428" w:type="pct"/>
            <w:shd w:val="clear" w:color="auto" w:fill="auto"/>
            <w:vAlign w:val="center"/>
          </w:tcPr>
          <w:p w14:paraId="3BECEF40">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p>
        </w:tc>
        <w:tc>
          <w:tcPr>
            <w:tcW w:w="444" w:type="pct"/>
            <w:shd w:val="clear" w:color="auto" w:fill="auto"/>
            <w:vAlign w:val="center"/>
          </w:tcPr>
          <w:p w14:paraId="4238B4D9">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套</w:t>
            </w:r>
          </w:p>
        </w:tc>
      </w:tr>
      <w:tr w14:paraId="612AE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82" w:type="pct"/>
            <w:tcBorders>
              <w:top w:val="single" w:color="auto" w:sz="4" w:space="0"/>
              <w:left w:val="single" w:color="auto" w:sz="4" w:space="0"/>
              <w:bottom w:val="single" w:color="auto" w:sz="4" w:space="0"/>
              <w:right w:val="single" w:color="auto" w:sz="4" w:space="0"/>
            </w:tcBorders>
            <w:vAlign w:val="center"/>
          </w:tcPr>
          <w:p w14:paraId="57B9A912">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7</w:t>
            </w:r>
          </w:p>
        </w:tc>
        <w:tc>
          <w:tcPr>
            <w:tcW w:w="1376" w:type="pct"/>
            <w:vAlign w:val="center"/>
          </w:tcPr>
          <w:p w14:paraId="2FBCA9C4">
            <w:pPr>
              <w:snapToGrid w:val="0"/>
              <w:jc w:val="center"/>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会议麦克风</w:t>
            </w:r>
          </w:p>
        </w:tc>
        <w:tc>
          <w:tcPr>
            <w:tcW w:w="1166" w:type="pct"/>
            <w:tcBorders>
              <w:top w:val="single" w:color="auto" w:sz="4" w:space="0"/>
              <w:left w:val="single" w:color="auto" w:sz="4" w:space="0"/>
              <w:bottom w:val="single" w:color="auto" w:sz="4" w:space="0"/>
              <w:right w:val="single" w:color="auto" w:sz="4" w:space="0"/>
            </w:tcBorders>
            <w:shd w:val="clear" w:color="auto" w:fill="auto"/>
            <w:vAlign w:val="center"/>
          </w:tcPr>
          <w:p w14:paraId="6442B250">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否</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0C8A2E41">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否</w:t>
            </w:r>
          </w:p>
        </w:tc>
        <w:tc>
          <w:tcPr>
            <w:tcW w:w="428" w:type="pct"/>
            <w:shd w:val="clear" w:color="auto" w:fill="auto"/>
            <w:vAlign w:val="center"/>
          </w:tcPr>
          <w:p w14:paraId="299E1D71">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p>
        </w:tc>
        <w:tc>
          <w:tcPr>
            <w:tcW w:w="444" w:type="pct"/>
            <w:shd w:val="clear" w:color="auto" w:fill="auto"/>
            <w:vAlign w:val="center"/>
          </w:tcPr>
          <w:p w14:paraId="4D8399A2">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套</w:t>
            </w:r>
          </w:p>
        </w:tc>
      </w:tr>
      <w:tr w14:paraId="35DCD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82" w:type="pct"/>
            <w:tcBorders>
              <w:top w:val="single" w:color="auto" w:sz="4" w:space="0"/>
              <w:left w:val="single" w:color="auto" w:sz="4" w:space="0"/>
              <w:bottom w:val="single" w:color="auto" w:sz="4" w:space="0"/>
              <w:right w:val="single" w:color="auto" w:sz="4" w:space="0"/>
            </w:tcBorders>
            <w:vAlign w:val="center"/>
          </w:tcPr>
          <w:p w14:paraId="761587D1">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8</w:t>
            </w:r>
          </w:p>
        </w:tc>
        <w:tc>
          <w:tcPr>
            <w:tcW w:w="1376" w:type="pct"/>
            <w:vAlign w:val="center"/>
          </w:tcPr>
          <w:p w14:paraId="4D25DA75">
            <w:pPr>
              <w:snapToGrid w:val="0"/>
              <w:jc w:val="center"/>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机房耳麦</w:t>
            </w:r>
          </w:p>
        </w:tc>
        <w:tc>
          <w:tcPr>
            <w:tcW w:w="1166" w:type="pct"/>
            <w:tcBorders>
              <w:top w:val="single" w:color="auto" w:sz="4" w:space="0"/>
              <w:left w:val="single" w:color="auto" w:sz="4" w:space="0"/>
              <w:bottom w:val="single" w:color="auto" w:sz="4" w:space="0"/>
              <w:right w:val="single" w:color="auto" w:sz="4" w:space="0"/>
            </w:tcBorders>
            <w:shd w:val="clear" w:color="auto" w:fill="auto"/>
            <w:vAlign w:val="center"/>
          </w:tcPr>
          <w:p w14:paraId="165745F9">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否</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784A4ED6">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否</w:t>
            </w:r>
          </w:p>
        </w:tc>
        <w:tc>
          <w:tcPr>
            <w:tcW w:w="428" w:type="pct"/>
            <w:shd w:val="clear" w:color="auto" w:fill="auto"/>
            <w:vAlign w:val="center"/>
          </w:tcPr>
          <w:p w14:paraId="2F9F9A32">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36</w:t>
            </w:r>
          </w:p>
        </w:tc>
        <w:tc>
          <w:tcPr>
            <w:tcW w:w="444" w:type="pct"/>
            <w:shd w:val="clear" w:color="auto" w:fill="auto"/>
            <w:vAlign w:val="center"/>
          </w:tcPr>
          <w:p w14:paraId="01D7C4E7">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套</w:t>
            </w:r>
          </w:p>
        </w:tc>
      </w:tr>
      <w:tr w14:paraId="0F627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82" w:type="pct"/>
            <w:tcBorders>
              <w:top w:val="single" w:color="auto" w:sz="4" w:space="0"/>
              <w:left w:val="single" w:color="auto" w:sz="4" w:space="0"/>
              <w:bottom w:val="single" w:color="auto" w:sz="4" w:space="0"/>
              <w:right w:val="single" w:color="auto" w:sz="4" w:space="0"/>
            </w:tcBorders>
            <w:vAlign w:val="center"/>
          </w:tcPr>
          <w:p w14:paraId="084C4CE5">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9</w:t>
            </w:r>
          </w:p>
        </w:tc>
        <w:tc>
          <w:tcPr>
            <w:tcW w:w="1376" w:type="pct"/>
            <w:vAlign w:val="center"/>
          </w:tcPr>
          <w:p w14:paraId="564D7D2D">
            <w:pPr>
              <w:snapToGrid w:val="0"/>
              <w:jc w:val="center"/>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工作台</w:t>
            </w:r>
          </w:p>
        </w:tc>
        <w:tc>
          <w:tcPr>
            <w:tcW w:w="1166" w:type="pct"/>
            <w:tcBorders>
              <w:top w:val="single" w:color="auto" w:sz="4" w:space="0"/>
              <w:left w:val="single" w:color="auto" w:sz="4" w:space="0"/>
              <w:bottom w:val="single" w:color="auto" w:sz="4" w:space="0"/>
              <w:right w:val="single" w:color="auto" w:sz="4" w:space="0"/>
            </w:tcBorders>
            <w:shd w:val="clear" w:color="auto" w:fill="auto"/>
            <w:vAlign w:val="center"/>
          </w:tcPr>
          <w:p w14:paraId="28257458">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否</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2D45B2C0">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否</w:t>
            </w:r>
          </w:p>
        </w:tc>
        <w:tc>
          <w:tcPr>
            <w:tcW w:w="428" w:type="pct"/>
            <w:shd w:val="clear" w:color="auto" w:fill="auto"/>
            <w:vAlign w:val="center"/>
          </w:tcPr>
          <w:p w14:paraId="0D69A9BE">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36</w:t>
            </w:r>
          </w:p>
        </w:tc>
        <w:tc>
          <w:tcPr>
            <w:tcW w:w="444" w:type="pct"/>
            <w:shd w:val="clear" w:color="auto" w:fill="auto"/>
            <w:vAlign w:val="center"/>
          </w:tcPr>
          <w:p w14:paraId="6E6C47B0">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套</w:t>
            </w:r>
          </w:p>
        </w:tc>
      </w:tr>
      <w:tr w14:paraId="76CFE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82" w:type="pct"/>
            <w:tcBorders>
              <w:top w:val="single" w:color="auto" w:sz="4" w:space="0"/>
              <w:left w:val="single" w:color="auto" w:sz="4" w:space="0"/>
              <w:bottom w:val="single" w:color="auto" w:sz="4" w:space="0"/>
              <w:right w:val="single" w:color="auto" w:sz="4" w:space="0"/>
            </w:tcBorders>
            <w:vAlign w:val="center"/>
          </w:tcPr>
          <w:p w14:paraId="641DE25F">
            <w:pPr>
              <w:snapToGrid w:val="0"/>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10</w:t>
            </w:r>
          </w:p>
        </w:tc>
        <w:tc>
          <w:tcPr>
            <w:tcW w:w="1376" w:type="pct"/>
            <w:shd w:val="clear" w:color="auto" w:fill="auto"/>
            <w:vAlign w:val="center"/>
          </w:tcPr>
          <w:p w14:paraId="2EF26B82">
            <w:pPr>
              <w:snapToGrid w:val="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网线</w:t>
            </w:r>
          </w:p>
        </w:tc>
        <w:tc>
          <w:tcPr>
            <w:tcW w:w="1166" w:type="pct"/>
            <w:tcBorders>
              <w:top w:val="single" w:color="auto" w:sz="4" w:space="0"/>
              <w:left w:val="single" w:color="auto" w:sz="4" w:space="0"/>
              <w:bottom w:val="single" w:color="auto" w:sz="4" w:space="0"/>
              <w:right w:val="single" w:color="auto" w:sz="4" w:space="0"/>
            </w:tcBorders>
            <w:shd w:val="clear" w:color="auto" w:fill="auto"/>
            <w:vAlign w:val="center"/>
          </w:tcPr>
          <w:p w14:paraId="19E6EFEB">
            <w:pPr>
              <w:snapToGrid w:val="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否</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7C89CA4C">
            <w:pPr>
              <w:snapToGrid w:val="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否</w:t>
            </w:r>
          </w:p>
        </w:tc>
        <w:tc>
          <w:tcPr>
            <w:tcW w:w="428" w:type="pct"/>
            <w:shd w:val="clear" w:color="auto" w:fill="auto"/>
            <w:vAlign w:val="center"/>
          </w:tcPr>
          <w:p w14:paraId="52BA3602">
            <w:pPr>
              <w:snapToGrid w:val="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p>
        </w:tc>
        <w:tc>
          <w:tcPr>
            <w:tcW w:w="444" w:type="pct"/>
            <w:shd w:val="clear" w:color="auto" w:fill="auto"/>
            <w:vAlign w:val="center"/>
          </w:tcPr>
          <w:p w14:paraId="08008CD0">
            <w:pPr>
              <w:snapToGrid w:val="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箱</w:t>
            </w:r>
          </w:p>
        </w:tc>
      </w:tr>
      <w:tr w14:paraId="62313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82" w:type="pct"/>
            <w:tcBorders>
              <w:top w:val="single" w:color="auto" w:sz="4" w:space="0"/>
              <w:left w:val="single" w:color="auto" w:sz="4" w:space="0"/>
              <w:bottom w:val="single" w:color="auto" w:sz="4" w:space="0"/>
              <w:right w:val="single" w:color="auto" w:sz="4" w:space="0"/>
            </w:tcBorders>
            <w:vAlign w:val="center"/>
          </w:tcPr>
          <w:p w14:paraId="2C941F61">
            <w:pPr>
              <w:snapToGrid w:val="0"/>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11</w:t>
            </w:r>
          </w:p>
        </w:tc>
        <w:tc>
          <w:tcPr>
            <w:tcW w:w="1376" w:type="pct"/>
            <w:shd w:val="clear" w:color="auto" w:fill="auto"/>
            <w:vAlign w:val="center"/>
          </w:tcPr>
          <w:p w14:paraId="78070739">
            <w:pPr>
              <w:snapToGrid w:val="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机柜</w:t>
            </w:r>
          </w:p>
        </w:tc>
        <w:tc>
          <w:tcPr>
            <w:tcW w:w="1166" w:type="pct"/>
            <w:tcBorders>
              <w:top w:val="single" w:color="auto" w:sz="4" w:space="0"/>
              <w:left w:val="single" w:color="auto" w:sz="4" w:space="0"/>
              <w:bottom w:val="single" w:color="auto" w:sz="4" w:space="0"/>
              <w:right w:val="single" w:color="auto" w:sz="4" w:space="0"/>
            </w:tcBorders>
            <w:shd w:val="clear" w:color="auto" w:fill="auto"/>
            <w:vAlign w:val="center"/>
          </w:tcPr>
          <w:p w14:paraId="456D031C">
            <w:pPr>
              <w:snapToGrid w:val="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否</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126C84A8">
            <w:pPr>
              <w:snapToGrid w:val="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否</w:t>
            </w:r>
          </w:p>
        </w:tc>
        <w:tc>
          <w:tcPr>
            <w:tcW w:w="428" w:type="pct"/>
            <w:shd w:val="clear" w:color="auto" w:fill="auto"/>
            <w:vAlign w:val="center"/>
          </w:tcPr>
          <w:p w14:paraId="47D30584">
            <w:pPr>
              <w:snapToGrid w:val="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p>
        </w:tc>
        <w:tc>
          <w:tcPr>
            <w:tcW w:w="444" w:type="pct"/>
            <w:shd w:val="clear" w:color="auto" w:fill="auto"/>
            <w:vAlign w:val="center"/>
          </w:tcPr>
          <w:p w14:paraId="5C8B6E69">
            <w:pPr>
              <w:snapToGrid w:val="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个</w:t>
            </w:r>
          </w:p>
        </w:tc>
      </w:tr>
      <w:tr w14:paraId="727B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82" w:type="pct"/>
            <w:tcBorders>
              <w:top w:val="single" w:color="auto" w:sz="4" w:space="0"/>
              <w:left w:val="single" w:color="auto" w:sz="4" w:space="0"/>
              <w:bottom w:val="single" w:color="auto" w:sz="4" w:space="0"/>
              <w:right w:val="single" w:color="auto" w:sz="4" w:space="0"/>
            </w:tcBorders>
            <w:vAlign w:val="center"/>
          </w:tcPr>
          <w:p w14:paraId="3C7BC306">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12</w:t>
            </w:r>
          </w:p>
        </w:tc>
        <w:tc>
          <w:tcPr>
            <w:tcW w:w="1376" w:type="pct"/>
            <w:shd w:val="clear" w:color="auto" w:fill="auto"/>
            <w:vAlign w:val="center"/>
          </w:tcPr>
          <w:p w14:paraId="2AC30120">
            <w:pPr>
              <w:snapToGrid w:val="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系统集成</w:t>
            </w:r>
          </w:p>
        </w:tc>
        <w:tc>
          <w:tcPr>
            <w:tcW w:w="1166" w:type="pct"/>
            <w:tcBorders>
              <w:top w:val="single" w:color="auto" w:sz="4" w:space="0"/>
              <w:left w:val="single" w:color="auto" w:sz="4" w:space="0"/>
              <w:bottom w:val="single" w:color="auto" w:sz="4" w:space="0"/>
              <w:right w:val="single" w:color="auto" w:sz="4" w:space="0"/>
            </w:tcBorders>
            <w:shd w:val="clear" w:color="auto" w:fill="auto"/>
            <w:vAlign w:val="center"/>
          </w:tcPr>
          <w:p w14:paraId="2C92D41D">
            <w:pPr>
              <w:snapToGrid w:val="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否</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0FE5FB8F">
            <w:pPr>
              <w:snapToGrid w:val="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否</w:t>
            </w:r>
          </w:p>
        </w:tc>
        <w:tc>
          <w:tcPr>
            <w:tcW w:w="428" w:type="pct"/>
            <w:shd w:val="clear" w:color="auto" w:fill="auto"/>
            <w:vAlign w:val="center"/>
          </w:tcPr>
          <w:p w14:paraId="5A103BF3">
            <w:pPr>
              <w:snapToGrid w:val="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p>
        </w:tc>
        <w:tc>
          <w:tcPr>
            <w:tcW w:w="444" w:type="pct"/>
            <w:shd w:val="clear" w:color="auto" w:fill="auto"/>
            <w:vAlign w:val="center"/>
          </w:tcPr>
          <w:p w14:paraId="7AC10CCB">
            <w:pPr>
              <w:snapToGrid w:val="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项</w:t>
            </w:r>
          </w:p>
        </w:tc>
      </w:tr>
    </w:tbl>
    <w:p w14:paraId="6B02C85C">
      <w:pPr>
        <w:spacing w:line="360" w:lineRule="auto"/>
        <w:ind w:firstLine="482"/>
        <w:contextualSpacing/>
        <w:rPr>
          <w:b/>
          <w:sz w:val="24"/>
        </w:rPr>
      </w:pPr>
    </w:p>
    <w:p w14:paraId="049301BA">
      <w:pPr>
        <w:pStyle w:val="257"/>
        <w:numPr>
          <w:ilvl w:val="0"/>
          <w:numId w:val="8"/>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29FA52B8">
      <w:pPr>
        <w:spacing w:line="360" w:lineRule="auto"/>
        <w:contextualSpacing/>
        <w:rPr>
          <w:i/>
          <w:sz w:val="24"/>
        </w:rPr>
      </w:pPr>
      <w:r>
        <w:rPr>
          <w:sz w:val="24"/>
        </w:rPr>
        <w:t>1. 交付的时间和地点</w:t>
      </w:r>
    </w:p>
    <w:p w14:paraId="164CBDB9">
      <w:pPr>
        <w:spacing w:line="360" w:lineRule="auto"/>
        <w:ind w:firstLine="240" w:firstLineChars="100"/>
        <w:contextualSpacing/>
        <w:rPr>
          <w:sz w:val="24"/>
        </w:rPr>
      </w:pPr>
      <w:r>
        <w:rPr>
          <w:rFonts w:hint="eastAsia"/>
          <w:sz w:val="24"/>
        </w:rPr>
        <w:t>交货期：合同签订后60 日内完成全部供货。</w:t>
      </w:r>
    </w:p>
    <w:p w14:paraId="7DC1C9C3">
      <w:pPr>
        <w:spacing w:line="360" w:lineRule="auto"/>
        <w:ind w:firstLine="240" w:firstLineChars="100"/>
        <w:contextualSpacing/>
        <w:rPr>
          <w:sz w:val="24"/>
        </w:rPr>
      </w:pPr>
      <w:r>
        <w:rPr>
          <w:rFonts w:hint="eastAsia"/>
          <w:sz w:val="24"/>
        </w:rPr>
        <w:t>交货地点：北京市工业技师学院。</w:t>
      </w:r>
    </w:p>
    <w:p w14:paraId="51BB7217">
      <w:pPr>
        <w:spacing w:line="360" w:lineRule="auto"/>
        <w:contextualSpacing/>
        <w:rPr>
          <w:sz w:val="24"/>
        </w:rPr>
      </w:pPr>
      <w:r>
        <w:rPr>
          <w:sz w:val="24"/>
        </w:rPr>
        <w:t>2. 付款条件</w:t>
      </w:r>
    </w:p>
    <w:p w14:paraId="7470C962">
      <w:pPr>
        <w:spacing w:line="360" w:lineRule="auto"/>
        <w:ind w:firstLine="240" w:firstLineChars="100"/>
        <w:contextualSpacing/>
        <w:rPr>
          <w:sz w:val="24"/>
        </w:rPr>
      </w:pPr>
      <w:r>
        <w:rPr>
          <w:rFonts w:hint="eastAsia"/>
          <w:sz w:val="24"/>
        </w:rPr>
        <w:t>签订合同后七日内，乙方首先向甲方支付履约保证金(合同总金额的5%)，</w:t>
      </w:r>
      <w:r>
        <w:rPr>
          <w:rFonts w:hint="eastAsia" w:ascii="宋体" w:hAnsi="宋体" w:cs="宋体"/>
          <w:sz w:val="24"/>
        </w:rPr>
        <w:t>甲方接到履约保证金后1个月内，甲方向乙方支付中标总金额</w:t>
      </w:r>
      <w:r>
        <w:rPr>
          <w:rFonts w:hint="eastAsia"/>
          <w:sz w:val="24"/>
          <w:lang w:val="en-US" w:eastAsia="zh-CN"/>
        </w:rPr>
        <w:t>5</w:t>
      </w:r>
      <w:r>
        <w:rPr>
          <w:sz w:val="24"/>
        </w:rPr>
        <w:t>0</w:t>
      </w:r>
      <w:r>
        <w:rPr>
          <w:rFonts w:hint="eastAsia"/>
          <w:sz w:val="24"/>
        </w:rPr>
        <w:t>%</w:t>
      </w:r>
      <w:r>
        <w:rPr>
          <w:rFonts w:hint="eastAsia" w:ascii="宋体" w:hAnsi="宋体" w:cs="宋体"/>
          <w:sz w:val="24"/>
        </w:rPr>
        <w:t>的预付款</w:t>
      </w:r>
      <w:r>
        <w:rPr>
          <w:rFonts w:hint="eastAsia"/>
          <w:sz w:val="24"/>
        </w:rPr>
        <w:t>；设备到场并完成安装调试，正常运行</w:t>
      </w:r>
      <w:r>
        <w:rPr>
          <w:rFonts w:hint="eastAsia"/>
          <w:sz w:val="24"/>
          <w:lang w:val="en-US" w:eastAsia="zh-CN"/>
        </w:rPr>
        <w:t>并</w:t>
      </w:r>
      <w:r>
        <w:rPr>
          <w:rFonts w:hint="eastAsia"/>
          <w:sz w:val="24"/>
        </w:rPr>
        <w:t>验收合格后，甲方向乙方支付剩余中标总金额的</w:t>
      </w:r>
      <w:r>
        <w:rPr>
          <w:rFonts w:hint="eastAsia"/>
          <w:sz w:val="24"/>
          <w:lang w:val="en-US" w:eastAsia="zh-CN"/>
        </w:rPr>
        <w:t>50</w:t>
      </w:r>
      <w:r>
        <w:rPr>
          <w:rFonts w:hint="eastAsia"/>
          <w:sz w:val="24"/>
        </w:rPr>
        <w:t>%，同时履约保证金自动转为质量保证金。项目验收合格</w:t>
      </w:r>
      <w:r>
        <w:rPr>
          <w:rFonts w:hint="eastAsia"/>
          <w:sz w:val="24"/>
          <w:lang w:val="en-US" w:eastAsia="zh-CN"/>
        </w:rPr>
        <w:t>3</w:t>
      </w:r>
      <w:r>
        <w:rPr>
          <w:rFonts w:hint="eastAsia"/>
          <w:sz w:val="24"/>
        </w:rPr>
        <w:t>年后，产品如无质量问题，甲方向乙方无息退还质量保证金。甲方付款前，乙方先按要求向甲方开具增值税发票，否则甲方有权拒绝支付且无需承担逾期付款的违约责任。甲方若因财政审批流程、财政拨款未到位、财政政策调整等原因导致无法按约支付的，不视为甲方违约，甲方不承担逾期付款的责任。</w:t>
      </w:r>
    </w:p>
    <w:p w14:paraId="6F1734B5">
      <w:pPr>
        <w:spacing w:line="360" w:lineRule="auto"/>
        <w:contextualSpacing/>
        <w:rPr>
          <w:sz w:val="24"/>
        </w:rPr>
      </w:pPr>
      <w:r>
        <w:rPr>
          <w:rFonts w:hint="eastAsia"/>
          <w:sz w:val="24"/>
        </w:rPr>
        <w:t>3</w:t>
      </w:r>
      <w:r>
        <w:rPr>
          <w:sz w:val="24"/>
        </w:rPr>
        <w:t>. 售后服务</w:t>
      </w:r>
    </w:p>
    <w:p w14:paraId="0E0A698E">
      <w:pPr>
        <w:spacing w:line="360" w:lineRule="auto"/>
        <w:ind w:firstLine="240" w:firstLineChars="100"/>
        <w:contextualSpacing/>
        <w:rPr>
          <w:sz w:val="24"/>
        </w:rPr>
      </w:pPr>
      <w:r>
        <w:rPr>
          <w:rFonts w:hint="eastAsia"/>
          <w:sz w:val="24"/>
        </w:rPr>
        <w:t>3.1、</w:t>
      </w:r>
      <w:r>
        <w:rPr>
          <w:rFonts w:hint="eastAsia"/>
          <w:color w:val="000000" w:themeColor="text1"/>
          <w:sz w:val="24"/>
          <w14:textFill>
            <w14:solidFill>
              <w14:schemeClr w14:val="tx1"/>
            </w14:solidFill>
          </w14:textFill>
        </w:rPr>
        <w:t>本项目免费质量保证期要求</w:t>
      </w:r>
      <w:r>
        <w:rPr>
          <w:rFonts w:hint="eastAsia"/>
          <w:color w:val="000000" w:themeColor="text1"/>
          <w:sz w:val="24"/>
          <w:lang w:eastAsia="zh-CN"/>
          <w14:textFill>
            <w14:solidFill>
              <w14:schemeClr w14:val="tx1"/>
            </w14:solidFill>
          </w14:textFill>
        </w:rPr>
        <w:t>不低于 3 年</w:t>
      </w:r>
      <w:r>
        <w:rPr>
          <w:rFonts w:hint="eastAsia"/>
          <w:color w:val="000000" w:themeColor="text1"/>
          <w:sz w:val="24"/>
          <w14:textFill>
            <w14:solidFill>
              <w14:schemeClr w14:val="tx1"/>
            </w14:solidFill>
          </w14:textFill>
        </w:rPr>
        <w:t>。免费质量保证期从货物供货、安装、调试正常且经采购人确认验收合格之日起算</w:t>
      </w:r>
      <w:r>
        <w:rPr>
          <w:rFonts w:hint="eastAsia"/>
          <w:sz w:val="24"/>
        </w:rPr>
        <w:t>。</w:t>
      </w:r>
    </w:p>
    <w:p w14:paraId="5F5A0A1E">
      <w:pPr>
        <w:spacing w:line="360" w:lineRule="auto"/>
        <w:ind w:firstLine="240" w:firstLineChars="100"/>
        <w:contextualSpacing/>
        <w:rPr>
          <w:rFonts w:hint="eastAsia"/>
          <w:sz w:val="24"/>
        </w:rPr>
      </w:pPr>
      <w:r>
        <w:rPr>
          <w:rFonts w:hint="eastAsia"/>
          <w:sz w:val="24"/>
        </w:rPr>
        <w:t>3.2、质量保证期内</w:t>
      </w:r>
      <w:r>
        <w:rPr>
          <w:rFonts w:hint="eastAsia"/>
          <w:sz w:val="24"/>
          <w:lang w:val="en-US" w:eastAsia="zh-CN"/>
        </w:rPr>
        <w:t>投标人</w:t>
      </w:r>
      <w:r>
        <w:rPr>
          <w:rFonts w:hint="eastAsia"/>
          <w:sz w:val="24"/>
        </w:rPr>
        <w:t>提供科学合理的响应</w:t>
      </w:r>
      <w:r>
        <w:rPr>
          <w:rFonts w:hint="eastAsia"/>
          <w:sz w:val="24"/>
          <w:lang w:val="en-US" w:eastAsia="zh-CN"/>
        </w:rPr>
        <w:t>方案</w:t>
      </w:r>
      <w:r>
        <w:rPr>
          <w:rFonts w:hint="eastAsia"/>
          <w:sz w:val="24"/>
          <w:lang w:eastAsia="zh-CN"/>
        </w:rPr>
        <w:t>、</w:t>
      </w:r>
      <w:r>
        <w:rPr>
          <w:rFonts w:hint="eastAsia"/>
          <w:sz w:val="24"/>
        </w:rPr>
        <w:t>处理</w:t>
      </w:r>
      <w:r>
        <w:rPr>
          <w:rFonts w:hint="eastAsia"/>
          <w:sz w:val="24"/>
          <w:lang w:val="en-US" w:eastAsia="zh-CN"/>
        </w:rPr>
        <w:t>方案以及处理</w:t>
      </w:r>
      <w:r>
        <w:rPr>
          <w:rFonts w:hint="eastAsia"/>
          <w:sz w:val="24"/>
        </w:rPr>
        <w:t>周期</w:t>
      </w:r>
      <w:r>
        <w:rPr>
          <w:rFonts w:hint="eastAsia"/>
          <w:sz w:val="24"/>
          <w:lang w:eastAsia="zh-CN"/>
        </w:rPr>
        <w:t>，如故障货物不能在48小时内修复，供应商免费提供同等型号的备用货物进行替换。</w:t>
      </w:r>
      <w:r>
        <w:rPr>
          <w:rFonts w:hint="eastAsia"/>
          <w:sz w:val="24"/>
        </w:rPr>
        <w:t>保障采购人的正常业务需求。</w:t>
      </w:r>
    </w:p>
    <w:p w14:paraId="3848ECEC">
      <w:pPr>
        <w:spacing w:line="360" w:lineRule="auto"/>
        <w:ind w:firstLine="240" w:firstLineChars="100"/>
        <w:contextualSpacing/>
        <w:rPr>
          <w:rFonts w:hint="default" w:eastAsia="宋体"/>
          <w:sz w:val="24"/>
          <w:lang w:val="en-US" w:eastAsia="zh-CN"/>
        </w:rPr>
      </w:pPr>
      <w:r>
        <w:rPr>
          <w:rFonts w:hint="eastAsia"/>
          <w:sz w:val="24"/>
          <w:lang w:val="en-US" w:eastAsia="zh-CN"/>
        </w:rPr>
        <w:t>3.3、</w:t>
      </w:r>
      <w:r>
        <w:rPr>
          <w:rFonts w:hint="eastAsia"/>
          <w:sz w:val="24"/>
        </w:rPr>
        <w:t>质量保证期内</w:t>
      </w:r>
      <w:r>
        <w:rPr>
          <w:rFonts w:hint="eastAsia"/>
          <w:sz w:val="24"/>
          <w:lang w:val="en-US" w:eastAsia="zh-CN"/>
        </w:rPr>
        <w:t>至少提供2次运维服务，保障采购人的正常业务需求。</w:t>
      </w:r>
    </w:p>
    <w:p w14:paraId="63142C64">
      <w:pPr>
        <w:spacing w:line="360" w:lineRule="auto"/>
        <w:ind w:firstLine="240" w:firstLineChars="100"/>
        <w:contextualSpacing/>
        <w:rPr>
          <w:rFonts w:hint="eastAsia"/>
          <w:sz w:val="24"/>
        </w:rPr>
      </w:pPr>
      <w:r>
        <w:rPr>
          <w:rFonts w:hint="eastAsia"/>
          <w:sz w:val="24"/>
        </w:rPr>
        <w:t>3.</w:t>
      </w:r>
      <w:r>
        <w:rPr>
          <w:rFonts w:hint="eastAsia"/>
          <w:sz w:val="24"/>
          <w:lang w:val="en-US" w:eastAsia="zh-CN"/>
        </w:rPr>
        <w:t>4</w:t>
      </w:r>
      <w:r>
        <w:rPr>
          <w:rFonts w:hint="eastAsia"/>
          <w:sz w:val="24"/>
        </w:rPr>
        <w:t>、投标人应制定科学合理的培训方案，确保培训人员能够理解、掌握系统操作模式和功能应用。</w:t>
      </w:r>
    </w:p>
    <w:p w14:paraId="4748D72C">
      <w:pPr>
        <w:spacing w:line="360" w:lineRule="auto"/>
        <w:contextualSpacing/>
        <w:rPr>
          <w:rFonts w:hint="eastAsia"/>
          <w:sz w:val="24"/>
          <w:lang w:val="en-US" w:eastAsia="zh-CN"/>
        </w:rPr>
      </w:pPr>
      <w:r>
        <w:rPr>
          <w:rFonts w:hint="eastAsia"/>
          <w:sz w:val="24"/>
          <w:lang w:val="en-US" w:eastAsia="zh-CN"/>
        </w:rPr>
        <w:t>4.包装和运输要求</w:t>
      </w:r>
    </w:p>
    <w:p w14:paraId="195168AA">
      <w:pPr>
        <w:spacing w:line="360" w:lineRule="auto"/>
        <w:ind w:firstLine="240" w:firstLineChars="100"/>
        <w:contextualSpacing/>
        <w:rPr>
          <w:rFonts w:hint="eastAsia"/>
          <w:sz w:val="24"/>
        </w:rPr>
      </w:pPr>
      <w:r>
        <w:rPr>
          <w:rFonts w:hint="eastAsia"/>
          <w:sz w:val="24"/>
          <w:lang w:val="en-US" w:eastAsia="zh-CN"/>
        </w:rPr>
        <w:t>4.1、货物须为设备原厂制造并检验合格，全新、未被使用过，并提供全部技术资料。设备到货时，须确保产品包装完好、所有标识清晰、封条完整等。</w:t>
      </w:r>
    </w:p>
    <w:p w14:paraId="550278CE">
      <w:pPr>
        <w:spacing w:line="360" w:lineRule="auto"/>
        <w:ind w:firstLine="240" w:firstLineChars="100"/>
        <w:contextualSpacing/>
        <w:rPr>
          <w:sz w:val="24"/>
        </w:rPr>
      </w:pPr>
    </w:p>
    <w:p w14:paraId="36ABADA1">
      <w:pPr>
        <w:pStyle w:val="257"/>
        <w:numPr>
          <w:ilvl w:val="0"/>
          <w:numId w:val="8"/>
        </w:numPr>
        <w:spacing w:line="360" w:lineRule="auto"/>
        <w:ind w:firstLineChars="0"/>
        <w:contextualSpacing/>
        <w:rPr>
          <w:rFonts w:ascii="Times New Roman" w:hAnsi="Times New Roman"/>
          <w:b/>
          <w:sz w:val="24"/>
          <w:szCs w:val="24"/>
        </w:rPr>
      </w:pPr>
      <w:r>
        <w:rPr>
          <w:rFonts w:hint="eastAsia" w:ascii="Times New Roman" w:hAnsi="Times New Roman"/>
          <w:b/>
          <w:sz w:val="24"/>
          <w:szCs w:val="24"/>
        </w:rPr>
        <w:t>技术</w:t>
      </w:r>
      <w:r>
        <w:rPr>
          <w:rFonts w:ascii="Times New Roman" w:hAnsi="Times New Roman"/>
          <w:b/>
          <w:sz w:val="24"/>
          <w:szCs w:val="24"/>
        </w:rPr>
        <w:t>要求</w:t>
      </w:r>
    </w:p>
    <w:p w14:paraId="68821B7C">
      <w:pPr>
        <w:numPr>
          <w:ilvl w:val="0"/>
          <w:numId w:val="9"/>
        </w:numPr>
        <w:spacing w:line="360" w:lineRule="auto"/>
        <w:contextualSpacing/>
        <w:rPr>
          <w:sz w:val="24"/>
        </w:rPr>
      </w:pPr>
      <w:r>
        <w:rPr>
          <w:rFonts w:hint="eastAsia"/>
          <w:sz w:val="24"/>
        </w:rPr>
        <w:t>货物技术要求</w:t>
      </w:r>
    </w:p>
    <w:tbl>
      <w:tblPr>
        <w:tblStyle w:val="43"/>
        <w:tblW w:w="95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090"/>
        <w:gridCol w:w="6346"/>
        <w:gridCol w:w="698"/>
        <w:gridCol w:w="698"/>
      </w:tblGrid>
      <w:tr w14:paraId="31389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49D0E05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390F">
            <w:pPr>
              <w:keepNext w:val="0"/>
              <w:keepLines w:val="0"/>
              <w:widowControl/>
              <w:suppressLineNumbers w:val="0"/>
              <w:jc w:val="center"/>
              <w:textAlignment w:val="center"/>
              <w:rPr>
                <w:rFonts w:hint="eastAsia"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设备</w:t>
            </w:r>
          </w:p>
          <w:p w14:paraId="2FCCF78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7B45AF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具体技术（参数）要求内容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1E8F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7D7C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14:paraId="25DC6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2"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A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4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工作站</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59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1、处理器：≥24核32线程；基础频率≥2.4GHz，最大睿频5.6GHz；TDP 125W，支持DDR5/DDR4内存和PCIe 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2、内存：≥32G DDR5 4800</w:t>
            </w:r>
            <w:r>
              <w:rPr>
                <w:rStyle w:val="259"/>
                <w:rFonts w:eastAsia="宋体"/>
                <w:lang w:val="en-US" w:eastAsia="zh-CN" w:bidi="ar"/>
              </w:rPr>
              <w:t xml:space="preserve"> </w:t>
            </w:r>
            <w:r>
              <w:rPr>
                <w:rStyle w:val="260"/>
                <w:lang w:val="en-US" w:eastAsia="zh-CN" w:bidi="ar"/>
              </w:rPr>
              <w:t>NECC/ECC内存。</w:t>
            </w:r>
            <w:r>
              <w:rPr>
                <w:rStyle w:val="260"/>
                <w:lang w:val="en-US" w:eastAsia="zh-CN" w:bidi="ar"/>
              </w:rPr>
              <w:br w:type="textWrapping"/>
            </w:r>
            <w:r>
              <w:rPr>
                <w:rStyle w:val="260"/>
                <w:lang w:val="en-US" w:eastAsia="zh-CN" w:bidi="ar"/>
              </w:rPr>
              <w:t>3、硬盘：≥1</w:t>
            </w:r>
            <w:r>
              <w:rPr>
                <w:rStyle w:val="260"/>
                <w:rFonts w:hint="eastAsia"/>
                <w:lang w:val="en-US" w:eastAsia="zh-CN" w:bidi="ar"/>
              </w:rPr>
              <w:t xml:space="preserve">T </w:t>
            </w:r>
            <w:r>
              <w:rPr>
                <w:rStyle w:val="260"/>
                <w:lang w:val="en-US" w:eastAsia="zh-CN" w:bidi="ar"/>
              </w:rPr>
              <w:t>SSD。</w:t>
            </w:r>
            <w:r>
              <w:rPr>
                <w:rStyle w:val="260"/>
                <w:lang w:val="en-US" w:eastAsia="zh-CN" w:bidi="ar"/>
              </w:rPr>
              <w:br w:type="textWrapping"/>
            </w:r>
            <w:r>
              <w:rPr>
                <w:rStyle w:val="260"/>
                <w:lang w:val="en-US" w:eastAsia="zh-CN" w:bidi="ar"/>
              </w:rPr>
              <w:t>4、风扇:配套360水冷。</w:t>
            </w:r>
            <w:r>
              <w:rPr>
                <w:rStyle w:val="260"/>
                <w:lang w:val="en-US" w:eastAsia="zh-CN" w:bidi="ar"/>
              </w:rPr>
              <w:br w:type="textWrapping"/>
            </w:r>
            <w:r>
              <w:rPr>
                <w:rStyle w:val="260"/>
                <w:lang w:val="en-US" w:eastAsia="zh-CN" w:bidi="ar"/>
              </w:rPr>
              <w:t>5、显卡:配置1块图像显示卡单图像卡要求CUDA核心≥6144，显存≥20G，Tensor核心≥192，RT Core≥48</w:t>
            </w:r>
            <w:r>
              <w:rPr>
                <w:rStyle w:val="260"/>
                <w:lang w:val="en-US" w:eastAsia="zh-CN" w:bidi="ar"/>
              </w:rPr>
              <w:br w:type="textWrapping"/>
            </w:r>
            <w:r>
              <w:rPr>
                <w:rStyle w:val="260"/>
                <w:lang w:val="en-US" w:eastAsia="zh-CN" w:bidi="ar"/>
              </w:rPr>
              <w:t>6、电源:800W。</w:t>
            </w:r>
            <w:r>
              <w:rPr>
                <w:rStyle w:val="260"/>
                <w:lang w:val="en-US" w:eastAsia="zh-CN" w:bidi="ar"/>
              </w:rPr>
              <w:br w:type="textWrapping"/>
            </w:r>
            <w:r>
              <w:rPr>
                <w:rStyle w:val="260"/>
                <w:lang w:val="en-US" w:eastAsia="zh-CN" w:bidi="ar"/>
              </w:rPr>
              <w:t>7、机箱：支持水冷</w:t>
            </w:r>
            <w:r>
              <w:rPr>
                <w:rStyle w:val="260"/>
                <w:lang w:val="en-US" w:eastAsia="zh-CN" w:bidi="ar"/>
              </w:rPr>
              <w:br w:type="textWrapping"/>
            </w:r>
            <w:r>
              <w:rPr>
                <w:rStyle w:val="260"/>
                <w:lang w:val="en-US" w:eastAsia="zh-CN" w:bidi="ar"/>
              </w:rPr>
              <w:t>8、</w:t>
            </w:r>
            <w:r>
              <w:rPr>
                <w:rFonts w:hint="eastAsia" w:ascii="宋体" w:hAnsi="宋体" w:cs="宋体"/>
                <w:kern w:val="0"/>
                <w:szCs w:val="21"/>
              </w:rPr>
              <w:t>▲</w:t>
            </w:r>
            <w:r>
              <w:rPr>
                <w:rStyle w:val="260"/>
                <w:lang w:val="en-US" w:eastAsia="zh-CN" w:bidi="ar"/>
              </w:rPr>
              <w:t>支持B /S管理架构，可通过移动设备通过网页方式对机房进行远程管理，包括远程开关机、时间同步、系统切换、消息广播等操作。</w:t>
            </w:r>
            <w:r>
              <w:rPr>
                <w:rStyle w:val="260"/>
                <w:lang w:val="en-US" w:eastAsia="zh-CN" w:bidi="ar"/>
              </w:rPr>
              <w:br w:type="textWrapping"/>
            </w:r>
            <w:r>
              <w:rPr>
                <w:rStyle w:val="260"/>
                <w:lang w:val="en-US" w:eastAsia="zh-CN" w:bidi="ar"/>
              </w:rPr>
              <w:t>9、支持对Ubuntu、Redhat、Centos、Fedora等系统的立即还原和</w:t>
            </w:r>
            <w:r>
              <w:rPr>
                <w:rStyle w:val="260"/>
                <w:rFonts w:hint="eastAsia"/>
                <w:lang w:val="en-US" w:eastAsia="zh-CN" w:bidi="ar"/>
              </w:rPr>
              <w:t>IP</w:t>
            </w:r>
            <w:r>
              <w:rPr>
                <w:rStyle w:val="260"/>
                <w:lang w:val="en-US" w:eastAsia="zh-CN" w:bidi="ar"/>
              </w:rPr>
              <w:t>地址自动分配。</w:t>
            </w:r>
            <w:r>
              <w:rPr>
                <w:rStyle w:val="260"/>
                <w:lang w:val="en-US" w:eastAsia="zh-CN" w:bidi="ar"/>
              </w:rPr>
              <w:br w:type="textWrapping"/>
            </w:r>
            <w:r>
              <w:rPr>
                <w:rStyle w:val="260"/>
                <w:lang w:val="en-US" w:eastAsia="zh-CN" w:bidi="ar"/>
              </w:rPr>
              <w:t>10、</w:t>
            </w:r>
            <w:r>
              <w:rPr>
                <w:rFonts w:hint="eastAsia" w:ascii="宋体" w:hAnsi="宋体" w:cs="宋体"/>
                <w:kern w:val="0"/>
                <w:szCs w:val="21"/>
              </w:rPr>
              <w:t>▲</w:t>
            </w:r>
            <w:r>
              <w:rPr>
                <w:rStyle w:val="260"/>
                <w:lang w:val="en-US" w:eastAsia="zh-CN" w:bidi="ar"/>
              </w:rPr>
              <w:t>支持电脑本地硬盘操作系统（xp\win7\win8\win10\linux）的立即还原和还原点瞬间创建。</w:t>
            </w:r>
            <w:r>
              <w:rPr>
                <w:rStyle w:val="260"/>
                <w:lang w:val="en-US" w:eastAsia="zh-CN" w:bidi="ar"/>
              </w:rPr>
              <w:br w:type="textWrapping"/>
            </w:r>
            <w:r>
              <w:rPr>
                <w:rStyle w:val="260"/>
                <w:lang w:val="en-US" w:eastAsia="zh-CN" w:bidi="ar"/>
              </w:rPr>
              <w:t>11、支持MBR分区系统和GPT分区系统混合安装,可支持60个以上的不同操作系统。</w:t>
            </w:r>
            <w:r>
              <w:rPr>
                <w:rStyle w:val="260"/>
                <w:lang w:val="en-US" w:eastAsia="zh-CN" w:bidi="ar"/>
              </w:rPr>
              <w:br w:type="textWrapping"/>
            </w:r>
            <w:r>
              <w:rPr>
                <w:rStyle w:val="260"/>
                <w:lang w:val="en-US" w:eastAsia="zh-CN" w:bidi="ar"/>
              </w:rPr>
              <w:t>12、</w:t>
            </w:r>
            <w:r>
              <w:rPr>
                <w:rFonts w:hint="eastAsia" w:ascii="宋体" w:hAnsi="宋体" w:cs="宋体"/>
                <w:kern w:val="0"/>
                <w:szCs w:val="21"/>
              </w:rPr>
              <w:t>▲</w:t>
            </w:r>
            <w:r>
              <w:rPr>
                <w:rStyle w:val="260"/>
                <w:lang w:val="en-US" w:eastAsia="zh-CN" w:bidi="ar"/>
              </w:rPr>
              <w:t>支持对客户端内多块硬盘进行分区、系统装载、还原、还原方式设置，满足多硬盘系统还原和管理；</w:t>
            </w:r>
            <w:r>
              <w:rPr>
                <w:rStyle w:val="260"/>
                <w:lang w:val="en-US" w:eastAsia="zh-CN" w:bidi="ar"/>
              </w:rPr>
              <w:br w:type="textWrapping"/>
            </w:r>
            <w:r>
              <w:rPr>
                <w:rStyle w:val="260"/>
                <w:lang w:val="en-US" w:eastAsia="zh-CN" w:bidi="ar"/>
              </w:rPr>
              <w:t>13、</w:t>
            </w:r>
            <w:r>
              <w:rPr>
                <w:rFonts w:hint="eastAsia" w:ascii="宋体" w:hAnsi="宋体" w:cs="宋体"/>
                <w:kern w:val="0"/>
                <w:szCs w:val="21"/>
              </w:rPr>
              <w:t>▲</w:t>
            </w:r>
            <w:r>
              <w:rPr>
                <w:rStyle w:val="260"/>
                <w:lang w:val="en-US" w:eastAsia="zh-CN" w:bidi="ar"/>
              </w:rPr>
              <w:t>支持从WINDOWS界面对1000台以上的电脑进行数据差异拷贝，非增量拷贝、变量拷贝、进度同步等上一代部署方式。根据网络状况可选择广播、组播、单播等方式（提供支持1000台机位的界面截图）。</w:t>
            </w:r>
            <w:r>
              <w:rPr>
                <w:rStyle w:val="260"/>
                <w:lang w:val="en-US" w:eastAsia="zh-CN" w:bidi="ar"/>
              </w:rPr>
              <w:br w:type="textWrapping"/>
            </w:r>
            <w:r>
              <w:rPr>
                <w:rStyle w:val="260"/>
                <w:lang w:val="en-US" w:eastAsia="zh-CN" w:bidi="ar"/>
              </w:rPr>
              <w:t>14、</w:t>
            </w:r>
            <w:r>
              <w:rPr>
                <w:rFonts w:hint="eastAsia" w:ascii="宋体" w:hAnsi="宋体" w:cs="宋体"/>
                <w:kern w:val="0"/>
                <w:szCs w:val="21"/>
              </w:rPr>
              <w:t>▲</w:t>
            </w:r>
            <w:r>
              <w:rPr>
                <w:rStyle w:val="260"/>
                <w:lang w:val="en-US" w:eastAsia="zh-CN" w:bidi="ar"/>
              </w:rPr>
              <w:t>支持差异拷贝接收端网络环境检测，可检测接收端网卡连接速度，提前发现问题网点，排查处理影响差异拷贝的终端；(提供可检测接收端连接速度的功能界面截图)。</w:t>
            </w:r>
            <w:r>
              <w:rPr>
                <w:rStyle w:val="260"/>
                <w:lang w:val="en-US" w:eastAsia="zh-CN" w:bidi="ar"/>
              </w:rPr>
              <w:br w:type="textWrapping"/>
            </w:r>
            <w:r>
              <w:rPr>
                <w:rStyle w:val="260"/>
                <w:lang w:val="en-US" w:eastAsia="zh-CN" w:bidi="ar"/>
              </w:rPr>
              <w:t>15、</w:t>
            </w:r>
            <w:r>
              <w:rPr>
                <w:rFonts w:hint="eastAsia" w:ascii="宋体" w:hAnsi="宋体" w:cs="宋体"/>
                <w:kern w:val="0"/>
                <w:szCs w:val="21"/>
              </w:rPr>
              <w:t>▲</w:t>
            </w:r>
            <w:r>
              <w:rPr>
                <w:rStyle w:val="260"/>
                <w:lang w:val="en-US" w:eastAsia="zh-CN" w:bidi="ar"/>
              </w:rPr>
              <w:t>支持操作系统分权管理，可分配不同的管理员管理不同的操作系统。</w:t>
            </w:r>
            <w:r>
              <w:rPr>
                <w:rStyle w:val="260"/>
                <w:lang w:val="en-US" w:eastAsia="zh-CN" w:bidi="ar"/>
              </w:rPr>
              <w:br w:type="textWrapping"/>
            </w:r>
            <w:r>
              <w:rPr>
                <w:rStyle w:val="260"/>
                <w:lang w:val="en-US" w:eastAsia="zh-CN" w:bidi="ar"/>
              </w:rPr>
              <w:t>16、管理员可给教师单独分配用户名和密码，教师可凭此用户名和密码在教学的电脑上瞬间创建自己独立的备课系统，其他人员不可见，也不影响正常的教学系统。</w:t>
            </w:r>
            <w:r>
              <w:rPr>
                <w:rStyle w:val="260"/>
                <w:lang w:val="en-US" w:eastAsia="zh-CN" w:bidi="ar"/>
              </w:rPr>
              <w:br w:type="textWrapping"/>
            </w:r>
            <w:r>
              <w:rPr>
                <w:rStyle w:val="260"/>
                <w:lang w:val="en-US" w:eastAsia="zh-CN" w:bidi="ar"/>
              </w:rPr>
              <w:t>17、支持将当前的教学系统，无需新增分区的情况下瞬间复制一个不保护的系统，用于学生自主实验或计算机等级考试</w:t>
            </w:r>
            <w:r>
              <w:rPr>
                <w:rStyle w:val="260"/>
                <w:lang w:val="en-US" w:eastAsia="zh-CN" w:bidi="ar"/>
              </w:rPr>
              <w:br w:type="textWrapping"/>
            </w:r>
            <w:r>
              <w:rPr>
                <w:rStyle w:val="260"/>
                <w:lang w:val="en-US" w:eastAsia="zh-CN" w:bidi="ar"/>
              </w:rPr>
              <w:t>18、支持文件夹穿透，可在当前保护的分区下设定一个开放的文件夹,保存更新设置，重启分区还原其它数据还原，此文件夹中的数据不还原。</w:t>
            </w:r>
            <w:r>
              <w:rPr>
                <w:rStyle w:val="260"/>
                <w:lang w:val="en-US" w:eastAsia="zh-CN" w:bidi="ar"/>
              </w:rPr>
              <w:br w:type="textWrapping"/>
            </w:r>
            <w:r>
              <w:rPr>
                <w:rStyle w:val="260"/>
                <w:lang w:val="en-US" w:eastAsia="zh-CN" w:bidi="ar"/>
              </w:rPr>
              <w:t>19、支持批量修改Windows用户登录名、计算机名和IP地址</w:t>
            </w:r>
            <w:r>
              <w:rPr>
                <w:rStyle w:val="260"/>
                <w:lang w:val="en-US" w:eastAsia="zh-CN" w:bidi="ar"/>
              </w:rPr>
              <w:br w:type="textWrapping"/>
            </w:r>
            <w:r>
              <w:rPr>
                <w:rStyle w:val="260"/>
                <w:lang w:val="en-US" w:eastAsia="zh-CN" w:bidi="ar"/>
              </w:rPr>
              <w:t>20、支持硬件虚拟化功能，针对硬件识别码的软件可实现软件统一注册，大幅度降低激活软件带来的工作量；</w:t>
            </w:r>
            <w:r>
              <w:rPr>
                <w:rStyle w:val="260"/>
                <w:lang w:val="en-US" w:eastAsia="zh-CN" w:bidi="ar"/>
              </w:rPr>
              <w:br w:type="textWrapping"/>
            </w:r>
            <w:r>
              <w:rPr>
                <w:rStyle w:val="260"/>
                <w:lang w:val="en-US" w:eastAsia="zh-CN" w:bidi="ar"/>
              </w:rPr>
              <w:t>21、</w:t>
            </w:r>
            <w:r>
              <w:rPr>
                <w:rFonts w:hint="eastAsia" w:ascii="宋体" w:hAnsi="宋体" w:cs="宋体"/>
                <w:kern w:val="0"/>
                <w:szCs w:val="21"/>
              </w:rPr>
              <w:t>▲</w:t>
            </w:r>
            <w:r>
              <w:rPr>
                <w:rStyle w:val="260"/>
                <w:lang w:val="en-US" w:eastAsia="zh-CN" w:bidi="ar"/>
              </w:rPr>
              <w:t>支持流量限制策略，能够设定上行流量、下行流量，并可设置流量限制生效时间；</w:t>
            </w:r>
            <w:r>
              <w:rPr>
                <w:rStyle w:val="260"/>
                <w:lang w:val="en-US" w:eastAsia="zh-CN" w:bidi="ar"/>
              </w:rPr>
              <w:br w:type="textWrapping"/>
            </w:r>
            <w:r>
              <w:rPr>
                <w:rStyle w:val="260"/>
                <w:lang w:val="en-US" w:eastAsia="zh-CN" w:bidi="ar"/>
              </w:rPr>
              <w:t>22、</w:t>
            </w:r>
            <w:r>
              <w:rPr>
                <w:rFonts w:hint="eastAsia" w:ascii="宋体" w:hAnsi="宋体" w:cs="宋体"/>
                <w:kern w:val="0"/>
                <w:szCs w:val="21"/>
              </w:rPr>
              <w:t>▲</w:t>
            </w:r>
            <w:r>
              <w:rPr>
                <w:rStyle w:val="260"/>
                <w:lang w:val="en-US" w:eastAsia="zh-CN" w:bidi="ar"/>
              </w:rPr>
              <w:t>支持网络限制策略，能够设定禁用外网或禁用全部网络，并支持设置例外，例外类型包括ip地址、网址、端口，并设置生效时间区间，能够精确到秒，支持按天执行、按周执行、按月执行</w:t>
            </w:r>
            <w:r>
              <w:rPr>
                <w:rStyle w:val="260"/>
                <w:lang w:val="en-US" w:eastAsia="zh-CN" w:bidi="ar"/>
              </w:rPr>
              <w:br w:type="textWrapping"/>
            </w:r>
            <w:r>
              <w:rPr>
                <w:rStyle w:val="260"/>
                <w:lang w:val="en-US" w:eastAsia="zh-CN" w:bidi="ar"/>
              </w:rPr>
              <w:t>23、能够针对学生软件使用、上网操作进行记录，并支持按照应用、访问网址进行查询，能够根据时间段进行搜索，搜索时间精确到秒，针对上网操作，能够展示网址及网站标题信息，支持表格导出</w:t>
            </w:r>
            <w:r>
              <w:rPr>
                <w:rStyle w:val="260"/>
                <w:lang w:val="en-US" w:eastAsia="zh-CN" w:bidi="ar"/>
              </w:rPr>
              <w:br w:type="textWrapping"/>
            </w:r>
            <w:r>
              <w:rPr>
                <w:rStyle w:val="260"/>
                <w:lang w:val="en-US" w:eastAsia="zh-CN" w:bidi="ar"/>
              </w:rPr>
              <w:t>24、</w:t>
            </w:r>
            <w:r>
              <w:rPr>
                <w:rFonts w:hint="eastAsia" w:ascii="宋体" w:hAnsi="宋体" w:cs="宋体"/>
                <w:kern w:val="0"/>
                <w:szCs w:val="21"/>
              </w:rPr>
              <w:t>▲</w:t>
            </w:r>
            <w:r>
              <w:rPr>
                <w:rStyle w:val="260"/>
                <w:lang w:val="en-US" w:eastAsia="zh-CN" w:bidi="ar"/>
              </w:rPr>
              <w:t>支持程序限制策略，支持黑名单、白名单两种模式，能够根据手动添加、游戏进程、应用进程、系统自带进程进行设置，并能够通过客户端实时识别操作系统进程进行控制，并设置生效时间区间，能够精确到秒，支持按天执行、按周执行、按月执行</w:t>
            </w:r>
            <w:r>
              <w:rPr>
                <w:rStyle w:val="260"/>
                <w:lang w:val="en-US" w:eastAsia="zh-CN" w:bidi="ar"/>
              </w:rPr>
              <w:br w:type="textWrapping"/>
            </w:r>
            <w:r>
              <w:rPr>
                <w:rStyle w:val="260"/>
                <w:lang w:val="en-US" w:eastAsia="zh-CN" w:bidi="ar"/>
              </w:rPr>
              <w:t>25、</w:t>
            </w:r>
            <w:r>
              <w:rPr>
                <w:rFonts w:hint="eastAsia" w:ascii="宋体" w:hAnsi="宋体" w:cs="宋体"/>
                <w:kern w:val="0"/>
                <w:szCs w:val="21"/>
              </w:rPr>
              <w:t>▲</w:t>
            </w:r>
            <w:r>
              <w:rPr>
                <w:rStyle w:val="260"/>
                <w:lang w:val="en-US" w:eastAsia="zh-CN" w:bidi="ar"/>
              </w:rPr>
              <w:t>可将上机违规学生手动方式拉入黑名单，拉入黑名单的学生不能进行登录上机；黑名单可以设置天数自动移除以及手动移除；</w:t>
            </w:r>
            <w:r>
              <w:rPr>
                <w:rStyle w:val="260"/>
                <w:lang w:val="en-US" w:eastAsia="zh-CN" w:bidi="ar"/>
              </w:rPr>
              <w:br w:type="textWrapping"/>
            </w:r>
            <w:r>
              <w:rPr>
                <w:rStyle w:val="260"/>
                <w:lang w:val="en-US" w:eastAsia="zh-CN" w:bidi="ar"/>
              </w:rPr>
              <w:t>26、</w:t>
            </w:r>
            <w:r>
              <w:rPr>
                <w:rFonts w:hint="eastAsia" w:ascii="宋体" w:hAnsi="宋体" w:cs="宋体"/>
                <w:kern w:val="0"/>
                <w:szCs w:val="21"/>
              </w:rPr>
              <w:t>▲</w:t>
            </w:r>
            <w:r>
              <w:rPr>
                <w:rStyle w:val="260"/>
                <w:lang w:val="en-US" w:eastAsia="zh-CN" w:bidi="ar"/>
              </w:rPr>
              <w:t>支持设置实验室电脑终端的上机登录方式，可设置登录和免登录方式；选择登录时，则必须使用账号密码或扫码登录，登录成功后，进入桌面；选择“免登录”，则无须登录，直接进入桌面；登录模式可以选择上机对象，包括全校全体师生、指定院系师生。</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1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57B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78AA5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D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86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显示器</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39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260"/>
                <w:lang w:val="en-US" w:eastAsia="zh-CN" w:bidi="ar"/>
              </w:rPr>
              <w:t>1.支持4K分辨率（3840×2160），色彩显示精准。</w:t>
            </w:r>
            <w:r>
              <w:rPr>
                <w:rStyle w:val="260"/>
                <w:lang w:val="en-US" w:eastAsia="zh-CN" w:bidi="ar"/>
              </w:rPr>
              <w:br w:type="textWrapping"/>
            </w:r>
            <w:r>
              <w:rPr>
                <w:rStyle w:val="260"/>
                <w:lang w:val="en-US" w:eastAsia="zh-CN" w:bidi="ar"/>
              </w:rPr>
              <w:t>2.色域覆盖</w:t>
            </w:r>
            <w:r>
              <w:rPr>
                <w:rStyle w:val="259"/>
                <w:rFonts w:eastAsia="宋体"/>
                <w:lang w:val="en-US" w:eastAsia="zh-CN" w:bidi="ar"/>
              </w:rPr>
              <w:t>‌</w:t>
            </w:r>
            <w:r>
              <w:rPr>
                <w:rStyle w:val="260"/>
                <w:lang w:val="en-US" w:eastAsia="zh-CN" w:bidi="ar"/>
              </w:rPr>
              <w:t>：100% sRGB 、95% DCI-P3 ，支持10.7亿色显示。</w:t>
            </w:r>
            <w:r>
              <w:rPr>
                <w:rStyle w:val="260"/>
                <w:lang w:val="en-US" w:eastAsia="zh-CN" w:bidi="ar"/>
              </w:rPr>
              <w:br w:type="textWrapping"/>
            </w:r>
            <w:r>
              <w:rPr>
                <w:rStyle w:val="260"/>
                <w:lang w:val="en-US" w:eastAsia="zh-CN" w:bidi="ar"/>
              </w:rPr>
              <w:t>3.动态对比度</w:t>
            </w:r>
            <w:r>
              <w:rPr>
                <w:rStyle w:val="259"/>
                <w:rFonts w:eastAsia="宋体"/>
                <w:lang w:val="en-US" w:eastAsia="zh-CN" w:bidi="ar"/>
              </w:rPr>
              <w:t>‌</w:t>
            </w:r>
            <w:r>
              <w:rPr>
                <w:rStyle w:val="260"/>
                <w:lang w:val="en-US" w:eastAsia="zh-CN" w:bidi="ar"/>
              </w:rPr>
              <w:t>：</w:t>
            </w:r>
            <w:r>
              <w:rPr>
                <w:rStyle w:val="260"/>
                <w:rFonts w:hint="eastAsia"/>
                <w:lang w:val="en-US" w:eastAsia="zh-CN" w:bidi="ar"/>
              </w:rPr>
              <w:t>≥</w:t>
            </w:r>
            <w:r>
              <w:rPr>
                <w:rStyle w:val="260"/>
                <w:lang w:val="en-US" w:eastAsia="zh-CN" w:bidi="ar"/>
              </w:rPr>
              <w:t>500万 动态对比度 ，静态对比度900:1（最小）</w:t>
            </w:r>
            <w:r>
              <w:rPr>
                <w:rStyle w:val="260"/>
                <w:lang w:val="en-US" w:eastAsia="zh-CN" w:bidi="ar"/>
              </w:rPr>
              <w:br w:type="textWrapping"/>
            </w:r>
            <w:r>
              <w:rPr>
                <w:rStyle w:val="260"/>
                <w:lang w:val="en-US" w:eastAsia="zh-CN" w:bidi="ar"/>
              </w:rPr>
              <w:t>4.视频接口</w:t>
            </w:r>
            <w:r>
              <w:rPr>
                <w:rStyle w:val="259"/>
                <w:rFonts w:eastAsia="宋体"/>
                <w:lang w:val="en-US" w:eastAsia="zh-CN" w:bidi="ar"/>
              </w:rPr>
              <w:t>‌</w:t>
            </w:r>
            <w:r>
              <w:rPr>
                <w:rStyle w:val="260"/>
                <w:lang w:val="en-US" w:eastAsia="zh-CN" w:bidi="ar"/>
              </w:rPr>
              <w:t>：</w:t>
            </w:r>
            <w:r>
              <w:rPr>
                <w:rStyle w:val="260"/>
                <w:rFonts w:hint="eastAsia"/>
                <w:lang w:val="en-US" w:eastAsia="zh-CN" w:bidi="ar"/>
              </w:rPr>
              <w:t>≥</w:t>
            </w:r>
            <w:r>
              <w:rPr>
                <w:rStyle w:val="260"/>
                <w:lang w:val="en-US" w:eastAsia="zh-CN" w:bidi="ar"/>
              </w:rPr>
              <w:t>2× HDMI 2.0 、1× DP 1.4。</w:t>
            </w:r>
            <w:r>
              <w:rPr>
                <w:rStyle w:val="260"/>
                <w:lang w:val="en-US" w:eastAsia="zh-CN" w:bidi="ar"/>
              </w:rPr>
              <w:br w:type="textWrapping"/>
            </w:r>
            <w:r>
              <w:rPr>
                <w:rStyle w:val="260"/>
                <w:lang w:val="en-US" w:eastAsia="zh-CN" w:bidi="ar"/>
              </w:rPr>
              <w:t>5.人体工学支架</w:t>
            </w:r>
            <w:r>
              <w:rPr>
                <w:rStyle w:val="259"/>
                <w:rFonts w:eastAsia="宋体"/>
                <w:lang w:val="en-US" w:eastAsia="zh-CN" w:bidi="ar"/>
              </w:rPr>
              <w:t>‌</w:t>
            </w:r>
            <w:r>
              <w:rPr>
                <w:rStyle w:val="260"/>
                <w:lang w:val="en-US" w:eastAsia="zh-CN" w:bidi="ar"/>
              </w:rPr>
              <w:t>：支持上下升降（130mm）、左右旋转（±175°）、垂直旋转（±90°）、前后倾仰（-5°~20°）。</w:t>
            </w:r>
            <w:r>
              <w:rPr>
                <w:rStyle w:val="260"/>
                <w:lang w:val="en-US" w:eastAsia="zh-CN" w:bidi="ar"/>
              </w:rPr>
              <w:br w:type="textWrapping"/>
            </w:r>
            <w:r>
              <w:rPr>
                <w:rStyle w:val="260"/>
                <w:lang w:val="en-US" w:eastAsia="zh-CN" w:bidi="ar"/>
              </w:rPr>
              <w:t>6.亮度</w:t>
            </w:r>
            <w:r>
              <w:rPr>
                <w:rStyle w:val="259"/>
                <w:rFonts w:eastAsia="宋体"/>
                <w:lang w:val="en-US" w:eastAsia="zh-CN" w:bidi="ar"/>
              </w:rPr>
              <w:t>‌</w:t>
            </w:r>
            <w:r>
              <w:rPr>
                <w:rStyle w:val="260"/>
                <w:lang w:val="en-US" w:eastAsia="zh-CN" w:bidi="ar"/>
              </w:rPr>
              <w:t>：</w:t>
            </w:r>
            <w:r>
              <w:rPr>
                <w:rStyle w:val="260"/>
                <w:rFonts w:hint="eastAsia"/>
                <w:lang w:val="en-US" w:eastAsia="zh-CN" w:bidi="ar"/>
              </w:rPr>
              <w:t>≥</w:t>
            </w:r>
            <w:r>
              <w:rPr>
                <w:rStyle w:val="260"/>
                <w:lang w:val="en-US" w:eastAsia="zh-CN" w:bidi="ar"/>
              </w:rPr>
              <w:t>400 cd/m</w:t>
            </w:r>
            <w:r>
              <w:rPr>
                <w:rStyle w:val="261"/>
                <w:lang w:val="en-US" w:eastAsia="zh-CN" w:bidi="ar"/>
              </w:rPr>
              <w:t>²</w:t>
            </w:r>
            <w:r>
              <w:rPr>
                <w:rStyle w:val="260"/>
                <w:lang w:val="en-US" w:eastAsia="zh-CN" w:bidi="ar"/>
              </w:rPr>
              <w:t>；刷新率</w:t>
            </w:r>
            <w:r>
              <w:rPr>
                <w:rStyle w:val="259"/>
                <w:rFonts w:eastAsia="宋体"/>
                <w:lang w:val="en-US" w:eastAsia="zh-CN" w:bidi="ar"/>
              </w:rPr>
              <w:t>‌</w:t>
            </w:r>
            <w:r>
              <w:rPr>
                <w:rStyle w:val="260"/>
                <w:lang w:val="en-US" w:eastAsia="zh-CN" w:bidi="ar"/>
              </w:rPr>
              <w:t>：60Hz；</w:t>
            </w:r>
            <w:r>
              <w:rPr>
                <w:rStyle w:val="259"/>
                <w:rFonts w:eastAsia="宋体"/>
                <w:lang w:val="en-US" w:eastAsia="zh-CN" w:bidi="ar"/>
              </w:rPr>
              <w:t>‌</w:t>
            </w:r>
            <w:r>
              <w:rPr>
                <w:rStyle w:val="260"/>
                <w:lang w:val="en-US" w:eastAsia="zh-CN" w:bidi="ar"/>
              </w:rPr>
              <w:t>响应时间</w:t>
            </w:r>
            <w:r>
              <w:rPr>
                <w:rStyle w:val="259"/>
                <w:rFonts w:eastAsia="宋体"/>
                <w:lang w:val="en-US" w:eastAsia="zh-CN" w:bidi="ar"/>
              </w:rPr>
              <w:t>‌</w:t>
            </w:r>
            <w:r>
              <w:rPr>
                <w:rStyle w:val="260"/>
                <w:lang w:val="en-US" w:eastAsia="zh-CN" w:bidi="ar"/>
              </w:rPr>
              <w:t>：4ms。</w:t>
            </w:r>
            <w:r>
              <w:rPr>
                <w:rStyle w:val="260"/>
                <w:lang w:val="en-US" w:eastAsia="zh-CN" w:bidi="ar"/>
              </w:rPr>
              <w:br w:type="textWrapping"/>
            </w:r>
            <w:r>
              <w:rPr>
                <w:rStyle w:val="260"/>
                <w:lang w:val="en-US" w:eastAsia="zh-CN" w:bidi="ar"/>
              </w:rPr>
              <w:t>7.显示尺寸：</w:t>
            </w:r>
            <w:r>
              <w:rPr>
                <w:rStyle w:val="260"/>
                <w:rFonts w:hint="eastAsia"/>
                <w:lang w:val="en-US" w:eastAsia="zh-CN" w:bidi="ar"/>
              </w:rPr>
              <w:t>≥</w:t>
            </w:r>
            <w:r>
              <w:rPr>
                <w:rStyle w:val="260"/>
                <w:lang w:val="en-US" w:eastAsia="zh-CN" w:bidi="ar"/>
              </w:rPr>
              <w:t>23.8寸。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D3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5E1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5AA68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A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4D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机房管理系统</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top"/>
          </w:tcPr>
          <w:p w14:paraId="5BF9AFC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1、支持IPV4、IPV6网络环境下安装和正常使用，支持windows 7 32位/64位，windows10 64位、windows11 64位操作系统；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2、支持班级管理，可将频道和班级进行绑定，用于不同的教室登录不同的频道进行上课；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3、支持对学生视图自定义命令和排序，便于学生未点名时，通过座位信息快速找到学生；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4、支持屏幕广播功能，能够实现两种接收模式，包括学生全屏/窗口模式接收教师机广播的画面，全屏状态锁定学生鼠标和键盘；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5、屏幕广播支持区域广播方式，教师端可选取一块区域广播给学生机；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6、屏幕广播状态下，教师可开启实时语音，学生端可以通过耳机接听教师语音，同时支持屏幕笔功能，教师可通过屏幕笔将屏幕当做画板进行绘制，便于教学互动；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w:t>
            </w:r>
            <w:r>
              <w:rPr>
                <w:rFonts w:hint="eastAsia" w:ascii="宋体" w:hAnsi="宋体" w:cs="宋体"/>
                <w:kern w:val="0"/>
                <w:szCs w:val="21"/>
              </w:rPr>
              <w:t>▲</w:t>
            </w:r>
            <w:r>
              <w:rPr>
                <w:rFonts w:hint="eastAsia" w:ascii="宋体" w:hAnsi="宋体" w:eastAsia="宋体" w:cs="宋体"/>
                <w:i w:val="0"/>
                <w:iCs w:val="0"/>
                <w:color w:val="000000"/>
                <w:kern w:val="0"/>
                <w:sz w:val="20"/>
                <w:szCs w:val="20"/>
                <w:u w:val="none"/>
                <w:lang w:val="en-US" w:eastAsia="zh-CN" w:bidi="ar"/>
              </w:rPr>
              <w:t>屏幕广播支持弹幕，教师机开启弹幕后，教师机和学生机可发送弹幕信息，便于及时交流、增强教学互动性；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8、屏幕广播支持笔记截屏，教师机开启笔记截屏后，全屏广播时学生机可一键截取屏幕，保存上课重点信息；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9、支持影音广播，即使在终端未进入桌面的状态，也能够实现全体学生的影音广播，影音广播下支持视频的切换、暂停，并支持点击进度条任意地方以改变视频播放进度；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10、教师可选定一个学生操作本机或操作教师机进行教学演示，并将该学生演示的画面广播给每一个学生；被广播的学生将全屏/窗口接收演示学生的画面，全屏状态键盘和鼠标被锁定；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11、支持遥控转播，教师端可对单个学生机进行遥控并转播到其它学生机桌面；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遥控监看，教师可实时监看学生端的学生桌面，并可远程遥控学生端桌面，支持单屏控制和全体控制，控制时可锁定学生机；13、教师机可以连续监看所选学生机屏幕，每屏可监视多个学生,可设置每屏学生机的数量以及学生机屏幕轮循的时间间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14、具备游戏互动教学功能，支持击鼓传花，电子抢答等互动方式；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w:t>
            </w:r>
            <w:r>
              <w:rPr>
                <w:rFonts w:hint="eastAsia" w:ascii="宋体" w:hAnsi="宋体" w:cs="宋体"/>
                <w:kern w:val="0"/>
                <w:szCs w:val="21"/>
              </w:rPr>
              <w:t>▲</w:t>
            </w:r>
            <w:r>
              <w:rPr>
                <w:rFonts w:hint="eastAsia" w:ascii="宋体" w:hAnsi="宋体" w:eastAsia="宋体" w:cs="宋体"/>
                <w:i w:val="0"/>
                <w:iCs w:val="0"/>
                <w:color w:val="000000"/>
                <w:kern w:val="0"/>
                <w:sz w:val="20"/>
                <w:szCs w:val="20"/>
                <w:u w:val="none"/>
                <w:lang w:val="en-US" w:eastAsia="zh-CN" w:bidi="ar"/>
              </w:rPr>
              <w:t>上课过程中，老师可对学生奖励小红花，教师机可显示小红花奖励排行榜，显示每个学生的奖励数量，并可向学生发布奖励排行榜，提升学生参与感和学习兴趣；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w:t>
            </w:r>
            <w:r>
              <w:rPr>
                <w:rFonts w:hint="eastAsia" w:ascii="宋体" w:hAnsi="宋体" w:cs="宋体"/>
                <w:kern w:val="0"/>
                <w:szCs w:val="21"/>
              </w:rPr>
              <w:t>▲</w:t>
            </w:r>
            <w:r>
              <w:rPr>
                <w:rFonts w:hint="eastAsia" w:ascii="宋体" w:hAnsi="宋体" w:eastAsia="宋体" w:cs="宋体"/>
                <w:i w:val="0"/>
                <w:iCs w:val="0"/>
                <w:color w:val="000000"/>
                <w:kern w:val="0"/>
                <w:sz w:val="20"/>
                <w:szCs w:val="20"/>
                <w:u w:val="none"/>
                <w:lang w:val="en-US" w:eastAsia="zh-CN" w:bidi="ar"/>
              </w:rPr>
              <w:t>支持黑屏肃静，教师可对学生执行黑屏肃静操作，能够自定义黑屏肃静的提示信息，支持手动解锁、按时解锁、按时长解锁；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w:t>
            </w:r>
            <w:r>
              <w:rPr>
                <w:rFonts w:hint="eastAsia" w:ascii="宋体" w:hAnsi="宋体" w:cs="宋体"/>
                <w:kern w:val="0"/>
                <w:szCs w:val="21"/>
              </w:rPr>
              <w:t>▲</w:t>
            </w:r>
            <w:r>
              <w:rPr>
                <w:rFonts w:hint="eastAsia" w:ascii="宋体" w:hAnsi="宋体" w:eastAsia="宋体" w:cs="宋体"/>
                <w:i w:val="0"/>
                <w:iCs w:val="0"/>
                <w:color w:val="000000"/>
                <w:kern w:val="0"/>
                <w:sz w:val="20"/>
                <w:szCs w:val="20"/>
                <w:u w:val="none"/>
                <w:lang w:val="en-US" w:eastAsia="zh-CN" w:bidi="ar"/>
              </w:rPr>
              <w:t>支持考试功能，包括试题编辑、下发试卷、考试监控、成绩统计。可添加单选题、多选题、判断题、填空题、问答题；可设置考试时长，倒计时结束后自动结束考试。阅卷时，单选题、多选题、判断题支持自动评分和统计正确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w:t>
            </w:r>
            <w:r>
              <w:rPr>
                <w:rFonts w:hint="eastAsia" w:ascii="宋体" w:hAnsi="宋体" w:cs="宋体"/>
                <w:kern w:val="0"/>
                <w:szCs w:val="21"/>
              </w:rPr>
              <w:t>▲</w:t>
            </w:r>
            <w:r>
              <w:rPr>
                <w:rFonts w:hint="eastAsia" w:ascii="宋体" w:hAnsi="宋体" w:eastAsia="宋体" w:cs="宋体"/>
                <w:i w:val="0"/>
                <w:iCs w:val="0"/>
                <w:color w:val="000000"/>
                <w:kern w:val="0"/>
                <w:sz w:val="20"/>
                <w:szCs w:val="20"/>
                <w:u w:val="none"/>
                <w:lang w:val="en-US" w:eastAsia="zh-CN" w:bidi="ar"/>
              </w:rPr>
              <w:t>座位预约功能，师生可通过座位预约模块预约使用座位，实现教室座位统一预约使用和管理服务，支持网上选座、移动端选座和现场选座，管理人员通过平台可直接管理和查看座位资源。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FD7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2A7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2F54B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F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7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00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262"/>
                <w:lang w:val="en-US" w:eastAsia="zh-CN" w:bidi="ar"/>
              </w:rPr>
              <w:t>端口配置</w:t>
            </w:r>
            <w:r>
              <w:rPr>
                <w:rStyle w:val="263"/>
                <w:rFonts w:eastAsia="宋体"/>
                <w:lang w:val="en-US" w:eastAsia="zh-CN" w:bidi="ar"/>
              </w:rPr>
              <w:t>‌</w:t>
            </w:r>
            <w:r>
              <w:rPr>
                <w:rStyle w:val="262"/>
                <w:lang w:val="en-US" w:eastAsia="zh-CN" w:bidi="ar"/>
              </w:rPr>
              <w:t>：48个千兆电口+4个千兆光口</w:t>
            </w:r>
            <w:r>
              <w:rPr>
                <w:rStyle w:val="262"/>
                <w:lang w:val="en-US" w:eastAsia="zh-CN" w:bidi="ar"/>
              </w:rPr>
              <w:br w:type="textWrapping"/>
            </w:r>
            <w:r>
              <w:rPr>
                <w:rStyle w:val="263"/>
                <w:rFonts w:eastAsia="宋体"/>
                <w:lang w:val="en-US" w:eastAsia="zh-CN" w:bidi="ar"/>
              </w:rPr>
              <w:t>‌</w:t>
            </w:r>
            <w:r>
              <w:rPr>
                <w:rStyle w:val="262"/>
                <w:lang w:val="en-US" w:eastAsia="zh-CN" w:bidi="ar"/>
              </w:rPr>
              <w:t>功能特性</w:t>
            </w:r>
            <w:r>
              <w:rPr>
                <w:rStyle w:val="263"/>
                <w:rFonts w:eastAsia="宋体"/>
                <w:lang w:val="en-US" w:eastAsia="zh-CN" w:bidi="ar"/>
              </w:rPr>
              <w:t>‌</w:t>
            </w:r>
            <w:r>
              <w:rPr>
                <w:rStyle w:val="262"/>
                <w:lang w:val="en-US" w:eastAsia="zh-CN" w:bidi="ar"/>
              </w:rPr>
              <w:t>：支持L2~L4包过滤功能，提供基于源MAC地址、目的MAC地址、源IP地址、目的IP地址、TCP/UDP端口号、协议类型、VLAN的流分类。</w:t>
            </w:r>
            <w:r>
              <w:rPr>
                <w:rStyle w:val="262"/>
                <w:lang w:val="en-US" w:eastAsia="zh-CN" w:bidi="ar"/>
              </w:rPr>
              <w:br w:type="textWrapping"/>
            </w:r>
            <w:r>
              <w:rPr>
                <w:rStyle w:val="262"/>
                <w:lang w:val="en-US" w:eastAsia="zh-CN" w:bidi="ar"/>
              </w:rPr>
              <w:t>支持丰富的管理和安全特性，包括SNMPv1/v2/v3、CLI命令行、Web网管、TELNET、SSH2.0加密方式等。</w:t>
            </w:r>
            <w:r>
              <w:rPr>
                <w:rStyle w:val="262"/>
                <w:lang w:val="en-US" w:eastAsia="zh-CN" w:bidi="ar"/>
              </w:rPr>
              <w:br w:type="textWrapping"/>
            </w:r>
            <w:r>
              <w:rPr>
                <w:rStyle w:val="262"/>
                <w:lang w:val="en-US" w:eastAsia="zh-CN" w:bidi="ar"/>
              </w:rPr>
              <w:t>支持基于MAC地址划分VLAN，结合全局和VLAN下发ACL策略，简化用户配置并节约硬件资源。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78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55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r>
      <w:tr w14:paraId="12936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6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7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功放</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75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1、≥4路话筒输入，采用卡侬6.35MM二合一插座（具有48V幻象供电功能）；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2、≥3路线路输入，采用RCA莲花插座，1路线路输出，采用RCA莲花插座，具有U盘播放功能；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3、具有5段电平指示，具有≥4路话筒输入，具有≥3路线路输入；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4、具有≥1路线路输出，双通道输出，能单独调节每路输入的音量；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5、额定功率：≥2*120W/8Ω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1B6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37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180C9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4"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49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4A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无线麦克风</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2D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1、UHF频段、采用锁相环PLL频率合成技术</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2、使用距离约：30-80米（按实际使用环境为准）</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3、解调方式：二次变频超外差,天线接口：BNC（50欧）</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4、输出接口：≥独立真平衡输出X2，6、3mm混合输出X1</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5、≥无线话筒2个头戴麦克风</w:t>
            </w:r>
            <w:r>
              <w:rPr>
                <w:rFonts w:hint="eastAsia" w:ascii="宋体" w:hAnsi="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60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DF3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420E8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C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6EE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会议麦克风</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1DA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1、换能方式：电容式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2、频率响应：50Hz-18kHz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3、指向性：心型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4、讯噪比：≥65 dB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5、供电电压：直流3V/幻象48V（幻象指既传输电流，也传输声音）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6、咪管长度：≥400mm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D1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2C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26A22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0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6FA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机房耳麦</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162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头戴式电脑耳麦: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符合国测要求</w:t>
            </w:r>
            <w:r>
              <w:rPr>
                <w:rFonts w:hint="eastAsia" w:ascii="宋体" w:hAnsi="宋体" w:cs="宋体"/>
                <w:i w:val="0"/>
                <w:iCs w:val="0"/>
                <w:color w:val="auto"/>
                <w:kern w:val="0"/>
                <w:sz w:val="20"/>
                <w:szCs w:val="20"/>
                <w:u w:val="none"/>
                <w:lang w:val="en-US" w:eastAsia="zh-CN" w:bidi="ar"/>
              </w:rPr>
              <w:t>不低于</w:t>
            </w:r>
            <w:r>
              <w:rPr>
                <w:rFonts w:hint="eastAsia" w:ascii="宋体" w:hAnsi="宋体" w:eastAsia="宋体" w:cs="宋体"/>
                <w:i w:val="0"/>
                <w:iCs w:val="0"/>
                <w:color w:val="auto"/>
                <w:kern w:val="0"/>
                <w:sz w:val="20"/>
                <w:szCs w:val="20"/>
                <w:u w:val="none"/>
                <w:lang w:val="en-US" w:eastAsia="zh-CN" w:bidi="ar"/>
              </w:rPr>
              <w:t>USB K5000 专业考试耳机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9E4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ADA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1306C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17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E96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工作台</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040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定制工作站桌椅：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1000mm*600mm*700mm钢木结构，含1张凳子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5D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6F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29CC7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C73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15E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网线</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C6A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传输速率10Gbps、带宽500MHz、线径0.6mm（23AWG）、支持100米传输距离，并采用十字骨架和屏蔽技术增强抗干扰能力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2D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7AA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r>
      <w:tr w14:paraId="5CA96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F64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868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机柜</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B5E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 xml:space="preserve">标准机柜 </w:t>
            </w:r>
            <w:r>
              <w:rPr>
                <w:rFonts w:hint="eastAsia" w:ascii="宋体" w:hAnsi="宋体" w:eastAsia="宋体" w:cs="宋体"/>
                <w:i w:val="0"/>
                <w:iCs w:val="0"/>
                <w:color w:val="auto"/>
                <w:kern w:val="0"/>
                <w:sz w:val="20"/>
                <w:szCs w:val="20"/>
                <w:u w:val="none"/>
                <w:lang w:val="en-US" w:eastAsia="zh-CN" w:bidi="ar"/>
              </w:rPr>
              <w:t>20U 600mm宽*1000mm深*1000mm高采用SPCC冷轧钢材，冷轧钢材表面光滑，触感平滑细腻，充满韧性和钢力，最大承重</w:t>
            </w:r>
            <w:r>
              <w:rPr>
                <w:rFonts w:hint="eastAsia" w:ascii="宋体" w:hAnsi="宋体" w:cs="宋体"/>
                <w:i w:val="0"/>
                <w:iCs w:val="0"/>
                <w:color w:val="auto"/>
                <w:kern w:val="0"/>
                <w:sz w:val="20"/>
                <w:szCs w:val="20"/>
                <w:u w:val="none"/>
                <w:lang w:val="en-US" w:eastAsia="zh-CN" w:bidi="ar"/>
              </w:rPr>
              <w:t>不低于</w:t>
            </w:r>
            <w:r>
              <w:rPr>
                <w:rFonts w:hint="eastAsia" w:ascii="宋体" w:hAnsi="宋体" w:eastAsia="宋体" w:cs="宋体"/>
                <w:i w:val="0"/>
                <w:iCs w:val="0"/>
                <w:color w:val="auto"/>
                <w:kern w:val="0"/>
                <w:sz w:val="20"/>
                <w:szCs w:val="20"/>
                <w:u w:val="none"/>
                <w:lang w:val="en-US" w:eastAsia="zh-CN" w:bidi="ar"/>
              </w:rPr>
              <w:t>600KG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879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900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31C19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690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12</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0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系统集成</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5B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含整体项目安装、系统调试、子系统联调等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F6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7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r>
    </w:tbl>
    <w:p w14:paraId="3F9F3A7C">
      <w:pPr>
        <w:spacing w:line="360" w:lineRule="auto"/>
        <w:contextualSpacing/>
        <w:rPr>
          <w:rFonts w:hint="eastAsia"/>
          <w:sz w:val="24"/>
        </w:rPr>
      </w:pPr>
    </w:p>
    <w:p w14:paraId="54A377DE">
      <w:pPr>
        <w:spacing w:line="360" w:lineRule="auto"/>
        <w:contextualSpacing/>
        <w:rPr>
          <w:i/>
          <w:iCs/>
          <w:sz w:val="24"/>
        </w:rPr>
      </w:pPr>
      <w:r>
        <w:rPr>
          <w:rFonts w:hint="eastAsia"/>
          <w:sz w:val="24"/>
        </w:rPr>
        <w:t>2</w:t>
      </w:r>
      <w:r>
        <w:rPr>
          <w:sz w:val="24"/>
        </w:rPr>
        <w:t>. 验收标准</w:t>
      </w:r>
    </w:p>
    <w:p w14:paraId="6969A98A">
      <w:pPr>
        <w:spacing w:line="360" w:lineRule="auto"/>
        <w:ind w:firstLine="240" w:firstLineChars="100"/>
        <w:contextualSpacing/>
        <w:rPr>
          <w:sz w:val="24"/>
        </w:rPr>
      </w:pPr>
      <w:r>
        <w:rPr>
          <w:rFonts w:hint="eastAsia"/>
          <w:sz w:val="24"/>
        </w:rPr>
        <w:t>安装调试完成后，中标人可申请让招标人进行验收。招标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w:t>
      </w:r>
    </w:p>
    <w:p w14:paraId="3529C7E2">
      <w:pPr>
        <w:spacing w:line="360" w:lineRule="auto"/>
        <w:contextualSpacing/>
        <w:rPr>
          <w:sz w:val="24"/>
        </w:rPr>
      </w:pPr>
      <w:r>
        <w:rPr>
          <w:rFonts w:hint="eastAsia"/>
          <w:sz w:val="24"/>
        </w:rPr>
        <w:t>3</w:t>
      </w:r>
      <w:r>
        <w:rPr>
          <w:sz w:val="24"/>
        </w:rPr>
        <w:t>. 其他要求（如有）</w:t>
      </w:r>
    </w:p>
    <w:p w14:paraId="69563B11">
      <w:pPr>
        <w:spacing w:line="360" w:lineRule="auto"/>
        <w:ind w:firstLine="240" w:firstLineChars="100"/>
        <w:contextualSpacing/>
        <w:rPr>
          <w:b/>
          <w:sz w:val="36"/>
          <w:szCs w:val="36"/>
        </w:rPr>
      </w:pPr>
      <w:r>
        <w:rPr>
          <w:rFonts w:hint="eastAsia"/>
          <w:sz w:val="24"/>
        </w:rPr>
        <w:t>无。</w:t>
      </w:r>
      <w:bookmarkEnd w:id="1"/>
      <w:bookmarkEnd w:id="2"/>
      <w:bookmarkEnd w:id="3"/>
      <w:bookmarkEnd w:id="4"/>
      <w:bookmarkEnd w:id="5"/>
      <w:bookmarkEnd w:id="6"/>
      <w:bookmarkEnd w:id="7"/>
      <w:bookmarkEnd w:id="8"/>
      <w:bookmarkEnd w:id="9"/>
      <w:bookmarkEnd w:id="10"/>
      <w:bookmarkEnd w:id="11"/>
      <w:bookmarkEnd w:id="12"/>
      <w:bookmarkEnd w:id="13"/>
      <w:bookmarkEnd w:id="14"/>
      <w:bookmarkStart w:id="15" w:name="_GoBack"/>
      <w:bookmarkEnd w:id="15"/>
    </w:p>
    <w:sectPr>
      <w:headerReference r:id="rId3" w:type="default"/>
      <w:footerReference r:id="rId4" w:type="default"/>
      <w:pgSz w:w="11907" w:h="16840"/>
      <w:pgMar w:top="1417" w:right="1134" w:bottom="1417"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方正书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E124A">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543B7F">
                          <w:pPr>
                            <w:pStyle w:val="28"/>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9543B7F">
                    <w:pPr>
                      <w:pStyle w:val="28"/>
                    </w:pPr>
                    <w:r>
                      <w:fldChar w:fldCharType="begin"/>
                    </w:r>
                    <w:r>
                      <w:instrText xml:space="preserve"> PAGE  \* MERGEFORMAT </w:instrText>
                    </w:r>
                    <w:r>
                      <w:fldChar w:fldCharType="separate"/>
                    </w:r>
                    <w:r>
                      <w:t>61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EDB76">
    <w:pPr>
      <w:pStyle w:val="2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3A1E4C"/>
    <w:multiLevelType w:val="multilevel"/>
    <w:tmpl w:val="E13A1E4C"/>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8DBAC56"/>
    <w:multiLevelType w:val="singleLevel"/>
    <w:tmpl w:val="08DBAC56"/>
    <w:lvl w:ilvl="0" w:tentative="0">
      <w:start w:val="1"/>
      <w:numFmt w:val="decimal"/>
      <w:suff w:val="space"/>
      <w:lvlText w:val="%1."/>
      <w:lvlJc w:val="left"/>
    </w:lvl>
  </w:abstractNum>
  <w:abstractNum w:abstractNumId="8">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num w:numId="1">
    <w:abstractNumId w:val="4"/>
  </w:num>
  <w:num w:numId="2">
    <w:abstractNumId w:val="6"/>
  </w:num>
  <w:num w:numId="3">
    <w:abstractNumId w:val="1"/>
  </w:num>
  <w:num w:numId="4">
    <w:abstractNumId w:val="5"/>
  </w:num>
  <w:num w:numId="5">
    <w:abstractNumId w:val="3"/>
  </w:num>
  <w:num w:numId="6">
    <w:abstractNumId w:val="2"/>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MzEwNTM5NzYwMDRjMzkwZTVkZjY2ODkwMGIxNGU0OTUifQ=="/>
    <w:docVar w:name="KSO_WPS_MARK_KEY" w:val="48fdb932-94cf-435b-a4b7-43d9f0c0525a"/>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706"/>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15"/>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D5"/>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2"/>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AA02F3"/>
    <w:rsid w:val="01C2419A"/>
    <w:rsid w:val="024C63EB"/>
    <w:rsid w:val="0251726C"/>
    <w:rsid w:val="02A105F3"/>
    <w:rsid w:val="02C60B85"/>
    <w:rsid w:val="04151D11"/>
    <w:rsid w:val="052676B9"/>
    <w:rsid w:val="053578FC"/>
    <w:rsid w:val="05542478"/>
    <w:rsid w:val="055B3806"/>
    <w:rsid w:val="06C633DB"/>
    <w:rsid w:val="070178BC"/>
    <w:rsid w:val="072E4015"/>
    <w:rsid w:val="07CD7318"/>
    <w:rsid w:val="08181010"/>
    <w:rsid w:val="08F96EE7"/>
    <w:rsid w:val="09344556"/>
    <w:rsid w:val="095B5927"/>
    <w:rsid w:val="09CC79B4"/>
    <w:rsid w:val="0A462A32"/>
    <w:rsid w:val="0A594FFD"/>
    <w:rsid w:val="0A96708F"/>
    <w:rsid w:val="0AF42FA4"/>
    <w:rsid w:val="0B1E451A"/>
    <w:rsid w:val="0B3B3792"/>
    <w:rsid w:val="0B5400BA"/>
    <w:rsid w:val="0B660C1A"/>
    <w:rsid w:val="0B7849E6"/>
    <w:rsid w:val="0BAF01FC"/>
    <w:rsid w:val="0BB35CF5"/>
    <w:rsid w:val="0C3B6140"/>
    <w:rsid w:val="0C4E5B6B"/>
    <w:rsid w:val="0C51153D"/>
    <w:rsid w:val="0C6D3E1F"/>
    <w:rsid w:val="0C801DA5"/>
    <w:rsid w:val="0DB51F60"/>
    <w:rsid w:val="0E282A80"/>
    <w:rsid w:val="0E2E0C09"/>
    <w:rsid w:val="0ECE329B"/>
    <w:rsid w:val="0F025937"/>
    <w:rsid w:val="0F2729AB"/>
    <w:rsid w:val="0F71204C"/>
    <w:rsid w:val="0FB3417A"/>
    <w:rsid w:val="1001195F"/>
    <w:rsid w:val="104A2C73"/>
    <w:rsid w:val="105364F0"/>
    <w:rsid w:val="10944694"/>
    <w:rsid w:val="1102722C"/>
    <w:rsid w:val="11105FCA"/>
    <w:rsid w:val="119444C3"/>
    <w:rsid w:val="11AD1EE8"/>
    <w:rsid w:val="12717F0F"/>
    <w:rsid w:val="12CA38A7"/>
    <w:rsid w:val="12D71EE1"/>
    <w:rsid w:val="12F47048"/>
    <w:rsid w:val="1303728B"/>
    <w:rsid w:val="13425B58"/>
    <w:rsid w:val="13EF0E8E"/>
    <w:rsid w:val="13F56435"/>
    <w:rsid w:val="143E49C0"/>
    <w:rsid w:val="14B362FE"/>
    <w:rsid w:val="14EC51E3"/>
    <w:rsid w:val="157B551C"/>
    <w:rsid w:val="1647748F"/>
    <w:rsid w:val="170F0EF1"/>
    <w:rsid w:val="176A2E18"/>
    <w:rsid w:val="17A56B63"/>
    <w:rsid w:val="17E85F34"/>
    <w:rsid w:val="17F93E0B"/>
    <w:rsid w:val="184A3581"/>
    <w:rsid w:val="18C32E48"/>
    <w:rsid w:val="19053D5D"/>
    <w:rsid w:val="19141836"/>
    <w:rsid w:val="1968609A"/>
    <w:rsid w:val="1A3E0F06"/>
    <w:rsid w:val="1AB84DFF"/>
    <w:rsid w:val="1AF4654F"/>
    <w:rsid w:val="1B0E2C71"/>
    <w:rsid w:val="1B1E2EB4"/>
    <w:rsid w:val="1B427258"/>
    <w:rsid w:val="1BD21EF1"/>
    <w:rsid w:val="1BF32F9B"/>
    <w:rsid w:val="1C033E58"/>
    <w:rsid w:val="1C455CA5"/>
    <w:rsid w:val="1C7A7EC9"/>
    <w:rsid w:val="1C986C96"/>
    <w:rsid w:val="1CCE78C3"/>
    <w:rsid w:val="1D157249"/>
    <w:rsid w:val="1D2C69D2"/>
    <w:rsid w:val="1D5633F4"/>
    <w:rsid w:val="1D865A27"/>
    <w:rsid w:val="1DCB139C"/>
    <w:rsid w:val="1DE2036C"/>
    <w:rsid w:val="1E011CA3"/>
    <w:rsid w:val="1E2F53D8"/>
    <w:rsid w:val="1E8A6AB3"/>
    <w:rsid w:val="1ECC4614"/>
    <w:rsid w:val="1EDA3596"/>
    <w:rsid w:val="1F437284"/>
    <w:rsid w:val="1FFC753C"/>
    <w:rsid w:val="202A5414"/>
    <w:rsid w:val="207978BD"/>
    <w:rsid w:val="20890DE2"/>
    <w:rsid w:val="20F546B7"/>
    <w:rsid w:val="216338F1"/>
    <w:rsid w:val="220A5DAA"/>
    <w:rsid w:val="2269021C"/>
    <w:rsid w:val="23871813"/>
    <w:rsid w:val="239E00B4"/>
    <w:rsid w:val="23DC56F6"/>
    <w:rsid w:val="24030E16"/>
    <w:rsid w:val="243B61F5"/>
    <w:rsid w:val="249E5066"/>
    <w:rsid w:val="24A57DDB"/>
    <w:rsid w:val="24BA380A"/>
    <w:rsid w:val="24D23370"/>
    <w:rsid w:val="251E74A4"/>
    <w:rsid w:val="25466AAB"/>
    <w:rsid w:val="256406CB"/>
    <w:rsid w:val="256D1364"/>
    <w:rsid w:val="259124D5"/>
    <w:rsid w:val="25C02928"/>
    <w:rsid w:val="26026C54"/>
    <w:rsid w:val="263403D6"/>
    <w:rsid w:val="27124AB2"/>
    <w:rsid w:val="271B5C68"/>
    <w:rsid w:val="272566A9"/>
    <w:rsid w:val="27843CE5"/>
    <w:rsid w:val="27BF6051"/>
    <w:rsid w:val="27C30279"/>
    <w:rsid w:val="27E51A2C"/>
    <w:rsid w:val="283006CB"/>
    <w:rsid w:val="28494E72"/>
    <w:rsid w:val="284B2E0F"/>
    <w:rsid w:val="28B80CA5"/>
    <w:rsid w:val="28F049B5"/>
    <w:rsid w:val="28F17561"/>
    <w:rsid w:val="29D57A1C"/>
    <w:rsid w:val="2A1B389E"/>
    <w:rsid w:val="2ADB097B"/>
    <w:rsid w:val="2B3B467B"/>
    <w:rsid w:val="2BA96423"/>
    <w:rsid w:val="2BCB1ED1"/>
    <w:rsid w:val="2C302A48"/>
    <w:rsid w:val="2C7212B2"/>
    <w:rsid w:val="2CBA0563"/>
    <w:rsid w:val="2CDA5767"/>
    <w:rsid w:val="2D546474"/>
    <w:rsid w:val="2E6E5700"/>
    <w:rsid w:val="2EAC6561"/>
    <w:rsid w:val="2EE22848"/>
    <w:rsid w:val="2F106B60"/>
    <w:rsid w:val="2F464A3C"/>
    <w:rsid w:val="2F72323F"/>
    <w:rsid w:val="300246FB"/>
    <w:rsid w:val="300958B8"/>
    <w:rsid w:val="30BC19C5"/>
    <w:rsid w:val="30D57D31"/>
    <w:rsid w:val="31A1736F"/>
    <w:rsid w:val="31AE1219"/>
    <w:rsid w:val="32994EA0"/>
    <w:rsid w:val="32BC71D4"/>
    <w:rsid w:val="32EB653A"/>
    <w:rsid w:val="332444C3"/>
    <w:rsid w:val="332B5D17"/>
    <w:rsid w:val="33693B74"/>
    <w:rsid w:val="34621C0C"/>
    <w:rsid w:val="349D2C44"/>
    <w:rsid w:val="34E82F45"/>
    <w:rsid w:val="35570C4C"/>
    <w:rsid w:val="35795DD6"/>
    <w:rsid w:val="36A11526"/>
    <w:rsid w:val="36B13DFA"/>
    <w:rsid w:val="36C71503"/>
    <w:rsid w:val="372E3B16"/>
    <w:rsid w:val="37321D6A"/>
    <w:rsid w:val="375F2433"/>
    <w:rsid w:val="37B03BEC"/>
    <w:rsid w:val="37C60704"/>
    <w:rsid w:val="38A73DEA"/>
    <w:rsid w:val="38C34C43"/>
    <w:rsid w:val="394C175B"/>
    <w:rsid w:val="3980268B"/>
    <w:rsid w:val="3983796A"/>
    <w:rsid w:val="398F3E37"/>
    <w:rsid w:val="3A143472"/>
    <w:rsid w:val="3A2A4F7A"/>
    <w:rsid w:val="3A422978"/>
    <w:rsid w:val="3A6D52BE"/>
    <w:rsid w:val="3AF410E4"/>
    <w:rsid w:val="3B253993"/>
    <w:rsid w:val="3BBC42F8"/>
    <w:rsid w:val="3BCB6780"/>
    <w:rsid w:val="3BD743B5"/>
    <w:rsid w:val="3C885C72"/>
    <w:rsid w:val="3CA602E0"/>
    <w:rsid w:val="3CC27AC2"/>
    <w:rsid w:val="3D804E73"/>
    <w:rsid w:val="3DDA2813"/>
    <w:rsid w:val="3DED3AAF"/>
    <w:rsid w:val="3E3F3315"/>
    <w:rsid w:val="3E573E64"/>
    <w:rsid w:val="3EFC273D"/>
    <w:rsid w:val="3F515F71"/>
    <w:rsid w:val="3F8F7490"/>
    <w:rsid w:val="400E4C5A"/>
    <w:rsid w:val="40804E2F"/>
    <w:rsid w:val="40CE55EF"/>
    <w:rsid w:val="41032081"/>
    <w:rsid w:val="413C5988"/>
    <w:rsid w:val="41591156"/>
    <w:rsid w:val="417D3891"/>
    <w:rsid w:val="421556B7"/>
    <w:rsid w:val="42CD0A98"/>
    <w:rsid w:val="42D00D1B"/>
    <w:rsid w:val="42EF173C"/>
    <w:rsid w:val="43087F60"/>
    <w:rsid w:val="431A0C09"/>
    <w:rsid w:val="43B979E9"/>
    <w:rsid w:val="45D74323"/>
    <w:rsid w:val="45E7254B"/>
    <w:rsid w:val="470E352E"/>
    <w:rsid w:val="472E439B"/>
    <w:rsid w:val="476037BC"/>
    <w:rsid w:val="480E2158"/>
    <w:rsid w:val="485348E5"/>
    <w:rsid w:val="48745BFB"/>
    <w:rsid w:val="487A1E0E"/>
    <w:rsid w:val="48AE04A3"/>
    <w:rsid w:val="48B9571B"/>
    <w:rsid w:val="48BB4E68"/>
    <w:rsid w:val="49284D7B"/>
    <w:rsid w:val="495F552A"/>
    <w:rsid w:val="496F3DC3"/>
    <w:rsid w:val="49AB3427"/>
    <w:rsid w:val="49C2169A"/>
    <w:rsid w:val="4A623EAE"/>
    <w:rsid w:val="4B0713F1"/>
    <w:rsid w:val="4B5F6A4E"/>
    <w:rsid w:val="4B65373A"/>
    <w:rsid w:val="4B8D3179"/>
    <w:rsid w:val="4C216AA9"/>
    <w:rsid w:val="4C2B408B"/>
    <w:rsid w:val="4C333CEE"/>
    <w:rsid w:val="4C9D5A7F"/>
    <w:rsid w:val="4D00163A"/>
    <w:rsid w:val="4DD74FC1"/>
    <w:rsid w:val="4DD832A7"/>
    <w:rsid w:val="4E671319"/>
    <w:rsid w:val="4E9E5ADF"/>
    <w:rsid w:val="4ED908C5"/>
    <w:rsid w:val="4F0F5BE3"/>
    <w:rsid w:val="4F3211C3"/>
    <w:rsid w:val="4F622668"/>
    <w:rsid w:val="507E0075"/>
    <w:rsid w:val="508B7686"/>
    <w:rsid w:val="50DD6CA9"/>
    <w:rsid w:val="51154BFB"/>
    <w:rsid w:val="5134742C"/>
    <w:rsid w:val="51954F77"/>
    <w:rsid w:val="51B55619"/>
    <w:rsid w:val="51F97E14"/>
    <w:rsid w:val="52422029"/>
    <w:rsid w:val="524A3B72"/>
    <w:rsid w:val="527423DC"/>
    <w:rsid w:val="52B96A43"/>
    <w:rsid w:val="532A715E"/>
    <w:rsid w:val="543E18F6"/>
    <w:rsid w:val="54665BFF"/>
    <w:rsid w:val="548021A8"/>
    <w:rsid w:val="54AD26B7"/>
    <w:rsid w:val="54AD75F7"/>
    <w:rsid w:val="54F61B1B"/>
    <w:rsid w:val="55040901"/>
    <w:rsid w:val="552A59D6"/>
    <w:rsid w:val="565C42B5"/>
    <w:rsid w:val="56722B96"/>
    <w:rsid w:val="56DF05DE"/>
    <w:rsid w:val="57713D91"/>
    <w:rsid w:val="57FC6189"/>
    <w:rsid w:val="581B1F4E"/>
    <w:rsid w:val="597159DB"/>
    <w:rsid w:val="59E37ABC"/>
    <w:rsid w:val="5A2C1F7A"/>
    <w:rsid w:val="5BC336AD"/>
    <w:rsid w:val="5CBB6429"/>
    <w:rsid w:val="5DC374E2"/>
    <w:rsid w:val="5E6F4AAC"/>
    <w:rsid w:val="5EF6586C"/>
    <w:rsid w:val="5F073306"/>
    <w:rsid w:val="5F09758C"/>
    <w:rsid w:val="5F1B39D4"/>
    <w:rsid w:val="5F34177D"/>
    <w:rsid w:val="5F4D7B5C"/>
    <w:rsid w:val="5F5F23FC"/>
    <w:rsid w:val="5F5F73B9"/>
    <w:rsid w:val="5F9215FB"/>
    <w:rsid w:val="5FB75A78"/>
    <w:rsid w:val="5FF60630"/>
    <w:rsid w:val="60121E89"/>
    <w:rsid w:val="607213FA"/>
    <w:rsid w:val="608E7761"/>
    <w:rsid w:val="60E20A32"/>
    <w:rsid w:val="60F41087"/>
    <w:rsid w:val="629F7063"/>
    <w:rsid w:val="62D717B1"/>
    <w:rsid w:val="630737FB"/>
    <w:rsid w:val="63234111"/>
    <w:rsid w:val="63AD5C13"/>
    <w:rsid w:val="63F863A8"/>
    <w:rsid w:val="651D2E62"/>
    <w:rsid w:val="667B2536"/>
    <w:rsid w:val="66E276AE"/>
    <w:rsid w:val="66EA063E"/>
    <w:rsid w:val="675C4F85"/>
    <w:rsid w:val="67C82FE6"/>
    <w:rsid w:val="67E17376"/>
    <w:rsid w:val="6838144E"/>
    <w:rsid w:val="688B4586"/>
    <w:rsid w:val="688E1EF6"/>
    <w:rsid w:val="68AA7398"/>
    <w:rsid w:val="68E24A75"/>
    <w:rsid w:val="68F0426E"/>
    <w:rsid w:val="69103724"/>
    <w:rsid w:val="692B74A0"/>
    <w:rsid w:val="694029D9"/>
    <w:rsid w:val="694806C9"/>
    <w:rsid w:val="69683259"/>
    <w:rsid w:val="69A04CFF"/>
    <w:rsid w:val="69C1684D"/>
    <w:rsid w:val="69E21C04"/>
    <w:rsid w:val="69EE33B0"/>
    <w:rsid w:val="69EF1C7F"/>
    <w:rsid w:val="6AFB5B60"/>
    <w:rsid w:val="6BCD06D0"/>
    <w:rsid w:val="6BD12BF8"/>
    <w:rsid w:val="6BD171FF"/>
    <w:rsid w:val="6BF84629"/>
    <w:rsid w:val="6C042FCD"/>
    <w:rsid w:val="6C5941DB"/>
    <w:rsid w:val="6CA077A5"/>
    <w:rsid w:val="6D573DCE"/>
    <w:rsid w:val="6D57537F"/>
    <w:rsid w:val="6D800432"/>
    <w:rsid w:val="6D920165"/>
    <w:rsid w:val="6DD00D03"/>
    <w:rsid w:val="6E153270"/>
    <w:rsid w:val="6E2A3320"/>
    <w:rsid w:val="6E366F93"/>
    <w:rsid w:val="6E3F48CC"/>
    <w:rsid w:val="6E8977BA"/>
    <w:rsid w:val="6ED20C84"/>
    <w:rsid w:val="6EF16C2D"/>
    <w:rsid w:val="6EFE5648"/>
    <w:rsid w:val="6F4656AB"/>
    <w:rsid w:val="6F5953DE"/>
    <w:rsid w:val="6FDE79F3"/>
    <w:rsid w:val="6FE25F66"/>
    <w:rsid w:val="6FF87CD2"/>
    <w:rsid w:val="701737AE"/>
    <w:rsid w:val="70294DB1"/>
    <w:rsid w:val="709B5583"/>
    <w:rsid w:val="71233EF6"/>
    <w:rsid w:val="71351CBA"/>
    <w:rsid w:val="71B66B18"/>
    <w:rsid w:val="71BD5DFD"/>
    <w:rsid w:val="72275320"/>
    <w:rsid w:val="725D2C63"/>
    <w:rsid w:val="72636DB3"/>
    <w:rsid w:val="728E27CA"/>
    <w:rsid w:val="732B44A2"/>
    <w:rsid w:val="732F4AE5"/>
    <w:rsid w:val="73F6144E"/>
    <w:rsid w:val="741629F5"/>
    <w:rsid w:val="742C597A"/>
    <w:rsid w:val="746B6F63"/>
    <w:rsid w:val="746C5DFF"/>
    <w:rsid w:val="74D53171"/>
    <w:rsid w:val="75705230"/>
    <w:rsid w:val="764364A0"/>
    <w:rsid w:val="76562F75"/>
    <w:rsid w:val="76806716"/>
    <w:rsid w:val="772A140E"/>
    <w:rsid w:val="775D3592"/>
    <w:rsid w:val="7778661E"/>
    <w:rsid w:val="77D221D2"/>
    <w:rsid w:val="78B611AB"/>
    <w:rsid w:val="79320B09"/>
    <w:rsid w:val="794076D9"/>
    <w:rsid w:val="795013E3"/>
    <w:rsid w:val="7A5C5D83"/>
    <w:rsid w:val="7A601D17"/>
    <w:rsid w:val="7AF1471D"/>
    <w:rsid w:val="7B05334B"/>
    <w:rsid w:val="7B0D0B43"/>
    <w:rsid w:val="7B486307"/>
    <w:rsid w:val="7B6E2211"/>
    <w:rsid w:val="7BD4112C"/>
    <w:rsid w:val="7C06069C"/>
    <w:rsid w:val="7C1B4897"/>
    <w:rsid w:val="7C7C3426"/>
    <w:rsid w:val="7C833A9B"/>
    <w:rsid w:val="7CC92706"/>
    <w:rsid w:val="7D3B093C"/>
    <w:rsid w:val="7D697134"/>
    <w:rsid w:val="7DD30A52"/>
    <w:rsid w:val="7E136923"/>
    <w:rsid w:val="7E166249"/>
    <w:rsid w:val="7E355268"/>
    <w:rsid w:val="7F1D7FF3"/>
    <w:rsid w:val="7F256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0"/>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8"/>
    <w:qFormat/>
    <w:uiPriority w:val="0"/>
    <w:pPr>
      <w:tabs>
        <w:tab w:val="left" w:pos="567"/>
      </w:tabs>
      <w:spacing w:before="120" w:line="22" w:lineRule="atLeast"/>
    </w:pPr>
    <w:rPr>
      <w:rFonts w:ascii="宋体" w:hAnsi="宋体"/>
      <w:sz w:val="24"/>
    </w:rPr>
  </w:style>
  <w:style w:type="paragraph" w:styleId="12">
    <w:name w:val="toc 7"/>
    <w:basedOn w:val="1"/>
    <w:next w:val="1"/>
    <w:qFormat/>
    <w:uiPriority w:val="0"/>
    <w:pPr>
      <w:ind w:left="2520" w:leftChars="1200"/>
    </w:pPr>
  </w:style>
  <w:style w:type="paragraph" w:styleId="13">
    <w:name w:val="Normal Indent"/>
    <w:basedOn w:val="1"/>
    <w:next w:val="1"/>
    <w:link w:val="62"/>
    <w:qFormat/>
    <w:uiPriority w:val="0"/>
    <w:pPr>
      <w:autoSpaceDE w:val="0"/>
      <w:autoSpaceDN w:val="0"/>
      <w:adjustRightInd w:val="0"/>
      <w:ind w:firstLine="420"/>
      <w:jc w:val="left"/>
    </w:pPr>
    <w:rPr>
      <w:rFonts w:ascii="宋体"/>
      <w:sz w:val="24"/>
    </w:r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6"/>
    <w:qFormat/>
    <w:uiPriority w:val="0"/>
    <w:pPr>
      <w:shd w:val="clear" w:color="auto" w:fill="000080"/>
    </w:pPr>
  </w:style>
  <w:style w:type="paragraph" w:styleId="16">
    <w:name w:val="annotation text"/>
    <w:basedOn w:val="1"/>
    <w:link w:val="182"/>
    <w:qFormat/>
    <w:uiPriority w:val="99"/>
    <w:pPr>
      <w:jc w:val="left"/>
    </w:pPr>
  </w:style>
  <w:style w:type="paragraph" w:styleId="17">
    <w:name w:val="Body Text 3"/>
    <w:basedOn w:val="1"/>
    <w:link w:val="237"/>
    <w:qFormat/>
    <w:uiPriority w:val="0"/>
    <w:pPr>
      <w:spacing w:after="120"/>
    </w:pPr>
    <w:rPr>
      <w:sz w:val="16"/>
      <w:szCs w:val="16"/>
    </w:rPr>
  </w:style>
  <w:style w:type="paragraph" w:styleId="18">
    <w:name w:val="Body Text Indent"/>
    <w:basedOn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2"/>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9"/>
    <w:qFormat/>
    <w:uiPriority w:val="0"/>
    <w:pPr>
      <w:ind w:left="100" w:leftChars="2500"/>
    </w:pPr>
    <w:rPr>
      <w:rFonts w:ascii="仿宋_GB2312" w:hAnsi="宋体" w:eastAsia="仿宋_GB2312"/>
      <w:color w:val="000000"/>
      <w:sz w:val="24"/>
    </w:rPr>
  </w:style>
  <w:style w:type="paragraph" w:styleId="26">
    <w:name w:val="Body Text Indent 2"/>
    <w:basedOn w:val="1"/>
    <w:link w:val="240"/>
    <w:qFormat/>
    <w:uiPriority w:val="0"/>
    <w:pPr>
      <w:ind w:firstLine="480" w:firstLineChars="200"/>
    </w:pPr>
    <w:rPr>
      <w:rFonts w:ascii="仿宋_GB2312" w:eastAsia="仿宋_GB2312"/>
      <w:sz w:val="24"/>
    </w:rPr>
  </w:style>
  <w:style w:type="paragraph" w:styleId="27">
    <w:name w:val="Balloon Text"/>
    <w:basedOn w:val="1"/>
    <w:link w:val="241"/>
    <w:qFormat/>
    <w:uiPriority w:val="0"/>
    <w:rPr>
      <w:sz w:val="18"/>
      <w:szCs w:val="18"/>
    </w:rPr>
  </w:style>
  <w:style w:type="paragraph" w:styleId="28">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8"/>
    <w:qFormat/>
    <w:uiPriority w:val="0"/>
    <w:pPr>
      <w:jc w:val="center"/>
      <w:outlineLvl w:val="0"/>
    </w:pPr>
    <w:rPr>
      <w:b/>
      <w:sz w:val="32"/>
      <w:szCs w:val="20"/>
    </w:rPr>
  </w:style>
  <w:style w:type="paragraph" w:styleId="40">
    <w:name w:val="annotation subject"/>
    <w:basedOn w:val="16"/>
    <w:next w:val="16"/>
    <w:link w:val="244"/>
    <w:qFormat/>
    <w:uiPriority w:val="0"/>
    <w:rPr>
      <w:b/>
      <w:bCs/>
    </w:rPr>
  </w:style>
  <w:style w:type="paragraph" w:styleId="41">
    <w:name w:val="Body Text First Indent"/>
    <w:basedOn w:val="2"/>
    <w:next w:val="32"/>
    <w:qFormat/>
    <w:uiPriority w:val="0"/>
    <w:pPr>
      <w:ind w:firstLine="420" w:firstLineChars="100"/>
    </w:pPr>
    <w:rPr>
      <w:rFonts w:ascii="Arial" w:hAnsi="Arial"/>
    </w:rPr>
  </w:style>
  <w:style w:type="paragraph" w:styleId="42">
    <w:name w:val="Body Text First Indent 2"/>
    <w:basedOn w:val="18"/>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Char1"/>
    <w:link w:val="4"/>
    <w:qFormat/>
    <w:uiPriority w:val="0"/>
    <w:rPr>
      <w:rFonts w:ascii="Arial" w:hAnsi="Arial" w:eastAsia="黑体"/>
      <w:b/>
      <w:sz w:val="30"/>
      <w:lang w:val="en-US" w:eastAsia="zh-CN" w:bidi="ar-SA"/>
    </w:rPr>
  </w:style>
  <w:style w:type="character" w:customStyle="1" w:styleId="55">
    <w:name w:val="标题 3 Char1"/>
    <w:link w:val="5"/>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Char1"/>
    <w:link w:val="13"/>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Char2"/>
    <w:link w:val="18"/>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表段落 字符"/>
    <w:link w:val="73"/>
    <w:qFormat/>
    <w:uiPriority w:val="34"/>
    <w:rPr>
      <w:rFonts w:ascii="Calibri" w:hAnsi="Calibri" w:eastAsia="宋体"/>
      <w:kern w:val="2"/>
      <w:sz w:val="21"/>
      <w:szCs w:val="22"/>
      <w:lang w:val="en-US" w:eastAsia="zh-CN" w:bidi="ar-SA"/>
    </w:rPr>
  </w:style>
  <w:style w:type="paragraph" w:customStyle="1" w:styleId="73">
    <w:name w:val="列出段落1"/>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Char1"/>
    <w:link w:val="29"/>
    <w:qFormat/>
    <w:uiPriority w:val="0"/>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5"/>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8"/>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Char1"/>
    <w:link w:val="28"/>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customStyle="1" w:styleId="17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Char1"/>
    <w:link w:val="16"/>
    <w:qFormat/>
    <w:uiPriority w:val="99"/>
    <w:rPr>
      <w:kern w:val="2"/>
      <w:sz w:val="21"/>
      <w:szCs w:val="24"/>
    </w:rPr>
  </w:style>
  <w:style w:type="paragraph" w:customStyle="1" w:styleId="183">
    <w:name w:val="标题1-附件"/>
    <w:basedOn w:val="3"/>
    <w:qFormat/>
    <w:uiPriority w:val="0"/>
    <w:pPr>
      <w:jc w:val="left"/>
    </w:pPr>
    <w:rPr>
      <w:sz w:val="24"/>
      <w:szCs w:val="24"/>
    </w:rPr>
  </w:style>
  <w:style w:type="paragraph" w:customStyle="1" w:styleId="184">
    <w:name w:val="正文小标题"/>
    <w:basedOn w:val="1"/>
    <w:next w:val="13"/>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13"/>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Char1"/>
    <w:link w:val="39"/>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Char"/>
    <w:basedOn w:val="46"/>
    <w:link w:val="23"/>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1">
    <w:name w:val="修订1"/>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Char"/>
    <w:basedOn w:val="46"/>
    <w:link w:val="3"/>
    <w:qFormat/>
    <w:uiPriority w:val="0"/>
    <w:rPr>
      <w:rFonts w:ascii="宋体"/>
      <w:b/>
      <w:kern w:val="44"/>
      <w:sz w:val="32"/>
    </w:rPr>
  </w:style>
  <w:style w:type="character" w:customStyle="1" w:styleId="230">
    <w:name w:val="标题 4 Char"/>
    <w:basedOn w:val="46"/>
    <w:link w:val="6"/>
    <w:qFormat/>
    <w:uiPriority w:val="0"/>
    <w:rPr>
      <w:sz w:val="24"/>
    </w:rPr>
  </w:style>
  <w:style w:type="character" w:customStyle="1" w:styleId="231">
    <w:name w:val="标题 5 Char"/>
    <w:basedOn w:val="46"/>
    <w:link w:val="7"/>
    <w:qFormat/>
    <w:uiPriority w:val="0"/>
    <w:rPr>
      <w:b/>
      <w:sz w:val="28"/>
    </w:rPr>
  </w:style>
  <w:style w:type="character" w:customStyle="1" w:styleId="232">
    <w:name w:val="标题 6 Char"/>
    <w:basedOn w:val="46"/>
    <w:link w:val="8"/>
    <w:qFormat/>
    <w:uiPriority w:val="0"/>
    <w:rPr>
      <w:rFonts w:ascii="Arial" w:hAnsi="Arial" w:eastAsia="黑体"/>
      <w:b/>
      <w:sz w:val="24"/>
    </w:rPr>
  </w:style>
  <w:style w:type="character" w:customStyle="1" w:styleId="233">
    <w:name w:val="标题 7 Char"/>
    <w:basedOn w:val="46"/>
    <w:link w:val="9"/>
    <w:qFormat/>
    <w:uiPriority w:val="0"/>
    <w:rPr>
      <w:b/>
      <w:sz w:val="24"/>
    </w:rPr>
  </w:style>
  <w:style w:type="character" w:customStyle="1" w:styleId="234">
    <w:name w:val="标题 8 Char"/>
    <w:basedOn w:val="46"/>
    <w:link w:val="10"/>
    <w:qFormat/>
    <w:uiPriority w:val="0"/>
    <w:rPr>
      <w:rFonts w:ascii="Arial" w:hAnsi="Arial" w:eastAsia="黑体"/>
      <w:sz w:val="24"/>
    </w:rPr>
  </w:style>
  <w:style w:type="character" w:customStyle="1" w:styleId="235">
    <w:name w:val="标题 9 Char"/>
    <w:basedOn w:val="46"/>
    <w:link w:val="11"/>
    <w:qFormat/>
    <w:uiPriority w:val="0"/>
    <w:rPr>
      <w:rFonts w:ascii="Arial" w:hAnsi="Arial" w:eastAsia="黑体"/>
      <w:sz w:val="21"/>
    </w:rPr>
  </w:style>
  <w:style w:type="character" w:customStyle="1" w:styleId="236">
    <w:name w:val="文档结构图 Char"/>
    <w:basedOn w:val="46"/>
    <w:link w:val="15"/>
    <w:qFormat/>
    <w:uiPriority w:val="0"/>
    <w:rPr>
      <w:kern w:val="2"/>
      <w:sz w:val="21"/>
      <w:szCs w:val="24"/>
      <w:shd w:val="clear" w:color="auto" w:fill="000080"/>
    </w:rPr>
  </w:style>
  <w:style w:type="character" w:customStyle="1" w:styleId="237">
    <w:name w:val="正文文本 3 Char"/>
    <w:basedOn w:val="46"/>
    <w:link w:val="17"/>
    <w:qFormat/>
    <w:uiPriority w:val="0"/>
    <w:rPr>
      <w:kern w:val="2"/>
      <w:sz w:val="16"/>
      <w:szCs w:val="16"/>
    </w:rPr>
  </w:style>
  <w:style w:type="character" w:customStyle="1" w:styleId="238">
    <w:name w:val="正文文本 Char"/>
    <w:basedOn w:val="46"/>
    <w:link w:val="2"/>
    <w:qFormat/>
    <w:uiPriority w:val="0"/>
    <w:rPr>
      <w:rFonts w:ascii="宋体" w:hAnsi="宋体"/>
      <w:kern w:val="2"/>
      <w:sz w:val="24"/>
      <w:szCs w:val="24"/>
    </w:rPr>
  </w:style>
  <w:style w:type="character" w:customStyle="1" w:styleId="239">
    <w:name w:val="日期 Char"/>
    <w:basedOn w:val="46"/>
    <w:link w:val="25"/>
    <w:qFormat/>
    <w:uiPriority w:val="0"/>
    <w:rPr>
      <w:rFonts w:ascii="仿宋_GB2312" w:hAnsi="宋体" w:eastAsia="仿宋_GB2312"/>
      <w:color w:val="000000"/>
      <w:kern w:val="2"/>
      <w:sz w:val="24"/>
      <w:szCs w:val="24"/>
    </w:rPr>
  </w:style>
  <w:style w:type="character" w:customStyle="1" w:styleId="240">
    <w:name w:val="正文文本缩进 2 Char"/>
    <w:basedOn w:val="46"/>
    <w:link w:val="26"/>
    <w:qFormat/>
    <w:uiPriority w:val="0"/>
    <w:rPr>
      <w:rFonts w:ascii="仿宋_GB2312" w:eastAsia="仿宋_GB2312"/>
      <w:kern w:val="2"/>
      <w:sz w:val="24"/>
      <w:szCs w:val="24"/>
    </w:rPr>
  </w:style>
  <w:style w:type="character" w:customStyle="1" w:styleId="241">
    <w:name w:val="批注框文本 Char"/>
    <w:basedOn w:val="46"/>
    <w:link w:val="27"/>
    <w:qFormat/>
    <w:uiPriority w:val="0"/>
    <w:rPr>
      <w:kern w:val="2"/>
      <w:sz w:val="18"/>
      <w:szCs w:val="18"/>
    </w:rPr>
  </w:style>
  <w:style w:type="character" w:customStyle="1" w:styleId="242">
    <w:name w:val="正文文本缩进 3 Char"/>
    <w:basedOn w:val="46"/>
    <w:link w:val="33"/>
    <w:qFormat/>
    <w:uiPriority w:val="0"/>
    <w:rPr>
      <w:rFonts w:ascii="宋体"/>
      <w:sz w:val="24"/>
    </w:rPr>
  </w:style>
  <w:style w:type="character" w:customStyle="1" w:styleId="243">
    <w:name w:val="HTML 预设格式 Char"/>
    <w:basedOn w:val="46"/>
    <w:link w:val="36"/>
    <w:qFormat/>
    <w:uiPriority w:val="0"/>
    <w:rPr>
      <w:rFonts w:ascii="宋体" w:hAnsi="宋体" w:cs="宋体"/>
      <w:sz w:val="24"/>
      <w:szCs w:val="24"/>
    </w:rPr>
  </w:style>
  <w:style w:type="character" w:customStyle="1" w:styleId="244">
    <w:name w:val="批注主题 Char"/>
    <w:basedOn w:val="194"/>
    <w:link w:val="40"/>
    <w:qFormat/>
    <w:uiPriority w:val="0"/>
    <w:rPr>
      <w:rFonts w:ascii="Times New Roman" w:hAnsi="Times New Roman" w:eastAsia="宋体" w:cs="Times New Roman"/>
      <w:b/>
      <w:bCs/>
      <w:kern w:val="2"/>
      <w:sz w:val="21"/>
      <w:szCs w:val="24"/>
      <w:lang w:val="en-US" w:eastAsia="zh-CN" w:bidi="ar-SA"/>
    </w:rPr>
  </w:style>
  <w:style w:type="character" w:customStyle="1" w:styleId="245">
    <w:name w:val="正文首行缩进 2 Char"/>
    <w:basedOn w:val="67"/>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0">
    <w:name w:val="cf01"/>
    <w:basedOn w:val="46"/>
    <w:qFormat/>
    <w:uiPriority w:val="0"/>
    <w:rPr>
      <w:rFonts w:hint="eastAsia" w:ascii="Microsoft YaHei UI" w:hAnsi="Microsoft YaHei UI" w:eastAsia="Microsoft YaHei UI"/>
      <w:sz w:val="18"/>
      <w:szCs w:val="18"/>
    </w:rPr>
  </w:style>
  <w:style w:type="character" w:customStyle="1" w:styleId="251">
    <w:name w:val="cf21"/>
    <w:basedOn w:val="46"/>
    <w:qFormat/>
    <w:uiPriority w:val="0"/>
    <w:rPr>
      <w:rFonts w:hint="eastAsia" w:ascii="Microsoft YaHei UI" w:hAnsi="Microsoft YaHei UI" w:eastAsia="Microsoft YaHei UI"/>
      <w:sz w:val="18"/>
      <w:szCs w:val="18"/>
      <w:shd w:val="clear" w:color="auto" w:fill="FFFFFF"/>
    </w:rPr>
  </w:style>
  <w:style w:type="character" w:customStyle="1" w:styleId="252">
    <w:name w:val="cf11"/>
    <w:basedOn w:val="46"/>
    <w:qFormat/>
    <w:uiPriority w:val="0"/>
    <w:rPr>
      <w:rFonts w:hint="eastAsia" w:ascii="Microsoft YaHei UI" w:hAnsi="Microsoft YaHei UI" w:eastAsia="Microsoft YaHei UI"/>
      <w:sz w:val="18"/>
      <w:szCs w:val="18"/>
    </w:rPr>
  </w:style>
  <w:style w:type="paragraph" w:customStyle="1" w:styleId="25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54">
    <w:name w:val="表格字体"/>
    <w:basedOn w:val="1"/>
    <w:qFormat/>
    <w:uiPriority w:val="0"/>
    <w:pPr>
      <w:widowControl/>
      <w:spacing w:line="400" w:lineRule="exact"/>
      <w:ind w:firstLine="723" w:firstLineChars="200"/>
    </w:pPr>
    <w:rPr>
      <w:rFonts w:hint="eastAsia" w:eastAsia="仿宋" w:cs="宋体"/>
      <w:bCs/>
      <w:color w:val="000000"/>
      <w:kern w:val="0"/>
      <w:sz w:val="24"/>
      <w:szCs w:val="18"/>
    </w:rPr>
  </w:style>
  <w:style w:type="paragraph" w:customStyle="1" w:styleId="255">
    <w:name w:val="正文+缩进"/>
    <w:basedOn w:val="1"/>
    <w:qFormat/>
    <w:uiPriority w:val="0"/>
    <w:pPr>
      <w:adjustRightInd w:val="0"/>
      <w:spacing w:line="360" w:lineRule="atLeast"/>
      <w:ind w:firstLine="200" w:firstLineChars="200"/>
      <w:jc w:val="left"/>
      <w:textAlignment w:val="baseline"/>
    </w:pPr>
    <w:rPr>
      <w:rFonts w:ascii="Calibri" w:hAnsi="Calibri"/>
      <w:kern w:val="0"/>
      <w:sz w:val="24"/>
      <w:szCs w:val="22"/>
    </w:rPr>
  </w:style>
  <w:style w:type="paragraph" w:customStyle="1" w:styleId="256">
    <w:name w:val="*正文"/>
    <w:basedOn w:val="1"/>
    <w:qFormat/>
    <w:uiPriority w:val="0"/>
    <w:pPr>
      <w:widowControl/>
    </w:pPr>
    <w:rPr>
      <w:rFonts w:ascii="仿宋_GB2312" w:hAnsi="宋体" w:eastAsia="仿宋"/>
      <w:color w:val="000000"/>
      <w:kern w:val="0"/>
      <w:sz w:val="28"/>
      <w:szCs w:val="28"/>
    </w:rPr>
  </w:style>
  <w:style w:type="paragraph" w:customStyle="1" w:styleId="257">
    <w:name w:val="列表段落1"/>
    <w:basedOn w:val="1"/>
    <w:qFormat/>
    <w:uiPriority w:val="34"/>
    <w:pPr>
      <w:ind w:firstLine="420" w:firstLineChars="200"/>
    </w:pPr>
    <w:rPr>
      <w:rFonts w:ascii="Calibri" w:hAnsi="Calibri"/>
      <w:szCs w:val="22"/>
    </w:rPr>
  </w:style>
  <w:style w:type="paragraph" w:styleId="258">
    <w:name w:val="List Paragraph"/>
    <w:basedOn w:val="1"/>
    <w:qFormat/>
    <w:uiPriority w:val="34"/>
    <w:pPr>
      <w:ind w:firstLine="420" w:firstLineChars="200"/>
    </w:pPr>
    <w:rPr>
      <w:rFonts w:ascii="Calibri" w:hAnsi="Calibri"/>
      <w:szCs w:val="20"/>
    </w:rPr>
  </w:style>
  <w:style w:type="character" w:customStyle="1" w:styleId="259">
    <w:name w:val="font81"/>
    <w:basedOn w:val="46"/>
    <w:qFormat/>
    <w:uiPriority w:val="0"/>
    <w:rPr>
      <w:rFonts w:hint="default" w:ascii="Times New Roman" w:hAnsi="Times New Roman" w:cs="Times New Roman"/>
      <w:color w:val="000000"/>
      <w:sz w:val="20"/>
      <w:szCs w:val="20"/>
      <w:u w:val="none"/>
    </w:rPr>
  </w:style>
  <w:style w:type="character" w:customStyle="1" w:styleId="260">
    <w:name w:val="font41"/>
    <w:basedOn w:val="46"/>
    <w:qFormat/>
    <w:uiPriority w:val="0"/>
    <w:rPr>
      <w:rFonts w:hint="eastAsia" w:ascii="宋体" w:hAnsi="宋体" w:eastAsia="宋体" w:cs="宋体"/>
      <w:color w:val="000000"/>
      <w:sz w:val="20"/>
      <w:szCs w:val="20"/>
      <w:u w:val="none"/>
    </w:rPr>
  </w:style>
  <w:style w:type="character" w:customStyle="1" w:styleId="261">
    <w:name w:val="font91"/>
    <w:basedOn w:val="46"/>
    <w:qFormat/>
    <w:uiPriority w:val="0"/>
    <w:rPr>
      <w:rFonts w:ascii="方正书宋_GBK" w:hAnsi="方正书宋_GBK" w:eastAsia="方正书宋_GBK" w:cs="方正书宋_GBK"/>
      <w:color w:val="000000"/>
      <w:sz w:val="20"/>
      <w:szCs w:val="20"/>
      <w:u w:val="none"/>
    </w:rPr>
  </w:style>
  <w:style w:type="character" w:customStyle="1" w:styleId="262">
    <w:name w:val="font31"/>
    <w:basedOn w:val="46"/>
    <w:qFormat/>
    <w:uiPriority w:val="0"/>
    <w:rPr>
      <w:rFonts w:hint="eastAsia" w:ascii="宋体" w:hAnsi="宋体" w:eastAsia="宋体" w:cs="宋体"/>
      <w:color w:val="000000"/>
      <w:sz w:val="20"/>
      <w:szCs w:val="20"/>
      <w:u w:val="none"/>
    </w:rPr>
  </w:style>
  <w:style w:type="character" w:customStyle="1" w:styleId="263">
    <w:name w:val="font101"/>
    <w:basedOn w:val="46"/>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43EE07-E336-42C0-9464-DCEC7FEC4AF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21819</Words>
  <Characters>22808</Characters>
  <Lines>371</Lines>
  <Paragraphs>104</Paragraphs>
  <TotalTime>0</TotalTime>
  <ScaleCrop>false</ScaleCrop>
  <LinksUpToDate>false</LinksUpToDate>
  <CharactersWithSpaces>22995</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2024-06-04T09:36:00Z</dcterms:created>
  <dc:creator>Yin Hao</dc:creator>
  <cp:lastModifiedBy>Administrator</cp:lastModifiedBy>
  <cp:lastPrinted>2020-04-01T03:13:00Z</cp:lastPrinted>
  <dcterms:modified xsi:type="dcterms:W3CDTF">2026-03-13T07:13:16Z</dcterms:modified>
  <dc:title>政府采购示范文本（2023）</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1300DB57B63046FDBA188E5492E0FB5B_13</vt:lpwstr>
  </property>
  <property fmtid="{D5CDD505-2E9C-101B-9397-08002B2CF9AE}" pid="4" name="KSOTemplateDocerSaveRecord">
    <vt:lpwstr>eyJoZGlkIjoiMDkxNGRhNTE4MzVkMmQ4ODU2ZDQ0MWQ5Yzk0ZjNkNTYiLCJ1c2VySWQiOiIxMDIxMzg0NDgwIn0=</vt:lpwstr>
  </property>
</Properties>
</file>