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北京安定医院全基因组甲基化信息采集服务项目公开招标公告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项目名称：北京安定医院全基因组甲基化信息采集服务项目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招标编号：0686-2611BC064313Z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564C8406">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采购人电话：010-5830301</w:t>
      </w:r>
      <w:r>
        <w:rPr>
          <w:rFonts w:hint="eastAsia" w:asciiTheme="minorEastAsia" w:hAnsiTheme="minorEastAsia" w:eastAsiaTheme="minorEastAsia"/>
          <w:szCs w:val="21"/>
          <w:lang w:val="en-US" w:eastAsia="zh-CN"/>
        </w:rPr>
        <w:t>3</w:t>
      </w:r>
      <w:bookmarkStart w:id="2" w:name="_GoBack"/>
      <w:bookmarkEnd w:id="2"/>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73F674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合同履行期限：自合同签订后1年内（以最终签订合同为准）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840万元</w:t>
      </w:r>
    </w:p>
    <w:p w14:paraId="4764E4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采购需求：我院现拟采购全基因组DNA甲基化测序（Whole Genome Bisulfite Sequencing, WGBS）服务，用于脑计划多中心大样本队列验证与目标发现。本项目旨在从表观遗传调控层面解析疾病机制，挖掘稳定的甲基化修饰标记，为后续分子诊断试剂盒转化奠定基础。</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4B34A4B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3ADBD818">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04"/>
      <w:bookmarkStart w:id="1" w:name="_Toc28359081"/>
      <w:r>
        <w:rPr>
          <w:rFonts w:hint="eastAsia" w:asciiTheme="minorEastAsia" w:hAnsiTheme="minorEastAsia" w:eastAsiaTheme="minorEastAsia"/>
          <w:szCs w:val="21"/>
        </w:rPr>
        <w:t>2.落实政府采购政策需满足的资格要求：</w:t>
      </w:r>
    </w:p>
    <w:p w14:paraId="7432C49C">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56D062E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■本项目不专门面向中小企业预留采购份额。</w:t>
      </w:r>
    </w:p>
    <w:p w14:paraId="0BCDB19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38782360">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077788C3">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256E649A">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0DCB3D2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3.1本项目是否属于政府购买服务：■否</w:t>
      </w:r>
    </w:p>
    <w:p w14:paraId="07916AE6">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3.2其他特定资格要求：/</w:t>
      </w:r>
      <w:bookmarkEnd w:id="0"/>
      <w:bookmarkEnd w:id="1"/>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纸质投标文件递交时间：2026年4月9日08时30分至2026年4月9日09时00分（北京时间）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开标时间：2026年4月9日9时00分（北京时间）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19</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3F47391"/>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91E480E"/>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2332</Words>
  <Characters>2687</Characters>
  <Lines>15</Lines>
  <Paragraphs>4</Paragraphs>
  <TotalTime>3</TotalTime>
  <ScaleCrop>false</ScaleCrop>
  <LinksUpToDate>false</LinksUpToDate>
  <CharactersWithSpaces>2706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2026-03-19T02:18:16Z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