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北京安定医院生物样本非靶向代谢组学采集和分析服务项目公开招标公告</w:t>
      </w:r>
    </w:p>
    <w:p w14:paraId="6575691E">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项目名称：北京安定医院生物样本非靶向代谢组学采集和分析服务项目</w:t>
      </w:r>
    </w:p>
    <w:p w14:paraId="0DB88A8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招标编号：0686-2611BC064305Z</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采购人名称:首都医科大学附属北京安定医院</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采购人地址：北京市西城区德胜门外安康胡同5号</w:t>
      </w:r>
    </w:p>
    <w:p w14:paraId="564C8406">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采购人电话：010-5830301</w:t>
      </w:r>
      <w:r>
        <w:rPr>
          <w:rFonts w:hint="eastAsia" w:asciiTheme="minorEastAsia" w:hAnsiTheme="minorEastAsia" w:eastAsiaTheme="minorEastAsia"/>
          <w:szCs w:val="21"/>
          <w:lang w:val="en-US" w:eastAsia="zh-CN"/>
        </w:rPr>
        <w:t>3</w:t>
      </w:r>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2A5A573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w:t>
      </w:r>
      <w:r>
        <w:rPr>
          <w:rFonts w:hint="eastAsia" w:asciiTheme="minorEastAsia" w:hAnsiTheme="minorEastAsia" w:eastAsiaTheme="minorEastAsia"/>
          <w:szCs w:val="21"/>
          <w:lang w:val="en-US" w:eastAsia="zh-CN"/>
        </w:rPr>
        <w:t>曹可欣、韩旭010-85343388/3492</w:t>
      </w:r>
      <w:r>
        <w:rPr>
          <w:rFonts w:hint="eastAsia" w:asciiTheme="minorEastAsia" w:hAnsiTheme="minorEastAsia" w:eastAsiaTheme="minorEastAsia"/>
          <w:szCs w:val="21"/>
        </w:rPr>
        <w:t>（招标文件咨询）；杜玉梅010-85343493（保证金、中标通知书、发票咨询）</w:t>
      </w:r>
    </w:p>
    <w:p w14:paraId="2A096DF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采购方式：公开招标</w:t>
      </w:r>
    </w:p>
    <w:p w14:paraId="6602947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采购用途：自用</w:t>
      </w:r>
    </w:p>
    <w:p w14:paraId="373F6745">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合同履行期限：自合同签订后1年内（以最终签订合同为准）</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预算金额：</w:t>
      </w:r>
      <w:r>
        <w:rPr>
          <w:rFonts w:hint="eastAsia" w:asciiTheme="minorEastAsia" w:hAnsiTheme="minorEastAsia" w:eastAsiaTheme="minorEastAsia"/>
          <w:szCs w:val="21"/>
          <w:lang w:val="en-US" w:eastAsia="zh-CN"/>
        </w:rPr>
        <w:t>590万元</w:t>
      </w:r>
    </w:p>
    <w:p w14:paraId="1833DD54">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采购需求：我院现拟采购LC-MS/MS非靶向代谢组学测试服务，用于脑计划多中心大样本队列验证与模型优化分析，为后续靶向定量检测及临床试剂盒转化奠定基础。（</w:t>
      </w:r>
      <w:r>
        <w:rPr>
          <w:rFonts w:hint="eastAsia" w:asciiTheme="minorEastAsia" w:hAnsiTheme="minorEastAsia" w:eastAsiaTheme="minorEastAsia"/>
          <w:szCs w:val="21"/>
          <w:lang w:val="en-US" w:eastAsia="zh-CN"/>
        </w:rPr>
        <w:t>具体要求详见附件</w:t>
      </w:r>
      <w:r>
        <w:rPr>
          <w:rFonts w:hint="eastAsia" w:asciiTheme="minorEastAsia" w:hAnsiTheme="minorEastAsia" w:eastAsiaTheme="minorEastAsia"/>
          <w:szCs w:val="21"/>
          <w:lang w:eastAsia="zh-CN"/>
        </w:rPr>
        <w:t>）</w:t>
      </w:r>
    </w:p>
    <w:p w14:paraId="2129FB89">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供应商的资格条件：</w:t>
      </w:r>
    </w:p>
    <w:p w14:paraId="4B34A4BF">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1.满足《中华人民共和国政府采购法》第二十二条规定；</w:t>
      </w:r>
    </w:p>
    <w:p w14:paraId="3ADBD818">
      <w:pPr>
        <w:widowControl/>
        <w:numPr>
          <w:ilvl w:val="0"/>
          <w:numId w:val="0"/>
        </w:numPr>
        <w:spacing w:line="360" w:lineRule="auto"/>
        <w:ind w:left="420" w:leftChars="0"/>
        <w:jc w:val="left"/>
        <w:rPr>
          <w:rFonts w:hint="eastAsia" w:asciiTheme="minorEastAsia" w:hAnsiTheme="minorEastAsia" w:eastAsiaTheme="minorEastAsia"/>
          <w:szCs w:val="21"/>
        </w:rPr>
      </w:pPr>
      <w:bookmarkStart w:id="0" w:name="_Toc28359004"/>
      <w:bookmarkStart w:id="1" w:name="_Toc28359081"/>
      <w:r>
        <w:rPr>
          <w:rFonts w:hint="eastAsia" w:asciiTheme="minorEastAsia" w:hAnsiTheme="minorEastAsia" w:eastAsiaTheme="minorEastAsia"/>
          <w:szCs w:val="21"/>
        </w:rPr>
        <w:t>2.落实政府采购政策需满足的资格要求：</w:t>
      </w:r>
    </w:p>
    <w:p w14:paraId="7432C49C">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2.1 中小企业政策</w:t>
      </w:r>
    </w:p>
    <w:p w14:paraId="56D062E8">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■本项目不专门面向中小企业预留采购份额。</w:t>
      </w:r>
    </w:p>
    <w:p w14:paraId="0BCDB19F">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2.2 其它落实政府采购政策的资格要求：</w:t>
      </w:r>
    </w:p>
    <w:p w14:paraId="38782360">
      <w:pPr>
        <w:widowControl/>
        <w:numPr>
          <w:ilvl w:val="0"/>
          <w:numId w:val="0"/>
        </w:numPr>
        <w:spacing w:line="360" w:lineRule="auto"/>
        <w:ind w:left="420" w:leftChars="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zh-CN"/>
        </w:rPr>
        <w:t>投标人在参加本次政府采购活动前三年中没有重大违法记录；</w:t>
      </w:r>
    </w:p>
    <w:p w14:paraId="077788C3">
      <w:pPr>
        <w:widowControl/>
        <w:numPr>
          <w:ilvl w:val="0"/>
          <w:numId w:val="0"/>
        </w:numPr>
        <w:spacing w:line="360" w:lineRule="auto"/>
        <w:ind w:left="420" w:leftChars="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w:t>
      </w:r>
      <w:r>
        <w:rPr>
          <w:rFonts w:hint="eastAsia" w:asciiTheme="minorEastAsia" w:hAnsiTheme="minorEastAsia" w:eastAsiaTheme="minorEastAsia"/>
          <w:szCs w:val="21"/>
        </w:rPr>
        <w:t>2</w:t>
      </w:r>
      <w:r>
        <w:rPr>
          <w:rFonts w:hint="eastAsia" w:asciiTheme="minorEastAsia" w:hAnsiTheme="minorEastAsia" w:eastAsiaTheme="minorEastAsia"/>
          <w:szCs w:val="21"/>
          <w:lang w:val="zh-CN"/>
        </w:rPr>
        <w:t>）单位负责人为同一人或者存在直接控股、管理关系的不同投标人，不得参加同一合同项下的政府采购活动。</w:t>
      </w:r>
    </w:p>
    <w:p w14:paraId="256E649A">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3.本项目的特定资格要求：</w:t>
      </w:r>
    </w:p>
    <w:p w14:paraId="0DCB3D29">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3.1本项目是否属于政府购买服务：■否</w:t>
      </w:r>
    </w:p>
    <w:p w14:paraId="07916AE6">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3.2其他特定资格要求：/</w:t>
      </w:r>
      <w:bookmarkEnd w:id="0"/>
      <w:bookmarkEnd w:id="1"/>
      <w:r>
        <w:rPr>
          <w:rFonts w:hint="eastAsia" w:asciiTheme="minorEastAsia" w:hAnsiTheme="minorEastAsia" w:eastAsiaTheme="minorEastAsia"/>
          <w:szCs w:val="21"/>
        </w:rPr>
        <w:t xml:space="preserve">    </w:t>
      </w:r>
    </w:p>
    <w:p w14:paraId="6CCFA7EB"/>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27</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方式：供应商使用CA数字证书或电子营业执照登录北京市政府采购电子交易平台（http://zbcg-bjzc.zhongcy.com/bjczj-portal-site/index.html#/home）获取电子版招标文件。本项目采用</w:t>
      </w:r>
      <w:r>
        <w:rPr>
          <w:rFonts w:hint="eastAsia" w:asciiTheme="minorEastAsia" w:hAnsiTheme="minorEastAsia" w:eastAsiaTheme="minorEastAsia"/>
          <w:b/>
          <w:bCs/>
          <w:szCs w:val="21"/>
        </w:rPr>
        <w:t>全流程电子化</w:t>
      </w:r>
      <w:r>
        <w:rPr>
          <w:rFonts w:hint="eastAsia" w:asciiTheme="minorEastAsia" w:hAnsiTheme="minorEastAsia" w:eastAsiaTheme="minorEastAsia"/>
          <w:szCs w:val="21"/>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5BCD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CA数字证书服务热线 010-58511086</w:t>
      </w:r>
    </w:p>
    <w:p w14:paraId="776AA7AA">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电子营业执照服务热线 400-699-7000</w:t>
      </w:r>
    </w:p>
    <w:p w14:paraId="77DF233B">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技术支持服务热线    010-86483801</w:t>
      </w:r>
    </w:p>
    <w:p w14:paraId="750774B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）办理CA数字证书或电子营业执照</w:t>
      </w:r>
    </w:p>
    <w:p w14:paraId="7211152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供应商登录北京市政府采购电子交易平台查阅 “用户指南”—“操作指南”—“市场主体CA办理操作流程指引”/“电子营业执照使用指南”，按照程序要求办理。</w:t>
      </w:r>
    </w:p>
    <w:p w14:paraId="498C860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）注册</w:t>
      </w:r>
    </w:p>
    <w:p w14:paraId="15024D7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供应商登录北京市政府采购电子交易平台“用户指南”—“操作指南”—“市场主体注册入库操作流程指引”进行自助注册绑定。</w:t>
      </w:r>
    </w:p>
    <w:p w14:paraId="7205FCF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）驱动、客户端下载</w:t>
      </w:r>
    </w:p>
    <w:p w14:paraId="25ED1E7E">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供应商登录北京市政府采购电子交易平台“用户指南”—“工具下载”—“招标采购系统文件驱动安装包”下载相关驱动。</w:t>
      </w:r>
    </w:p>
    <w:p w14:paraId="7346178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供应商登录北京市政府采购电子交易平台“用户指南”—“工具下载”—“投标文件编制工具”下载相关客户端。</w:t>
      </w:r>
    </w:p>
    <w:p w14:paraId="29753670">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）获取电子招标文件</w:t>
      </w:r>
    </w:p>
    <w:p w14:paraId="51B657F5">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供应商使用CA数字证书或电子营业执照登录北京市政府采购电子交易平台获取电子招标文件。</w:t>
      </w:r>
    </w:p>
    <w:p w14:paraId="3E7A3A39">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55BFAD">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）编制电子投标文件</w:t>
      </w:r>
    </w:p>
    <w:p w14:paraId="267133D4">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E0B5EC">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val="zh-TW" w:eastAsia="zh-CN"/>
        </w:rPr>
        <w:t>）提交电子投标文件</w:t>
      </w:r>
    </w:p>
    <w:p w14:paraId="04F89D6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供应商应于投标截止时间前在北京市政府采购电子交易平台提交电子投标文件，上传电子投标文件过程中请保持与互联网的连接畅通。</w:t>
      </w:r>
    </w:p>
    <w:p w14:paraId="6B7BA6FA">
      <w:pPr>
        <w:widowControl/>
        <w:spacing w:line="360" w:lineRule="auto"/>
        <w:jc w:val="both"/>
        <w:rPr>
          <w:rFonts w:hint="eastAsia" w:asciiTheme="minorEastAsia" w:hAnsiTheme="minorEastAsia" w:eastAsiaTheme="minorEastAsia"/>
          <w:szCs w:val="21"/>
          <w:lang w:eastAsia="zh-TW"/>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val="zh-TW" w:eastAsia="zh-CN"/>
        </w:rPr>
        <w:t>）电子开标</w:t>
      </w:r>
    </w:p>
    <w:p w14:paraId="58666C2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供应商在开标地点使用</w:t>
      </w:r>
      <w:r>
        <w:rPr>
          <w:rFonts w:hint="eastAsia" w:asciiTheme="minorEastAsia" w:hAnsiTheme="minorEastAsia" w:eastAsiaTheme="minorEastAsia"/>
          <w:szCs w:val="21"/>
          <w:lang w:eastAsia="zh-CN"/>
        </w:rPr>
        <w:t>CA数字证书或电子营业执照</w:t>
      </w:r>
      <w:r>
        <w:rPr>
          <w:rFonts w:hint="eastAsia" w:asciiTheme="minorEastAsia" w:hAnsiTheme="minorEastAsia" w:eastAsiaTheme="minorEastAsia"/>
          <w:szCs w:val="21"/>
          <w:lang w:val="zh-TW" w:eastAsia="zh-CN"/>
        </w:rPr>
        <w:t>登录</w:t>
      </w:r>
      <w:r>
        <w:rPr>
          <w:rFonts w:hint="eastAsia" w:asciiTheme="minorEastAsia" w:hAnsiTheme="minorEastAsia" w:eastAsiaTheme="minorEastAsia"/>
          <w:szCs w:val="21"/>
          <w:lang w:eastAsia="zh-CN"/>
        </w:rPr>
        <w:t>北京市政府采购电子交易平台进行电子开标</w:t>
      </w:r>
      <w:r>
        <w:rPr>
          <w:rFonts w:hint="eastAsia" w:asciiTheme="minorEastAsia" w:hAnsiTheme="minorEastAsia" w:eastAsiaTheme="minorEastAsia"/>
          <w:szCs w:val="21"/>
          <w:lang w:val="zh-TW" w:eastAsia="zh-CN"/>
        </w:rPr>
        <w:t>。</w:t>
      </w:r>
    </w:p>
    <w:p w14:paraId="223B919E">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val="zh-TW" w:eastAsia="zh-CN"/>
        </w:rPr>
        <w:t>）其他</w:t>
      </w:r>
    </w:p>
    <w:p w14:paraId="0BA5C8E6">
      <w:pPr>
        <w:widowControl/>
        <w:spacing w:line="360" w:lineRule="auto"/>
        <w:jc w:val="both"/>
        <w:rPr>
          <w:rFonts w:hint="eastAsia"/>
          <w:sz w:val="21"/>
          <w:szCs w:val="21"/>
          <w:lang w:val="zh-TW"/>
        </w:rPr>
      </w:pPr>
      <w:r>
        <w:rPr>
          <w:rFonts w:hint="eastAsia" w:asciiTheme="minorEastAsia" w:hAnsiTheme="minorEastAsia" w:eastAsiaTheme="minorEastAsia"/>
          <w:szCs w:val="21"/>
          <w:lang w:eastAsia="zh-CN"/>
        </w:rPr>
        <w:t>为保证本项目顺利进行，请投标人同时按招标文件要求准备密封的纸质文件</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份用于辅助评审，纸质文件须与上传的电子投标文件完全一致，不一致的以上传的电子投标文件为准。</w:t>
      </w:r>
    </w:p>
    <w:p w14:paraId="77F5A17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val="zh-TW" w:eastAsia="zh-CN"/>
        </w:rPr>
        <w:t>）售价：0元</w:t>
      </w:r>
    </w:p>
    <w:p w14:paraId="6457F351">
      <w:pPr>
        <w:widowControl/>
        <w:spacing w:line="360" w:lineRule="auto"/>
        <w:jc w:val="left"/>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纸质投标文件递交时间：2026年4月10日08时30分至2026年4月10日09时00分（北京时间）</w:t>
      </w:r>
    </w:p>
    <w:p w14:paraId="30736B8F">
      <w:pPr>
        <w:widowControl/>
        <w:spacing w:line="360" w:lineRule="auto"/>
        <w:jc w:val="left"/>
        <w:rPr>
          <w:rFonts w:hint="eastAsia" w:asciiTheme="minorEastAsia" w:hAnsiTheme="minorEastAsia" w:eastAsiaTheme="minorEastAsia"/>
          <w:szCs w:val="21"/>
          <w:u w:val="non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none"/>
        </w:rPr>
        <w:t>202</w:t>
      </w:r>
      <w:r>
        <w:rPr>
          <w:rFonts w:hint="eastAsia" w:cs="宋体" w:asciiTheme="minorEastAsia" w:hAnsiTheme="minorEastAsia" w:eastAsiaTheme="minorEastAsia"/>
          <w:bCs/>
          <w:kern w:val="0"/>
          <w:szCs w:val="21"/>
          <w:u w:val="none"/>
          <w:lang w:val="en-US" w:eastAsia="zh-CN"/>
        </w:rPr>
        <w:t>6</w:t>
      </w:r>
      <w:r>
        <w:rPr>
          <w:rFonts w:hint="eastAsia" w:cs="宋体" w:asciiTheme="minorEastAsia" w:hAnsiTheme="minorEastAsia" w:eastAsiaTheme="minorEastAsia"/>
          <w:bCs/>
          <w:kern w:val="0"/>
          <w:szCs w:val="21"/>
          <w:u w:val="none"/>
        </w:rPr>
        <w:t>年</w:t>
      </w:r>
      <w:r>
        <w:rPr>
          <w:rFonts w:hint="eastAsia" w:cs="宋体" w:asciiTheme="minorEastAsia" w:hAnsiTheme="minorEastAsia" w:eastAsiaTheme="minorEastAsia"/>
          <w:bCs/>
          <w:kern w:val="0"/>
          <w:szCs w:val="21"/>
          <w:u w:val="none"/>
          <w:lang w:val="en-US" w:eastAsia="zh-CN"/>
        </w:rPr>
        <w:t>4</w:t>
      </w:r>
      <w:r>
        <w:rPr>
          <w:rFonts w:hint="eastAsia" w:cs="宋体" w:asciiTheme="minorEastAsia" w:hAnsiTheme="minorEastAsia" w:eastAsiaTheme="minorEastAsia"/>
          <w:bCs/>
          <w:kern w:val="0"/>
          <w:szCs w:val="21"/>
          <w:u w:val="none"/>
        </w:rPr>
        <w:t>月</w:t>
      </w:r>
      <w:r>
        <w:rPr>
          <w:rFonts w:hint="eastAsia" w:cs="宋体" w:asciiTheme="minorEastAsia" w:hAnsiTheme="minorEastAsia" w:eastAsiaTheme="minorEastAsia"/>
          <w:bCs/>
          <w:kern w:val="0"/>
          <w:szCs w:val="21"/>
          <w:u w:val="none"/>
          <w:lang w:val="en-US" w:eastAsia="zh-CN"/>
        </w:rPr>
        <w:t>10</w:t>
      </w:r>
      <w:r>
        <w:rPr>
          <w:rFonts w:hint="eastAsia" w:cs="宋体" w:asciiTheme="minorEastAsia" w:hAnsiTheme="minorEastAsia" w:eastAsiaTheme="minorEastAsia"/>
          <w:bCs/>
          <w:kern w:val="0"/>
          <w:szCs w:val="21"/>
          <w:u w:val="none"/>
        </w:rPr>
        <w:t>日</w:t>
      </w:r>
      <w:r>
        <w:rPr>
          <w:rFonts w:hint="eastAsia" w:cs="宋体" w:asciiTheme="minorEastAsia" w:hAnsiTheme="minorEastAsia" w:eastAsiaTheme="minorEastAsia"/>
          <w:bCs/>
          <w:kern w:val="0"/>
          <w:szCs w:val="21"/>
          <w:u w:val="none"/>
          <w:lang w:val="en-US" w:eastAsia="zh-CN"/>
        </w:rPr>
        <w:t>9</w:t>
      </w:r>
      <w:r>
        <w:rPr>
          <w:rFonts w:hint="eastAsia" w:cs="宋体" w:asciiTheme="minorEastAsia" w:hAnsiTheme="minorEastAsia" w:eastAsiaTheme="minorEastAsia"/>
          <w:bCs/>
          <w:kern w:val="0"/>
          <w:szCs w:val="21"/>
          <w:u w:val="none"/>
        </w:rPr>
        <w:t>时</w:t>
      </w:r>
      <w:r>
        <w:rPr>
          <w:rFonts w:hint="eastAsia" w:cs="宋体" w:asciiTheme="minorEastAsia" w:hAnsiTheme="minorEastAsia" w:eastAsiaTheme="minorEastAsia"/>
          <w:bCs/>
          <w:kern w:val="0"/>
          <w:szCs w:val="21"/>
          <w:u w:val="none"/>
          <w:lang w:val="en-US" w:eastAsia="zh-CN"/>
        </w:rPr>
        <w:t>0</w:t>
      </w:r>
      <w:r>
        <w:rPr>
          <w:rFonts w:hint="eastAsia" w:cs="宋体" w:asciiTheme="minorEastAsia" w:hAnsiTheme="minorEastAsia" w:eastAsiaTheme="minorEastAsia"/>
          <w:bCs/>
          <w:kern w:val="0"/>
          <w:szCs w:val="21"/>
          <w:u w:val="none"/>
        </w:rPr>
        <w:t>0分</w:t>
      </w:r>
      <w:r>
        <w:rPr>
          <w:rFonts w:hint="eastAsia" w:asciiTheme="minorEastAsia" w:hAnsiTheme="minorEastAsia" w:eastAsiaTheme="minorEastAsia"/>
          <w:szCs w:val="21"/>
          <w:u w:val="none"/>
        </w:rPr>
        <w:t>（北京时间）</w:t>
      </w:r>
    </w:p>
    <w:p w14:paraId="2761D40A">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投标文件递交地点：北京市政府采购电子交易平台提交电子投标文件；</w:t>
      </w:r>
    </w:p>
    <w:p w14:paraId="0B8C652D">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北京市朝阳区建国门外大街甲3号第9评标室提交纸质投标文件。</w:t>
      </w:r>
    </w:p>
    <w:p w14:paraId="32C61063">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开标时间：2026年4月10日9时00分（北京时间）</w:t>
      </w:r>
    </w:p>
    <w:p w14:paraId="2DA0D914">
      <w:pPr>
        <w:widowControl/>
        <w:spacing w:line="360" w:lineRule="auto"/>
        <w:jc w:val="left"/>
        <w:rPr>
          <w:rFonts w:hint="eastAsia" w:asciiTheme="minorEastAsia" w:hAnsiTheme="minorEastAsia" w:eastAsiaTheme="minorEastAsia"/>
          <w:szCs w:val="21"/>
          <w:u w:val="none"/>
          <w:lang w:val="zh-TW" w:eastAsia="zh-CN"/>
        </w:rPr>
      </w:pPr>
      <w:r>
        <w:rPr>
          <w:rFonts w:hint="eastAsia" w:asciiTheme="minorEastAsia" w:hAnsiTheme="minorEastAsia" w:eastAsiaTheme="minorEastAsia"/>
          <w:szCs w:val="21"/>
          <w:u w:val="none"/>
          <w:lang w:val="en-US" w:eastAsia="zh-CN"/>
        </w:rPr>
        <w:t>开标地点：北京市朝阳区建国门外大街甲3号第9评标室进行线上开标。</w:t>
      </w:r>
    </w:p>
    <w:p w14:paraId="42206308">
      <w:pPr>
        <w:widowControl/>
        <w:spacing w:line="360" w:lineRule="auto"/>
        <w:jc w:val="left"/>
        <w:rPr>
          <w:rFonts w:cs="宋体" w:asciiTheme="minorEastAsia" w:hAnsiTheme="minorEastAsia" w:eastAsiaTheme="minorEastAsia"/>
          <w:kern w:val="0"/>
          <w:szCs w:val="21"/>
        </w:rPr>
      </w:pPr>
      <w:r>
        <w:rPr>
          <w:rFonts w:hint="eastAsia" w:asciiTheme="minorEastAsia" w:hAnsiTheme="minorEastAsia" w:eastAsiaTheme="minorEastAsia"/>
          <w:szCs w:val="21"/>
          <w:u w:val="none"/>
          <w:lang w:val="en-US" w:eastAsia="zh-CN"/>
        </w:rPr>
        <w:t>注：投标人可自行准备电脑在现场解密，也可远程解密。自行准备电脑在现场解密的，需自带电脑且保证电脑具备足够电量及有效网络，远程解密投标人需确保随时关注电子交易平台指令，在规定的时间内及时进行操作。</w:t>
      </w: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p>
    <w:p w14:paraId="11CDC23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1.本次采购项目遵循的政府采购政策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790834A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(1)政府采购促进中小企业发展</w:t>
      </w:r>
    </w:p>
    <w:p w14:paraId="4900D9E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(2)政府采购支持监狱企业发展</w:t>
      </w:r>
    </w:p>
    <w:p w14:paraId="69BCC59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(3)政府采购信用担保</w:t>
      </w:r>
    </w:p>
    <w:p w14:paraId="54402C3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(4)节能产品强制采购</w:t>
      </w:r>
    </w:p>
    <w:p w14:paraId="6FD9EA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(5)节能产品、环境标志产品优先采购</w:t>
      </w:r>
    </w:p>
    <w:p w14:paraId="1046C11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(6)政府采购进口产品管理</w:t>
      </w:r>
    </w:p>
    <w:p w14:paraId="532E120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(7)自主创新产品政府首购和订购管理</w:t>
      </w:r>
    </w:p>
    <w:p w14:paraId="63551659">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lang w:eastAsia="zh-CN"/>
        </w:rPr>
        <w:t>依据《国务院办公厅关于在政府采购中实施本国产品标准及相关政策的通知（国办发（2025）34号）》执行：政府采购活动中既有本国产品又有非本国产品参与竞争的，依法对本国产品给予价格评审优惠，对本国产品的报价给予20%的价格扣除，用扣除后的价格参与评审。</w:t>
      </w:r>
    </w:p>
    <w:p w14:paraId="327E1C66">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电话：010-85343</w:t>
      </w:r>
      <w:r>
        <w:rPr>
          <w:rFonts w:hint="eastAsia" w:asciiTheme="minorEastAsia" w:hAnsiTheme="minorEastAsia" w:eastAsiaTheme="minorEastAsia"/>
          <w:szCs w:val="21"/>
          <w:lang w:val="en-US" w:eastAsia="zh-CN"/>
        </w:rPr>
        <w:t>388</w:t>
      </w:r>
      <w:r>
        <w:rPr>
          <w:rFonts w:hint="eastAsia" w:asciiTheme="minorEastAsia" w:hAnsiTheme="minorEastAsia" w:eastAsiaTheme="minorEastAsia"/>
          <w:szCs w:val="21"/>
        </w:rPr>
        <w:t>/349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"mailto:hanxu@cbwtc.com"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hanxu@cbwtc.com</w:t>
      </w:r>
      <w:r>
        <w:rPr>
          <w:rFonts w:hint="eastAsia" w:asciiTheme="minorEastAsia" w:hAnsiTheme="minorEastAsia" w:eastAsiaTheme="minorEastAsia"/>
          <w:szCs w:val="21"/>
        </w:rPr>
        <w:fldChar w:fldCharType="end"/>
      </w:r>
    </w:p>
    <w:p w14:paraId="3177F334">
      <w:pPr>
        <w:pStyle w:val="9"/>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曹可欣、韩旭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26</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3</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20</w:t>
      </w:r>
      <w:bookmarkStart w:id="2" w:name="_GoBack"/>
      <w:bookmarkEnd w:id="2"/>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2"/>
      <w:jc w:val="center"/>
    </w:pPr>
    <w:r>
      <w:fldChar w:fldCharType="begin"/>
    </w:r>
    <w:r>
      <w:instrText xml:space="preserve">PAGE   \* MERGEFORMAT</w:instrText>
    </w:r>
    <w:r>
      <w:fldChar w:fldCharType="separate"/>
    </w:r>
    <w:r>
      <w:rPr>
        <w:lang w:val="zh-CN"/>
      </w:rPr>
      <w:t>1</w:t>
    </w:r>
    <w:r>
      <w:fldChar w:fldCharType="end"/>
    </w:r>
  </w:p>
  <w:p w14:paraId="013D7501">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4675A2A"/>
    <w:rsid w:val="05DB7947"/>
    <w:rsid w:val="05FE4722"/>
    <w:rsid w:val="07FC5B84"/>
    <w:rsid w:val="08993F8C"/>
    <w:rsid w:val="08C652AE"/>
    <w:rsid w:val="090F2176"/>
    <w:rsid w:val="0AAC5964"/>
    <w:rsid w:val="0DA80032"/>
    <w:rsid w:val="0E4B0190"/>
    <w:rsid w:val="0E6168E7"/>
    <w:rsid w:val="0EA1036D"/>
    <w:rsid w:val="11024FE4"/>
    <w:rsid w:val="129B5086"/>
    <w:rsid w:val="18CE7260"/>
    <w:rsid w:val="191F3131"/>
    <w:rsid w:val="1A78754B"/>
    <w:rsid w:val="1A9E0835"/>
    <w:rsid w:val="1BDE615F"/>
    <w:rsid w:val="1D9B069A"/>
    <w:rsid w:val="1DDE1CBB"/>
    <w:rsid w:val="23607D34"/>
    <w:rsid w:val="24376272"/>
    <w:rsid w:val="25EB220E"/>
    <w:rsid w:val="263E12ED"/>
    <w:rsid w:val="28290193"/>
    <w:rsid w:val="291F794E"/>
    <w:rsid w:val="2A00531D"/>
    <w:rsid w:val="2A921EA4"/>
    <w:rsid w:val="2B722D5C"/>
    <w:rsid w:val="2C273F40"/>
    <w:rsid w:val="2E533CD6"/>
    <w:rsid w:val="2EF82D8A"/>
    <w:rsid w:val="30A83DB2"/>
    <w:rsid w:val="30D12718"/>
    <w:rsid w:val="31B2705A"/>
    <w:rsid w:val="32AE5CD5"/>
    <w:rsid w:val="351E30D6"/>
    <w:rsid w:val="35522646"/>
    <w:rsid w:val="36C63769"/>
    <w:rsid w:val="36FE4201"/>
    <w:rsid w:val="377F6033"/>
    <w:rsid w:val="380C6E45"/>
    <w:rsid w:val="38694743"/>
    <w:rsid w:val="3BA21F7D"/>
    <w:rsid w:val="3BCC5B6C"/>
    <w:rsid w:val="3C7748E0"/>
    <w:rsid w:val="3D997491"/>
    <w:rsid w:val="3E243A02"/>
    <w:rsid w:val="3F253114"/>
    <w:rsid w:val="3F6E41F5"/>
    <w:rsid w:val="40371C98"/>
    <w:rsid w:val="44363158"/>
    <w:rsid w:val="45607D80"/>
    <w:rsid w:val="45FB1259"/>
    <w:rsid w:val="46FF108E"/>
    <w:rsid w:val="47BA54BE"/>
    <w:rsid w:val="47FB5558"/>
    <w:rsid w:val="487F2393"/>
    <w:rsid w:val="49F16B62"/>
    <w:rsid w:val="4A1C5470"/>
    <w:rsid w:val="4DD77F5F"/>
    <w:rsid w:val="51A35AFC"/>
    <w:rsid w:val="52C370F4"/>
    <w:rsid w:val="535D399A"/>
    <w:rsid w:val="54B2148A"/>
    <w:rsid w:val="54E23ACC"/>
    <w:rsid w:val="562136CF"/>
    <w:rsid w:val="56607D0D"/>
    <w:rsid w:val="56DF34D3"/>
    <w:rsid w:val="56FE2667"/>
    <w:rsid w:val="57FB3A88"/>
    <w:rsid w:val="583F4AFD"/>
    <w:rsid w:val="5C4D2080"/>
    <w:rsid w:val="5D355D88"/>
    <w:rsid w:val="6056380A"/>
    <w:rsid w:val="6074092F"/>
    <w:rsid w:val="6212406C"/>
    <w:rsid w:val="62481652"/>
    <w:rsid w:val="63807067"/>
    <w:rsid w:val="647F29CF"/>
    <w:rsid w:val="649657C3"/>
    <w:rsid w:val="66A0423F"/>
    <w:rsid w:val="679101FE"/>
    <w:rsid w:val="68D23AEE"/>
    <w:rsid w:val="69197868"/>
    <w:rsid w:val="691E480E"/>
    <w:rsid w:val="6ABC128E"/>
    <w:rsid w:val="6C090FA4"/>
    <w:rsid w:val="6CE84453"/>
    <w:rsid w:val="6E1F2DEA"/>
    <w:rsid w:val="706E179C"/>
    <w:rsid w:val="718865AF"/>
    <w:rsid w:val="737C58ED"/>
    <w:rsid w:val="738D2C61"/>
    <w:rsid w:val="7461261A"/>
    <w:rsid w:val="746A712C"/>
    <w:rsid w:val="781D5746"/>
    <w:rsid w:val="78D41B06"/>
    <w:rsid w:val="78DD5323"/>
    <w:rsid w:val="79442003"/>
    <w:rsid w:val="7C6B7E35"/>
    <w:rsid w:val="7D2B6B96"/>
    <w:rsid w:val="7D6A645A"/>
    <w:rsid w:val="7DF00B09"/>
    <w:rsid w:val="7DF06A16"/>
    <w:rsid w:val="7E4216FB"/>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tabs>
        <w:tab w:val="left" w:pos="5580"/>
      </w:tabs>
      <w:spacing w:after="120" w:line="240" w:lineRule="auto"/>
      <w:ind w:left="420" w:leftChars="200" w:firstLine="420" w:firstLineChars="200"/>
    </w:pPr>
    <w:rPr>
      <w:sz w:val="21"/>
      <w:szCs w:val="20"/>
    </w:rPr>
  </w:style>
  <w:style w:type="paragraph" w:styleId="3">
    <w:name w:val="Body Text Indent"/>
    <w:basedOn w:val="1"/>
    <w:autoRedefine/>
    <w:qFormat/>
    <w:uiPriority w:val="0"/>
    <w:pPr>
      <w:spacing w:line="360" w:lineRule="auto"/>
      <w:ind w:firstLine="570"/>
    </w:pPr>
    <w:rPr>
      <w:sz w:val="24"/>
    </w:rPr>
  </w:style>
  <w:style w:type="paragraph" w:styleId="6">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7">
    <w:name w:val="annotation text"/>
    <w:basedOn w:val="1"/>
    <w:link w:val="33"/>
    <w:autoRedefine/>
    <w:unhideWhenUsed/>
    <w:qFormat/>
    <w:uiPriority w:val="0"/>
    <w:pPr>
      <w:jc w:val="left"/>
    </w:pPr>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Plain Text"/>
    <w:basedOn w:val="1"/>
    <w:link w:val="26"/>
    <w:autoRedefine/>
    <w:qFormat/>
    <w:uiPriority w:val="0"/>
    <w:rPr>
      <w:rFonts w:ascii="宋体" w:hAnsi="Courier New" w:eastAsiaTheme="minorEastAsia" w:cstheme="minorBidi"/>
    </w:rPr>
  </w:style>
  <w:style w:type="paragraph" w:styleId="10">
    <w:name w:val="Date"/>
    <w:basedOn w:val="1"/>
    <w:next w:val="1"/>
    <w:link w:val="28"/>
    <w:autoRedefine/>
    <w:unhideWhenUsed/>
    <w:qFormat/>
    <w:uiPriority w:val="99"/>
    <w:pPr>
      <w:ind w:left="100" w:leftChars="2500"/>
    </w:pPr>
  </w:style>
  <w:style w:type="paragraph" w:styleId="11">
    <w:name w:val="Balloon Text"/>
    <w:basedOn w:val="1"/>
    <w:link w:val="30"/>
    <w:autoRedefine/>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tabs>
        <w:tab w:val="left" w:pos="1332"/>
      </w:tabs>
    </w:pPr>
    <w:rPr>
      <w:rFonts w:ascii="Calibri" w:hAnsi="Calibri"/>
    </w:rPr>
  </w:style>
  <w:style w:type="paragraph" w:styleId="14">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7"/>
    <w:next w:val="7"/>
    <w:link w:val="34"/>
    <w:autoRedefine/>
    <w:unhideWhenUsed/>
    <w:qFormat/>
    <w:uiPriority w:val="99"/>
    <w:rPr>
      <w:b/>
      <w:bCs/>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4"/>
    <w:autoRedefine/>
    <w:qFormat/>
    <w:uiPriority w:val="99"/>
    <w:rPr>
      <w:sz w:val="18"/>
      <w:szCs w:val="18"/>
    </w:rPr>
  </w:style>
  <w:style w:type="character" w:customStyle="1" w:styleId="25">
    <w:name w:val="页脚 Char"/>
    <w:basedOn w:val="18"/>
    <w:link w:val="12"/>
    <w:autoRedefine/>
    <w:qFormat/>
    <w:uiPriority w:val="99"/>
    <w:rPr>
      <w:sz w:val="18"/>
      <w:szCs w:val="18"/>
    </w:rPr>
  </w:style>
  <w:style w:type="character" w:customStyle="1" w:styleId="26">
    <w:name w:val="纯文本 Char"/>
    <w:link w:val="9"/>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10"/>
    <w:autoRedefine/>
    <w:semiHidden/>
    <w:qFormat/>
    <w:uiPriority w:val="99"/>
    <w:rPr>
      <w:rFonts w:ascii="Calibri" w:hAnsi="Calibri" w:eastAsia="宋体" w:cs="Times New Roman"/>
    </w:rPr>
  </w:style>
  <w:style w:type="character" w:customStyle="1" w:styleId="29">
    <w:name w:val="标题 2 Char"/>
    <w:basedOn w:val="18"/>
    <w:link w:val="5"/>
    <w:autoRedefine/>
    <w:qFormat/>
    <w:uiPriority w:val="9"/>
    <w:rPr>
      <w:rFonts w:ascii="Cambria" w:hAnsi="Cambria" w:eastAsia="宋体" w:cs="Times New Roman"/>
      <w:b/>
      <w:bCs/>
      <w:sz w:val="32"/>
      <w:szCs w:val="32"/>
    </w:rPr>
  </w:style>
  <w:style w:type="character" w:customStyle="1" w:styleId="30">
    <w:name w:val="批注框文本 Char"/>
    <w:basedOn w:val="18"/>
    <w:link w:val="11"/>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7"/>
    <w:autoRedefine/>
    <w:qFormat/>
    <w:uiPriority w:val="0"/>
    <w:rPr>
      <w:rFonts w:ascii="Calibri" w:hAnsi="Calibri" w:eastAsia="宋体" w:cs="Times New Roman"/>
    </w:rPr>
  </w:style>
  <w:style w:type="character" w:customStyle="1" w:styleId="34">
    <w:name w:val="批注主题 Char"/>
    <w:basedOn w:val="33"/>
    <w:link w:val="15"/>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 w:type="paragraph" w:customStyle="1" w:styleId="4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2281</Words>
  <Characters>2625</Characters>
  <Lines>15</Lines>
  <Paragraphs>4</Paragraphs>
  <TotalTime>0</TotalTime>
  <ScaleCrop>false</ScaleCrop>
  <LinksUpToDate>false</LinksUpToDate>
  <CharactersWithSpaces>2640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2026-03-19T09:59:37Z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