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2025年医用设备购置(追加预算)采购项目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cs="宋体"/>
          <w:sz w:val="24"/>
          <w:szCs w:val="24"/>
          <w:lang w:eastAsia="zh-CN"/>
        </w:rPr>
        <w:t>0686-2611BI044432Z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2025年医用设备购置(追加预算)采购项目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eastAsia="zh-CN"/>
        </w:rPr>
        <w:t>555万元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7"/>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1584"/>
        <w:gridCol w:w="1440"/>
        <w:gridCol w:w="1590"/>
      </w:tblGrid>
      <w:tr w14:paraId="6622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3F4">
            <w:pPr>
              <w:pStyle w:val="51"/>
              <w:jc w:val="center"/>
              <w:rPr>
                <w:sz w:val="24"/>
                <w:szCs w:val="24"/>
                <w:lang w:eastAsia="zh-CN"/>
              </w:rPr>
            </w:pPr>
            <w:r>
              <w:rPr>
                <w:rFonts w:hint="eastAsia"/>
                <w:sz w:val="24"/>
                <w:szCs w:val="24"/>
                <w:lang w:eastAsia="zh-CN"/>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49B">
            <w:pPr>
              <w:pStyle w:val="51"/>
              <w:jc w:val="center"/>
              <w:rPr>
                <w:sz w:val="24"/>
                <w:szCs w:val="24"/>
                <w:lang w:eastAsia="zh-CN"/>
              </w:rPr>
            </w:pPr>
            <w:r>
              <w:rPr>
                <w:rFonts w:hint="eastAsia"/>
                <w:sz w:val="24"/>
                <w:szCs w:val="24"/>
                <w:lang w:eastAsia="zh-CN"/>
              </w:rPr>
              <w:t>采购包预算金额</w:t>
            </w:r>
          </w:p>
          <w:p w14:paraId="66A57422">
            <w:pPr>
              <w:pStyle w:val="51"/>
              <w:jc w:val="center"/>
              <w:rPr>
                <w:sz w:val="24"/>
                <w:szCs w:val="24"/>
                <w:lang w:eastAsia="zh-CN"/>
              </w:rPr>
            </w:pPr>
            <w:r>
              <w:rPr>
                <w:rFonts w:hint="eastAsia"/>
                <w:sz w:val="24"/>
                <w:szCs w:val="24"/>
                <w:lang w:eastAsia="zh-CN"/>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2203">
            <w:pPr>
              <w:pStyle w:val="51"/>
              <w:jc w:val="center"/>
              <w:rPr>
                <w:sz w:val="24"/>
                <w:szCs w:val="24"/>
                <w:lang w:eastAsia="zh-CN"/>
              </w:rPr>
            </w:pPr>
            <w:r>
              <w:rPr>
                <w:rFonts w:hint="eastAsia"/>
                <w:sz w:val="24"/>
                <w:szCs w:val="24"/>
                <w:lang w:eastAsia="zh-CN"/>
              </w:rPr>
              <w:t>单价最高限价</w:t>
            </w:r>
          </w:p>
          <w:p w14:paraId="74653D27">
            <w:pPr>
              <w:pStyle w:val="51"/>
              <w:jc w:val="center"/>
              <w:rPr>
                <w:sz w:val="24"/>
                <w:szCs w:val="24"/>
                <w:lang w:eastAsia="zh-CN"/>
              </w:rPr>
            </w:pPr>
            <w:r>
              <w:rPr>
                <w:rFonts w:hint="eastAsia"/>
                <w:sz w:val="24"/>
                <w:szCs w:val="24"/>
                <w:lang w:eastAsia="zh-CN"/>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439">
            <w:pPr>
              <w:pStyle w:val="51"/>
              <w:jc w:val="center"/>
              <w:rPr>
                <w:sz w:val="24"/>
                <w:szCs w:val="24"/>
                <w:lang w:eastAsia="zh-CN"/>
              </w:rPr>
            </w:pPr>
            <w:r>
              <w:rPr>
                <w:rFonts w:hint="eastAsia"/>
                <w:sz w:val="24"/>
                <w:szCs w:val="24"/>
                <w:lang w:eastAsia="zh-CN"/>
              </w:rPr>
              <w:t>品目号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DA4">
            <w:pPr>
              <w:pStyle w:val="51"/>
              <w:jc w:val="center"/>
              <w:rPr>
                <w:sz w:val="24"/>
                <w:szCs w:val="24"/>
                <w:lang w:eastAsia="zh-CN"/>
              </w:rPr>
            </w:pPr>
            <w:r>
              <w:rPr>
                <w:rFonts w:hint="eastAsia"/>
                <w:sz w:val="24"/>
                <w:szCs w:val="24"/>
                <w:lang w:eastAsia="zh-CN"/>
              </w:rPr>
              <w:t>标的名称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34">
            <w:pPr>
              <w:pStyle w:val="51"/>
              <w:jc w:val="center"/>
              <w:rPr>
                <w:sz w:val="24"/>
                <w:szCs w:val="24"/>
                <w:lang w:eastAsia="zh-CN"/>
              </w:rPr>
            </w:pPr>
            <w:r>
              <w:rPr>
                <w:rFonts w:hint="eastAsia"/>
                <w:sz w:val="24"/>
                <w:szCs w:val="24"/>
                <w:lang w:eastAsia="zh-CN"/>
              </w:rPr>
              <w:t>数量</w:t>
            </w:r>
          </w:p>
          <w:p w14:paraId="5EE89BCF">
            <w:pPr>
              <w:pStyle w:val="51"/>
              <w:jc w:val="center"/>
              <w:rPr>
                <w:sz w:val="24"/>
                <w:szCs w:val="24"/>
                <w:lang w:eastAsia="zh-CN"/>
              </w:rPr>
            </w:pPr>
            <w:r>
              <w:rPr>
                <w:rFonts w:hint="eastAsia"/>
                <w:sz w:val="24"/>
                <w:szCs w:val="24"/>
                <w:lang w:eastAsia="zh-CN"/>
              </w:rPr>
              <w:t>（台/套）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F3C">
            <w:pPr>
              <w:pStyle w:val="51"/>
              <w:jc w:val="center"/>
              <w:rPr>
                <w:sz w:val="24"/>
                <w:szCs w:val="24"/>
                <w:lang w:eastAsia="zh-CN"/>
              </w:rPr>
            </w:pPr>
            <w:r>
              <w:rPr>
                <w:rFonts w:hint="eastAsia"/>
                <w:sz w:val="24"/>
                <w:szCs w:val="24"/>
                <w:lang w:eastAsia="zh-CN"/>
              </w:rPr>
              <w:t>简要技术需求或服务要求</w:t>
            </w:r>
          </w:p>
        </w:tc>
      </w:tr>
      <w:tr w14:paraId="63C9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restart"/>
            <w:tcBorders>
              <w:top w:val="single" w:color="000000" w:sz="4" w:space="0"/>
              <w:left w:val="single" w:color="000000" w:sz="4" w:space="0"/>
              <w:right w:val="single" w:color="000000" w:sz="4" w:space="0"/>
            </w:tcBorders>
            <w:shd w:val="clear" w:color="auto" w:fill="auto"/>
            <w:vAlign w:val="center"/>
          </w:tcPr>
          <w:p w14:paraId="027C7710">
            <w:pPr>
              <w:pStyle w:val="51"/>
              <w:jc w:val="center"/>
              <w:rPr>
                <w:sz w:val="24"/>
                <w:szCs w:val="24"/>
                <w:lang w:eastAsia="zh-CN"/>
              </w:rPr>
            </w:pPr>
            <w:r>
              <w:rPr>
                <w:rFonts w:hint="eastAsia"/>
                <w:sz w:val="24"/>
                <w:szCs w:val="24"/>
                <w:lang w:eastAsia="zh-CN"/>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BA0">
            <w:pPr>
              <w:widowControl/>
              <w:jc w:val="center"/>
              <w:rPr>
                <w:sz w:val="24"/>
                <w:szCs w:val="24"/>
                <w:lang w:eastAsia="zh-CN"/>
              </w:rPr>
            </w:pPr>
            <w:r>
              <w:rPr>
                <w:sz w:val="24"/>
                <w:szCs w:val="24"/>
              </w:rPr>
              <w:t>240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B54">
            <w:pPr>
              <w:widowControl/>
              <w:jc w:val="center"/>
              <w:rPr>
                <w:sz w:val="24"/>
                <w:szCs w:val="24"/>
                <w:lang w:eastAsia="zh-CN"/>
              </w:rPr>
            </w:pPr>
            <w:r>
              <w:rPr>
                <w:sz w:val="24"/>
                <w:szCs w:val="24"/>
              </w:rPr>
              <w:t>240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3D0">
            <w:pPr>
              <w:pStyle w:val="51"/>
              <w:jc w:val="center"/>
              <w:rPr>
                <w:sz w:val="24"/>
                <w:szCs w:val="24"/>
                <w:lang w:eastAsia="zh-CN"/>
              </w:rPr>
            </w:pPr>
            <w:r>
              <w:rPr>
                <w:rFonts w:hint="eastAsia"/>
                <w:sz w:val="24"/>
                <w:szCs w:val="24"/>
                <w:lang w:eastAsia="zh-CN"/>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BA5">
            <w:pPr>
              <w:widowControl/>
              <w:jc w:val="center"/>
              <w:rPr>
                <w:sz w:val="24"/>
                <w:szCs w:val="24"/>
                <w:lang w:eastAsia="zh-CN"/>
              </w:rPr>
            </w:pPr>
            <w:r>
              <w:rPr>
                <w:rFonts w:hint="eastAsia"/>
                <w:sz w:val="24"/>
                <w:szCs w:val="24"/>
                <w:lang w:eastAsia="zh-CN"/>
              </w:rPr>
              <w:t>全自动生化分析流水线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728">
            <w:pPr>
              <w:pStyle w:val="51"/>
              <w:jc w:val="center"/>
              <w:rPr>
                <w:sz w:val="24"/>
                <w:szCs w:val="24"/>
                <w:lang w:eastAsia="zh-CN"/>
              </w:rPr>
            </w:pPr>
            <w:r>
              <w:rPr>
                <w:rFonts w:hint="eastAsia"/>
                <w:sz w:val="24"/>
                <w:szCs w:val="24"/>
                <w:lang w:eastAsia="zh-CN"/>
              </w:rPr>
              <w:t>1</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4EA9D127">
            <w:pPr>
              <w:pStyle w:val="51"/>
              <w:jc w:val="center"/>
              <w:rPr>
                <w:sz w:val="24"/>
                <w:szCs w:val="24"/>
                <w:lang w:eastAsia="zh-CN"/>
              </w:rPr>
            </w:pPr>
            <w:r>
              <w:rPr>
                <w:rFonts w:hint="eastAsia"/>
                <w:sz w:val="24"/>
                <w:szCs w:val="24"/>
                <w:lang w:eastAsia="zh-CN"/>
              </w:rPr>
              <w:t>详见“</w:t>
            </w:r>
            <w:bookmarkStart w:id="29" w:name="_GoBack"/>
            <w:bookmarkEnd w:id="29"/>
            <w:r>
              <w:rPr>
                <w:rFonts w:hint="eastAsia"/>
                <w:sz w:val="24"/>
                <w:szCs w:val="24"/>
                <w:lang w:eastAsia="zh-CN"/>
              </w:rPr>
              <w:t>采购需求”</w:t>
            </w:r>
          </w:p>
        </w:tc>
      </w:tr>
      <w:tr w14:paraId="4CE7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987066">
            <w:pPr>
              <w:pStyle w:val="51"/>
              <w:jc w:val="center"/>
              <w:rPr>
                <w:sz w:val="24"/>
                <w:szCs w:val="24"/>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421">
            <w:pPr>
              <w:widowControl/>
              <w:jc w:val="center"/>
              <w:rPr>
                <w:sz w:val="24"/>
                <w:szCs w:val="24"/>
                <w:lang w:eastAsia="zh-CN"/>
              </w:rPr>
            </w:pPr>
            <w:r>
              <w:rPr>
                <w:sz w:val="24"/>
                <w:szCs w:val="24"/>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F1E">
            <w:pPr>
              <w:widowControl/>
              <w:jc w:val="center"/>
              <w:rPr>
                <w:sz w:val="24"/>
                <w:szCs w:val="24"/>
                <w:lang w:eastAsia="zh-CN"/>
              </w:rPr>
            </w:pPr>
            <w:r>
              <w:rPr>
                <w:sz w:val="24"/>
                <w:szCs w:val="24"/>
              </w:rPr>
              <w:t>65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687">
            <w:pPr>
              <w:pStyle w:val="51"/>
              <w:jc w:val="center"/>
              <w:rPr>
                <w:sz w:val="24"/>
                <w:szCs w:val="24"/>
                <w:lang w:eastAsia="zh-CN"/>
              </w:rPr>
            </w:pPr>
            <w:r>
              <w:rPr>
                <w:rFonts w:hint="eastAsia"/>
                <w:sz w:val="24"/>
                <w:szCs w:val="24"/>
                <w:lang w:eastAsia="zh-CN"/>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C9">
            <w:pPr>
              <w:widowControl/>
              <w:jc w:val="center"/>
              <w:rPr>
                <w:sz w:val="24"/>
                <w:szCs w:val="24"/>
                <w:lang w:eastAsia="zh-CN"/>
              </w:rPr>
            </w:pPr>
            <w:r>
              <w:rPr>
                <w:rFonts w:hint="eastAsia"/>
                <w:sz w:val="24"/>
                <w:szCs w:val="24"/>
              </w:rPr>
              <w:t>肺功能测试系统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D65">
            <w:pPr>
              <w:pStyle w:val="51"/>
              <w:jc w:val="center"/>
              <w:rPr>
                <w:sz w:val="24"/>
                <w:szCs w:val="24"/>
                <w:lang w:eastAsia="zh-CN"/>
              </w:rPr>
            </w:pPr>
            <w:r>
              <w:rPr>
                <w:rFonts w:hint="eastAsia"/>
                <w:sz w:val="24"/>
                <w:szCs w:val="24"/>
                <w:lang w:eastAsia="zh-CN"/>
              </w:rPr>
              <w:t>1</w:t>
            </w:r>
          </w:p>
        </w:tc>
        <w:tc>
          <w:tcPr>
            <w:tcW w:w="1590" w:type="dxa"/>
            <w:vMerge w:val="continue"/>
            <w:tcBorders>
              <w:left w:val="single" w:color="000000" w:sz="4" w:space="0"/>
              <w:right w:val="single" w:color="000000" w:sz="4" w:space="0"/>
            </w:tcBorders>
            <w:vAlign w:val="center"/>
          </w:tcPr>
          <w:p w14:paraId="7FB7E561">
            <w:pPr>
              <w:pStyle w:val="51"/>
              <w:jc w:val="center"/>
              <w:rPr>
                <w:sz w:val="24"/>
                <w:szCs w:val="24"/>
                <w:lang w:eastAsia="zh-CN"/>
              </w:rPr>
            </w:pPr>
          </w:p>
        </w:tc>
      </w:tr>
      <w:tr w14:paraId="4F1F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6D9858DF">
            <w:pPr>
              <w:pStyle w:val="51"/>
              <w:jc w:val="center"/>
              <w:rPr>
                <w:sz w:val="24"/>
                <w:szCs w:val="24"/>
                <w:lang w:eastAsia="zh-CN"/>
              </w:rPr>
            </w:pPr>
          </w:p>
        </w:tc>
        <w:tc>
          <w:tcPr>
            <w:tcW w:w="1710" w:type="dxa"/>
            <w:tcBorders>
              <w:top w:val="single" w:color="000000" w:sz="4" w:space="0"/>
              <w:left w:val="single" w:color="000000" w:sz="4" w:space="0"/>
              <w:right w:val="single" w:color="000000" w:sz="4" w:space="0"/>
            </w:tcBorders>
            <w:shd w:val="clear" w:color="auto" w:fill="auto"/>
            <w:vAlign w:val="center"/>
          </w:tcPr>
          <w:p w14:paraId="089656DB">
            <w:pPr>
              <w:widowControl/>
              <w:jc w:val="center"/>
              <w:rPr>
                <w:sz w:val="24"/>
                <w:szCs w:val="24"/>
                <w:lang w:eastAsia="zh-CN"/>
              </w:rPr>
            </w:pPr>
            <w:r>
              <w:rPr>
                <w:sz w:val="24"/>
                <w:szCs w:val="24"/>
              </w:rPr>
              <w:t>250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C25">
            <w:pPr>
              <w:widowControl/>
              <w:jc w:val="center"/>
              <w:rPr>
                <w:sz w:val="24"/>
                <w:szCs w:val="24"/>
                <w:lang w:eastAsia="zh-CN"/>
              </w:rPr>
            </w:pPr>
            <w:r>
              <w:rPr>
                <w:sz w:val="24"/>
                <w:szCs w:val="24"/>
              </w:rPr>
              <w:t>250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DD7">
            <w:pPr>
              <w:pStyle w:val="51"/>
              <w:jc w:val="center"/>
              <w:rPr>
                <w:sz w:val="24"/>
                <w:szCs w:val="24"/>
                <w:lang w:eastAsia="zh-CN"/>
              </w:rPr>
            </w:pPr>
            <w:r>
              <w:rPr>
                <w:rFonts w:hint="eastAsia"/>
                <w:sz w:val="24"/>
                <w:szCs w:val="24"/>
                <w:lang w:eastAsia="zh-CN"/>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601">
            <w:pPr>
              <w:widowControl/>
              <w:jc w:val="center"/>
              <w:rPr>
                <w:sz w:val="24"/>
                <w:szCs w:val="24"/>
                <w:lang w:eastAsia="zh-CN"/>
              </w:rPr>
            </w:pPr>
            <w:r>
              <w:rPr>
                <w:rFonts w:hint="eastAsia"/>
                <w:sz w:val="24"/>
                <w:szCs w:val="24"/>
              </w:rPr>
              <w:t>手术显微镜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020">
            <w:pPr>
              <w:pStyle w:val="51"/>
              <w:jc w:val="center"/>
              <w:rPr>
                <w:sz w:val="24"/>
                <w:szCs w:val="24"/>
                <w:lang w:eastAsia="zh-CN"/>
              </w:rPr>
            </w:pPr>
            <w:r>
              <w:rPr>
                <w:rFonts w:hint="eastAsia"/>
                <w:sz w:val="24"/>
                <w:szCs w:val="24"/>
                <w:lang w:eastAsia="zh-CN"/>
              </w:rPr>
              <w:t>1</w:t>
            </w:r>
          </w:p>
        </w:tc>
        <w:tc>
          <w:tcPr>
            <w:tcW w:w="1590" w:type="dxa"/>
            <w:vMerge w:val="continue"/>
            <w:tcBorders>
              <w:left w:val="single" w:color="000000" w:sz="4" w:space="0"/>
              <w:right w:val="single" w:color="000000" w:sz="4" w:space="0"/>
            </w:tcBorders>
            <w:vAlign w:val="center"/>
          </w:tcPr>
          <w:p w14:paraId="0B2CC21A">
            <w:pPr>
              <w:pStyle w:val="51"/>
              <w:jc w:val="center"/>
              <w:rPr>
                <w:sz w:val="24"/>
                <w:szCs w:val="24"/>
                <w:lang w:eastAsia="zh-CN"/>
              </w:rPr>
            </w:pPr>
          </w:p>
        </w:tc>
      </w:tr>
    </w:tbl>
    <w:p w14:paraId="112C441F">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35393622"/>
      <w:bookmarkStart w:id="8" w:name="_Toc35393791"/>
      <w:bookmarkStart w:id="9" w:name="_Toc28359080"/>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28359084"/>
      <w:bookmarkStart w:id="21" w:name="_Toc35393625"/>
      <w:bookmarkStart w:id="22" w:name="_Toc3539379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796"/>
      <w:bookmarkStart w:id="26" w:name="_Toc28359008"/>
      <w:bookmarkStart w:id="27" w:name="_Toc35393627"/>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en-US" w:bidi="ar-SA"/>
        </w:rPr>
        <w:t xml:space="preserve">1.本项目需要落实的政府采购政策：促进中小企业发展政策、监狱企业扶持政策、促进残疾人就业政府采购政策、鼓励节能、环保政策、实施本国产品标准及相关政策等。具体落实情况详见招标文件。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称：首都医科大学附属北京地坛医院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址：北京市朝阳区京顺东街8号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联系方式：010-84323077</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default"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w:t>
      </w:r>
      <w:r>
        <w:rPr>
          <w:rFonts w:hint="eastAsia" w:ascii="宋体" w:hAnsi="宋体" w:cs="宋体"/>
          <w:bCs/>
          <w:sz w:val="24"/>
          <w:szCs w:val="24"/>
          <w:u w:val="single"/>
          <w:lang w:val="en-US" w:eastAsia="zh-CN"/>
        </w:rPr>
        <w:t>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BBE01F3"/>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A82013"/>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5173EF5"/>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5F8567D"/>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BFA081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2383</Words>
  <Characters>2745</Characters>
  <Lines>18</Lines>
  <Paragraphs>5</Paragraphs>
  <TotalTime>5</TotalTime>
  <ScaleCrop>false</ScaleCrop>
  <LinksUpToDate>false</LinksUpToDate>
  <CharactersWithSpaces>2811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2026-03-23T08:31:28Z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2DE5A9A5B47C4F6AA4FB43493CE364A7_13</vt:lpwstr>
  </property>
  <property fmtid="{D5CDD505-2E9C-101B-9397-08002B2CF9AE}" pid="4" name="KSOTemplateDocerSaveRecord">
    <vt:lpwstr>eyJoZGlkIjoiNTU3MWFmY2JmYjBmNTA2M2Q0ZWY5MzgxYzE5YjliMzUiLCJ1c2VySWQiOiI4NDYxOTIwMTUifQ==</vt:lpwstr>
  </property>
</Properties>
</file>