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生态环境局信息化业务应用运维项目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28359002"/>
      <w:bookmarkStart w:id="4" w:name="_Toc35393621"/>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0686-2611BI044369Z</w:t>
      </w:r>
      <w:bookmarkStart w:id="29" w:name="_GoBack"/>
      <w:bookmarkEnd w:id="29"/>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生态环境局信息化业务应用运维项目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409.29</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6"/>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2"/>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218"/>
        <w:gridCol w:w="2285"/>
        <w:gridCol w:w="1025"/>
        <w:gridCol w:w="4364"/>
      </w:tblGrid>
      <w:tr w14:paraId="0367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2" w:type="pct"/>
            <w:noWrap w:val="0"/>
            <w:vAlign w:val="center"/>
          </w:tcPr>
          <w:p w14:paraId="164A60FE">
            <w:pPr>
              <w:widowControl/>
              <w:jc w:val="center"/>
              <w:rPr>
                <w:rFonts w:hint="eastAsia"/>
                <w:sz w:val="24"/>
                <w:highlight w:val="none"/>
              </w:rPr>
            </w:pPr>
            <w:r>
              <w:rPr>
                <w:rFonts w:hint="eastAsia"/>
                <w:sz w:val="24"/>
                <w:highlight w:val="none"/>
              </w:rPr>
              <w:t>包号</w:t>
            </w:r>
          </w:p>
        </w:tc>
        <w:tc>
          <w:tcPr>
            <w:tcW w:w="1026" w:type="pct"/>
            <w:noWrap w:val="0"/>
            <w:vAlign w:val="center"/>
          </w:tcPr>
          <w:p w14:paraId="0B1E4F7A">
            <w:pPr>
              <w:widowControl/>
              <w:jc w:val="center"/>
              <w:rPr>
                <w:rFonts w:hint="eastAsia"/>
                <w:sz w:val="24"/>
                <w:highlight w:val="none"/>
              </w:rPr>
            </w:pPr>
            <w:r>
              <w:rPr>
                <w:rFonts w:hint="eastAsia"/>
                <w:sz w:val="24"/>
                <w:highlight w:val="none"/>
              </w:rPr>
              <w:t>标的名称</w:t>
            </w:r>
          </w:p>
        </w:tc>
        <w:tc>
          <w:tcPr>
            <w:tcW w:w="1057" w:type="pct"/>
            <w:noWrap w:val="0"/>
            <w:vAlign w:val="center"/>
          </w:tcPr>
          <w:p w14:paraId="762569F2">
            <w:pPr>
              <w:widowControl/>
              <w:jc w:val="center"/>
              <w:rPr>
                <w:rFonts w:hint="eastAsia"/>
                <w:sz w:val="24"/>
                <w:highlight w:val="none"/>
                <w:lang w:eastAsia="zh-CN"/>
              </w:rPr>
            </w:pPr>
            <w:r>
              <w:rPr>
                <w:rFonts w:hint="eastAsia"/>
                <w:sz w:val="24"/>
                <w:highlight w:val="none"/>
                <w:lang w:eastAsia="zh-CN"/>
              </w:rPr>
              <w:t>分包预算金额</w:t>
            </w:r>
          </w:p>
          <w:p w14:paraId="35E6A496">
            <w:pPr>
              <w:widowControl/>
              <w:jc w:val="center"/>
              <w:rPr>
                <w:rFonts w:hint="eastAsia"/>
                <w:sz w:val="24"/>
                <w:highlight w:val="none"/>
                <w:lang w:eastAsia="zh-CN"/>
              </w:rPr>
            </w:pPr>
            <w:r>
              <w:rPr>
                <w:rFonts w:hint="eastAsia"/>
                <w:sz w:val="24"/>
                <w:highlight w:val="none"/>
                <w:lang w:eastAsia="zh-CN"/>
              </w:rPr>
              <w:t>（万元）</w:t>
            </w:r>
          </w:p>
        </w:tc>
        <w:tc>
          <w:tcPr>
            <w:tcW w:w="474" w:type="pct"/>
            <w:noWrap w:val="0"/>
            <w:vAlign w:val="center"/>
          </w:tcPr>
          <w:p w14:paraId="02824CD4">
            <w:pPr>
              <w:widowControl/>
              <w:jc w:val="center"/>
              <w:rPr>
                <w:rFonts w:hint="eastAsia"/>
                <w:sz w:val="24"/>
                <w:highlight w:val="none"/>
              </w:rPr>
            </w:pPr>
            <w:r>
              <w:rPr>
                <w:rFonts w:hint="eastAsia"/>
                <w:sz w:val="24"/>
                <w:highlight w:val="none"/>
              </w:rPr>
              <w:t>数量</w:t>
            </w:r>
          </w:p>
        </w:tc>
        <w:tc>
          <w:tcPr>
            <w:tcW w:w="2018" w:type="pct"/>
            <w:noWrap w:val="0"/>
            <w:vAlign w:val="center"/>
          </w:tcPr>
          <w:p w14:paraId="33437275">
            <w:pPr>
              <w:widowControl/>
              <w:jc w:val="center"/>
              <w:rPr>
                <w:rFonts w:hint="eastAsia"/>
                <w:sz w:val="24"/>
                <w:highlight w:val="none"/>
                <w:lang w:eastAsia="zh-CN"/>
              </w:rPr>
            </w:pPr>
            <w:r>
              <w:rPr>
                <w:rFonts w:hint="eastAsia"/>
                <w:sz w:val="24"/>
                <w:highlight w:val="none"/>
                <w:lang w:eastAsia="zh-CN"/>
              </w:rPr>
              <w:t>简要技术需求或服务要求</w:t>
            </w:r>
          </w:p>
        </w:tc>
      </w:tr>
      <w:tr w14:paraId="67D3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22" w:type="pct"/>
            <w:noWrap/>
            <w:vAlign w:val="center"/>
          </w:tcPr>
          <w:p w14:paraId="1E6DAF02">
            <w:pPr>
              <w:jc w:val="center"/>
              <w:rPr>
                <w:rFonts w:hint="eastAsia"/>
                <w:sz w:val="24"/>
                <w:szCs w:val="24"/>
                <w:highlight w:val="none"/>
              </w:rPr>
            </w:pPr>
            <w:r>
              <w:rPr>
                <w:rFonts w:hint="eastAsia"/>
                <w:sz w:val="24"/>
                <w:szCs w:val="24"/>
                <w:highlight w:val="none"/>
              </w:rPr>
              <w:t>1</w:t>
            </w:r>
          </w:p>
        </w:tc>
        <w:tc>
          <w:tcPr>
            <w:tcW w:w="1026" w:type="pct"/>
            <w:noWrap w:val="0"/>
            <w:vAlign w:val="center"/>
          </w:tcPr>
          <w:p w14:paraId="4B23C986">
            <w:pPr>
              <w:jc w:val="center"/>
              <w:rPr>
                <w:rFonts w:hint="eastAsia"/>
                <w:sz w:val="24"/>
                <w:szCs w:val="24"/>
                <w:highlight w:val="none"/>
                <w:lang w:eastAsia="zh-CN"/>
              </w:rPr>
            </w:pPr>
            <w:r>
              <w:rPr>
                <w:rFonts w:hint="eastAsia"/>
                <w:sz w:val="24"/>
                <w:szCs w:val="24"/>
                <w:highlight w:val="none"/>
                <w:lang w:eastAsia="zh-CN"/>
              </w:rPr>
              <w:t>软件运维服务</w:t>
            </w:r>
          </w:p>
        </w:tc>
        <w:tc>
          <w:tcPr>
            <w:tcW w:w="1057" w:type="pct"/>
            <w:noWrap/>
            <w:vAlign w:val="center"/>
          </w:tcPr>
          <w:p w14:paraId="050BFF0E">
            <w:pPr>
              <w:widowControl/>
              <w:jc w:val="center"/>
              <w:rPr>
                <w:rFonts w:hint="default"/>
                <w:sz w:val="24"/>
                <w:szCs w:val="24"/>
                <w:highlight w:val="none"/>
                <w:lang w:val="en-US" w:eastAsia="zh-CN"/>
              </w:rPr>
            </w:pPr>
            <w:r>
              <w:rPr>
                <w:rFonts w:hint="eastAsia"/>
                <w:sz w:val="24"/>
                <w:lang w:val="en-US" w:eastAsia="zh-CN"/>
              </w:rPr>
              <w:t>409.29</w:t>
            </w:r>
          </w:p>
        </w:tc>
        <w:tc>
          <w:tcPr>
            <w:tcW w:w="474" w:type="pct"/>
            <w:noWrap/>
            <w:vAlign w:val="center"/>
          </w:tcPr>
          <w:p w14:paraId="4381383A">
            <w:pPr>
              <w:widowControl/>
              <w:jc w:val="center"/>
              <w:rPr>
                <w:rFonts w:hint="eastAsia"/>
                <w:sz w:val="24"/>
                <w:szCs w:val="24"/>
                <w:highlight w:val="none"/>
              </w:rPr>
            </w:pPr>
            <w:r>
              <w:rPr>
                <w:rFonts w:hint="eastAsia"/>
                <w:sz w:val="24"/>
                <w:szCs w:val="24"/>
                <w:highlight w:val="none"/>
              </w:rPr>
              <w:t>1项</w:t>
            </w:r>
          </w:p>
        </w:tc>
        <w:tc>
          <w:tcPr>
            <w:tcW w:w="2018" w:type="pct"/>
            <w:noWrap w:val="0"/>
            <w:vAlign w:val="center"/>
          </w:tcPr>
          <w:p w14:paraId="60A20602">
            <w:pPr>
              <w:widowControl/>
              <w:jc w:val="center"/>
              <w:rPr>
                <w:rFonts w:hint="default"/>
                <w:sz w:val="24"/>
                <w:szCs w:val="24"/>
                <w:highlight w:val="none"/>
                <w:lang w:val="en-US" w:eastAsia="zh-CN"/>
              </w:rPr>
            </w:pPr>
            <w:r>
              <w:rPr>
                <w:color w:val="000000"/>
                <w:kern w:val="0"/>
                <w:sz w:val="24"/>
                <w:szCs w:val="24"/>
              </w:rPr>
              <w:t>北京市生态环境局各行政办公和业务办理系统的运维工作</w:t>
            </w:r>
            <w:r>
              <w:rPr>
                <w:rFonts w:hint="eastAsia"/>
                <w:color w:val="000000"/>
                <w:kern w:val="0"/>
                <w:sz w:val="24"/>
                <w:szCs w:val="24"/>
              </w:rPr>
              <w:t>。具体详见采购需求。</w:t>
            </w:r>
          </w:p>
        </w:tc>
      </w:tr>
    </w:tbl>
    <w:p w14:paraId="6A16D93C">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详见第五章《采购需求》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35393622"/>
      <w:bookmarkStart w:id="9" w:name="_Toc35393791"/>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792"/>
      <w:bookmarkStart w:id="12" w:name="_Toc28359081"/>
      <w:bookmarkStart w:id="13" w:name="_Toc35393623"/>
      <w:bookmarkStart w:id="14" w:name="_Toc28359004"/>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21D8D17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FF751C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5ABDF1C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。即：提供的服务全部由符合政策要求的小微企业承接。</w:t>
      </w:r>
    </w:p>
    <w:p w14:paraId="28D4EF7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        。</w:t>
      </w:r>
    </w:p>
    <w:p w14:paraId="16A14CD3">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7580C0B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B40584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6C66E4E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4A8D22A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6E9EC9D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w:t>
      </w:r>
    </w:p>
    <w:p w14:paraId="6FAB10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其他特定资格要求：无。</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28359007"/>
      <w:bookmarkStart w:id="21" w:name="_Toc35393794"/>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35393796"/>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w:t>
      </w:r>
      <w:r>
        <w:rPr>
          <w:rFonts w:hint="eastAsia" w:ascii="宋体" w:hAnsi="宋体" w:cs="宋体"/>
          <w:bCs/>
          <w:sz w:val="24"/>
          <w:szCs w:val="24"/>
          <w:u w:val="single"/>
          <w:lang w:val="en-US" w:eastAsia="zh-CN"/>
        </w:rPr>
        <w:t>北京市生态环境局综合事务中心</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w:t>
      </w:r>
      <w:r>
        <w:rPr>
          <w:rFonts w:hint="eastAsia" w:ascii="宋体" w:hAnsi="宋体" w:cs="宋体"/>
          <w:bCs/>
          <w:sz w:val="24"/>
          <w:szCs w:val="24"/>
          <w:u w:val="single"/>
          <w:lang w:val="en-US" w:eastAsia="zh-CN"/>
        </w:rPr>
        <w:t>北京市通州区留庄路3号院2号楼</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联系方式：马军军010-55522741</w:t>
      </w:r>
    </w:p>
    <w:p w14:paraId="7E80AE47">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采购人监督电话：010-55522720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联系方式：010-85343457、010-853433459</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项目联系人：王崴、韩威、梁潇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735CFA"/>
    <w:rsid w:val="158C674C"/>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Title"/>
    <w:basedOn w:val="1"/>
    <w:next w:val="1"/>
    <w:qFormat/>
    <w:uiPriority w:val="0"/>
    <w:pPr>
      <w:jc w:val="center"/>
      <w:outlineLvl w:val="0"/>
    </w:pPr>
    <w:rPr>
      <w:b/>
      <w:sz w:val="32"/>
      <w:szCs w:val="20"/>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2399</Words>
  <Characters>2753</Characters>
  <Lines>18</Lines>
  <Paragraphs>5</Paragraphs>
  <TotalTime>2</TotalTime>
  <ScaleCrop>false</ScaleCrop>
  <LinksUpToDate>false</LinksUpToDate>
  <CharactersWithSpaces>2860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2026-03-18T02:41:39Z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A0B1F52E44B241D4B3FC36016512C1D0_13</vt:lpwstr>
  </property>
  <property fmtid="{D5CDD505-2E9C-101B-9397-08002B2CF9AE}" pid="4" name="KSOTemplateDocerSaveRecord">
    <vt:lpwstr>eyJoZGlkIjoiNTU3MWFmY2JmYjBmNTA2M2Q0ZWY5MzgxYzE5YjliMzUiLCJ1c2VySWQiOiI4NDYxOTIwMTUifQ==</vt:lpwstr>
  </property>
</Properties>
</file>