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062AE0">
      <w:pPr>
        <w:spacing w:line="360" w:lineRule="auto"/>
        <w:jc w:val="center"/>
        <w:outlineLvl w:val="0"/>
        <w:rPr>
          <w:b/>
          <w:sz w:val="36"/>
          <w:szCs w:val="36"/>
        </w:rPr>
      </w:pPr>
      <w:bookmarkStart w:id="0" w:name="_Toc99301424"/>
      <w:bookmarkStart w:id="1" w:name="_Toc353873935"/>
      <w:bookmarkStart w:id="2" w:name="_Toc305158823"/>
      <w:bookmarkStart w:id="3" w:name="_Toc150774760"/>
      <w:bookmarkStart w:id="4" w:name="_Toc353873665"/>
      <w:bookmarkStart w:id="5" w:name="_Toc305158897"/>
      <w:bookmarkStart w:id="6" w:name="_Toc142311057"/>
      <w:bookmarkStart w:id="7" w:name="_Toc127151555"/>
      <w:bookmarkStart w:id="8" w:name="_Toc150480793"/>
      <w:bookmarkStart w:id="9" w:name="_Toc264969245"/>
      <w:bookmarkStart w:id="10" w:name="_Toc195842920"/>
      <w:bookmarkStart w:id="11" w:name="_Toc226337251"/>
      <w:bookmarkStart w:id="12" w:name="_Toc226965828"/>
      <w:bookmarkStart w:id="13" w:name="_Toc265228393"/>
      <w:bookmarkStart w:id="14" w:name="_Toc353825545"/>
      <w:r>
        <w:rPr>
          <w:b/>
          <w:sz w:val="36"/>
          <w:szCs w:val="36"/>
        </w:rPr>
        <w:t xml:space="preserve"> 采购需求</w:t>
      </w:r>
      <w:bookmarkEnd w:id="0"/>
    </w:p>
    <w:p w14:paraId="68A7C3C4">
      <w:pPr>
        <w:tabs>
          <w:tab w:val="left" w:pos="315"/>
          <w:tab w:val="left" w:pos="360"/>
        </w:tabs>
        <w:snapToGrid w:val="0"/>
        <w:spacing w:line="520" w:lineRule="exact"/>
        <w:rPr>
          <w:rFonts w:hint="eastAsia" w:ascii="宋体" w:hAnsi="宋体"/>
          <w:b/>
          <w:szCs w:val="21"/>
        </w:rPr>
      </w:pPr>
      <w:r>
        <w:rPr>
          <w:rFonts w:hint="eastAsia" w:ascii="宋体" w:hAnsi="宋体"/>
          <w:b/>
          <w:szCs w:val="21"/>
        </w:rPr>
        <w:t>一、采购标的</w:t>
      </w:r>
    </w:p>
    <w:tbl>
      <w:tblPr>
        <w:tblStyle w:val="4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2322"/>
        <w:gridCol w:w="2322"/>
        <w:gridCol w:w="2322"/>
      </w:tblGrid>
      <w:tr w14:paraId="366A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070E21BB">
            <w:pPr>
              <w:tabs>
                <w:tab w:val="left" w:pos="315"/>
                <w:tab w:val="left" w:pos="360"/>
              </w:tabs>
              <w:snapToGrid w:val="0"/>
              <w:spacing w:line="520" w:lineRule="exact"/>
              <w:rPr>
                <w:rFonts w:hint="eastAsia" w:ascii="宋体" w:hAnsi="宋体"/>
                <w:b/>
                <w:szCs w:val="21"/>
              </w:rPr>
            </w:pPr>
            <w:r>
              <w:rPr>
                <w:rFonts w:hint="eastAsia" w:ascii="宋体" w:hAnsi="宋体"/>
                <w:b/>
                <w:szCs w:val="21"/>
              </w:rPr>
              <w:t>序号</w:t>
            </w:r>
          </w:p>
        </w:tc>
        <w:tc>
          <w:tcPr>
            <w:tcW w:w="2322" w:type="dxa"/>
          </w:tcPr>
          <w:p w14:paraId="4430A926">
            <w:pPr>
              <w:tabs>
                <w:tab w:val="left" w:pos="315"/>
                <w:tab w:val="left" w:pos="360"/>
              </w:tabs>
              <w:snapToGrid w:val="0"/>
              <w:spacing w:line="520" w:lineRule="exact"/>
              <w:rPr>
                <w:rFonts w:hint="eastAsia" w:ascii="宋体" w:hAnsi="宋体"/>
                <w:b/>
                <w:szCs w:val="21"/>
              </w:rPr>
            </w:pPr>
            <w:r>
              <w:rPr>
                <w:rFonts w:hint="eastAsia" w:ascii="宋体" w:hAnsi="宋体"/>
                <w:b/>
                <w:szCs w:val="21"/>
              </w:rPr>
              <w:t>服务名称</w:t>
            </w:r>
          </w:p>
        </w:tc>
        <w:tc>
          <w:tcPr>
            <w:tcW w:w="2322" w:type="dxa"/>
          </w:tcPr>
          <w:p w14:paraId="19D5E2B6">
            <w:pPr>
              <w:tabs>
                <w:tab w:val="left" w:pos="315"/>
                <w:tab w:val="left" w:pos="360"/>
              </w:tabs>
              <w:snapToGrid w:val="0"/>
              <w:spacing w:line="520" w:lineRule="exact"/>
              <w:rPr>
                <w:rFonts w:hint="eastAsia" w:ascii="宋体" w:hAnsi="宋体"/>
                <w:b/>
                <w:szCs w:val="21"/>
              </w:rPr>
            </w:pPr>
            <w:r>
              <w:rPr>
                <w:rFonts w:hint="eastAsia" w:ascii="宋体" w:hAnsi="宋体"/>
                <w:b/>
                <w:szCs w:val="21"/>
              </w:rPr>
              <w:t>数量</w:t>
            </w:r>
          </w:p>
        </w:tc>
        <w:tc>
          <w:tcPr>
            <w:tcW w:w="2322" w:type="dxa"/>
          </w:tcPr>
          <w:p w14:paraId="3D6713AB">
            <w:pPr>
              <w:tabs>
                <w:tab w:val="left" w:pos="315"/>
                <w:tab w:val="left" w:pos="360"/>
              </w:tabs>
              <w:snapToGrid w:val="0"/>
              <w:spacing w:line="520" w:lineRule="exact"/>
              <w:rPr>
                <w:rFonts w:hint="eastAsia" w:ascii="宋体" w:hAnsi="宋体"/>
                <w:b/>
                <w:szCs w:val="21"/>
              </w:rPr>
            </w:pPr>
            <w:r>
              <w:rPr>
                <w:rFonts w:hint="eastAsia" w:ascii="宋体" w:hAnsi="宋体"/>
                <w:b/>
                <w:szCs w:val="21"/>
              </w:rPr>
              <w:t>单位</w:t>
            </w:r>
          </w:p>
        </w:tc>
      </w:tr>
      <w:tr w14:paraId="33DC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14:paraId="29E8911C">
            <w:pPr>
              <w:tabs>
                <w:tab w:val="left" w:pos="315"/>
                <w:tab w:val="left" w:pos="360"/>
              </w:tabs>
              <w:snapToGrid w:val="0"/>
              <w:spacing w:line="520" w:lineRule="exact"/>
              <w:rPr>
                <w:rFonts w:hint="eastAsia" w:ascii="宋体" w:hAnsi="宋体"/>
                <w:b/>
                <w:szCs w:val="21"/>
              </w:rPr>
            </w:pPr>
            <w:r>
              <w:rPr>
                <w:rFonts w:hint="eastAsia" w:ascii="宋体" w:hAnsi="宋体"/>
                <w:b/>
                <w:szCs w:val="21"/>
              </w:rPr>
              <w:t>1</w:t>
            </w:r>
          </w:p>
        </w:tc>
        <w:tc>
          <w:tcPr>
            <w:tcW w:w="2322" w:type="dxa"/>
          </w:tcPr>
          <w:p w14:paraId="5A13ADC5">
            <w:pPr>
              <w:tabs>
                <w:tab w:val="left" w:pos="315"/>
                <w:tab w:val="left" w:pos="360"/>
              </w:tabs>
              <w:snapToGrid w:val="0"/>
              <w:spacing w:line="520" w:lineRule="exact"/>
              <w:rPr>
                <w:rFonts w:hint="eastAsia" w:ascii="宋体" w:hAnsi="宋体"/>
                <w:b/>
                <w:szCs w:val="21"/>
              </w:rPr>
            </w:pPr>
            <w:r>
              <w:rPr>
                <w:rFonts w:hint="eastAsia" w:ascii="宋体" w:hAnsi="宋体"/>
                <w:b/>
                <w:szCs w:val="21"/>
              </w:rPr>
              <w:t>北京市军供站2026年度物业管理服务项目</w:t>
            </w:r>
          </w:p>
        </w:tc>
        <w:tc>
          <w:tcPr>
            <w:tcW w:w="2322" w:type="dxa"/>
          </w:tcPr>
          <w:p w14:paraId="3FFE4D29">
            <w:pPr>
              <w:tabs>
                <w:tab w:val="left" w:pos="315"/>
                <w:tab w:val="left" w:pos="360"/>
              </w:tabs>
              <w:snapToGrid w:val="0"/>
              <w:spacing w:line="520" w:lineRule="exact"/>
              <w:rPr>
                <w:rFonts w:hint="eastAsia" w:ascii="宋体" w:hAnsi="宋体"/>
                <w:b/>
                <w:szCs w:val="21"/>
              </w:rPr>
            </w:pPr>
            <w:r>
              <w:rPr>
                <w:rFonts w:hint="eastAsia" w:ascii="宋体" w:hAnsi="宋体"/>
                <w:b/>
                <w:szCs w:val="21"/>
              </w:rPr>
              <w:t>1</w:t>
            </w:r>
          </w:p>
        </w:tc>
        <w:tc>
          <w:tcPr>
            <w:tcW w:w="2322" w:type="dxa"/>
          </w:tcPr>
          <w:p w14:paraId="19E2FBA2">
            <w:pPr>
              <w:tabs>
                <w:tab w:val="left" w:pos="315"/>
                <w:tab w:val="left" w:pos="360"/>
              </w:tabs>
              <w:snapToGrid w:val="0"/>
              <w:spacing w:line="520" w:lineRule="exact"/>
              <w:rPr>
                <w:rFonts w:hint="eastAsia" w:ascii="宋体" w:hAnsi="宋体"/>
                <w:b/>
                <w:szCs w:val="21"/>
              </w:rPr>
            </w:pPr>
            <w:r>
              <w:rPr>
                <w:rFonts w:hint="eastAsia" w:ascii="宋体" w:hAnsi="宋体"/>
                <w:b/>
                <w:szCs w:val="21"/>
              </w:rPr>
              <w:t>项</w:t>
            </w:r>
          </w:p>
        </w:tc>
      </w:tr>
    </w:tbl>
    <w:p w14:paraId="21805DCD">
      <w:pPr>
        <w:spacing w:line="360" w:lineRule="auto"/>
        <w:ind w:firstLine="420" w:firstLineChars="200"/>
        <w:rPr>
          <w:rFonts w:hint="eastAsia" w:ascii="宋体" w:hAnsi="宋体"/>
          <w:bCs/>
          <w:szCs w:val="21"/>
        </w:rPr>
      </w:pPr>
    </w:p>
    <w:p w14:paraId="549B3CD1">
      <w:pPr>
        <w:spacing w:line="360" w:lineRule="auto"/>
        <w:ind w:firstLine="420" w:firstLineChars="200"/>
        <w:rPr>
          <w:rFonts w:hint="eastAsia" w:ascii="宋体" w:hAnsi="宋体" w:cs="仿宋"/>
          <w:szCs w:val="21"/>
        </w:rPr>
      </w:pPr>
      <w:r>
        <w:rPr>
          <w:rFonts w:hint="eastAsia" w:ascii="宋体" w:hAnsi="宋体"/>
          <w:bCs/>
          <w:szCs w:val="21"/>
        </w:rPr>
        <w:t>北京市军供站</w:t>
      </w:r>
      <w:r>
        <w:rPr>
          <w:rFonts w:hint="eastAsia" w:ascii="宋体" w:hAnsi="宋体" w:cs="仿宋"/>
          <w:szCs w:val="21"/>
        </w:rPr>
        <w:t>位于丰台区看丹86号，建筑面积为42000平方米；为本次物业、保洁服务招标范围。本次</w:t>
      </w:r>
      <w:r>
        <w:rPr>
          <w:rFonts w:hint="eastAsia" w:ascii="宋体" w:hAnsi="宋体" w:cs="仿宋"/>
          <w:szCs w:val="21"/>
          <w:lang w:eastAsia="zh-Hans"/>
        </w:rPr>
        <w:t>招标文件</w:t>
      </w:r>
      <w:r>
        <w:rPr>
          <w:rFonts w:hint="eastAsia" w:ascii="宋体" w:hAnsi="宋体" w:cs="仿宋"/>
          <w:szCs w:val="21"/>
        </w:rPr>
        <w:t>中所列服务标准及要求皆为中标人提供服务的基本要求，各投标人应按照自身的实际情况自行列出详细的服务方案。北京市军供站所处军供保障大楼，北楼地上</w:t>
      </w:r>
      <w:r>
        <w:rPr>
          <w:rFonts w:hint="eastAsia" w:ascii="宋体" w:hAnsi="宋体" w:cs="仿宋"/>
          <w:szCs w:val="21"/>
          <w:u w:val="single"/>
        </w:rPr>
        <w:t>11</w:t>
      </w:r>
      <w:r>
        <w:rPr>
          <w:rFonts w:hint="eastAsia" w:ascii="宋体" w:hAnsi="宋体" w:cs="仿宋"/>
          <w:szCs w:val="21"/>
        </w:rPr>
        <w:t>层地下</w:t>
      </w:r>
      <w:r>
        <w:rPr>
          <w:rFonts w:hint="eastAsia" w:ascii="宋体" w:hAnsi="宋体" w:cs="仿宋"/>
          <w:szCs w:val="21"/>
          <w:u w:val="single"/>
        </w:rPr>
        <w:t>2</w:t>
      </w:r>
      <w:r>
        <w:rPr>
          <w:rFonts w:hint="eastAsia" w:ascii="宋体" w:hAnsi="宋体" w:cs="仿宋"/>
          <w:szCs w:val="21"/>
        </w:rPr>
        <w:t xml:space="preserve">层，南配楼地上 </w:t>
      </w:r>
      <w:r>
        <w:rPr>
          <w:rFonts w:hint="eastAsia" w:ascii="宋体" w:hAnsi="宋体" w:cs="仿宋"/>
          <w:szCs w:val="21"/>
          <w:u w:val="single"/>
        </w:rPr>
        <w:t>5</w:t>
      </w:r>
      <w:r>
        <w:rPr>
          <w:rFonts w:hint="eastAsia" w:ascii="宋体" w:hAnsi="宋体" w:cs="仿宋"/>
          <w:szCs w:val="21"/>
        </w:rPr>
        <w:t xml:space="preserve">层，地下 </w:t>
      </w:r>
      <w:r>
        <w:rPr>
          <w:rFonts w:hint="eastAsia" w:ascii="宋体" w:hAnsi="宋体" w:cs="仿宋"/>
          <w:szCs w:val="21"/>
          <w:u w:val="single"/>
        </w:rPr>
        <w:t>1</w:t>
      </w:r>
      <w:r>
        <w:rPr>
          <w:rFonts w:hint="eastAsia" w:ascii="宋体" w:hAnsi="宋体" w:cs="仿宋"/>
          <w:szCs w:val="21"/>
        </w:rPr>
        <w:t xml:space="preserve">层，西配楼地上 </w:t>
      </w:r>
      <w:r>
        <w:rPr>
          <w:rFonts w:hint="eastAsia" w:ascii="宋体" w:hAnsi="宋体" w:cs="仿宋"/>
          <w:szCs w:val="21"/>
          <w:u w:val="single"/>
        </w:rPr>
        <w:t>3</w:t>
      </w:r>
      <w:r>
        <w:rPr>
          <w:rFonts w:hint="eastAsia" w:ascii="宋体" w:hAnsi="宋体" w:cs="仿宋"/>
          <w:szCs w:val="21"/>
        </w:rPr>
        <w:t xml:space="preserve">层，地下 </w:t>
      </w:r>
      <w:r>
        <w:rPr>
          <w:rFonts w:hint="eastAsia" w:ascii="宋体" w:hAnsi="宋体" w:cs="仿宋"/>
          <w:szCs w:val="21"/>
          <w:u w:val="single"/>
        </w:rPr>
        <w:t>2</w:t>
      </w:r>
      <w:r>
        <w:rPr>
          <w:rFonts w:hint="eastAsia" w:ascii="宋体" w:hAnsi="宋体" w:cs="仿宋"/>
          <w:szCs w:val="21"/>
        </w:rPr>
        <w:t>层。</w:t>
      </w:r>
    </w:p>
    <w:p w14:paraId="6278F25E">
      <w:pPr>
        <w:tabs>
          <w:tab w:val="left" w:pos="315"/>
          <w:tab w:val="left" w:pos="360"/>
        </w:tabs>
        <w:snapToGrid w:val="0"/>
        <w:spacing w:line="520" w:lineRule="exact"/>
        <w:rPr>
          <w:rFonts w:hint="eastAsia" w:ascii="宋体" w:hAnsi="宋体"/>
          <w:b/>
          <w:szCs w:val="21"/>
        </w:rPr>
      </w:pPr>
    </w:p>
    <w:p w14:paraId="54F6F52F">
      <w:pPr>
        <w:numPr>
          <w:ilvl w:val="0"/>
          <w:numId w:val="8"/>
        </w:numPr>
        <w:tabs>
          <w:tab w:val="left" w:pos="315"/>
          <w:tab w:val="left" w:pos="360"/>
        </w:tabs>
        <w:snapToGrid w:val="0"/>
        <w:spacing w:line="520" w:lineRule="exact"/>
        <w:rPr>
          <w:rFonts w:hint="eastAsia" w:ascii="宋体" w:hAnsi="宋体"/>
          <w:b/>
          <w:szCs w:val="21"/>
        </w:rPr>
      </w:pPr>
      <w:r>
        <w:rPr>
          <w:rFonts w:hint="eastAsia" w:ascii="宋体" w:hAnsi="宋体"/>
          <w:b/>
          <w:szCs w:val="21"/>
        </w:rPr>
        <w:t>商务部分</w:t>
      </w:r>
    </w:p>
    <w:p w14:paraId="212901A4">
      <w:pPr>
        <w:numPr>
          <w:ilvl w:val="0"/>
          <w:numId w:val="9"/>
        </w:numPr>
        <w:spacing w:line="360" w:lineRule="auto"/>
        <w:contextualSpacing/>
        <w:rPr>
          <w:sz w:val="24"/>
        </w:rPr>
      </w:pPr>
      <w:r>
        <w:rPr>
          <w:sz w:val="24"/>
        </w:rPr>
        <w:t>交付（实施）的时间（期限）和地点（范围）</w:t>
      </w:r>
    </w:p>
    <w:p w14:paraId="3D30A3D4">
      <w:pPr>
        <w:numPr>
          <w:ilvl w:val="255"/>
          <w:numId w:val="0"/>
        </w:numPr>
        <w:spacing w:line="360" w:lineRule="auto"/>
        <w:contextualSpacing/>
        <w:rPr>
          <w:sz w:val="24"/>
        </w:rPr>
      </w:pPr>
      <w:r>
        <w:rPr>
          <w:rFonts w:hint="eastAsia"/>
          <w:sz w:val="24"/>
        </w:rPr>
        <w:t>服务期：8个月，服务地点：北京市丰台区看丹86号。</w:t>
      </w:r>
      <w:r>
        <w:rPr>
          <w:sz w:val="24"/>
        </w:rPr>
        <w:t>_</w:t>
      </w:r>
    </w:p>
    <w:p w14:paraId="0E09DF26">
      <w:pPr>
        <w:numPr>
          <w:ilvl w:val="255"/>
          <w:numId w:val="0"/>
        </w:numPr>
        <w:spacing w:line="360" w:lineRule="auto"/>
        <w:contextualSpacing/>
        <w:rPr>
          <w:bCs/>
          <w:sz w:val="24"/>
        </w:rPr>
      </w:pPr>
      <w:r>
        <w:rPr>
          <w:sz w:val="24"/>
        </w:rPr>
        <w:t>2. 付款条件（进度和方式）</w:t>
      </w:r>
    </w:p>
    <w:p w14:paraId="2BC27432">
      <w:pPr>
        <w:spacing w:line="520" w:lineRule="exact"/>
        <w:ind w:firstLine="420" w:firstLineChars="200"/>
        <w:rPr>
          <w:rFonts w:hint="eastAsia" w:ascii="宋体" w:hAnsi="宋体"/>
          <w:bCs/>
          <w:szCs w:val="21"/>
        </w:rPr>
      </w:pPr>
      <w:r>
        <w:rPr>
          <w:rFonts w:hint="eastAsia" w:ascii="宋体" w:hAnsi="宋体"/>
          <w:bCs/>
          <w:szCs w:val="21"/>
        </w:rPr>
        <w:t>第一次付款：合同签订后 7 个工作日内，中标方需向采购方支付合同总价5%的履约保证金（银行转账的方式），中标方履约保证金到位后，向中标人预付全年物业服务费的50%；</w:t>
      </w:r>
    </w:p>
    <w:p w14:paraId="5DF06F44">
      <w:pPr>
        <w:spacing w:line="520" w:lineRule="exact"/>
        <w:ind w:firstLine="420" w:firstLineChars="200"/>
        <w:rPr>
          <w:rFonts w:hint="eastAsia" w:ascii="宋体" w:hAnsi="宋体"/>
          <w:bCs/>
          <w:szCs w:val="21"/>
        </w:rPr>
      </w:pPr>
      <w:r>
        <w:rPr>
          <w:rFonts w:hint="eastAsia" w:ascii="宋体" w:hAnsi="宋体"/>
          <w:bCs/>
          <w:szCs w:val="21"/>
        </w:rPr>
        <w:t>第二次付款：2026年 7月 25日前，支付全年物业服务费的30%；</w:t>
      </w:r>
    </w:p>
    <w:p w14:paraId="6BE95A05">
      <w:pPr>
        <w:spacing w:line="520" w:lineRule="exact"/>
        <w:ind w:firstLine="420" w:firstLineChars="200"/>
        <w:rPr>
          <w:rFonts w:hint="eastAsia" w:ascii="宋体" w:hAnsi="宋体"/>
          <w:bCs/>
          <w:szCs w:val="21"/>
        </w:rPr>
      </w:pPr>
      <w:r>
        <w:rPr>
          <w:rFonts w:hint="eastAsia" w:ascii="宋体" w:hAnsi="宋体"/>
          <w:bCs/>
          <w:szCs w:val="21"/>
        </w:rPr>
        <w:t>第三次付款：2026年12月25日前，双方对全年服务进行验收，验收合格后，支付全年物业服务费的20%。</w:t>
      </w:r>
    </w:p>
    <w:p w14:paraId="722F553E">
      <w:pPr>
        <w:spacing w:line="520" w:lineRule="exact"/>
        <w:ind w:firstLine="420" w:firstLineChars="200"/>
        <w:rPr>
          <w:rFonts w:hint="eastAsia" w:ascii="宋体" w:hAnsi="宋体"/>
          <w:bCs/>
          <w:szCs w:val="21"/>
        </w:rPr>
      </w:pPr>
      <w:r>
        <w:rPr>
          <w:rFonts w:hint="eastAsia" w:ascii="宋体" w:hAnsi="宋体"/>
          <w:bCs/>
          <w:szCs w:val="21"/>
        </w:rPr>
        <w:t>合同完成后，采购方及中标方双方对合同执行无异议，30个工作日内，采购方退还乙方履约保证金。</w:t>
      </w:r>
    </w:p>
    <w:p w14:paraId="1CE62D3A">
      <w:r>
        <w:rPr>
          <w:rFonts w:hint="eastAsia" w:ascii="宋体" w:hAnsi="宋体"/>
          <w:bCs/>
          <w:szCs w:val="21"/>
        </w:rPr>
        <w:t>如甲方遇到财政国库支付受限，支付期限顺延，不承担违约责任，但要及时通知中标方，中标不得因此延迟、暂停、拒绝、终止义务的履行。待障碍消除后，采购方立即恢复支付。中标方应在甲方付款前及时向采购方开具发票，否则甲方有权拒绝付款且不承担违约责任。</w:t>
      </w:r>
    </w:p>
    <w:p w14:paraId="4561CDBB">
      <w:pPr>
        <w:spacing w:line="360" w:lineRule="auto"/>
        <w:contextualSpacing/>
        <w:rPr>
          <w:sz w:val="24"/>
        </w:rPr>
      </w:pPr>
    </w:p>
    <w:p w14:paraId="541E5999">
      <w:pPr>
        <w:numPr>
          <w:ilvl w:val="255"/>
          <w:numId w:val="0"/>
        </w:numPr>
        <w:tabs>
          <w:tab w:val="left" w:pos="315"/>
          <w:tab w:val="left" w:pos="360"/>
        </w:tabs>
        <w:snapToGrid w:val="0"/>
        <w:spacing w:line="520" w:lineRule="exact"/>
        <w:rPr>
          <w:rFonts w:hint="eastAsia" w:ascii="宋体" w:hAnsi="宋体"/>
          <w:b/>
          <w:szCs w:val="21"/>
        </w:rPr>
      </w:pPr>
      <w:r>
        <w:rPr>
          <w:rFonts w:hint="eastAsia" w:ascii="宋体" w:hAnsi="宋体"/>
          <w:b/>
          <w:szCs w:val="21"/>
        </w:rPr>
        <w:t>三、技术要求</w:t>
      </w:r>
    </w:p>
    <w:p w14:paraId="2B60142E">
      <w:pPr>
        <w:spacing w:line="560" w:lineRule="exact"/>
        <w:contextualSpacing/>
        <w:rPr>
          <w:sz w:val="24"/>
        </w:rPr>
      </w:pPr>
      <w:r>
        <w:rPr>
          <w:rFonts w:hint="eastAsia"/>
          <w:sz w:val="24"/>
        </w:rPr>
        <w:t>1.基本要求</w:t>
      </w:r>
    </w:p>
    <w:p w14:paraId="1FF2FB22">
      <w:pPr>
        <w:spacing w:line="560" w:lineRule="exact"/>
        <w:contextualSpacing/>
        <w:rPr>
          <w:sz w:val="24"/>
        </w:rPr>
      </w:pPr>
      <w:r>
        <w:rPr>
          <w:rFonts w:hint="eastAsia"/>
          <w:sz w:val="24"/>
        </w:rPr>
        <w:t>1.1采购标的需实现的功能或者目标</w:t>
      </w:r>
    </w:p>
    <w:p w14:paraId="479919B3">
      <w:pPr>
        <w:pStyle w:val="5"/>
        <w:autoSpaceDE/>
        <w:autoSpaceDN/>
        <w:adjustRightInd/>
        <w:spacing w:line="560" w:lineRule="exact"/>
        <w:ind w:firstLine="0"/>
        <w:rPr>
          <w:rFonts w:ascii="Times New Roman"/>
        </w:rPr>
      </w:pPr>
      <w:r>
        <w:rPr>
          <w:rFonts w:hint="eastAsia" w:ascii="Times New Roman"/>
        </w:rPr>
        <w:t>1.2负责对北京市军供站的物业管理服务。按照《中华人民共和国物业管理条例》等国家相关法律、法规、标准与导则执行，如有更新以最新国家或者行业标准执行。</w:t>
      </w:r>
    </w:p>
    <w:p w14:paraId="577BB367">
      <w:pPr>
        <w:spacing w:line="560" w:lineRule="exact"/>
        <w:contextualSpacing/>
        <w:rPr>
          <w:sz w:val="24"/>
        </w:rPr>
      </w:pPr>
      <w:r>
        <w:rPr>
          <w:rFonts w:hint="eastAsia"/>
          <w:sz w:val="24"/>
        </w:rPr>
        <w:t>2.服务标准</w:t>
      </w:r>
    </w:p>
    <w:p w14:paraId="3F9E6C48">
      <w:pPr>
        <w:adjustRightInd w:val="0"/>
        <w:snapToGrid w:val="0"/>
        <w:spacing w:line="560" w:lineRule="exact"/>
        <w:rPr>
          <w:sz w:val="24"/>
        </w:rPr>
      </w:pPr>
      <w:r>
        <w:rPr>
          <w:rFonts w:hint="eastAsia"/>
          <w:sz w:val="24"/>
        </w:rPr>
        <w:t>2.1服务人员管理</w:t>
      </w:r>
    </w:p>
    <w:p w14:paraId="3BACD548">
      <w:pPr>
        <w:adjustRightInd w:val="0"/>
        <w:snapToGrid w:val="0"/>
        <w:spacing w:line="560" w:lineRule="exact"/>
        <w:rPr>
          <w:sz w:val="24"/>
        </w:rPr>
      </w:pPr>
      <w:r>
        <w:rPr>
          <w:rFonts w:hint="eastAsia"/>
          <w:sz w:val="24"/>
        </w:rPr>
        <w:t>2.1.1每半年至少开展1次岗位技能、职业素质、服务知识、客户文化、绿色节能环保等教育培训，并进行适当形式的考核。</w:t>
      </w:r>
    </w:p>
    <w:p w14:paraId="707EFDCD">
      <w:pPr>
        <w:adjustRightInd w:val="0"/>
        <w:snapToGrid w:val="0"/>
        <w:spacing w:line="560" w:lineRule="exact"/>
        <w:rPr>
          <w:sz w:val="24"/>
        </w:rPr>
      </w:pPr>
      <w:r>
        <w:rPr>
          <w:rFonts w:hint="eastAsia"/>
          <w:sz w:val="24"/>
        </w:rPr>
        <w:t>2.1.2根据采购人要求对服务人员进行审查。</w:t>
      </w:r>
    </w:p>
    <w:p w14:paraId="52DB88B9">
      <w:pPr>
        <w:adjustRightInd w:val="0"/>
        <w:snapToGrid w:val="0"/>
        <w:spacing w:line="560" w:lineRule="exact"/>
        <w:rPr>
          <w:sz w:val="24"/>
        </w:rPr>
      </w:pPr>
      <w:r>
        <w:rPr>
          <w:rFonts w:hint="eastAsia"/>
          <w:sz w:val="24"/>
        </w:rPr>
        <w:t>2.1.3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4B1906BC">
      <w:pPr>
        <w:adjustRightInd w:val="0"/>
        <w:snapToGrid w:val="0"/>
        <w:spacing w:line="560" w:lineRule="exact"/>
        <w:rPr>
          <w:sz w:val="24"/>
        </w:rPr>
      </w:pPr>
      <w:r>
        <w:rPr>
          <w:rFonts w:hint="eastAsia"/>
          <w:sz w:val="24"/>
        </w:rPr>
        <w:t>2.1.4如采购人认为服务人员不适应岗位要求或存在其他影响工作的，可要求供应商进行调换。如因供应商原因对服务人员进行调换，应当经采购人同意，更换比例不得超过本项目服务人员总数的20%。本项目服务人员不得在其他项目兼职。</w:t>
      </w:r>
    </w:p>
    <w:p w14:paraId="1A2438DC">
      <w:pPr>
        <w:adjustRightInd w:val="0"/>
        <w:snapToGrid w:val="0"/>
        <w:spacing w:line="560" w:lineRule="exact"/>
        <w:rPr>
          <w:sz w:val="24"/>
        </w:rPr>
      </w:pPr>
      <w:r>
        <w:rPr>
          <w:rFonts w:hint="eastAsia"/>
          <w:sz w:val="24"/>
        </w:rPr>
        <w:t>2.1.5着装分类统一，佩戴标识。仪容整洁、姿态端正、举止文明。用语文明礼貌，态度温和耐心。</w:t>
      </w:r>
    </w:p>
    <w:p w14:paraId="7AA60C3C">
      <w:pPr>
        <w:adjustRightInd w:val="0"/>
        <w:snapToGrid w:val="0"/>
        <w:spacing w:line="560" w:lineRule="exact"/>
        <w:rPr>
          <w:sz w:val="24"/>
        </w:rPr>
      </w:pPr>
      <w:r>
        <w:rPr>
          <w:rFonts w:hint="eastAsia"/>
          <w:sz w:val="24"/>
        </w:rPr>
        <w:t>2.2保密教育管理</w:t>
      </w:r>
    </w:p>
    <w:p w14:paraId="4F306277">
      <w:pPr>
        <w:adjustRightInd w:val="0"/>
        <w:snapToGrid w:val="0"/>
        <w:spacing w:line="560" w:lineRule="exact"/>
        <w:rPr>
          <w:sz w:val="24"/>
        </w:rPr>
      </w:pPr>
      <w:r>
        <w:rPr>
          <w:rFonts w:hint="eastAsia"/>
          <w:sz w:val="24"/>
        </w:rPr>
        <w:t>2.2.1建立保密管理制度。制度内容应当包括但不限于：①明确重点要害岗位保密职责。②对涉密工作岗位的保密要求。</w:t>
      </w:r>
    </w:p>
    <w:p w14:paraId="0E3E5510">
      <w:pPr>
        <w:adjustRightInd w:val="0"/>
        <w:snapToGrid w:val="0"/>
        <w:spacing w:line="560" w:lineRule="exact"/>
        <w:rPr>
          <w:sz w:val="24"/>
        </w:rPr>
      </w:pPr>
      <w:r>
        <w:rPr>
          <w:rFonts w:hint="eastAsia"/>
          <w:sz w:val="24"/>
        </w:rPr>
        <w:t>2.2.2根据采购人要求与所有工作岗位的服务人员签订保密协议。</w:t>
      </w:r>
    </w:p>
    <w:p w14:paraId="0851F486">
      <w:pPr>
        <w:adjustRightInd w:val="0"/>
        <w:snapToGrid w:val="0"/>
        <w:spacing w:line="560" w:lineRule="exact"/>
        <w:rPr>
          <w:sz w:val="24"/>
        </w:rPr>
      </w:pPr>
      <w:r>
        <w:rPr>
          <w:rFonts w:hint="eastAsia"/>
          <w:sz w:val="24"/>
        </w:rPr>
        <w:t>2.2.3每年至少1次对服务人员进行保密、思想政治教育培训，提高服务人员保密意识和思想政治意识。新入职员工应当接受保密、思想政治教育培训，进行必要的人员经历审查，合格后签订保密协议方可上岗。</w:t>
      </w:r>
    </w:p>
    <w:p w14:paraId="4B1E6483">
      <w:pPr>
        <w:adjustRightInd w:val="0"/>
        <w:snapToGrid w:val="0"/>
        <w:spacing w:line="560" w:lineRule="exact"/>
        <w:rPr>
          <w:sz w:val="24"/>
        </w:rPr>
      </w:pPr>
      <w:r>
        <w:rPr>
          <w:rFonts w:hint="eastAsia"/>
          <w:sz w:val="24"/>
        </w:rPr>
        <w:t>2.2.4发现服务人员违法违规或重大过失，及时报告采购人，并采取必要补救措施。</w:t>
      </w:r>
    </w:p>
    <w:p w14:paraId="6802D964">
      <w:pPr>
        <w:adjustRightInd w:val="0"/>
        <w:snapToGrid w:val="0"/>
        <w:spacing w:line="560" w:lineRule="exact"/>
        <w:rPr>
          <w:sz w:val="24"/>
        </w:rPr>
      </w:pPr>
      <w:r>
        <w:rPr>
          <w:rFonts w:hint="eastAsia"/>
          <w:sz w:val="24"/>
        </w:rPr>
        <w:t>2.3档案管理</w:t>
      </w:r>
    </w:p>
    <w:p w14:paraId="505ACF6F">
      <w:pPr>
        <w:adjustRightInd w:val="0"/>
        <w:snapToGrid w:val="0"/>
        <w:spacing w:line="560" w:lineRule="exact"/>
        <w:rPr>
          <w:sz w:val="24"/>
        </w:rPr>
      </w:pPr>
      <w:r>
        <w:rPr>
          <w:rFonts w:hint="eastAsia"/>
          <w:sz w:val="24"/>
        </w:rPr>
        <w:t>2.3.1建立物业信息，准确、及时地对文件资料和服务记录进行归档保存，并确保其物理安全。</w:t>
      </w:r>
    </w:p>
    <w:p w14:paraId="46D4A3B3">
      <w:pPr>
        <w:adjustRightInd w:val="0"/>
        <w:snapToGrid w:val="0"/>
        <w:spacing w:line="560" w:lineRule="exact"/>
        <w:rPr>
          <w:sz w:val="24"/>
        </w:rPr>
      </w:pPr>
      <w:r>
        <w:rPr>
          <w:rFonts w:hint="eastAsia"/>
          <w:sz w:val="24"/>
        </w:rPr>
        <w:t>2.3.2档案和记录齐全，包括但不限于：</w:t>
      </w:r>
    </w:p>
    <w:p w14:paraId="6698E3B7">
      <w:pPr>
        <w:adjustRightInd w:val="0"/>
        <w:snapToGrid w:val="0"/>
        <w:spacing w:line="560" w:lineRule="exact"/>
        <w:rPr>
          <w:sz w:val="24"/>
        </w:rPr>
      </w:pPr>
      <w:r>
        <w:rPr>
          <w:rFonts w:hint="eastAsia"/>
          <w:sz w:val="24"/>
        </w:rPr>
        <w:t>（1）采购人建议与投诉等。教育培训和考核记录。保密、思想政治教育培训记录。如接待投诉时，记录应包括投诉内容、处理结果及反馈意见是否及时等。</w:t>
      </w:r>
    </w:p>
    <w:p w14:paraId="1264CD95">
      <w:pPr>
        <w:adjustRightInd w:val="0"/>
        <w:snapToGrid w:val="0"/>
        <w:spacing w:line="560" w:lineRule="exact"/>
        <w:rPr>
          <w:sz w:val="24"/>
        </w:rPr>
      </w:pPr>
      <w:r>
        <w:rPr>
          <w:rFonts w:hint="eastAsia"/>
          <w:sz w:val="24"/>
        </w:rPr>
        <w:t>（2）房屋维护服务：房屋台账、使用说明、房屋装修、维保记录等。</w:t>
      </w:r>
    </w:p>
    <w:p w14:paraId="402F8866">
      <w:pPr>
        <w:adjustRightInd w:val="0"/>
        <w:snapToGrid w:val="0"/>
        <w:spacing w:line="560" w:lineRule="exact"/>
        <w:rPr>
          <w:sz w:val="24"/>
        </w:rPr>
      </w:pPr>
      <w:r>
        <w:rPr>
          <w:rFonts w:hint="eastAsia"/>
          <w:sz w:val="24"/>
        </w:rPr>
        <w:t>（3）公用设施设备维护服务：设备台账、使用说明、维保记录、巡查记录、设施设备安全运行、设施设备定期巡检、维护保养、维修档案等。</w:t>
      </w:r>
    </w:p>
    <w:p w14:paraId="7A907E87">
      <w:pPr>
        <w:adjustRightInd w:val="0"/>
        <w:snapToGrid w:val="0"/>
        <w:spacing w:line="560" w:lineRule="exact"/>
        <w:rPr>
          <w:sz w:val="24"/>
        </w:rPr>
      </w:pPr>
      <w:r>
        <w:rPr>
          <w:rFonts w:hint="eastAsia"/>
          <w:sz w:val="24"/>
        </w:rPr>
        <w:t>（4）保洁服务：工作日志、清洁检查表、用品清单、客户反馈表等。</w:t>
      </w:r>
    </w:p>
    <w:p w14:paraId="1452FA34">
      <w:pPr>
        <w:adjustRightInd w:val="0"/>
        <w:snapToGrid w:val="0"/>
        <w:spacing w:line="560" w:lineRule="exact"/>
        <w:rPr>
          <w:sz w:val="24"/>
        </w:rPr>
      </w:pPr>
      <w:r>
        <w:rPr>
          <w:rFonts w:hint="eastAsia"/>
          <w:sz w:val="24"/>
        </w:rPr>
        <w:t>（5）绿化服务：绿化带平面图、清洁整改记录、消杀记录等。</w:t>
      </w:r>
    </w:p>
    <w:p w14:paraId="4E556BCA">
      <w:pPr>
        <w:adjustRightInd w:val="0"/>
        <w:snapToGrid w:val="0"/>
        <w:spacing w:line="560" w:lineRule="exact"/>
        <w:rPr>
          <w:sz w:val="24"/>
        </w:rPr>
      </w:pPr>
      <w:r>
        <w:rPr>
          <w:rFonts w:hint="eastAsia"/>
          <w:sz w:val="24"/>
        </w:rPr>
        <w:t>（6）收集整理各种人事档案、质量记录、保险档案、管理合同、管理制度等资料。</w:t>
      </w:r>
    </w:p>
    <w:p w14:paraId="3E15087D">
      <w:pPr>
        <w:adjustRightInd w:val="0"/>
        <w:snapToGrid w:val="0"/>
        <w:spacing w:line="560" w:lineRule="exact"/>
        <w:rPr>
          <w:sz w:val="24"/>
        </w:rPr>
      </w:pPr>
      <w:r>
        <w:rPr>
          <w:rFonts w:hint="eastAsia"/>
          <w:sz w:val="24"/>
        </w:rPr>
        <w:t>（7）物业接管时，所有原始记录资料交接及时。</w:t>
      </w:r>
    </w:p>
    <w:p w14:paraId="47F370A9">
      <w:pPr>
        <w:adjustRightInd w:val="0"/>
        <w:snapToGrid w:val="0"/>
        <w:spacing w:line="560" w:lineRule="exact"/>
        <w:rPr>
          <w:sz w:val="24"/>
        </w:rPr>
      </w:pPr>
      <w:r>
        <w:rPr>
          <w:rFonts w:hint="eastAsia"/>
          <w:sz w:val="24"/>
        </w:rPr>
        <w:t xml:space="preserve">（8）物业入住时，全面掌握各部门及个人基本情况，区域划分钥匙分配原始记录交接及时。 </w:t>
      </w:r>
    </w:p>
    <w:p w14:paraId="6135E7A6">
      <w:pPr>
        <w:adjustRightInd w:val="0"/>
        <w:snapToGrid w:val="0"/>
        <w:spacing w:line="560" w:lineRule="exact"/>
        <w:rPr>
          <w:sz w:val="24"/>
        </w:rPr>
      </w:pPr>
      <w:r>
        <w:rPr>
          <w:rFonts w:hint="eastAsia"/>
          <w:sz w:val="24"/>
        </w:rPr>
        <w:t>2.3.3遵守采购人的信息、档案资料保密要求，未经许可，不得将建筑物平面图等资料转作其他用途或向其他单位、个人提供。</w:t>
      </w:r>
    </w:p>
    <w:p w14:paraId="6C04A67D">
      <w:pPr>
        <w:adjustRightInd w:val="0"/>
        <w:snapToGrid w:val="0"/>
        <w:spacing w:line="560" w:lineRule="exact"/>
        <w:rPr>
          <w:sz w:val="24"/>
        </w:rPr>
      </w:pPr>
      <w:r>
        <w:rPr>
          <w:rFonts w:hint="eastAsia"/>
          <w:sz w:val="24"/>
        </w:rPr>
        <w:t>2.3.4履约结束后，相关资料交还采购人。</w:t>
      </w:r>
    </w:p>
    <w:p w14:paraId="09740BCA">
      <w:pPr>
        <w:widowControl/>
        <w:adjustRightInd w:val="0"/>
        <w:snapToGrid w:val="0"/>
        <w:spacing w:line="560" w:lineRule="exact"/>
        <w:rPr>
          <w:sz w:val="24"/>
        </w:rPr>
      </w:pPr>
      <w:r>
        <w:rPr>
          <w:rFonts w:hint="eastAsia"/>
          <w:sz w:val="24"/>
        </w:rPr>
        <w:t>2.4服务管理</w:t>
      </w:r>
    </w:p>
    <w:p w14:paraId="43F4F9F5">
      <w:pPr>
        <w:adjustRightInd w:val="0"/>
        <w:snapToGrid w:val="0"/>
        <w:spacing w:line="560" w:lineRule="exact"/>
        <w:rPr>
          <w:sz w:val="24"/>
        </w:rPr>
      </w:pPr>
      <w:r>
        <w:rPr>
          <w:rFonts w:hint="eastAsia"/>
          <w:sz w:val="24"/>
        </w:rPr>
        <w:t>2.4.1明确负责人，定期对物业服务过程进行自查，结合反馈意见与评价结果采取改进措施，持续提升管理与服务水平。</w:t>
      </w:r>
    </w:p>
    <w:p w14:paraId="282600F9">
      <w:pPr>
        <w:adjustRightInd w:val="0"/>
        <w:snapToGrid w:val="0"/>
        <w:spacing w:line="560" w:lineRule="exact"/>
        <w:rPr>
          <w:sz w:val="24"/>
        </w:rPr>
      </w:pPr>
      <w:r>
        <w:rPr>
          <w:rFonts w:hint="eastAsia"/>
          <w:sz w:val="24"/>
        </w:rPr>
        <w:t>2.4.2对不合格服务进行控制，对不合格服务的原因进行识别和分析，及时采取纠正措施，消除不合格的原因，防止不合格再发生。</w:t>
      </w:r>
    </w:p>
    <w:p w14:paraId="5500298C">
      <w:pPr>
        <w:adjustRightInd w:val="0"/>
        <w:snapToGrid w:val="0"/>
        <w:spacing w:line="560" w:lineRule="exact"/>
        <w:rPr>
          <w:sz w:val="24"/>
        </w:rPr>
      </w:pPr>
      <w:r>
        <w:rPr>
          <w:rFonts w:hint="eastAsia"/>
          <w:sz w:val="24"/>
        </w:rPr>
        <w:t>2.4.3需整改问题及时整改完成。</w:t>
      </w:r>
    </w:p>
    <w:p w14:paraId="0246B894">
      <w:pPr>
        <w:adjustRightInd w:val="0"/>
        <w:snapToGrid w:val="0"/>
        <w:spacing w:line="560" w:lineRule="exact"/>
        <w:rPr>
          <w:sz w:val="24"/>
        </w:rPr>
      </w:pPr>
      <w:r>
        <w:rPr>
          <w:rFonts w:hint="eastAsia"/>
          <w:sz w:val="24"/>
        </w:rPr>
        <w:t>2.5应急保障管理</w:t>
      </w:r>
    </w:p>
    <w:p w14:paraId="6E23BBA3">
      <w:pPr>
        <w:adjustRightInd w:val="0"/>
        <w:snapToGrid w:val="0"/>
        <w:spacing w:line="560" w:lineRule="exact"/>
        <w:rPr>
          <w:sz w:val="24"/>
        </w:rPr>
      </w:pPr>
      <w:r>
        <w:rPr>
          <w:rFonts w:hint="eastAsia"/>
          <w:sz w:val="24"/>
        </w:rPr>
        <w:t>2.5.1重点区域及安全隐患排查。结合项目的实际情况，对重点部位及危险隐患进行排查，并建立清单和台账；定期监控危险隐患并进行风险分析，制定相应措施进行控制；随着设施设备、服务内容的变化，及时更新清单和台账，使风险隐患始终处于受控状态。</w:t>
      </w:r>
    </w:p>
    <w:p w14:paraId="6BE24D0F">
      <w:pPr>
        <w:adjustRightInd w:val="0"/>
        <w:snapToGrid w:val="0"/>
        <w:spacing w:line="560" w:lineRule="exact"/>
        <w:rPr>
          <w:sz w:val="24"/>
        </w:rPr>
      </w:pPr>
      <w:r>
        <w:rPr>
          <w:rFonts w:hint="eastAsia"/>
          <w:sz w:val="24"/>
        </w:rPr>
        <w:t>2.5.2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p w14:paraId="63B31821">
      <w:pPr>
        <w:adjustRightInd w:val="0"/>
        <w:snapToGrid w:val="0"/>
        <w:spacing w:line="560" w:lineRule="exact"/>
        <w:rPr>
          <w:sz w:val="24"/>
        </w:rPr>
      </w:pPr>
      <w:r>
        <w:rPr>
          <w:rFonts w:hint="eastAsia"/>
          <w:sz w:val="24"/>
        </w:rPr>
        <w:t>2.5.3应急预案的培训和演练。应急预案定期培训和演练，组织相关岗位每半年至少开展一次专项应急预案演练；留存培训及演练记录和影像资料，并对预案进行评价，确保与实际情况相结合。</w:t>
      </w:r>
    </w:p>
    <w:p w14:paraId="68B1A88A">
      <w:pPr>
        <w:adjustRightInd w:val="0"/>
        <w:snapToGrid w:val="0"/>
        <w:spacing w:line="560" w:lineRule="exact"/>
        <w:rPr>
          <w:sz w:val="24"/>
        </w:rPr>
      </w:pPr>
      <w:r>
        <w:rPr>
          <w:rFonts w:hint="eastAsia"/>
          <w:sz w:val="24"/>
        </w:rPr>
        <w:t>2.5.4应急物资的管理。根据专项预案中的应对需要、必要的应急物资，建立清单或台账，并由专人定期对应急物资进行检查，确保能够随时正常使用。</w:t>
      </w:r>
    </w:p>
    <w:p w14:paraId="029BAE52">
      <w:pPr>
        <w:adjustRightInd w:val="0"/>
        <w:snapToGrid w:val="0"/>
        <w:spacing w:line="560" w:lineRule="exact"/>
        <w:rPr>
          <w:sz w:val="24"/>
        </w:rPr>
      </w:pPr>
      <w:r>
        <w:rPr>
          <w:rFonts w:hint="eastAsia"/>
          <w:sz w:val="24"/>
        </w:rPr>
        <w:t>2.6制度管理</w:t>
      </w:r>
    </w:p>
    <w:p w14:paraId="297B40C1">
      <w:pPr>
        <w:adjustRightInd w:val="0"/>
        <w:snapToGrid w:val="0"/>
        <w:spacing w:line="560" w:lineRule="exact"/>
        <w:rPr>
          <w:sz w:val="24"/>
        </w:rPr>
      </w:pPr>
      <w:r>
        <w:rPr>
          <w:rFonts w:hint="eastAsia"/>
          <w:sz w:val="24"/>
        </w:rPr>
        <w:t>2.6.1制定工作制度，主要包括：人员录用制度、档案管理制度、物业服务管理制度、公用设施设备相关管理制度等。</w:t>
      </w:r>
    </w:p>
    <w:p w14:paraId="786FF218">
      <w:pPr>
        <w:adjustRightInd w:val="0"/>
        <w:snapToGrid w:val="0"/>
        <w:spacing w:line="560" w:lineRule="exact"/>
        <w:rPr>
          <w:sz w:val="24"/>
        </w:rPr>
      </w:pPr>
      <w:r>
        <w:rPr>
          <w:rFonts w:hint="eastAsia"/>
          <w:sz w:val="24"/>
        </w:rPr>
        <w:t>2.6.2制定项目实施方案，主要包括：交接方案、人员培训方案、人员稳定性方案、保密方案等。</w:t>
      </w:r>
    </w:p>
    <w:p w14:paraId="79A78C95">
      <w:pPr>
        <w:adjustRightInd w:val="0"/>
        <w:snapToGrid w:val="0"/>
        <w:spacing w:line="560" w:lineRule="exact"/>
        <w:rPr>
          <w:sz w:val="24"/>
        </w:rPr>
      </w:pPr>
      <w:r>
        <w:rPr>
          <w:rFonts w:hint="eastAsia"/>
          <w:sz w:val="24"/>
        </w:rPr>
        <w:t>2.6.3制定物业服务方案，主要包括：房屋维护服务方案、公用设施设备维护服务方案、绿化服务方案、保洁服务方案。</w:t>
      </w:r>
    </w:p>
    <w:p w14:paraId="2BC938BA">
      <w:pPr>
        <w:numPr>
          <w:ilvl w:val="255"/>
          <w:numId w:val="0"/>
        </w:numPr>
        <w:tabs>
          <w:tab w:val="left" w:pos="315"/>
          <w:tab w:val="left" w:pos="360"/>
        </w:tabs>
        <w:snapToGrid w:val="0"/>
        <w:spacing w:line="520" w:lineRule="exact"/>
        <w:rPr>
          <w:rFonts w:hint="eastAsia" w:ascii="宋体" w:hAnsi="宋体"/>
          <w:b/>
          <w:szCs w:val="21"/>
        </w:rPr>
      </w:pPr>
    </w:p>
    <w:p w14:paraId="6191F024">
      <w:pPr>
        <w:numPr>
          <w:ilvl w:val="255"/>
          <w:numId w:val="0"/>
        </w:numPr>
        <w:spacing w:line="360" w:lineRule="auto"/>
        <w:ind w:left="480"/>
        <w:contextualSpacing/>
        <w:rPr>
          <w:rFonts w:hint="eastAsia" w:ascii="宋体" w:hAnsi="宋体" w:cs="仿宋"/>
          <w:szCs w:val="21"/>
        </w:rPr>
      </w:pPr>
    </w:p>
    <w:p w14:paraId="36B6743D">
      <w:pPr>
        <w:numPr>
          <w:ilvl w:val="255"/>
          <w:numId w:val="0"/>
        </w:numPr>
        <w:tabs>
          <w:tab w:val="left" w:pos="315"/>
          <w:tab w:val="left" w:pos="360"/>
        </w:tabs>
        <w:snapToGrid w:val="0"/>
        <w:spacing w:line="520" w:lineRule="exact"/>
        <w:rPr>
          <w:rFonts w:hint="eastAsia" w:ascii="宋体" w:hAnsi="宋体"/>
          <w:b/>
          <w:szCs w:val="21"/>
        </w:rPr>
      </w:pPr>
      <w:r>
        <w:rPr>
          <w:rFonts w:hint="eastAsia" w:ascii="宋体" w:hAnsi="宋体"/>
          <w:b/>
          <w:szCs w:val="21"/>
        </w:rPr>
        <w:t>3.工种配置、服务内容及范围</w:t>
      </w:r>
    </w:p>
    <w:p w14:paraId="109615DD">
      <w:pPr>
        <w:tabs>
          <w:tab w:val="left" w:pos="315"/>
          <w:tab w:val="left" w:pos="360"/>
        </w:tabs>
        <w:snapToGrid w:val="0"/>
        <w:spacing w:line="520" w:lineRule="exact"/>
        <w:rPr>
          <w:rFonts w:hint="eastAsia" w:ascii="宋体" w:hAnsi="宋体"/>
          <w:b/>
          <w:szCs w:val="21"/>
        </w:rPr>
      </w:pPr>
      <w:r>
        <w:rPr>
          <w:rFonts w:hint="eastAsia" w:ascii="宋体" w:hAnsi="宋体"/>
          <w:b/>
          <w:szCs w:val="21"/>
        </w:rPr>
        <w:t xml:space="preserve">    </w:t>
      </w:r>
    </w:p>
    <w:p w14:paraId="68D1809F">
      <w:pPr>
        <w:tabs>
          <w:tab w:val="left" w:pos="315"/>
          <w:tab w:val="left" w:pos="360"/>
        </w:tabs>
        <w:snapToGrid w:val="0"/>
        <w:spacing w:line="520" w:lineRule="exact"/>
        <w:rPr>
          <w:rFonts w:hint="eastAsia" w:ascii="宋体" w:hAnsi="宋体"/>
          <w:bCs/>
          <w:szCs w:val="21"/>
        </w:rPr>
      </w:pPr>
      <w:r>
        <w:rPr>
          <w:rFonts w:hint="eastAsia" w:ascii="宋体" w:hAnsi="宋体"/>
          <w:b/>
          <w:szCs w:val="21"/>
        </w:rPr>
        <w:t xml:space="preserve">    </w:t>
      </w:r>
      <w:r>
        <w:rPr>
          <w:rFonts w:hint="eastAsia" w:ascii="宋体" w:hAnsi="宋体"/>
          <w:bCs/>
          <w:szCs w:val="21"/>
        </w:rPr>
        <w:t>列入本次综合物业管理的范围为：库房管理、机电综合维修、弱电维修、土建综合维修、保洁服务、固定值守岗位、应急检修、抢险等以及采购人交办的其他工作。</w:t>
      </w:r>
    </w:p>
    <w:p w14:paraId="48403C96">
      <w:pPr>
        <w:pStyle w:val="5"/>
        <w:rPr>
          <w:rFonts w:hint="eastAsia" w:hAnsi="宋体" w:cs="仿宋"/>
          <w:szCs w:val="21"/>
        </w:rPr>
      </w:pPr>
      <w:r>
        <w:rPr>
          <w:rFonts w:hint="eastAsia" w:hAnsi="宋体" w:cs="仿宋"/>
          <w:szCs w:val="21"/>
        </w:rPr>
        <w:t>（一</w:t>
      </w:r>
      <w:r>
        <w:rPr>
          <w:rFonts w:hAnsi="宋体" w:cs="仿宋"/>
          <w:szCs w:val="21"/>
        </w:rPr>
        <w:t>）</w:t>
      </w:r>
      <w:r>
        <w:rPr>
          <w:rFonts w:hint="eastAsia" w:hAnsi="宋体" w:cs="仿宋"/>
          <w:szCs w:val="21"/>
        </w:rPr>
        <w:t>工种配置（包括但不仅限于以下内容）</w:t>
      </w:r>
    </w:p>
    <w:tbl>
      <w:tblPr>
        <w:tblStyle w:val="42"/>
        <w:tblW w:w="8220" w:type="dxa"/>
        <w:tblInd w:w="108" w:type="dxa"/>
        <w:tblLayout w:type="fixed"/>
        <w:tblCellMar>
          <w:top w:w="0" w:type="dxa"/>
          <w:left w:w="108" w:type="dxa"/>
          <w:bottom w:w="0" w:type="dxa"/>
          <w:right w:w="108" w:type="dxa"/>
        </w:tblCellMar>
      </w:tblPr>
      <w:tblGrid>
        <w:gridCol w:w="1080"/>
        <w:gridCol w:w="2440"/>
        <w:gridCol w:w="2800"/>
        <w:gridCol w:w="1900"/>
      </w:tblGrid>
      <w:tr w14:paraId="0AD389DE">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vAlign w:val="center"/>
          </w:tcPr>
          <w:p w14:paraId="636124C0">
            <w:pPr>
              <w:widowControl/>
              <w:spacing w:line="240" w:lineRule="auto"/>
              <w:rPr>
                <w:rFonts w:hint="eastAsia" w:ascii="宋体" w:hAnsi="宋体" w:cs="宋体"/>
                <w:b/>
                <w:bCs/>
                <w:color w:val="000000"/>
                <w:sz w:val="19"/>
                <w:szCs w:val="19"/>
              </w:rPr>
            </w:pPr>
            <w:r>
              <w:rPr>
                <w:rFonts w:hint="eastAsia" w:ascii="宋体" w:hAnsi="宋体" w:cs="宋体"/>
                <w:b/>
                <w:bCs/>
                <w:color w:val="000000"/>
                <w:sz w:val="19"/>
                <w:szCs w:val="19"/>
              </w:rPr>
              <w:t>序号</w:t>
            </w:r>
          </w:p>
        </w:tc>
        <w:tc>
          <w:tcPr>
            <w:tcW w:w="2440" w:type="dxa"/>
            <w:tcBorders>
              <w:top w:val="single" w:color="auto" w:sz="4" w:space="0"/>
              <w:left w:val="nil"/>
              <w:bottom w:val="single" w:color="auto" w:sz="4" w:space="0"/>
              <w:right w:val="single" w:color="auto" w:sz="4" w:space="0"/>
            </w:tcBorders>
            <w:vAlign w:val="center"/>
          </w:tcPr>
          <w:p w14:paraId="20CBC6EC">
            <w:pPr>
              <w:widowControl/>
              <w:spacing w:line="240" w:lineRule="auto"/>
              <w:jc w:val="center"/>
              <w:rPr>
                <w:rFonts w:hint="eastAsia" w:ascii="宋体" w:hAnsi="宋体" w:cs="宋体"/>
                <w:b/>
                <w:bCs/>
                <w:color w:val="000000"/>
                <w:sz w:val="19"/>
                <w:szCs w:val="19"/>
              </w:rPr>
            </w:pPr>
            <w:r>
              <w:rPr>
                <w:rFonts w:hint="eastAsia" w:ascii="宋体" w:hAnsi="宋体" w:cs="宋体"/>
                <w:b/>
                <w:bCs/>
                <w:color w:val="000000"/>
                <w:sz w:val="19"/>
                <w:szCs w:val="19"/>
              </w:rPr>
              <w:t>岗位</w:t>
            </w:r>
          </w:p>
        </w:tc>
        <w:tc>
          <w:tcPr>
            <w:tcW w:w="2800" w:type="dxa"/>
            <w:tcBorders>
              <w:top w:val="single" w:color="auto" w:sz="4" w:space="0"/>
              <w:left w:val="nil"/>
              <w:bottom w:val="single" w:color="auto" w:sz="4" w:space="0"/>
              <w:right w:val="single" w:color="auto" w:sz="4" w:space="0"/>
            </w:tcBorders>
            <w:vAlign w:val="center"/>
          </w:tcPr>
          <w:p w14:paraId="449B1829">
            <w:pPr>
              <w:widowControl/>
              <w:spacing w:line="240" w:lineRule="auto"/>
              <w:jc w:val="center"/>
              <w:rPr>
                <w:rFonts w:hint="eastAsia" w:ascii="宋体" w:hAnsi="宋体" w:cs="宋体"/>
                <w:b/>
                <w:bCs/>
                <w:color w:val="000000"/>
                <w:sz w:val="19"/>
                <w:szCs w:val="19"/>
              </w:rPr>
            </w:pPr>
            <w:r>
              <w:rPr>
                <w:rFonts w:hint="eastAsia" w:ascii="宋体" w:hAnsi="宋体" w:cs="宋体"/>
                <w:b/>
                <w:bCs/>
                <w:color w:val="000000"/>
                <w:sz w:val="19"/>
                <w:szCs w:val="19"/>
              </w:rPr>
              <w:t>工种</w:t>
            </w:r>
          </w:p>
        </w:tc>
        <w:tc>
          <w:tcPr>
            <w:tcW w:w="1900" w:type="dxa"/>
            <w:tcBorders>
              <w:top w:val="single" w:color="auto" w:sz="4" w:space="0"/>
              <w:left w:val="nil"/>
              <w:bottom w:val="single" w:color="auto" w:sz="4" w:space="0"/>
              <w:right w:val="single" w:color="auto" w:sz="4" w:space="0"/>
            </w:tcBorders>
            <w:vAlign w:val="center"/>
          </w:tcPr>
          <w:p w14:paraId="0CFAC13A">
            <w:pPr>
              <w:widowControl/>
              <w:spacing w:line="240" w:lineRule="auto"/>
              <w:jc w:val="center"/>
              <w:rPr>
                <w:rFonts w:hint="eastAsia" w:ascii="宋体" w:hAnsi="宋体" w:cs="宋体"/>
                <w:b/>
                <w:bCs/>
                <w:color w:val="000000"/>
                <w:sz w:val="19"/>
                <w:szCs w:val="19"/>
              </w:rPr>
            </w:pPr>
            <w:r>
              <w:rPr>
                <w:rFonts w:hint="eastAsia" w:ascii="宋体" w:hAnsi="宋体" w:cs="宋体"/>
                <w:b/>
                <w:bCs/>
                <w:color w:val="000000"/>
                <w:sz w:val="19"/>
                <w:szCs w:val="19"/>
              </w:rPr>
              <w:t>班次</w:t>
            </w:r>
          </w:p>
        </w:tc>
      </w:tr>
      <w:tr w14:paraId="33CCB63B">
        <w:tblPrEx>
          <w:tblCellMar>
            <w:top w:w="0" w:type="dxa"/>
            <w:left w:w="108" w:type="dxa"/>
            <w:bottom w:w="0" w:type="dxa"/>
            <w:right w:w="108" w:type="dxa"/>
          </w:tblCellMar>
        </w:tblPrEx>
        <w:trPr>
          <w:trHeight w:val="486" w:hRule="atLeast"/>
        </w:trPr>
        <w:tc>
          <w:tcPr>
            <w:tcW w:w="1080" w:type="dxa"/>
            <w:tcBorders>
              <w:top w:val="nil"/>
              <w:left w:val="single" w:color="auto" w:sz="4" w:space="0"/>
              <w:bottom w:val="single" w:color="auto" w:sz="4" w:space="0"/>
              <w:right w:val="single" w:color="auto" w:sz="4" w:space="0"/>
            </w:tcBorders>
            <w:vAlign w:val="center"/>
          </w:tcPr>
          <w:p w14:paraId="705CBB2C">
            <w:pPr>
              <w:widowControl/>
              <w:spacing w:line="240" w:lineRule="auto"/>
              <w:jc w:val="center"/>
              <w:rPr>
                <w:rFonts w:hint="eastAsia" w:ascii="宋体" w:hAnsi="宋体" w:cs="宋体"/>
                <w:color w:val="000000"/>
                <w:szCs w:val="21"/>
              </w:rPr>
            </w:pPr>
            <w:r>
              <w:rPr>
                <w:rFonts w:hint="eastAsia" w:ascii="宋体" w:hAnsi="宋体" w:cs="宋体"/>
                <w:color w:val="000000"/>
                <w:szCs w:val="21"/>
              </w:rPr>
              <w:t>1</w:t>
            </w:r>
          </w:p>
        </w:tc>
        <w:tc>
          <w:tcPr>
            <w:tcW w:w="2440" w:type="dxa"/>
            <w:tcBorders>
              <w:top w:val="nil"/>
              <w:left w:val="nil"/>
              <w:bottom w:val="single" w:color="auto" w:sz="4" w:space="0"/>
              <w:right w:val="single" w:color="auto" w:sz="4" w:space="0"/>
            </w:tcBorders>
            <w:vAlign w:val="center"/>
          </w:tcPr>
          <w:p w14:paraId="308589A9">
            <w:pPr>
              <w:widowControl/>
              <w:spacing w:line="240" w:lineRule="auto"/>
              <w:jc w:val="center"/>
              <w:rPr>
                <w:rFonts w:hint="eastAsia" w:ascii="宋体" w:hAnsi="宋体" w:cs="宋体"/>
                <w:color w:val="000000"/>
                <w:szCs w:val="21"/>
              </w:rPr>
            </w:pPr>
            <w:r>
              <w:rPr>
                <w:rFonts w:hint="eastAsia" w:ascii="宋体" w:hAnsi="宋体" w:cs="宋体"/>
                <w:color w:val="000000"/>
                <w:szCs w:val="21"/>
              </w:rPr>
              <w:t>项目经理</w:t>
            </w:r>
          </w:p>
        </w:tc>
        <w:tc>
          <w:tcPr>
            <w:tcW w:w="2800" w:type="dxa"/>
            <w:tcBorders>
              <w:top w:val="nil"/>
              <w:left w:val="single" w:color="auto" w:sz="4" w:space="0"/>
              <w:bottom w:val="single" w:color="auto" w:sz="4" w:space="0"/>
              <w:right w:val="single" w:color="auto" w:sz="4" w:space="0"/>
            </w:tcBorders>
            <w:vAlign w:val="center"/>
          </w:tcPr>
          <w:p w14:paraId="0DFEE9D8">
            <w:pPr>
              <w:widowControl/>
              <w:spacing w:line="240" w:lineRule="auto"/>
              <w:jc w:val="center"/>
              <w:rPr>
                <w:rFonts w:hint="eastAsia" w:ascii="宋体" w:hAnsi="宋体" w:cs="宋体"/>
                <w:color w:val="000000"/>
                <w:szCs w:val="21"/>
              </w:rPr>
            </w:pPr>
            <w:r>
              <w:rPr>
                <w:rFonts w:hint="eastAsia" w:ascii="宋体" w:hAnsi="宋体" w:cs="宋体"/>
                <w:color w:val="000000"/>
                <w:szCs w:val="21"/>
              </w:rPr>
              <w:t>项目负责人</w:t>
            </w:r>
          </w:p>
        </w:tc>
        <w:tc>
          <w:tcPr>
            <w:tcW w:w="1900" w:type="dxa"/>
            <w:tcBorders>
              <w:top w:val="nil"/>
              <w:left w:val="single" w:color="auto" w:sz="4" w:space="0"/>
              <w:bottom w:val="single" w:color="auto" w:sz="4" w:space="0"/>
              <w:right w:val="single" w:color="auto" w:sz="4" w:space="0"/>
            </w:tcBorders>
            <w:vAlign w:val="center"/>
          </w:tcPr>
          <w:p w14:paraId="075DC7F5">
            <w:pPr>
              <w:widowControl/>
              <w:spacing w:line="240" w:lineRule="auto"/>
              <w:jc w:val="center"/>
              <w:rPr>
                <w:rFonts w:hint="eastAsia" w:ascii="宋体" w:hAnsi="宋体" w:cs="宋体"/>
                <w:color w:val="000000"/>
                <w:szCs w:val="21"/>
              </w:rPr>
            </w:pPr>
            <w:r>
              <w:rPr>
                <w:rFonts w:hint="eastAsia" w:ascii="宋体" w:hAnsi="宋体" w:cs="宋体"/>
                <w:color w:val="000000"/>
                <w:szCs w:val="21"/>
              </w:rPr>
              <w:t>正常班</w:t>
            </w:r>
          </w:p>
        </w:tc>
      </w:tr>
      <w:tr w14:paraId="0FBEE8F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14:paraId="4F77C010">
            <w:pPr>
              <w:widowControl/>
              <w:spacing w:line="240" w:lineRule="auto"/>
              <w:jc w:val="center"/>
              <w:rPr>
                <w:rFonts w:hint="eastAsia" w:ascii="宋体" w:hAnsi="宋体" w:cs="宋体"/>
                <w:color w:val="000000"/>
                <w:szCs w:val="21"/>
              </w:rPr>
            </w:pPr>
            <w:r>
              <w:rPr>
                <w:rFonts w:hint="eastAsia" w:ascii="宋体" w:hAnsi="宋体" w:cs="宋体"/>
                <w:color w:val="000000"/>
                <w:szCs w:val="21"/>
              </w:rPr>
              <w:t>2</w:t>
            </w:r>
          </w:p>
        </w:tc>
        <w:tc>
          <w:tcPr>
            <w:tcW w:w="2440" w:type="dxa"/>
            <w:tcBorders>
              <w:top w:val="nil"/>
              <w:left w:val="nil"/>
              <w:bottom w:val="single" w:color="auto" w:sz="4" w:space="0"/>
              <w:right w:val="single" w:color="auto" w:sz="4" w:space="0"/>
            </w:tcBorders>
            <w:vAlign w:val="center"/>
          </w:tcPr>
          <w:p w14:paraId="400FFC5B">
            <w:pPr>
              <w:widowControl/>
              <w:spacing w:line="240" w:lineRule="auto"/>
              <w:jc w:val="center"/>
              <w:rPr>
                <w:rFonts w:hint="eastAsia" w:ascii="宋体" w:hAnsi="宋体" w:cs="宋体"/>
                <w:color w:val="000000"/>
                <w:szCs w:val="21"/>
              </w:rPr>
            </w:pPr>
            <w:r>
              <w:rPr>
                <w:rFonts w:hint="eastAsia" w:ascii="宋体" w:hAnsi="宋体" w:cs="宋体"/>
                <w:color w:val="000000"/>
                <w:szCs w:val="21"/>
              </w:rPr>
              <w:t>综合维修人员</w:t>
            </w:r>
          </w:p>
        </w:tc>
        <w:tc>
          <w:tcPr>
            <w:tcW w:w="2800" w:type="dxa"/>
            <w:tcBorders>
              <w:top w:val="nil"/>
              <w:left w:val="nil"/>
              <w:bottom w:val="single" w:color="auto" w:sz="4" w:space="0"/>
              <w:right w:val="single" w:color="auto" w:sz="4" w:space="0"/>
            </w:tcBorders>
            <w:vAlign w:val="center"/>
          </w:tcPr>
          <w:p w14:paraId="40510108">
            <w:pPr>
              <w:widowControl/>
              <w:spacing w:line="240" w:lineRule="auto"/>
              <w:jc w:val="center"/>
              <w:rPr>
                <w:rFonts w:hint="eastAsia" w:ascii="宋体" w:hAnsi="宋体" w:cs="宋体"/>
                <w:color w:val="000000"/>
                <w:szCs w:val="21"/>
              </w:rPr>
            </w:pPr>
            <w:r>
              <w:rPr>
                <w:rFonts w:hint="eastAsia" w:ascii="宋体" w:hAnsi="宋体" w:cs="宋体"/>
                <w:color w:val="000000"/>
                <w:szCs w:val="21"/>
              </w:rPr>
              <w:t>强电维修工、弱电维修工、综合维修工、空水技工、泥瓦工、</w:t>
            </w:r>
          </w:p>
        </w:tc>
        <w:tc>
          <w:tcPr>
            <w:tcW w:w="1900" w:type="dxa"/>
            <w:tcBorders>
              <w:top w:val="nil"/>
              <w:left w:val="nil"/>
              <w:bottom w:val="single" w:color="auto" w:sz="4" w:space="0"/>
              <w:right w:val="single" w:color="auto" w:sz="4" w:space="0"/>
            </w:tcBorders>
            <w:vAlign w:val="center"/>
          </w:tcPr>
          <w:p w14:paraId="7EA15ECD">
            <w:pPr>
              <w:widowControl/>
              <w:spacing w:line="240" w:lineRule="auto"/>
              <w:jc w:val="center"/>
              <w:rPr>
                <w:rFonts w:hint="eastAsia" w:ascii="宋体" w:hAnsi="宋体" w:cs="宋体"/>
                <w:color w:val="000000"/>
                <w:szCs w:val="21"/>
              </w:rPr>
            </w:pPr>
            <w:r>
              <w:rPr>
                <w:rFonts w:hint="eastAsia" w:ascii="宋体" w:hAnsi="宋体" w:cs="宋体"/>
                <w:color w:val="000000"/>
                <w:szCs w:val="21"/>
              </w:rPr>
              <w:t>24小时</w:t>
            </w:r>
          </w:p>
        </w:tc>
      </w:tr>
      <w:tr w14:paraId="21E6F559">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14:paraId="29FB32CE">
            <w:pPr>
              <w:widowControl/>
              <w:spacing w:line="240" w:lineRule="auto"/>
              <w:jc w:val="center"/>
              <w:rPr>
                <w:rFonts w:hint="eastAsia" w:ascii="宋体" w:hAnsi="宋体" w:cs="宋体"/>
                <w:color w:val="000000"/>
                <w:szCs w:val="21"/>
              </w:rPr>
            </w:pPr>
            <w:r>
              <w:rPr>
                <w:rFonts w:hint="eastAsia" w:ascii="宋体" w:hAnsi="宋体" w:cs="宋体"/>
                <w:color w:val="000000"/>
                <w:szCs w:val="21"/>
              </w:rPr>
              <w:t>3</w:t>
            </w:r>
          </w:p>
        </w:tc>
        <w:tc>
          <w:tcPr>
            <w:tcW w:w="2440" w:type="dxa"/>
            <w:tcBorders>
              <w:top w:val="nil"/>
              <w:left w:val="nil"/>
              <w:bottom w:val="single" w:color="auto" w:sz="4" w:space="0"/>
              <w:right w:val="single" w:color="auto" w:sz="4" w:space="0"/>
            </w:tcBorders>
            <w:vAlign w:val="center"/>
          </w:tcPr>
          <w:p w14:paraId="24D8C6BB">
            <w:pPr>
              <w:widowControl/>
              <w:spacing w:line="240" w:lineRule="auto"/>
              <w:jc w:val="center"/>
              <w:rPr>
                <w:rFonts w:hint="eastAsia" w:ascii="宋体" w:hAnsi="宋体" w:cs="宋体"/>
                <w:color w:val="000000"/>
                <w:szCs w:val="21"/>
              </w:rPr>
            </w:pPr>
            <w:r>
              <w:rPr>
                <w:rFonts w:hint="eastAsia" w:ascii="宋体" w:hAnsi="宋体" w:cs="宋体"/>
                <w:color w:val="000000"/>
                <w:szCs w:val="21"/>
              </w:rPr>
              <w:t>高压配电室值班岗</w:t>
            </w:r>
          </w:p>
        </w:tc>
        <w:tc>
          <w:tcPr>
            <w:tcW w:w="2800" w:type="dxa"/>
            <w:tcBorders>
              <w:top w:val="nil"/>
              <w:left w:val="nil"/>
              <w:bottom w:val="single" w:color="auto" w:sz="4" w:space="0"/>
              <w:right w:val="single" w:color="auto" w:sz="4" w:space="0"/>
            </w:tcBorders>
            <w:vAlign w:val="center"/>
          </w:tcPr>
          <w:p w14:paraId="2B4CA8C2">
            <w:pPr>
              <w:widowControl/>
              <w:spacing w:line="240" w:lineRule="auto"/>
              <w:jc w:val="center"/>
              <w:rPr>
                <w:rFonts w:hint="eastAsia" w:ascii="宋体" w:hAnsi="宋体" w:cs="宋体"/>
                <w:color w:val="000000"/>
                <w:szCs w:val="21"/>
              </w:rPr>
            </w:pPr>
            <w:r>
              <w:rPr>
                <w:rFonts w:hint="eastAsia" w:ascii="宋体" w:hAnsi="宋体" w:cs="宋体"/>
                <w:color w:val="000000"/>
                <w:szCs w:val="21"/>
              </w:rPr>
              <w:t>值班电工、高压检修电工、继电保护工、</w:t>
            </w:r>
          </w:p>
        </w:tc>
        <w:tc>
          <w:tcPr>
            <w:tcW w:w="1900" w:type="dxa"/>
            <w:tcBorders>
              <w:top w:val="nil"/>
              <w:left w:val="nil"/>
              <w:bottom w:val="single" w:color="auto" w:sz="4" w:space="0"/>
              <w:right w:val="single" w:color="auto" w:sz="4" w:space="0"/>
            </w:tcBorders>
            <w:vAlign w:val="center"/>
          </w:tcPr>
          <w:p w14:paraId="36F2F67D">
            <w:pPr>
              <w:widowControl/>
              <w:spacing w:line="240" w:lineRule="auto"/>
              <w:jc w:val="center"/>
              <w:rPr>
                <w:rFonts w:hint="eastAsia" w:ascii="宋体" w:hAnsi="宋体" w:cs="宋体"/>
                <w:color w:val="000000"/>
                <w:szCs w:val="21"/>
              </w:rPr>
            </w:pPr>
            <w:r>
              <w:rPr>
                <w:rFonts w:hint="eastAsia" w:ascii="宋体" w:hAnsi="宋体" w:cs="宋体"/>
                <w:color w:val="000000"/>
                <w:szCs w:val="21"/>
              </w:rPr>
              <w:t>24小时</w:t>
            </w:r>
          </w:p>
        </w:tc>
      </w:tr>
      <w:tr w14:paraId="5B7D78A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14:paraId="345F2C4D">
            <w:pPr>
              <w:widowControl/>
              <w:spacing w:line="240" w:lineRule="auto"/>
              <w:jc w:val="center"/>
              <w:rPr>
                <w:rFonts w:hint="eastAsia" w:ascii="宋体" w:hAnsi="宋体" w:cs="宋体"/>
                <w:color w:val="000000"/>
                <w:szCs w:val="21"/>
              </w:rPr>
            </w:pPr>
            <w:r>
              <w:rPr>
                <w:rFonts w:hint="eastAsia" w:ascii="宋体" w:hAnsi="宋体" w:cs="宋体"/>
                <w:color w:val="000000"/>
                <w:szCs w:val="21"/>
              </w:rPr>
              <w:t>4</w:t>
            </w:r>
          </w:p>
        </w:tc>
        <w:tc>
          <w:tcPr>
            <w:tcW w:w="2440" w:type="dxa"/>
            <w:tcBorders>
              <w:top w:val="nil"/>
              <w:left w:val="nil"/>
              <w:bottom w:val="single" w:color="auto" w:sz="4" w:space="0"/>
              <w:right w:val="single" w:color="auto" w:sz="4" w:space="0"/>
            </w:tcBorders>
            <w:vAlign w:val="center"/>
          </w:tcPr>
          <w:p w14:paraId="42335F10">
            <w:pPr>
              <w:widowControl/>
              <w:spacing w:line="240" w:lineRule="auto"/>
              <w:jc w:val="center"/>
              <w:rPr>
                <w:rFonts w:hint="eastAsia" w:ascii="宋体" w:hAnsi="宋体" w:cs="宋体"/>
                <w:color w:val="000000"/>
                <w:kern w:val="0"/>
                <w:szCs w:val="21"/>
              </w:rPr>
            </w:pPr>
            <w:r>
              <w:rPr>
                <w:rFonts w:hint="eastAsia" w:ascii="宋体" w:hAnsi="宋体" w:cs="宋体"/>
                <w:color w:val="000000"/>
                <w:szCs w:val="21"/>
              </w:rPr>
              <w:t>保洁</w:t>
            </w:r>
          </w:p>
        </w:tc>
        <w:tc>
          <w:tcPr>
            <w:tcW w:w="2800" w:type="dxa"/>
            <w:tcBorders>
              <w:top w:val="nil"/>
              <w:left w:val="nil"/>
              <w:bottom w:val="single" w:color="auto" w:sz="4" w:space="0"/>
              <w:right w:val="single" w:color="auto" w:sz="4" w:space="0"/>
            </w:tcBorders>
            <w:vAlign w:val="center"/>
          </w:tcPr>
          <w:p w14:paraId="47D2C187">
            <w:pPr>
              <w:widowControl/>
              <w:spacing w:line="240" w:lineRule="auto"/>
              <w:jc w:val="center"/>
              <w:rPr>
                <w:rFonts w:hint="eastAsia" w:ascii="宋体" w:hAnsi="宋体" w:cs="宋体"/>
                <w:color w:val="000000"/>
                <w:kern w:val="0"/>
                <w:szCs w:val="21"/>
              </w:rPr>
            </w:pPr>
            <w:r>
              <w:rPr>
                <w:rFonts w:hint="eastAsia" w:ascii="宋体" w:hAnsi="宋体" w:cs="宋体"/>
                <w:color w:val="000000"/>
                <w:szCs w:val="21"/>
              </w:rPr>
              <w:t>保洁</w:t>
            </w:r>
          </w:p>
        </w:tc>
        <w:tc>
          <w:tcPr>
            <w:tcW w:w="1900" w:type="dxa"/>
            <w:tcBorders>
              <w:top w:val="nil"/>
              <w:left w:val="nil"/>
              <w:bottom w:val="single" w:color="auto" w:sz="4" w:space="0"/>
              <w:right w:val="single" w:color="auto" w:sz="4" w:space="0"/>
            </w:tcBorders>
            <w:vAlign w:val="center"/>
          </w:tcPr>
          <w:p w14:paraId="7B573447">
            <w:pPr>
              <w:widowControl/>
              <w:spacing w:line="240" w:lineRule="auto"/>
              <w:jc w:val="center"/>
              <w:rPr>
                <w:rFonts w:hint="eastAsia" w:ascii="宋体" w:hAnsi="宋体" w:cs="宋体"/>
                <w:color w:val="000000"/>
                <w:kern w:val="0"/>
                <w:szCs w:val="21"/>
              </w:rPr>
            </w:pPr>
            <w:r>
              <w:rPr>
                <w:rFonts w:hint="eastAsia" w:ascii="宋体" w:hAnsi="宋体" w:cs="宋体"/>
                <w:color w:val="000000"/>
                <w:szCs w:val="21"/>
              </w:rPr>
              <w:t>正常班</w:t>
            </w:r>
          </w:p>
        </w:tc>
      </w:tr>
      <w:tr w14:paraId="5EB1EEB9">
        <w:tblPrEx>
          <w:tblCellMar>
            <w:top w:w="0" w:type="dxa"/>
            <w:left w:w="108" w:type="dxa"/>
            <w:bottom w:w="0" w:type="dxa"/>
            <w:right w:w="108" w:type="dxa"/>
          </w:tblCellMar>
        </w:tblPrEx>
        <w:trPr>
          <w:trHeight w:val="309" w:hRule="atLeast"/>
        </w:trPr>
        <w:tc>
          <w:tcPr>
            <w:tcW w:w="1080" w:type="dxa"/>
            <w:tcBorders>
              <w:top w:val="nil"/>
              <w:left w:val="single" w:color="auto" w:sz="4" w:space="0"/>
              <w:bottom w:val="single" w:color="auto" w:sz="4" w:space="0"/>
              <w:right w:val="single" w:color="auto" w:sz="4" w:space="0"/>
            </w:tcBorders>
            <w:vAlign w:val="center"/>
          </w:tcPr>
          <w:p w14:paraId="7789CDF8">
            <w:pPr>
              <w:widowControl/>
              <w:spacing w:line="240" w:lineRule="auto"/>
              <w:jc w:val="center"/>
              <w:rPr>
                <w:rFonts w:hint="eastAsia" w:ascii="宋体" w:hAnsi="宋体" w:cs="宋体"/>
                <w:color w:val="000000"/>
                <w:szCs w:val="21"/>
              </w:rPr>
            </w:pPr>
          </w:p>
        </w:tc>
        <w:tc>
          <w:tcPr>
            <w:tcW w:w="2440" w:type="dxa"/>
            <w:tcBorders>
              <w:top w:val="nil"/>
              <w:left w:val="nil"/>
              <w:bottom w:val="single" w:color="auto" w:sz="4" w:space="0"/>
              <w:right w:val="single" w:color="auto" w:sz="4" w:space="0"/>
            </w:tcBorders>
            <w:vAlign w:val="center"/>
          </w:tcPr>
          <w:p w14:paraId="7CAF8B3E">
            <w:pPr>
              <w:widowControl/>
              <w:spacing w:line="240" w:lineRule="auto"/>
              <w:jc w:val="center"/>
              <w:rPr>
                <w:rFonts w:hint="eastAsia" w:ascii="宋体" w:hAnsi="宋体" w:cs="宋体"/>
                <w:color w:val="000000"/>
                <w:szCs w:val="21"/>
              </w:rPr>
            </w:pPr>
          </w:p>
        </w:tc>
        <w:tc>
          <w:tcPr>
            <w:tcW w:w="2800" w:type="dxa"/>
            <w:tcBorders>
              <w:top w:val="nil"/>
              <w:left w:val="nil"/>
              <w:bottom w:val="single" w:color="auto" w:sz="4" w:space="0"/>
              <w:right w:val="single" w:color="auto" w:sz="4" w:space="0"/>
            </w:tcBorders>
            <w:vAlign w:val="center"/>
          </w:tcPr>
          <w:p w14:paraId="757DB5F1">
            <w:pPr>
              <w:widowControl/>
              <w:spacing w:line="240" w:lineRule="auto"/>
              <w:jc w:val="center"/>
              <w:rPr>
                <w:rFonts w:hint="eastAsia" w:ascii="宋体" w:hAnsi="宋体" w:cs="宋体"/>
                <w:color w:val="000000"/>
                <w:szCs w:val="21"/>
              </w:rPr>
            </w:pPr>
          </w:p>
        </w:tc>
        <w:tc>
          <w:tcPr>
            <w:tcW w:w="1900" w:type="dxa"/>
            <w:tcBorders>
              <w:top w:val="nil"/>
              <w:left w:val="nil"/>
              <w:bottom w:val="single" w:color="auto" w:sz="4" w:space="0"/>
              <w:right w:val="single" w:color="auto" w:sz="4" w:space="0"/>
            </w:tcBorders>
            <w:vAlign w:val="center"/>
          </w:tcPr>
          <w:p w14:paraId="72B9D875">
            <w:pPr>
              <w:widowControl/>
              <w:spacing w:line="240" w:lineRule="auto"/>
              <w:jc w:val="center"/>
              <w:rPr>
                <w:rFonts w:hint="eastAsia" w:ascii="宋体" w:hAnsi="宋体" w:cs="宋体"/>
                <w:color w:val="000000"/>
                <w:szCs w:val="21"/>
              </w:rPr>
            </w:pPr>
          </w:p>
        </w:tc>
      </w:tr>
    </w:tbl>
    <w:p w14:paraId="6B201089">
      <w:pPr>
        <w:pStyle w:val="5"/>
        <w:ind w:firstLine="0"/>
        <w:rPr>
          <w:rFonts w:hint="eastAsia" w:hAnsi="宋体"/>
          <w:szCs w:val="21"/>
        </w:rPr>
      </w:pPr>
    </w:p>
    <w:p w14:paraId="48275619">
      <w:pPr>
        <w:pStyle w:val="5"/>
        <w:ind w:firstLine="0"/>
        <w:rPr>
          <w:rFonts w:hint="eastAsia" w:hAnsi="宋体"/>
          <w:szCs w:val="21"/>
        </w:rPr>
      </w:pPr>
    </w:p>
    <w:p w14:paraId="281EE083">
      <w:pPr>
        <w:pStyle w:val="5"/>
        <w:ind w:firstLine="0"/>
        <w:rPr>
          <w:rFonts w:hint="eastAsia" w:hAnsi="宋体"/>
          <w:szCs w:val="21"/>
        </w:rPr>
      </w:pPr>
      <w:r>
        <w:rPr>
          <w:rFonts w:hint="eastAsia" w:hAnsi="宋体"/>
          <w:szCs w:val="21"/>
        </w:rPr>
        <w:t>以下岗位人员须具备以下相应资格证书：</w:t>
      </w:r>
    </w:p>
    <w:p w14:paraId="4397DCDA">
      <w:pPr>
        <w:pStyle w:val="5"/>
      </w:pPr>
      <w:r>
        <w:br w:type="page"/>
      </w:r>
    </w:p>
    <w:tbl>
      <w:tblPr>
        <w:tblStyle w:val="42"/>
        <w:tblW w:w="9284" w:type="dxa"/>
        <w:tblInd w:w="0" w:type="dxa"/>
        <w:tblLayout w:type="fixed"/>
        <w:tblCellMar>
          <w:top w:w="0" w:type="dxa"/>
          <w:left w:w="108" w:type="dxa"/>
          <w:bottom w:w="0" w:type="dxa"/>
          <w:right w:w="108" w:type="dxa"/>
        </w:tblCellMar>
      </w:tblPr>
      <w:tblGrid>
        <w:gridCol w:w="1259"/>
        <w:gridCol w:w="2751"/>
        <w:gridCol w:w="2637"/>
        <w:gridCol w:w="2637"/>
      </w:tblGrid>
      <w:tr w14:paraId="6871D910">
        <w:tblPrEx>
          <w:tblCellMar>
            <w:top w:w="0" w:type="dxa"/>
            <w:left w:w="108" w:type="dxa"/>
            <w:bottom w:w="0" w:type="dxa"/>
            <w:right w:w="108" w:type="dxa"/>
          </w:tblCellMar>
        </w:tblPrEx>
        <w:trPr>
          <w:trHeight w:val="285" w:hRule="atLeast"/>
        </w:trPr>
        <w:tc>
          <w:tcPr>
            <w:tcW w:w="1259" w:type="dxa"/>
            <w:tcBorders>
              <w:top w:val="single" w:color="auto" w:sz="4" w:space="0"/>
              <w:left w:val="single" w:color="auto" w:sz="4" w:space="0"/>
              <w:bottom w:val="single" w:color="auto" w:sz="4" w:space="0"/>
              <w:right w:val="single" w:color="auto" w:sz="4" w:space="0"/>
            </w:tcBorders>
            <w:vAlign w:val="center"/>
          </w:tcPr>
          <w:p w14:paraId="34007A2D">
            <w:pPr>
              <w:widowControl/>
              <w:spacing w:line="240" w:lineRule="auto"/>
              <w:rPr>
                <w:rFonts w:hint="eastAsia" w:ascii="宋体" w:hAnsi="宋体" w:cs="宋体"/>
                <w:b/>
                <w:bCs/>
                <w:color w:val="000000"/>
                <w:szCs w:val="21"/>
              </w:rPr>
            </w:pPr>
            <w:r>
              <w:rPr>
                <w:rFonts w:hint="eastAsia" w:ascii="宋体" w:hAnsi="宋体" w:cs="宋体"/>
                <w:b/>
                <w:bCs/>
                <w:color w:val="000000"/>
                <w:szCs w:val="21"/>
              </w:rPr>
              <w:t>岗位及人员</w:t>
            </w:r>
          </w:p>
        </w:tc>
        <w:tc>
          <w:tcPr>
            <w:tcW w:w="2751" w:type="dxa"/>
            <w:tcBorders>
              <w:top w:val="single" w:color="auto" w:sz="4" w:space="0"/>
              <w:left w:val="nil"/>
              <w:bottom w:val="single" w:color="auto" w:sz="4" w:space="0"/>
              <w:right w:val="single" w:color="auto" w:sz="4" w:space="0"/>
            </w:tcBorders>
            <w:vAlign w:val="center"/>
          </w:tcPr>
          <w:p w14:paraId="115BE82B">
            <w:pPr>
              <w:widowControl/>
              <w:spacing w:line="240" w:lineRule="auto"/>
              <w:jc w:val="center"/>
              <w:rPr>
                <w:rFonts w:hint="eastAsia" w:ascii="宋体" w:hAnsi="宋体" w:cs="宋体"/>
                <w:b/>
                <w:bCs/>
                <w:color w:val="000000"/>
                <w:szCs w:val="21"/>
              </w:rPr>
            </w:pPr>
            <w:r>
              <w:rPr>
                <w:rFonts w:hint="eastAsia" w:ascii="宋体" w:hAnsi="宋体" w:cs="宋体"/>
                <w:b/>
                <w:bCs/>
                <w:color w:val="000000"/>
                <w:szCs w:val="21"/>
              </w:rPr>
              <w:t>具体内容</w:t>
            </w:r>
          </w:p>
        </w:tc>
        <w:tc>
          <w:tcPr>
            <w:tcW w:w="2637" w:type="dxa"/>
            <w:tcBorders>
              <w:top w:val="single" w:color="auto" w:sz="4" w:space="0"/>
              <w:left w:val="nil"/>
              <w:bottom w:val="single" w:color="auto" w:sz="4" w:space="0"/>
              <w:right w:val="single" w:color="auto" w:sz="4" w:space="0"/>
            </w:tcBorders>
            <w:vAlign w:val="center"/>
          </w:tcPr>
          <w:p w14:paraId="0DE6689B">
            <w:pPr>
              <w:widowControl/>
              <w:spacing w:line="240" w:lineRule="auto"/>
              <w:jc w:val="center"/>
              <w:rPr>
                <w:rFonts w:hint="eastAsia" w:ascii="宋体" w:hAnsi="宋体" w:cs="宋体"/>
                <w:b/>
                <w:bCs/>
                <w:color w:val="000000"/>
                <w:szCs w:val="21"/>
              </w:rPr>
            </w:pPr>
            <w:r>
              <w:rPr>
                <w:rFonts w:hint="eastAsia" w:ascii="宋体" w:hAnsi="宋体" w:cs="宋体"/>
                <w:b/>
                <w:bCs/>
                <w:color w:val="000000"/>
                <w:szCs w:val="21"/>
              </w:rPr>
              <w:t>具备证书</w:t>
            </w:r>
          </w:p>
        </w:tc>
        <w:tc>
          <w:tcPr>
            <w:tcW w:w="2637" w:type="dxa"/>
            <w:tcBorders>
              <w:top w:val="single" w:color="auto" w:sz="4" w:space="0"/>
              <w:left w:val="nil"/>
              <w:bottom w:val="single" w:color="auto" w:sz="4" w:space="0"/>
              <w:right w:val="single" w:color="auto" w:sz="4" w:space="0"/>
            </w:tcBorders>
            <w:vAlign w:val="center"/>
          </w:tcPr>
          <w:p w14:paraId="5B47B183">
            <w:pPr>
              <w:widowControl/>
              <w:spacing w:line="240" w:lineRule="auto"/>
              <w:jc w:val="center"/>
              <w:rPr>
                <w:rFonts w:hint="eastAsia" w:ascii="宋体" w:hAnsi="宋体" w:cs="宋体"/>
                <w:b/>
                <w:bCs/>
                <w:color w:val="000000"/>
                <w:szCs w:val="21"/>
              </w:rPr>
            </w:pPr>
            <w:r>
              <w:rPr>
                <w:rFonts w:hint="eastAsia" w:ascii="宋体" w:hAnsi="宋体" w:cs="宋体"/>
                <w:b/>
                <w:bCs/>
                <w:color w:val="000000"/>
                <w:szCs w:val="21"/>
              </w:rPr>
              <w:t>其他要求</w:t>
            </w:r>
          </w:p>
        </w:tc>
      </w:tr>
      <w:tr w14:paraId="7D9BBA1C">
        <w:tblPrEx>
          <w:tblCellMar>
            <w:top w:w="0" w:type="dxa"/>
            <w:left w:w="108" w:type="dxa"/>
            <w:bottom w:w="0" w:type="dxa"/>
            <w:right w:w="108" w:type="dxa"/>
          </w:tblCellMar>
        </w:tblPrEx>
        <w:trPr>
          <w:trHeight w:val="285" w:hRule="atLeast"/>
        </w:trPr>
        <w:tc>
          <w:tcPr>
            <w:tcW w:w="1259" w:type="dxa"/>
            <w:tcBorders>
              <w:top w:val="nil"/>
              <w:left w:val="single" w:color="auto" w:sz="4" w:space="0"/>
              <w:bottom w:val="single" w:color="auto" w:sz="4" w:space="0"/>
              <w:right w:val="single" w:color="auto" w:sz="4" w:space="0"/>
            </w:tcBorders>
            <w:vAlign w:val="center"/>
          </w:tcPr>
          <w:p w14:paraId="72A118EB">
            <w:pPr>
              <w:widowControl/>
              <w:spacing w:line="240" w:lineRule="auto"/>
              <w:jc w:val="center"/>
              <w:rPr>
                <w:rFonts w:hint="eastAsia" w:ascii="宋体" w:hAnsi="宋体" w:cs="宋体"/>
                <w:color w:val="000000"/>
                <w:szCs w:val="21"/>
              </w:rPr>
            </w:pPr>
            <w:r>
              <w:rPr>
                <w:rFonts w:hint="eastAsia" w:ascii="宋体" w:hAnsi="宋体" w:cs="宋体"/>
                <w:color w:val="000000"/>
                <w:szCs w:val="21"/>
              </w:rPr>
              <w:t xml:space="preserve">项目经理 </w:t>
            </w:r>
          </w:p>
        </w:tc>
        <w:tc>
          <w:tcPr>
            <w:tcW w:w="2751" w:type="dxa"/>
            <w:tcBorders>
              <w:top w:val="nil"/>
              <w:left w:val="nil"/>
              <w:bottom w:val="single" w:color="auto" w:sz="4" w:space="0"/>
              <w:right w:val="single" w:color="auto" w:sz="4" w:space="0"/>
            </w:tcBorders>
            <w:vAlign w:val="center"/>
          </w:tcPr>
          <w:p w14:paraId="2945F4F8">
            <w:pPr>
              <w:widowControl/>
              <w:spacing w:line="240" w:lineRule="auto"/>
              <w:jc w:val="center"/>
              <w:rPr>
                <w:rFonts w:hint="eastAsia" w:ascii="宋体" w:hAnsi="宋体" w:cs="宋体"/>
                <w:color w:val="000000"/>
                <w:szCs w:val="21"/>
              </w:rPr>
            </w:pPr>
            <w:r>
              <w:rPr>
                <w:rFonts w:hint="eastAsia" w:ascii="宋体" w:hAnsi="宋体" w:cs="宋体"/>
                <w:color w:val="000000"/>
                <w:szCs w:val="21"/>
              </w:rPr>
              <w:t xml:space="preserve">经理兼安全员 </w:t>
            </w:r>
          </w:p>
        </w:tc>
        <w:tc>
          <w:tcPr>
            <w:tcW w:w="2637" w:type="dxa"/>
            <w:tcBorders>
              <w:top w:val="nil"/>
              <w:left w:val="nil"/>
              <w:bottom w:val="single" w:color="auto" w:sz="4" w:space="0"/>
              <w:right w:val="single" w:color="auto" w:sz="4" w:space="0"/>
            </w:tcBorders>
            <w:vAlign w:val="center"/>
          </w:tcPr>
          <w:p w14:paraId="7BD3A2D6">
            <w:pPr>
              <w:widowControl/>
              <w:spacing w:line="240" w:lineRule="auto"/>
              <w:jc w:val="center"/>
              <w:rPr>
                <w:rFonts w:hint="eastAsia" w:ascii="宋体" w:hAnsi="宋体" w:cs="宋体"/>
                <w:color w:val="000000"/>
                <w:szCs w:val="21"/>
              </w:rPr>
            </w:pPr>
            <w:r>
              <w:rPr>
                <w:rFonts w:hint="eastAsia"/>
              </w:rPr>
              <w:t>特种设备安全管理A证</w:t>
            </w:r>
            <w:r>
              <w:rPr>
                <w:rFonts w:hint="eastAsia" w:ascii="宋体" w:hAnsi="宋体" w:cs="宋体"/>
                <w:color w:val="000000"/>
                <w:szCs w:val="21"/>
              </w:rPr>
              <w:t>，</w:t>
            </w:r>
            <w:r>
              <w:t>消防设施操作员证书（中级及以上）</w:t>
            </w:r>
          </w:p>
        </w:tc>
        <w:tc>
          <w:tcPr>
            <w:tcW w:w="2637" w:type="dxa"/>
            <w:tcBorders>
              <w:top w:val="nil"/>
              <w:left w:val="nil"/>
              <w:bottom w:val="single" w:color="auto" w:sz="4" w:space="0"/>
              <w:right w:val="single" w:color="auto" w:sz="4" w:space="0"/>
            </w:tcBorders>
            <w:vAlign w:val="center"/>
          </w:tcPr>
          <w:p w14:paraId="011AD64B">
            <w:pPr>
              <w:widowControl/>
              <w:spacing w:line="240" w:lineRule="auto"/>
              <w:jc w:val="center"/>
            </w:pPr>
            <w:r>
              <w:rPr>
                <w:rFonts w:hint="eastAsia"/>
              </w:rPr>
              <w:t>具有3年及以上类似项目管理经验</w:t>
            </w:r>
          </w:p>
        </w:tc>
      </w:tr>
      <w:tr w14:paraId="2E2A8B48">
        <w:tblPrEx>
          <w:tblCellMar>
            <w:top w:w="0" w:type="dxa"/>
            <w:left w:w="108" w:type="dxa"/>
            <w:bottom w:w="0" w:type="dxa"/>
            <w:right w:w="108" w:type="dxa"/>
          </w:tblCellMar>
        </w:tblPrEx>
        <w:trPr>
          <w:trHeight w:val="285" w:hRule="atLeast"/>
        </w:trPr>
        <w:tc>
          <w:tcPr>
            <w:tcW w:w="1259" w:type="dxa"/>
            <w:tcBorders>
              <w:top w:val="nil"/>
              <w:left w:val="single" w:color="auto" w:sz="4" w:space="0"/>
              <w:bottom w:val="single" w:color="auto" w:sz="4" w:space="0"/>
              <w:right w:val="single" w:color="auto" w:sz="4" w:space="0"/>
            </w:tcBorders>
            <w:vAlign w:val="center"/>
          </w:tcPr>
          <w:p w14:paraId="5A3FAD39">
            <w:pPr>
              <w:widowControl/>
              <w:spacing w:line="240" w:lineRule="auto"/>
              <w:rPr>
                <w:rFonts w:hint="eastAsia" w:ascii="宋体" w:hAnsi="宋体" w:cs="宋体"/>
                <w:color w:val="000000"/>
                <w:szCs w:val="21"/>
              </w:rPr>
            </w:pPr>
            <w:r>
              <w:rPr>
                <w:rFonts w:hint="eastAsia" w:ascii="宋体" w:hAnsi="宋体" w:cs="宋体"/>
                <w:color w:val="000000"/>
                <w:szCs w:val="21"/>
              </w:rPr>
              <w:t>　综合维修人员（强电电工）</w:t>
            </w:r>
          </w:p>
        </w:tc>
        <w:tc>
          <w:tcPr>
            <w:tcW w:w="2751" w:type="dxa"/>
            <w:tcBorders>
              <w:top w:val="nil"/>
              <w:left w:val="nil"/>
              <w:bottom w:val="single" w:color="auto" w:sz="4" w:space="0"/>
              <w:right w:val="single" w:color="auto" w:sz="4" w:space="0"/>
            </w:tcBorders>
            <w:vAlign w:val="center"/>
          </w:tcPr>
          <w:p w14:paraId="57E53C0C">
            <w:pPr>
              <w:widowControl/>
              <w:spacing w:line="240" w:lineRule="auto"/>
              <w:jc w:val="center"/>
              <w:rPr>
                <w:rFonts w:hint="eastAsia" w:ascii="宋体" w:hAnsi="宋体" w:cs="宋体"/>
                <w:color w:val="000000"/>
                <w:szCs w:val="21"/>
              </w:rPr>
            </w:pPr>
            <w:r>
              <w:rPr>
                <w:rFonts w:ascii="宋体" w:hAnsi="宋体" w:cs="宋体"/>
                <w:color w:val="000000"/>
                <w:szCs w:val="21"/>
              </w:rPr>
              <w:t>高压/低压电气系统</w:t>
            </w:r>
          </w:p>
        </w:tc>
        <w:tc>
          <w:tcPr>
            <w:tcW w:w="2637" w:type="dxa"/>
            <w:tcBorders>
              <w:top w:val="nil"/>
              <w:left w:val="nil"/>
              <w:bottom w:val="single" w:color="auto" w:sz="4" w:space="0"/>
              <w:right w:val="single" w:color="auto" w:sz="4" w:space="0"/>
            </w:tcBorders>
            <w:vAlign w:val="center"/>
          </w:tcPr>
          <w:p w14:paraId="103D781F">
            <w:pPr>
              <w:widowControl/>
              <w:spacing w:line="240" w:lineRule="auto"/>
              <w:rPr>
                <w:rFonts w:hint="eastAsia" w:ascii="宋体" w:hAnsi="宋体" w:cs="宋体"/>
                <w:color w:val="000000"/>
                <w:sz w:val="20"/>
                <w:szCs w:val="20"/>
              </w:rPr>
            </w:pPr>
            <w:r>
              <w:rPr>
                <w:rFonts w:ascii="宋体" w:hAnsi="宋体" w:cs="宋体"/>
                <w:color w:val="000000"/>
                <w:sz w:val="20"/>
                <w:szCs w:val="20"/>
              </w:rPr>
              <w:t>持有高低压电工证等相关职业资格证书</w:t>
            </w:r>
            <w:r>
              <w:rPr>
                <w:rFonts w:hint="eastAsia" w:ascii="宋体" w:hAnsi="宋体" w:cs="宋体"/>
                <w:color w:val="000000"/>
                <w:sz w:val="20"/>
                <w:szCs w:val="20"/>
              </w:rPr>
              <w:t>　</w:t>
            </w:r>
          </w:p>
        </w:tc>
        <w:tc>
          <w:tcPr>
            <w:tcW w:w="2637" w:type="dxa"/>
            <w:tcBorders>
              <w:top w:val="nil"/>
              <w:left w:val="nil"/>
              <w:bottom w:val="single" w:color="auto" w:sz="4" w:space="0"/>
              <w:right w:val="single" w:color="auto" w:sz="4" w:space="0"/>
            </w:tcBorders>
            <w:vAlign w:val="center"/>
          </w:tcPr>
          <w:p w14:paraId="2135F5FC">
            <w:pPr>
              <w:widowControl/>
              <w:spacing w:line="240" w:lineRule="auto"/>
              <w:rPr>
                <w:rFonts w:hint="eastAsia" w:ascii="宋体" w:hAnsi="宋体" w:cs="宋体"/>
                <w:color w:val="000000"/>
                <w:sz w:val="20"/>
                <w:szCs w:val="20"/>
              </w:rPr>
            </w:pPr>
            <w:bookmarkStart w:id="15" w:name="OLE_LINK3"/>
            <w:r>
              <w:rPr>
                <w:rFonts w:hint="eastAsia"/>
              </w:rPr>
              <w:t>年龄2</w:t>
            </w:r>
            <w:r>
              <w:rPr>
                <w:lang w:val="en"/>
              </w:rPr>
              <w:t>5(</w:t>
            </w:r>
            <w:r>
              <w:rPr>
                <w:rFonts w:hint="eastAsia"/>
                <w:lang w:val="en"/>
              </w:rPr>
              <w:t>含）</w:t>
            </w:r>
            <w:r>
              <w:rPr>
                <w:rFonts w:hint="eastAsia"/>
              </w:rPr>
              <w:t>--60（含）周岁，具备初中及以上学历，具有1年及以上类似工作经验</w:t>
            </w:r>
            <w:bookmarkEnd w:id="15"/>
          </w:p>
        </w:tc>
      </w:tr>
      <w:tr w14:paraId="138EA585">
        <w:tblPrEx>
          <w:tblCellMar>
            <w:top w:w="0" w:type="dxa"/>
            <w:left w:w="108" w:type="dxa"/>
            <w:bottom w:w="0" w:type="dxa"/>
            <w:right w:w="108" w:type="dxa"/>
          </w:tblCellMar>
        </w:tblPrEx>
        <w:trPr>
          <w:trHeight w:val="510" w:hRule="atLeast"/>
        </w:trPr>
        <w:tc>
          <w:tcPr>
            <w:tcW w:w="1259" w:type="dxa"/>
            <w:tcBorders>
              <w:top w:val="nil"/>
              <w:left w:val="single" w:color="auto" w:sz="4" w:space="0"/>
              <w:bottom w:val="single" w:color="auto" w:sz="4" w:space="0"/>
              <w:right w:val="single" w:color="auto" w:sz="4" w:space="0"/>
            </w:tcBorders>
            <w:vAlign w:val="center"/>
          </w:tcPr>
          <w:p w14:paraId="312E0E9E">
            <w:pPr>
              <w:widowControl/>
              <w:spacing w:line="240" w:lineRule="auto"/>
              <w:rPr>
                <w:rFonts w:hint="eastAsia" w:ascii="宋体" w:hAnsi="宋体" w:cs="宋体"/>
                <w:color w:val="000000"/>
                <w:szCs w:val="21"/>
              </w:rPr>
            </w:pPr>
            <w:r>
              <w:rPr>
                <w:rFonts w:hint="eastAsia" w:ascii="宋体" w:hAnsi="宋体" w:cs="宋体"/>
                <w:color w:val="000000"/>
                <w:szCs w:val="21"/>
              </w:rPr>
              <w:t>　综合维修人员（</w:t>
            </w:r>
            <w:r>
              <w:rPr>
                <w:rFonts w:ascii="宋体" w:hAnsi="宋体" w:cs="宋体"/>
                <w:color w:val="000000"/>
                <w:szCs w:val="21"/>
              </w:rPr>
              <w:t>弱电维修工</w:t>
            </w:r>
            <w:r>
              <w:rPr>
                <w:rFonts w:hint="eastAsia" w:ascii="宋体" w:hAnsi="宋体" w:cs="宋体"/>
                <w:color w:val="000000"/>
                <w:szCs w:val="21"/>
              </w:rPr>
              <w:t>）</w:t>
            </w:r>
          </w:p>
        </w:tc>
        <w:tc>
          <w:tcPr>
            <w:tcW w:w="2751" w:type="dxa"/>
            <w:tcBorders>
              <w:top w:val="nil"/>
              <w:left w:val="nil"/>
              <w:bottom w:val="single" w:color="auto" w:sz="4" w:space="0"/>
              <w:right w:val="single" w:color="auto" w:sz="4" w:space="0"/>
            </w:tcBorders>
            <w:vAlign w:val="center"/>
          </w:tcPr>
          <w:p w14:paraId="4EF3857C">
            <w:pPr>
              <w:widowControl/>
              <w:spacing w:line="240" w:lineRule="auto"/>
              <w:jc w:val="center"/>
              <w:rPr>
                <w:rFonts w:hint="eastAsia" w:ascii="宋体" w:hAnsi="宋体" w:cs="宋体"/>
                <w:color w:val="000000"/>
                <w:szCs w:val="21"/>
              </w:rPr>
            </w:pPr>
            <w:r>
              <w:rPr>
                <w:rFonts w:ascii="宋体" w:hAnsi="宋体" w:cs="宋体"/>
                <w:color w:val="000000"/>
                <w:szCs w:val="21"/>
              </w:rPr>
              <w:t>安防、网络、通讯等系统</w:t>
            </w:r>
            <w:r>
              <w:rPr>
                <w:rFonts w:hint="eastAsia" w:ascii="宋体" w:hAnsi="宋体" w:cs="宋体"/>
                <w:color w:val="000000"/>
                <w:szCs w:val="21"/>
              </w:rPr>
              <w:t xml:space="preserve">  </w:t>
            </w:r>
          </w:p>
        </w:tc>
        <w:tc>
          <w:tcPr>
            <w:tcW w:w="2637" w:type="dxa"/>
            <w:tcBorders>
              <w:top w:val="nil"/>
              <w:left w:val="nil"/>
              <w:bottom w:val="single" w:color="auto" w:sz="4" w:space="0"/>
              <w:right w:val="single" w:color="auto" w:sz="4" w:space="0"/>
            </w:tcBorders>
            <w:vAlign w:val="center"/>
          </w:tcPr>
          <w:p w14:paraId="6F54C7D3">
            <w:pPr>
              <w:widowControl/>
              <w:spacing w:line="240" w:lineRule="auto"/>
              <w:jc w:val="center"/>
              <w:rPr>
                <w:rFonts w:hint="eastAsia" w:ascii="宋体" w:hAnsi="宋体" w:cs="宋体"/>
                <w:color w:val="000000"/>
                <w:szCs w:val="21"/>
              </w:rPr>
            </w:pPr>
            <w:r>
              <w:rPr>
                <w:rFonts w:hint="eastAsia" w:ascii="宋体" w:hAnsi="宋体" w:cs="宋体"/>
                <w:color w:val="000000"/>
                <w:szCs w:val="21"/>
              </w:rPr>
              <w:t>具有高压或低压高级电工作业证</w:t>
            </w:r>
          </w:p>
        </w:tc>
        <w:tc>
          <w:tcPr>
            <w:tcW w:w="2637" w:type="dxa"/>
            <w:tcBorders>
              <w:top w:val="nil"/>
              <w:left w:val="nil"/>
              <w:bottom w:val="single" w:color="auto" w:sz="4" w:space="0"/>
              <w:right w:val="single" w:color="auto" w:sz="4" w:space="0"/>
            </w:tcBorders>
            <w:vAlign w:val="center"/>
          </w:tcPr>
          <w:p w14:paraId="2282EB6E">
            <w:pPr>
              <w:widowControl/>
              <w:spacing w:line="240" w:lineRule="auto"/>
              <w:jc w:val="center"/>
              <w:rPr>
                <w:rFonts w:hint="eastAsia" w:ascii="宋体" w:hAnsi="宋体" w:cs="宋体"/>
                <w:color w:val="000000"/>
                <w:szCs w:val="21"/>
              </w:rPr>
            </w:pPr>
            <w:r>
              <w:rPr>
                <w:rFonts w:hint="eastAsia"/>
              </w:rPr>
              <w:t>年龄2</w:t>
            </w:r>
            <w:r>
              <w:rPr>
                <w:lang w:val="en"/>
              </w:rPr>
              <w:t>5(</w:t>
            </w:r>
            <w:r>
              <w:rPr>
                <w:rFonts w:hint="eastAsia"/>
                <w:lang w:val="en"/>
              </w:rPr>
              <w:t>含）</w:t>
            </w:r>
            <w:r>
              <w:rPr>
                <w:rFonts w:hint="eastAsia"/>
              </w:rPr>
              <w:t>--60（含）周岁，具备初中及以上学历，具有1年及以上类似工作经验</w:t>
            </w:r>
          </w:p>
        </w:tc>
      </w:tr>
      <w:tr w14:paraId="041891E1">
        <w:tblPrEx>
          <w:tblCellMar>
            <w:top w:w="0" w:type="dxa"/>
            <w:left w:w="108" w:type="dxa"/>
            <w:bottom w:w="0" w:type="dxa"/>
            <w:right w:w="108" w:type="dxa"/>
          </w:tblCellMar>
        </w:tblPrEx>
        <w:trPr>
          <w:trHeight w:val="510" w:hRule="atLeast"/>
        </w:trPr>
        <w:tc>
          <w:tcPr>
            <w:tcW w:w="1259" w:type="dxa"/>
            <w:tcBorders>
              <w:top w:val="nil"/>
              <w:left w:val="single" w:color="auto" w:sz="4" w:space="0"/>
              <w:bottom w:val="single" w:color="auto" w:sz="4" w:space="0"/>
              <w:right w:val="single" w:color="auto" w:sz="4" w:space="0"/>
            </w:tcBorders>
            <w:vAlign w:val="center"/>
          </w:tcPr>
          <w:p w14:paraId="62708886">
            <w:pPr>
              <w:widowControl/>
              <w:spacing w:line="240" w:lineRule="auto"/>
              <w:rPr>
                <w:rFonts w:hint="eastAsia" w:ascii="宋体" w:hAnsi="宋体" w:cs="宋体"/>
                <w:color w:val="000000"/>
                <w:szCs w:val="21"/>
              </w:rPr>
            </w:pPr>
            <w:r>
              <w:rPr>
                <w:rFonts w:hint="eastAsia" w:ascii="宋体" w:hAnsi="宋体" w:cs="宋体"/>
                <w:color w:val="000000"/>
                <w:szCs w:val="21"/>
              </w:rPr>
              <w:t>综合维修人员（综合维修）</w:t>
            </w:r>
          </w:p>
        </w:tc>
        <w:tc>
          <w:tcPr>
            <w:tcW w:w="2751" w:type="dxa"/>
            <w:tcBorders>
              <w:top w:val="nil"/>
              <w:left w:val="nil"/>
              <w:bottom w:val="single" w:color="auto" w:sz="4" w:space="0"/>
              <w:right w:val="single" w:color="auto" w:sz="4" w:space="0"/>
            </w:tcBorders>
            <w:vAlign w:val="center"/>
          </w:tcPr>
          <w:p w14:paraId="12327924">
            <w:pPr>
              <w:widowControl/>
              <w:spacing w:line="240" w:lineRule="auto"/>
              <w:jc w:val="center"/>
              <w:rPr>
                <w:rFonts w:hint="eastAsia" w:ascii="宋体" w:hAnsi="宋体" w:cs="宋体"/>
                <w:color w:val="000000"/>
                <w:szCs w:val="21"/>
              </w:rPr>
            </w:pPr>
            <w:r>
              <w:rPr>
                <w:rFonts w:hint="eastAsia" w:ascii="宋体" w:hAnsi="宋体" w:cs="宋体"/>
                <w:color w:val="000000"/>
                <w:szCs w:val="21"/>
              </w:rPr>
              <w:t>多工种综合维修；</w:t>
            </w:r>
            <w:r>
              <w:rPr>
                <w:rFonts w:ascii="宋体" w:hAnsi="宋体" w:cs="宋体"/>
                <w:color w:val="000000"/>
                <w:szCs w:val="21"/>
              </w:rPr>
              <w:t>涉及</w:t>
            </w:r>
            <w:r>
              <w:rPr>
                <w:rFonts w:hint="eastAsia" w:ascii="宋体" w:hAnsi="宋体" w:cs="宋体"/>
                <w:color w:val="000000"/>
                <w:szCs w:val="21"/>
              </w:rPr>
              <w:t>化粪池、</w:t>
            </w:r>
            <w:r>
              <w:rPr>
                <w:rFonts w:ascii="宋体" w:hAnsi="宋体" w:cs="宋体"/>
                <w:color w:val="000000"/>
                <w:szCs w:val="21"/>
              </w:rPr>
              <w:t>隔油池、污水井、雨水井、消防水池、地下室封闭泵房等有限空间区域</w:t>
            </w:r>
          </w:p>
        </w:tc>
        <w:tc>
          <w:tcPr>
            <w:tcW w:w="2637" w:type="dxa"/>
            <w:tcBorders>
              <w:top w:val="nil"/>
              <w:left w:val="nil"/>
              <w:bottom w:val="single" w:color="auto" w:sz="4" w:space="0"/>
              <w:right w:val="single" w:color="auto" w:sz="4" w:space="0"/>
            </w:tcBorders>
            <w:vAlign w:val="center"/>
          </w:tcPr>
          <w:p w14:paraId="355E023E">
            <w:pPr>
              <w:widowControl/>
              <w:spacing w:line="240" w:lineRule="auto"/>
              <w:jc w:val="center"/>
              <w:rPr>
                <w:rFonts w:hint="eastAsia" w:ascii="宋体" w:hAnsi="宋体" w:cs="宋体"/>
                <w:color w:val="000000"/>
                <w:szCs w:val="21"/>
              </w:rPr>
            </w:pPr>
            <w:r>
              <w:rPr>
                <w:rFonts w:hint="eastAsia" w:ascii="宋体" w:hAnsi="宋体" w:cs="宋体"/>
                <w:color w:val="000000"/>
                <w:szCs w:val="21"/>
              </w:rPr>
              <w:t>具有高压、低压电工作业证或具有有限空间作业证、</w:t>
            </w:r>
            <w:r>
              <w:rPr>
                <w:rFonts w:hint="eastAsia"/>
              </w:rPr>
              <w:t>有限空间监护作业人员证书</w:t>
            </w:r>
          </w:p>
        </w:tc>
        <w:tc>
          <w:tcPr>
            <w:tcW w:w="2637" w:type="dxa"/>
            <w:tcBorders>
              <w:top w:val="nil"/>
              <w:left w:val="nil"/>
              <w:bottom w:val="single" w:color="auto" w:sz="4" w:space="0"/>
              <w:right w:val="single" w:color="auto" w:sz="4" w:space="0"/>
            </w:tcBorders>
            <w:vAlign w:val="center"/>
          </w:tcPr>
          <w:p w14:paraId="7288C5C9">
            <w:pPr>
              <w:widowControl/>
              <w:spacing w:line="240" w:lineRule="auto"/>
              <w:jc w:val="center"/>
              <w:rPr>
                <w:rFonts w:hint="eastAsia" w:ascii="宋体" w:hAnsi="宋体" w:cs="宋体"/>
                <w:color w:val="000000"/>
                <w:szCs w:val="21"/>
              </w:rPr>
            </w:pPr>
            <w:r>
              <w:rPr>
                <w:rFonts w:hint="eastAsia"/>
              </w:rPr>
              <w:t>年龄2</w:t>
            </w:r>
            <w:r>
              <w:rPr>
                <w:lang w:val="en"/>
              </w:rPr>
              <w:t>5(</w:t>
            </w:r>
            <w:r>
              <w:rPr>
                <w:rFonts w:hint="eastAsia"/>
                <w:lang w:val="en"/>
              </w:rPr>
              <w:t>含）</w:t>
            </w:r>
            <w:r>
              <w:rPr>
                <w:rFonts w:hint="eastAsia"/>
              </w:rPr>
              <w:t>--60（含）周岁，具备初中及以上学历，具有1年及以上类似工作经验</w:t>
            </w:r>
          </w:p>
        </w:tc>
      </w:tr>
      <w:tr w14:paraId="0CD8CB68">
        <w:tblPrEx>
          <w:tblCellMar>
            <w:top w:w="0" w:type="dxa"/>
            <w:left w:w="108" w:type="dxa"/>
            <w:bottom w:w="0" w:type="dxa"/>
            <w:right w:w="108" w:type="dxa"/>
          </w:tblCellMar>
        </w:tblPrEx>
        <w:trPr>
          <w:trHeight w:val="285" w:hRule="atLeast"/>
        </w:trPr>
        <w:tc>
          <w:tcPr>
            <w:tcW w:w="1259" w:type="dxa"/>
            <w:tcBorders>
              <w:top w:val="nil"/>
              <w:left w:val="single" w:color="auto" w:sz="4" w:space="0"/>
              <w:bottom w:val="single" w:color="auto" w:sz="4" w:space="0"/>
              <w:right w:val="single" w:color="auto" w:sz="4" w:space="0"/>
            </w:tcBorders>
          </w:tcPr>
          <w:p w14:paraId="3DA120E8">
            <w:pPr>
              <w:widowControl/>
              <w:spacing w:line="240" w:lineRule="auto"/>
              <w:rPr>
                <w:rFonts w:hint="eastAsia" w:ascii="等线" w:hAnsi="等线" w:eastAsia="等线" w:cs="宋体"/>
                <w:color w:val="000000"/>
                <w:sz w:val="22"/>
              </w:rPr>
            </w:pPr>
            <w:r>
              <w:rPr>
                <w:rFonts w:hint="eastAsia" w:ascii="等线" w:hAnsi="等线" w:eastAsia="等线" w:cs="宋体"/>
                <w:color w:val="000000"/>
                <w:sz w:val="22"/>
              </w:rPr>
              <w:t>　综合维修人员（</w:t>
            </w:r>
            <w:r>
              <w:rPr>
                <w:rFonts w:ascii="等线" w:hAnsi="等线" w:eastAsia="等线" w:cs="宋体"/>
                <w:color w:val="000000"/>
                <w:sz w:val="22"/>
              </w:rPr>
              <w:t>空水技工</w:t>
            </w:r>
            <w:r>
              <w:rPr>
                <w:rFonts w:hint="eastAsia" w:ascii="等线" w:hAnsi="等线" w:eastAsia="等线" w:cs="宋体"/>
                <w:color w:val="000000"/>
                <w:sz w:val="22"/>
              </w:rPr>
              <w:t>）</w:t>
            </w:r>
          </w:p>
        </w:tc>
        <w:tc>
          <w:tcPr>
            <w:tcW w:w="2751" w:type="dxa"/>
            <w:tcBorders>
              <w:top w:val="nil"/>
              <w:left w:val="nil"/>
              <w:bottom w:val="single" w:color="auto" w:sz="4" w:space="0"/>
              <w:right w:val="single" w:color="auto" w:sz="4" w:space="0"/>
            </w:tcBorders>
            <w:vAlign w:val="center"/>
          </w:tcPr>
          <w:p w14:paraId="697838A6">
            <w:pPr>
              <w:widowControl/>
              <w:spacing w:line="240" w:lineRule="auto"/>
              <w:jc w:val="center"/>
              <w:rPr>
                <w:rFonts w:hint="eastAsia" w:ascii="宋体" w:hAnsi="宋体" w:cs="宋体"/>
                <w:color w:val="000000"/>
                <w:szCs w:val="21"/>
              </w:rPr>
            </w:pPr>
            <w:r>
              <w:rPr>
                <w:rFonts w:ascii="宋体" w:hAnsi="宋体" w:cs="宋体"/>
                <w:color w:val="000000"/>
                <w:szCs w:val="21"/>
              </w:rPr>
              <w:t>空调、给排水系统</w:t>
            </w:r>
            <w:r>
              <w:rPr>
                <w:rFonts w:hint="eastAsia" w:ascii="宋体" w:hAnsi="宋体" w:cs="宋体"/>
                <w:color w:val="000000"/>
                <w:szCs w:val="21"/>
              </w:rPr>
              <w:t>维修</w:t>
            </w:r>
          </w:p>
        </w:tc>
        <w:tc>
          <w:tcPr>
            <w:tcW w:w="2637" w:type="dxa"/>
            <w:tcBorders>
              <w:top w:val="nil"/>
              <w:left w:val="nil"/>
              <w:bottom w:val="single" w:color="auto" w:sz="4" w:space="0"/>
              <w:right w:val="single" w:color="auto" w:sz="4" w:space="0"/>
            </w:tcBorders>
            <w:vAlign w:val="center"/>
          </w:tcPr>
          <w:p w14:paraId="44222660">
            <w:pPr>
              <w:widowControl/>
              <w:spacing w:line="240" w:lineRule="auto"/>
              <w:jc w:val="center"/>
              <w:rPr>
                <w:rFonts w:hint="eastAsia" w:ascii="宋体" w:hAnsi="宋体" w:cs="宋体"/>
                <w:color w:val="000000"/>
                <w:szCs w:val="21"/>
              </w:rPr>
            </w:pPr>
            <w:r>
              <w:rPr>
                <w:rFonts w:hint="eastAsia" w:ascii="宋体" w:hAnsi="宋体" w:cs="宋体"/>
                <w:color w:val="000000"/>
                <w:szCs w:val="21"/>
              </w:rPr>
              <w:t>水暖工技能等级证书。</w:t>
            </w:r>
          </w:p>
        </w:tc>
        <w:tc>
          <w:tcPr>
            <w:tcW w:w="2637" w:type="dxa"/>
            <w:tcBorders>
              <w:top w:val="nil"/>
              <w:left w:val="nil"/>
              <w:bottom w:val="single" w:color="auto" w:sz="4" w:space="0"/>
              <w:right w:val="single" w:color="auto" w:sz="4" w:space="0"/>
            </w:tcBorders>
            <w:vAlign w:val="center"/>
          </w:tcPr>
          <w:p w14:paraId="6D270431">
            <w:pPr>
              <w:widowControl/>
              <w:spacing w:line="240" w:lineRule="auto"/>
              <w:jc w:val="center"/>
              <w:rPr>
                <w:rFonts w:hint="eastAsia" w:ascii="宋体" w:hAnsi="宋体" w:cs="宋体"/>
                <w:color w:val="000000"/>
                <w:szCs w:val="21"/>
              </w:rPr>
            </w:pPr>
            <w:r>
              <w:rPr>
                <w:rFonts w:hint="eastAsia" w:ascii="宋体" w:hAnsi="宋体" w:cs="宋体"/>
                <w:color w:val="000000"/>
                <w:szCs w:val="21"/>
              </w:rPr>
              <w:t>具有水暖工作经验。</w:t>
            </w:r>
          </w:p>
        </w:tc>
      </w:tr>
      <w:tr w14:paraId="018B21FC">
        <w:tblPrEx>
          <w:tblCellMar>
            <w:top w:w="0" w:type="dxa"/>
            <w:left w:w="108" w:type="dxa"/>
            <w:bottom w:w="0" w:type="dxa"/>
            <w:right w:w="108" w:type="dxa"/>
          </w:tblCellMar>
        </w:tblPrEx>
        <w:trPr>
          <w:trHeight w:val="300" w:hRule="atLeast"/>
        </w:trPr>
        <w:tc>
          <w:tcPr>
            <w:tcW w:w="1259" w:type="dxa"/>
            <w:tcBorders>
              <w:top w:val="nil"/>
              <w:left w:val="single" w:color="auto" w:sz="4" w:space="0"/>
              <w:bottom w:val="single" w:color="auto" w:sz="4" w:space="0"/>
              <w:right w:val="single" w:color="auto" w:sz="4" w:space="0"/>
            </w:tcBorders>
            <w:vAlign w:val="center"/>
          </w:tcPr>
          <w:p w14:paraId="74001524">
            <w:pPr>
              <w:widowControl/>
              <w:spacing w:line="240" w:lineRule="auto"/>
              <w:jc w:val="center"/>
              <w:rPr>
                <w:rFonts w:hint="eastAsia" w:ascii="宋体" w:hAnsi="宋体" w:cs="宋体"/>
                <w:color w:val="000000"/>
                <w:szCs w:val="21"/>
              </w:rPr>
            </w:pPr>
            <w:r>
              <w:rPr>
                <w:rFonts w:hint="eastAsia" w:ascii="宋体" w:hAnsi="宋体" w:cs="宋体"/>
                <w:color w:val="000000"/>
                <w:szCs w:val="21"/>
              </w:rPr>
              <w:t>综合维修人员（泥瓦工）</w:t>
            </w:r>
          </w:p>
        </w:tc>
        <w:tc>
          <w:tcPr>
            <w:tcW w:w="2751" w:type="dxa"/>
            <w:tcBorders>
              <w:top w:val="nil"/>
              <w:left w:val="nil"/>
              <w:bottom w:val="single" w:color="auto" w:sz="4" w:space="0"/>
              <w:right w:val="single" w:color="auto" w:sz="4" w:space="0"/>
            </w:tcBorders>
            <w:vAlign w:val="center"/>
          </w:tcPr>
          <w:p w14:paraId="42380768">
            <w:pPr>
              <w:widowControl/>
              <w:spacing w:line="240" w:lineRule="auto"/>
              <w:rPr>
                <w:rFonts w:hint="eastAsia" w:ascii="宋体" w:hAnsi="宋体" w:cs="宋体"/>
                <w:color w:val="000000"/>
                <w:sz w:val="25"/>
                <w:szCs w:val="25"/>
              </w:rPr>
            </w:pPr>
            <w:r>
              <w:rPr>
                <w:rFonts w:hint="eastAsia" w:ascii="宋体" w:hAnsi="宋体" w:cs="宋体"/>
                <w:color w:val="000000"/>
                <w:sz w:val="25"/>
                <w:szCs w:val="25"/>
              </w:rPr>
              <w:t>　</w:t>
            </w:r>
            <w:r>
              <w:rPr>
                <w:rFonts w:ascii="宋体" w:hAnsi="宋体" w:cs="宋体"/>
                <w:color w:val="000000"/>
                <w:sz w:val="25"/>
                <w:szCs w:val="25"/>
              </w:rPr>
              <w:t>土建、防水、墙面地面修补</w:t>
            </w:r>
          </w:p>
        </w:tc>
        <w:tc>
          <w:tcPr>
            <w:tcW w:w="2637" w:type="dxa"/>
            <w:tcBorders>
              <w:top w:val="nil"/>
              <w:left w:val="nil"/>
              <w:bottom w:val="single" w:color="auto" w:sz="4" w:space="0"/>
              <w:right w:val="single" w:color="auto" w:sz="4" w:space="0"/>
            </w:tcBorders>
            <w:vAlign w:val="center"/>
          </w:tcPr>
          <w:p w14:paraId="7A80E809">
            <w:pPr>
              <w:widowControl/>
              <w:spacing w:line="240" w:lineRule="auto"/>
              <w:rPr>
                <w:rFonts w:hint="eastAsia" w:ascii="宋体" w:hAnsi="宋体" w:cs="宋体"/>
                <w:color w:val="000000"/>
                <w:sz w:val="25"/>
                <w:szCs w:val="25"/>
              </w:rPr>
            </w:pPr>
            <w:r>
              <w:rPr>
                <w:rFonts w:hint="eastAsia" w:ascii="宋体" w:hAnsi="宋体" w:cs="宋体"/>
                <w:color w:val="000000"/>
                <w:sz w:val="25"/>
                <w:szCs w:val="25"/>
              </w:rPr>
              <w:t>　</w:t>
            </w:r>
          </w:p>
        </w:tc>
        <w:tc>
          <w:tcPr>
            <w:tcW w:w="2637" w:type="dxa"/>
            <w:tcBorders>
              <w:top w:val="nil"/>
              <w:left w:val="nil"/>
              <w:bottom w:val="single" w:color="auto" w:sz="4" w:space="0"/>
              <w:right w:val="single" w:color="auto" w:sz="4" w:space="0"/>
            </w:tcBorders>
            <w:vAlign w:val="center"/>
          </w:tcPr>
          <w:p w14:paraId="3E529782">
            <w:pPr>
              <w:widowControl/>
              <w:spacing w:line="240" w:lineRule="auto"/>
              <w:rPr>
                <w:rFonts w:hint="eastAsia" w:ascii="宋体" w:hAnsi="宋体" w:cs="宋体"/>
                <w:color w:val="000000"/>
                <w:sz w:val="25"/>
                <w:szCs w:val="25"/>
              </w:rPr>
            </w:pPr>
            <w:r>
              <w:rPr>
                <w:rFonts w:hint="eastAsia"/>
              </w:rPr>
              <w:t>年龄2</w:t>
            </w:r>
            <w:r>
              <w:rPr>
                <w:lang w:val="en"/>
              </w:rPr>
              <w:t>5(</w:t>
            </w:r>
            <w:r>
              <w:rPr>
                <w:rFonts w:hint="eastAsia"/>
                <w:lang w:val="en"/>
              </w:rPr>
              <w:t>含）</w:t>
            </w:r>
            <w:r>
              <w:rPr>
                <w:rFonts w:hint="eastAsia"/>
              </w:rPr>
              <w:t>--60（含）周岁，具备初中及以上学历，具有1年及以上类似工作经验</w:t>
            </w:r>
          </w:p>
        </w:tc>
      </w:tr>
      <w:tr w14:paraId="3C0E179B">
        <w:tblPrEx>
          <w:tblCellMar>
            <w:top w:w="0" w:type="dxa"/>
            <w:left w:w="108" w:type="dxa"/>
            <w:bottom w:w="0" w:type="dxa"/>
            <w:right w:w="108" w:type="dxa"/>
          </w:tblCellMar>
        </w:tblPrEx>
        <w:trPr>
          <w:trHeight w:val="285" w:hRule="atLeast"/>
        </w:trPr>
        <w:tc>
          <w:tcPr>
            <w:tcW w:w="1259" w:type="dxa"/>
            <w:tcBorders>
              <w:top w:val="nil"/>
              <w:left w:val="single" w:color="auto" w:sz="4" w:space="0"/>
              <w:bottom w:val="single" w:color="auto" w:sz="4" w:space="0"/>
              <w:right w:val="single" w:color="auto" w:sz="4" w:space="0"/>
            </w:tcBorders>
            <w:vAlign w:val="center"/>
          </w:tcPr>
          <w:p w14:paraId="51A36629">
            <w:pPr>
              <w:widowControl/>
              <w:spacing w:line="240" w:lineRule="auto"/>
              <w:jc w:val="center"/>
              <w:rPr>
                <w:rFonts w:hint="eastAsia" w:ascii="宋体" w:hAnsi="宋体" w:cs="宋体"/>
                <w:color w:val="000000"/>
                <w:sz w:val="20"/>
                <w:szCs w:val="20"/>
              </w:rPr>
            </w:pPr>
            <w:r>
              <w:rPr>
                <w:rFonts w:hint="eastAsia" w:ascii="宋体" w:hAnsi="宋体" w:cs="宋体"/>
                <w:color w:val="000000"/>
                <w:sz w:val="20"/>
                <w:szCs w:val="20"/>
              </w:rPr>
              <w:t>高压配电室值班岗（值班电工）</w:t>
            </w:r>
          </w:p>
        </w:tc>
        <w:tc>
          <w:tcPr>
            <w:tcW w:w="2751" w:type="dxa"/>
            <w:tcBorders>
              <w:top w:val="nil"/>
              <w:left w:val="nil"/>
              <w:bottom w:val="single" w:color="auto" w:sz="4" w:space="0"/>
              <w:right w:val="single" w:color="auto" w:sz="4" w:space="0"/>
            </w:tcBorders>
            <w:vAlign w:val="center"/>
          </w:tcPr>
          <w:p w14:paraId="049313C8">
            <w:pPr>
              <w:widowControl/>
              <w:spacing w:line="240" w:lineRule="auto"/>
              <w:jc w:val="center"/>
              <w:rPr>
                <w:rFonts w:hint="eastAsia" w:ascii="宋体" w:hAnsi="宋体" w:cs="宋体"/>
                <w:color w:val="000000"/>
                <w:szCs w:val="21"/>
              </w:rPr>
            </w:pPr>
            <w:r>
              <w:rPr>
                <w:rFonts w:ascii="宋体" w:hAnsi="宋体" w:cs="宋体"/>
                <w:color w:val="000000"/>
                <w:szCs w:val="21"/>
              </w:rPr>
              <w:t>负责配电设备的日常运行监控和操作</w:t>
            </w:r>
          </w:p>
        </w:tc>
        <w:tc>
          <w:tcPr>
            <w:tcW w:w="2637" w:type="dxa"/>
            <w:tcBorders>
              <w:top w:val="nil"/>
              <w:left w:val="nil"/>
              <w:bottom w:val="single" w:color="auto" w:sz="4" w:space="0"/>
              <w:right w:val="single" w:color="auto" w:sz="4" w:space="0"/>
            </w:tcBorders>
            <w:vAlign w:val="center"/>
          </w:tcPr>
          <w:p w14:paraId="196A9947">
            <w:pPr>
              <w:widowControl/>
              <w:spacing w:line="240" w:lineRule="auto"/>
              <w:jc w:val="center"/>
              <w:rPr>
                <w:rFonts w:hint="eastAsia" w:ascii="宋体" w:hAnsi="宋体" w:cs="宋体"/>
                <w:color w:val="000000"/>
                <w:szCs w:val="21"/>
              </w:rPr>
            </w:pPr>
            <w:r>
              <w:rPr>
                <w:rFonts w:hint="eastAsia" w:ascii="宋体" w:hAnsi="宋体" w:cs="宋体"/>
                <w:color w:val="000000"/>
                <w:szCs w:val="21"/>
              </w:rPr>
              <w:t>具有高压电工证</w:t>
            </w:r>
          </w:p>
        </w:tc>
        <w:tc>
          <w:tcPr>
            <w:tcW w:w="2637" w:type="dxa"/>
            <w:tcBorders>
              <w:top w:val="nil"/>
              <w:left w:val="nil"/>
              <w:bottom w:val="single" w:color="auto" w:sz="4" w:space="0"/>
              <w:right w:val="single" w:color="auto" w:sz="4" w:space="0"/>
            </w:tcBorders>
            <w:vAlign w:val="center"/>
          </w:tcPr>
          <w:p w14:paraId="2987066C">
            <w:pPr>
              <w:widowControl/>
              <w:spacing w:line="240" w:lineRule="auto"/>
              <w:jc w:val="center"/>
              <w:rPr>
                <w:rFonts w:hint="eastAsia" w:ascii="宋体" w:hAnsi="宋体" w:cs="宋体"/>
                <w:color w:val="000000"/>
                <w:szCs w:val="21"/>
              </w:rPr>
            </w:pPr>
            <w:r>
              <w:rPr>
                <w:rFonts w:hint="eastAsia"/>
              </w:rPr>
              <w:t>年龄2</w:t>
            </w:r>
            <w:r>
              <w:rPr>
                <w:lang w:val="en"/>
              </w:rPr>
              <w:t>5(</w:t>
            </w:r>
            <w:r>
              <w:rPr>
                <w:rFonts w:hint="eastAsia"/>
                <w:lang w:val="en"/>
              </w:rPr>
              <w:t>含）</w:t>
            </w:r>
            <w:r>
              <w:rPr>
                <w:rFonts w:hint="eastAsia"/>
              </w:rPr>
              <w:t>--60（含）周岁，具备初中及以上学历，具有1年及以上类似工作经验</w:t>
            </w:r>
          </w:p>
        </w:tc>
      </w:tr>
      <w:tr w14:paraId="611B20F6">
        <w:tblPrEx>
          <w:tblCellMar>
            <w:top w:w="0" w:type="dxa"/>
            <w:left w:w="108" w:type="dxa"/>
            <w:bottom w:w="0" w:type="dxa"/>
            <w:right w:w="108" w:type="dxa"/>
          </w:tblCellMar>
        </w:tblPrEx>
        <w:trPr>
          <w:trHeight w:val="285" w:hRule="atLeast"/>
        </w:trPr>
        <w:tc>
          <w:tcPr>
            <w:tcW w:w="1259" w:type="dxa"/>
            <w:tcBorders>
              <w:top w:val="nil"/>
              <w:left w:val="single" w:color="auto" w:sz="4" w:space="0"/>
              <w:bottom w:val="single" w:color="auto" w:sz="4" w:space="0"/>
              <w:right w:val="single" w:color="auto" w:sz="4" w:space="0"/>
            </w:tcBorders>
            <w:vAlign w:val="center"/>
          </w:tcPr>
          <w:p w14:paraId="03AC5BE5">
            <w:pPr>
              <w:widowControl/>
              <w:spacing w:line="240" w:lineRule="auto"/>
              <w:jc w:val="center"/>
              <w:rPr>
                <w:rFonts w:hint="eastAsia" w:ascii="宋体" w:hAnsi="宋体" w:cs="宋体"/>
                <w:color w:val="000000"/>
                <w:szCs w:val="21"/>
              </w:rPr>
            </w:pPr>
            <w:r>
              <w:rPr>
                <w:rFonts w:hint="eastAsia" w:ascii="宋体" w:hAnsi="宋体" w:cs="宋体"/>
                <w:color w:val="000000"/>
                <w:szCs w:val="21"/>
              </w:rPr>
              <w:t>高压配电室值班岗（高压检修工）　</w:t>
            </w:r>
          </w:p>
        </w:tc>
        <w:tc>
          <w:tcPr>
            <w:tcW w:w="2751" w:type="dxa"/>
            <w:tcBorders>
              <w:top w:val="nil"/>
              <w:left w:val="nil"/>
              <w:bottom w:val="single" w:color="auto" w:sz="4" w:space="0"/>
              <w:right w:val="single" w:color="auto" w:sz="4" w:space="0"/>
            </w:tcBorders>
            <w:vAlign w:val="center"/>
          </w:tcPr>
          <w:p w14:paraId="064E17B8">
            <w:pPr>
              <w:widowControl/>
              <w:spacing w:line="240" w:lineRule="auto"/>
              <w:jc w:val="center"/>
              <w:rPr>
                <w:rFonts w:hint="eastAsia" w:ascii="宋体" w:hAnsi="宋体" w:cs="宋体"/>
                <w:color w:val="000000"/>
                <w:szCs w:val="21"/>
              </w:rPr>
            </w:pPr>
            <w:r>
              <w:rPr>
                <w:rFonts w:ascii="宋体" w:hAnsi="宋体" w:cs="宋体"/>
                <w:color w:val="000000"/>
                <w:szCs w:val="21"/>
              </w:rPr>
              <w:t>负责高压电气设备的检修维护工作</w:t>
            </w:r>
          </w:p>
        </w:tc>
        <w:tc>
          <w:tcPr>
            <w:tcW w:w="2637" w:type="dxa"/>
            <w:tcBorders>
              <w:top w:val="nil"/>
              <w:left w:val="nil"/>
              <w:bottom w:val="single" w:color="auto" w:sz="4" w:space="0"/>
              <w:right w:val="single" w:color="auto" w:sz="4" w:space="0"/>
            </w:tcBorders>
            <w:vAlign w:val="center"/>
          </w:tcPr>
          <w:p w14:paraId="7CF091CE">
            <w:pPr>
              <w:widowControl/>
              <w:spacing w:line="240" w:lineRule="auto"/>
              <w:jc w:val="center"/>
              <w:rPr>
                <w:rFonts w:hint="eastAsia" w:ascii="宋体" w:hAnsi="宋体" w:cs="宋体"/>
                <w:color w:val="000000"/>
                <w:szCs w:val="21"/>
              </w:rPr>
            </w:pPr>
            <w:r>
              <w:rPr>
                <w:rFonts w:hint="eastAsia" w:ascii="宋体" w:hAnsi="宋体" w:cs="宋体"/>
                <w:color w:val="000000"/>
                <w:szCs w:val="21"/>
              </w:rPr>
              <w:t>具有高压电工证</w:t>
            </w:r>
          </w:p>
        </w:tc>
        <w:tc>
          <w:tcPr>
            <w:tcW w:w="2637" w:type="dxa"/>
            <w:tcBorders>
              <w:top w:val="nil"/>
              <w:left w:val="nil"/>
              <w:bottom w:val="single" w:color="auto" w:sz="4" w:space="0"/>
              <w:right w:val="single" w:color="auto" w:sz="4" w:space="0"/>
            </w:tcBorders>
            <w:vAlign w:val="center"/>
          </w:tcPr>
          <w:p w14:paraId="3416933B">
            <w:pPr>
              <w:widowControl/>
              <w:spacing w:line="240" w:lineRule="auto"/>
              <w:jc w:val="center"/>
              <w:rPr>
                <w:rFonts w:hint="eastAsia" w:ascii="宋体" w:hAnsi="宋体" w:cs="宋体"/>
                <w:color w:val="000000"/>
                <w:szCs w:val="21"/>
              </w:rPr>
            </w:pPr>
            <w:r>
              <w:rPr>
                <w:rFonts w:hint="eastAsia"/>
              </w:rPr>
              <w:t>年龄2</w:t>
            </w:r>
            <w:r>
              <w:rPr>
                <w:lang w:val="en"/>
              </w:rPr>
              <w:t>5(</w:t>
            </w:r>
            <w:r>
              <w:rPr>
                <w:rFonts w:hint="eastAsia"/>
                <w:lang w:val="en"/>
              </w:rPr>
              <w:t>含）</w:t>
            </w:r>
            <w:r>
              <w:rPr>
                <w:rFonts w:hint="eastAsia"/>
              </w:rPr>
              <w:t>--60（含）周岁，具备初中及以上学历，具有1年及以上类似工作经验</w:t>
            </w:r>
          </w:p>
        </w:tc>
      </w:tr>
      <w:tr w14:paraId="3D2F26F5">
        <w:tblPrEx>
          <w:tblCellMar>
            <w:top w:w="0" w:type="dxa"/>
            <w:left w:w="108" w:type="dxa"/>
            <w:bottom w:w="0" w:type="dxa"/>
            <w:right w:w="108" w:type="dxa"/>
          </w:tblCellMar>
        </w:tblPrEx>
        <w:trPr>
          <w:trHeight w:val="285" w:hRule="atLeast"/>
        </w:trPr>
        <w:tc>
          <w:tcPr>
            <w:tcW w:w="1259" w:type="dxa"/>
            <w:tcBorders>
              <w:top w:val="nil"/>
              <w:left w:val="single" w:color="auto" w:sz="4" w:space="0"/>
              <w:bottom w:val="single" w:color="auto" w:sz="4" w:space="0"/>
              <w:right w:val="single" w:color="auto" w:sz="4" w:space="0"/>
            </w:tcBorders>
          </w:tcPr>
          <w:p w14:paraId="68CC7819">
            <w:pPr>
              <w:widowControl/>
              <w:spacing w:line="240" w:lineRule="auto"/>
              <w:jc w:val="center"/>
              <w:rPr>
                <w:rFonts w:hint="eastAsia" w:ascii="宋体" w:hAnsi="宋体" w:cs="宋体"/>
                <w:color w:val="000000"/>
                <w:szCs w:val="21"/>
              </w:rPr>
            </w:pPr>
            <w:r>
              <w:rPr>
                <w:rFonts w:hint="eastAsia" w:ascii="宋体" w:hAnsi="宋体" w:cs="宋体"/>
                <w:color w:val="000000"/>
                <w:szCs w:val="21"/>
              </w:rPr>
              <w:t>高压配电室值班岗（继电保护工）</w:t>
            </w:r>
          </w:p>
        </w:tc>
        <w:tc>
          <w:tcPr>
            <w:tcW w:w="2751" w:type="dxa"/>
            <w:tcBorders>
              <w:top w:val="nil"/>
              <w:left w:val="nil"/>
              <w:bottom w:val="single" w:color="auto" w:sz="4" w:space="0"/>
              <w:right w:val="single" w:color="auto" w:sz="4" w:space="0"/>
            </w:tcBorders>
            <w:vAlign w:val="center"/>
          </w:tcPr>
          <w:p w14:paraId="07284528">
            <w:pPr>
              <w:widowControl/>
              <w:spacing w:line="240" w:lineRule="auto"/>
              <w:jc w:val="center"/>
              <w:rPr>
                <w:rFonts w:hint="eastAsia" w:ascii="宋体" w:hAnsi="宋体" w:cs="宋体"/>
                <w:color w:val="000000"/>
                <w:kern w:val="0"/>
                <w:szCs w:val="21"/>
              </w:rPr>
            </w:pPr>
            <w:r>
              <w:rPr>
                <w:rFonts w:ascii="宋体" w:hAnsi="宋体" w:cs="宋体"/>
                <w:color w:val="000000"/>
                <w:szCs w:val="21"/>
              </w:rPr>
              <w:t>负责配电系统继电保护装置的调试、校验和维护</w:t>
            </w:r>
          </w:p>
        </w:tc>
        <w:tc>
          <w:tcPr>
            <w:tcW w:w="2637" w:type="dxa"/>
            <w:tcBorders>
              <w:top w:val="nil"/>
              <w:left w:val="nil"/>
              <w:bottom w:val="single" w:color="auto" w:sz="4" w:space="0"/>
              <w:right w:val="single" w:color="auto" w:sz="4" w:space="0"/>
            </w:tcBorders>
            <w:vAlign w:val="center"/>
          </w:tcPr>
          <w:p w14:paraId="2EF1BC7D">
            <w:pPr>
              <w:widowControl/>
              <w:spacing w:line="240" w:lineRule="auto"/>
              <w:jc w:val="center"/>
              <w:rPr>
                <w:rFonts w:hint="eastAsia" w:ascii="宋体" w:hAnsi="宋体" w:cs="宋体"/>
                <w:color w:val="000000"/>
                <w:kern w:val="0"/>
                <w:szCs w:val="21"/>
              </w:rPr>
            </w:pPr>
            <w:r>
              <w:rPr>
                <w:rFonts w:ascii="宋体" w:hAnsi="宋体" w:cs="宋体"/>
                <w:color w:val="000000"/>
                <w:szCs w:val="21"/>
              </w:rPr>
              <w:t>高压电工证、继电保护作业证</w:t>
            </w:r>
          </w:p>
        </w:tc>
        <w:tc>
          <w:tcPr>
            <w:tcW w:w="2637" w:type="dxa"/>
            <w:tcBorders>
              <w:top w:val="nil"/>
              <w:left w:val="nil"/>
              <w:bottom w:val="single" w:color="auto" w:sz="4" w:space="0"/>
              <w:right w:val="single" w:color="auto" w:sz="4" w:space="0"/>
            </w:tcBorders>
            <w:vAlign w:val="center"/>
          </w:tcPr>
          <w:p w14:paraId="0AD8E0A7">
            <w:pPr>
              <w:widowControl/>
              <w:spacing w:line="240" w:lineRule="auto"/>
              <w:jc w:val="center"/>
              <w:rPr>
                <w:rFonts w:hint="eastAsia" w:ascii="宋体" w:hAnsi="宋体" w:cs="宋体"/>
                <w:color w:val="000000"/>
                <w:szCs w:val="21"/>
              </w:rPr>
            </w:pPr>
            <w:r>
              <w:rPr>
                <w:rFonts w:hint="eastAsia"/>
              </w:rPr>
              <w:t>年龄2</w:t>
            </w:r>
            <w:r>
              <w:rPr>
                <w:lang w:val="en"/>
              </w:rPr>
              <w:t>5(</w:t>
            </w:r>
            <w:r>
              <w:rPr>
                <w:rFonts w:hint="eastAsia"/>
                <w:lang w:val="en"/>
              </w:rPr>
              <w:t>含）</w:t>
            </w:r>
            <w:r>
              <w:rPr>
                <w:rFonts w:hint="eastAsia"/>
              </w:rPr>
              <w:t>--60（含）周岁，具备小学及以上学历，具有1年及以上类似工作经验</w:t>
            </w:r>
          </w:p>
        </w:tc>
      </w:tr>
      <w:tr w14:paraId="7EA3ED1E">
        <w:tblPrEx>
          <w:tblCellMar>
            <w:top w:w="0" w:type="dxa"/>
            <w:left w:w="108" w:type="dxa"/>
            <w:bottom w:w="0" w:type="dxa"/>
            <w:right w:w="108" w:type="dxa"/>
          </w:tblCellMar>
        </w:tblPrEx>
        <w:trPr>
          <w:trHeight w:val="285" w:hRule="atLeast"/>
        </w:trPr>
        <w:tc>
          <w:tcPr>
            <w:tcW w:w="1259" w:type="dxa"/>
            <w:tcBorders>
              <w:top w:val="nil"/>
              <w:left w:val="single" w:color="auto" w:sz="4" w:space="0"/>
              <w:bottom w:val="single" w:color="auto" w:sz="4" w:space="0"/>
              <w:right w:val="single" w:color="auto" w:sz="4" w:space="0"/>
            </w:tcBorders>
          </w:tcPr>
          <w:p w14:paraId="54F658FF">
            <w:pPr>
              <w:widowControl/>
              <w:spacing w:line="240" w:lineRule="auto"/>
              <w:rPr>
                <w:rFonts w:hint="eastAsia" w:ascii="等线" w:hAnsi="等线" w:eastAsia="等线" w:cs="宋体"/>
                <w:color w:val="000000"/>
                <w:sz w:val="22"/>
              </w:rPr>
            </w:pPr>
            <w:r>
              <w:rPr>
                <w:rFonts w:hint="eastAsia" w:ascii="等线" w:hAnsi="等线" w:eastAsia="等线" w:cs="宋体"/>
                <w:color w:val="000000"/>
                <w:sz w:val="22"/>
              </w:rPr>
              <w:t>　保洁</w:t>
            </w:r>
          </w:p>
        </w:tc>
        <w:tc>
          <w:tcPr>
            <w:tcW w:w="2751" w:type="dxa"/>
            <w:tcBorders>
              <w:top w:val="nil"/>
              <w:left w:val="nil"/>
              <w:bottom w:val="single" w:color="auto" w:sz="4" w:space="0"/>
              <w:right w:val="single" w:color="auto" w:sz="4" w:space="0"/>
            </w:tcBorders>
            <w:vAlign w:val="center"/>
          </w:tcPr>
          <w:p w14:paraId="09C1203B">
            <w:pPr>
              <w:widowControl/>
              <w:spacing w:line="240" w:lineRule="auto"/>
              <w:jc w:val="center"/>
              <w:rPr>
                <w:rFonts w:hint="eastAsia" w:ascii="宋体" w:hAnsi="宋体" w:cs="宋体"/>
                <w:color w:val="000000"/>
                <w:szCs w:val="21"/>
              </w:rPr>
            </w:pPr>
          </w:p>
        </w:tc>
        <w:tc>
          <w:tcPr>
            <w:tcW w:w="2637" w:type="dxa"/>
            <w:tcBorders>
              <w:top w:val="nil"/>
              <w:left w:val="nil"/>
              <w:bottom w:val="single" w:color="auto" w:sz="4" w:space="0"/>
              <w:right w:val="single" w:color="auto" w:sz="4" w:space="0"/>
            </w:tcBorders>
            <w:vAlign w:val="center"/>
          </w:tcPr>
          <w:p w14:paraId="50FE38FF">
            <w:pPr>
              <w:widowControl/>
              <w:spacing w:line="240" w:lineRule="auto"/>
              <w:jc w:val="center"/>
              <w:rPr>
                <w:rFonts w:hint="eastAsia" w:ascii="宋体" w:hAnsi="宋体" w:cs="宋体"/>
                <w:color w:val="000000"/>
                <w:szCs w:val="21"/>
              </w:rPr>
            </w:pPr>
          </w:p>
        </w:tc>
        <w:tc>
          <w:tcPr>
            <w:tcW w:w="2637" w:type="dxa"/>
            <w:tcBorders>
              <w:top w:val="nil"/>
              <w:left w:val="nil"/>
              <w:bottom w:val="single" w:color="auto" w:sz="4" w:space="0"/>
              <w:right w:val="single" w:color="auto" w:sz="4" w:space="0"/>
            </w:tcBorders>
            <w:vAlign w:val="center"/>
          </w:tcPr>
          <w:p w14:paraId="43DD6601">
            <w:pPr>
              <w:ind w:firstLine="420" w:firstLineChars="200"/>
            </w:pPr>
            <w:r>
              <w:rPr>
                <w:rFonts w:hint="eastAsia"/>
              </w:rPr>
              <w:t>.年龄</w:t>
            </w:r>
            <w:r>
              <w:rPr>
                <w:lang w:val="en"/>
              </w:rPr>
              <w:t>20</w:t>
            </w:r>
            <w:r>
              <w:rPr>
                <w:rFonts w:hint="eastAsia"/>
                <w:lang w:val="en"/>
              </w:rPr>
              <w:t>（含）</w:t>
            </w:r>
            <w:r>
              <w:rPr>
                <w:lang w:val="en"/>
              </w:rPr>
              <w:t>-</w:t>
            </w:r>
            <w:r>
              <w:rPr>
                <w:rFonts w:hint="eastAsia"/>
              </w:rPr>
              <w:t>60（含）周岁。</w:t>
            </w:r>
          </w:p>
          <w:p w14:paraId="1F9F0643">
            <w:r>
              <w:rPr>
                <w:rFonts w:hint="eastAsia"/>
              </w:rPr>
              <w:t>具备小学及以上学历。</w:t>
            </w:r>
          </w:p>
          <w:p w14:paraId="0AD73F4C">
            <w:pPr>
              <w:rPr>
                <w:rFonts w:hint="eastAsia"/>
              </w:rPr>
            </w:pPr>
            <w:r>
              <w:rPr>
                <w:rFonts w:hint="eastAsia"/>
              </w:rPr>
              <w:t>.具有2年及以上工作经验，并提供相关工作经验的证明。</w:t>
            </w:r>
          </w:p>
        </w:tc>
      </w:tr>
    </w:tbl>
    <w:p w14:paraId="71CCA609">
      <w:pPr>
        <w:pStyle w:val="17"/>
        <w:spacing w:before="9"/>
        <w:ind w:left="420" w:leftChars="200" w:firstLine="365" w:firstLineChars="174"/>
        <w:rPr>
          <w:rFonts w:hint="eastAsia"/>
          <w:bCs/>
          <w:sz w:val="21"/>
          <w:szCs w:val="21"/>
        </w:rPr>
      </w:pPr>
    </w:p>
    <w:p w14:paraId="530A9723">
      <w:pPr>
        <w:pStyle w:val="17"/>
        <w:spacing w:before="9"/>
        <w:ind w:left="420" w:leftChars="200" w:firstLine="365" w:firstLineChars="174"/>
        <w:rPr>
          <w:rFonts w:hint="eastAsia"/>
          <w:bCs/>
          <w:sz w:val="21"/>
          <w:szCs w:val="21"/>
        </w:rPr>
      </w:pPr>
    </w:p>
    <w:p w14:paraId="5854FAE5">
      <w:pPr>
        <w:pStyle w:val="17"/>
        <w:spacing w:before="9"/>
        <w:ind w:left="420" w:leftChars="200" w:firstLine="365" w:firstLineChars="174"/>
        <w:rPr>
          <w:rFonts w:hint="eastAsia"/>
          <w:bCs/>
          <w:sz w:val="21"/>
          <w:szCs w:val="21"/>
        </w:rPr>
      </w:pPr>
    </w:p>
    <w:p w14:paraId="4F2A1395">
      <w:pPr>
        <w:pStyle w:val="17"/>
        <w:spacing w:before="9"/>
        <w:ind w:left="420" w:leftChars="200" w:firstLine="365" w:firstLineChars="174"/>
        <w:rPr>
          <w:rFonts w:hint="eastAsia"/>
          <w:bCs/>
          <w:sz w:val="21"/>
          <w:szCs w:val="21"/>
        </w:rPr>
      </w:pPr>
      <w:r>
        <w:rPr>
          <w:rFonts w:hint="eastAsia"/>
          <w:bCs/>
          <w:sz w:val="21"/>
          <w:szCs w:val="21"/>
        </w:rPr>
        <w:t>中标人不得将以上服务内容转包或分包给第三方，如经发现，采购人提前终止合同并追究中标人违约责任。</w:t>
      </w:r>
    </w:p>
    <w:p w14:paraId="1C3E26A7">
      <w:pPr>
        <w:tabs>
          <w:tab w:val="left" w:pos="315"/>
          <w:tab w:val="left" w:pos="360"/>
        </w:tabs>
        <w:snapToGrid w:val="0"/>
        <w:spacing w:line="520" w:lineRule="exact"/>
        <w:rPr>
          <w:rFonts w:hint="eastAsia" w:ascii="宋体" w:hAnsi="宋体"/>
          <w:bCs/>
          <w:szCs w:val="21"/>
        </w:rPr>
      </w:pPr>
    </w:p>
    <w:p w14:paraId="175DA13F">
      <w:pPr>
        <w:tabs>
          <w:tab w:val="left" w:pos="315"/>
          <w:tab w:val="left" w:pos="360"/>
        </w:tabs>
        <w:snapToGrid w:val="0"/>
        <w:spacing w:line="520" w:lineRule="exact"/>
        <w:rPr>
          <w:rFonts w:hint="eastAsia" w:ascii="宋体" w:hAnsi="宋体"/>
          <w:bCs/>
          <w:szCs w:val="21"/>
        </w:rPr>
      </w:pPr>
      <w:r>
        <w:rPr>
          <w:rFonts w:hint="eastAsia" w:ascii="宋体" w:hAnsi="宋体"/>
          <w:bCs/>
          <w:szCs w:val="21"/>
        </w:rPr>
        <w:t>（二）服务内容：采购人规定范围内的房屋建筑共用部位的维修、养护和管理；共用设施、设备的维修、养护、运行和管理；公共设施和附属建筑物、构筑物的维修、养护和管理、卫生保洁、垃圾分类、防疫消杀、门前三包等内容。</w:t>
      </w:r>
    </w:p>
    <w:p w14:paraId="7DFFB9C9">
      <w:pPr>
        <w:tabs>
          <w:tab w:val="left" w:pos="315"/>
          <w:tab w:val="left" w:pos="360"/>
        </w:tabs>
        <w:snapToGrid w:val="0"/>
        <w:spacing w:line="520" w:lineRule="exact"/>
        <w:rPr>
          <w:rFonts w:hint="eastAsia" w:ascii="宋体" w:hAnsi="宋体"/>
          <w:b/>
          <w:szCs w:val="21"/>
        </w:rPr>
      </w:pPr>
      <w:r>
        <w:rPr>
          <w:rFonts w:hint="eastAsia" w:ascii="宋体" w:hAnsi="宋体"/>
          <w:bCs/>
          <w:szCs w:val="21"/>
        </w:rPr>
        <w:t>（三）物业服务范围：</w:t>
      </w:r>
      <w:r>
        <w:rPr>
          <w:rFonts w:hint="eastAsia" w:ascii="宋体" w:hAnsi="宋体" w:cs="仿宋_GB2312"/>
          <w:bCs/>
          <w:szCs w:val="21"/>
        </w:rPr>
        <w:t>主要为大楼</w:t>
      </w:r>
      <w:r>
        <w:rPr>
          <w:rFonts w:hint="eastAsia" w:ascii="宋体" w:hAnsi="宋体" w:cs="仿宋_GB2312"/>
          <w:szCs w:val="21"/>
        </w:rPr>
        <w:t>楼盖、屋顶、外墙、承重墙体、楼梯间、走廊通道、门厅、水、强弱电、消防、照明、电梯、</w:t>
      </w:r>
      <w:r>
        <w:rPr>
          <w:rFonts w:hint="eastAsia" w:ascii="宋体" w:hAnsi="宋体" w:cs="仿宋_GB2312"/>
          <w:bCs/>
          <w:szCs w:val="21"/>
        </w:rPr>
        <w:t>与管理并做记录；</w:t>
      </w:r>
      <w:r>
        <w:rPr>
          <w:rFonts w:hint="eastAsia" w:ascii="宋体" w:hAnsi="宋体" w:cs="仿宋_GB2312"/>
          <w:szCs w:val="21"/>
        </w:rPr>
        <w:t>停车场的管理与物业相关的工程图纸、竣工验收资料(复印件)</w:t>
      </w:r>
      <w:r>
        <w:rPr>
          <w:rFonts w:hint="eastAsia" w:ascii="宋体" w:hAnsi="宋体" w:cs="仿宋_GB2312"/>
          <w:bCs/>
          <w:szCs w:val="21"/>
        </w:rPr>
        <w:t>；保障所有人员饮食自理；</w:t>
      </w:r>
      <w:r>
        <w:rPr>
          <w:rFonts w:hint="eastAsia" w:ascii="宋体" w:hAnsi="宋体"/>
          <w:bCs/>
          <w:szCs w:val="21"/>
        </w:rPr>
        <w:t>所有室内外公共环境卫生区域及门前三包卫生区域卫生保洁，</w:t>
      </w:r>
      <w:r>
        <w:rPr>
          <w:rFonts w:hint="eastAsia" w:ascii="宋体" w:hAnsi="宋体" w:cs="仿宋_GB2312"/>
          <w:bCs/>
          <w:szCs w:val="21"/>
        </w:rPr>
        <w:t>突发事件应急服务等一些临时性工作。</w:t>
      </w:r>
    </w:p>
    <w:p w14:paraId="5687544C">
      <w:pPr>
        <w:tabs>
          <w:tab w:val="left" w:pos="315"/>
          <w:tab w:val="left" w:pos="360"/>
        </w:tabs>
        <w:snapToGrid w:val="0"/>
        <w:spacing w:line="360" w:lineRule="auto"/>
        <w:ind w:firstLine="420" w:firstLineChars="200"/>
        <w:rPr>
          <w:rFonts w:hint="eastAsia" w:ascii="宋体" w:hAnsi="宋体"/>
          <w:bCs/>
          <w:szCs w:val="21"/>
        </w:rPr>
      </w:pPr>
      <w:r>
        <w:rPr>
          <w:rFonts w:hint="eastAsia" w:ascii="宋体" w:hAnsi="宋体"/>
          <w:bCs/>
          <w:szCs w:val="21"/>
        </w:rPr>
        <w:t>所有楼内外公共环境卫生区域及门前三包卫生区域的卫生保洁工作；包括但不限于：</w:t>
      </w:r>
    </w:p>
    <w:p w14:paraId="20B9C040">
      <w:pPr>
        <w:tabs>
          <w:tab w:val="left" w:pos="315"/>
          <w:tab w:val="left" w:pos="360"/>
        </w:tabs>
        <w:snapToGrid w:val="0"/>
        <w:spacing w:line="360" w:lineRule="auto"/>
        <w:ind w:firstLine="420" w:firstLineChars="200"/>
        <w:rPr>
          <w:rFonts w:hint="eastAsia" w:ascii="宋体" w:hAnsi="宋体"/>
          <w:bCs/>
          <w:szCs w:val="21"/>
        </w:rPr>
      </w:pPr>
      <w:r>
        <w:rPr>
          <w:rFonts w:hint="eastAsia" w:ascii="宋体" w:hAnsi="宋体"/>
          <w:bCs/>
          <w:szCs w:val="21"/>
        </w:rPr>
        <w:t>（1）办公楼大厅、楼梯、走廊、天台、电梯间、卫生间等公共区域和服务用房、及部分办公室、会议室的日常清洁。</w:t>
      </w:r>
    </w:p>
    <w:p w14:paraId="11112C86">
      <w:pPr>
        <w:tabs>
          <w:tab w:val="left" w:pos="315"/>
          <w:tab w:val="left" w:pos="360"/>
        </w:tabs>
        <w:snapToGrid w:val="0"/>
        <w:spacing w:line="360" w:lineRule="auto"/>
        <w:ind w:firstLine="420" w:firstLineChars="200"/>
        <w:rPr>
          <w:rFonts w:hint="eastAsia" w:ascii="宋体" w:hAnsi="宋体"/>
          <w:bCs/>
          <w:szCs w:val="21"/>
        </w:rPr>
      </w:pPr>
      <w:r>
        <w:rPr>
          <w:rFonts w:hint="eastAsia" w:ascii="宋体" w:hAnsi="宋体"/>
          <w:bCs/>
          <w:szCs w:val="21"/>
        </w:rPr>
        <w:t>（2）地下公共区域包括停车场（含非机动车停放区域）、楼梯、走廊、电梯厅、卫生间的日常清洁。</w:t>
      </w:r>
    </w:p>
    <w:p w14:paraId="5AE5B8EA">
      <w:pPr>
        <w:tabs>
          <w:tab w:val="left" w:pos="315"/>
          <w:tab w:val="left" w:pos="360"/>
        </w:tabs>
        <w:snapToGrid w:val="0"/>
        <w:spacing w:line="360" w:lineRule="auto"/>
        <w:ind w:firstLine="420" w:firstLineChars="200"/>
        <w:rPr>
          <w:rFonts w:hint="eastAsia" w:ascii="宋体" w:hAnsi="宋体"/>
          <w:bCs/>
          <w:szCs w:val="21"/>
        </w:rPr>
      </w:pPr>
      <w:r>
        <w:rPr>
          <w:rFonts w:hint="eastAsia" w:ascii="宋体" w:hAnsi="宋体"/>
          <w:bCs/>
          <w:szCs w:val="21"/>
        </w:rPr>
        <w:t>（3）楼外院内的道路及区域、门前三包区域等部位的日常清洁。</w:t>
      </w:r>
    </w:p>
    <w:p w14:paraId="39F3D79A">
      <w:pPr>
        <w:tabs>
          <w:tab w:val="left" w:pos="315"/>
          <w:tab w:val="left" w:pos="360"/>
        </w:tabs>
        <w:snapToGrid w:val="0"/>
        <w:spacing w:line="360" w:lineRule="auto"/>
        <w:ind w:firstLine="420" w:firstLineChars="200"/>
        <w:rPr>
          <w:rFonts w:hint="eastAsia" w:ascii="宋体" w:hAnsi="宋体"/>
          <w:bCs/>
          <w:szCs w:val="21"/>
        </w:rPr>
      </w:pPr>
      <w:r>
        <w:rPr>
          <w:rFonts w:hint="eastAsia" w:ascii="宋体" w:hAnsi="宋体"/>
          <w:bCs/>
          <w:szCs w:val="21"/>
        </w:rPr>
        <w:t>（4）对“其他垃圾”垃圾进行分类收集，并清运至指定地点，不允许针对该项工作进行分包。</w:t>
      </w:r>
    </w:p>
    <w:p w14:paraId="5AA30CAE">
      <w:pPr>
        <w:tabs>
          <w:tab w:val="left" w:pos="315"/>
          <w:tab w:val="left" w:pos="360"/>
        </w:tabs>
        <w:snapToGrid w:val="0"/>
        <w:spacing w:line="360" w:lineRule="auto"/>
        <w:ind w:firstLine="420" w:firstLineChars="200"/>
        <w:rPr>
          <w:rFonts w:hint="eastAsia" w:ascii="宋体" w:hAnsi="宋体"/>
          <w:bCs/>
          <w:szCs w:val="21"/>
        </w:rPr>
      </w:pPr>
      <w:r>
        <w:rPr>
          <w:rFonts w:hint="eastAsia" w:ascii="宋体" w:hAnsi="宋体"/>
          <w:bCs/>
          <w:szCs w:val="21"/>
        </w:rPr>
        <w:t>（5）有害生物防制、日常消毒工作。</w:t>
      </w:r>
    </w:p>
    <w:p w14:paraId="3C2A51F8">
      <w:pPr>
        <w:tabs>
          <w:tab w:val="left" w:pos="315"/>
          <w:tab w:val="left" w:pos="360"/>
        </w:tabs>
        <w:snapToGrid w:val="0"/>
        <w:spacing w:line="360" w:lineRule="auto"/>
        <w:ind w:firstLine="420" w:firstLineChars="200"/>
        <w:rPr>
          <w:rFonts w:hint="eastAsia" w:ascii="宋体" w:hAnsi="宋体"/>
          <w:bCs/>
          <w:szCs w:val="21"/>
        </w:rPr>
      </w:pPr>
      <w:r>
        <w:rPr>
          <w:rFonts w:hint="eastAsia" w:ascii="宋体" w:hAnsi="宋体"/>
          <w:bCs/>
          <w:szCs w:val="21"/>
        </w:rPr>
        <w:t>（6）遇暴雨、积雪等恶劣天气的应急处理及扫雪铲冰等服务。</w:t>
      </w:r>
    </w:p>
    <w:p w14:paraId="3E975A01">
      <w:pPr>
        <w:tabs>
          <w:tab w:val="left" w:pos="315"/>
          <w:tab w:val="left" w:pos="360"/>
        </w:tabs>
        <w:snapToGrid w:val="0"/>
        <w:spacing w:line="360" w:lineRule="auto"/>
        <w:ind w:firstLine="420" w:firstLineChars="200"/>
        <w:rPr>
          <w:rFonts w:hint="eastAsia" w:ascii="宋体" w:hAnsi="宋体"/>
          <w:bCs/>
          <w:szCs w:val="21"/>
        </w:rPr>
      </w:pPr>
      <w:r>
        <w:rPr>
          <w:rFonts w:hint="eastAsia" w:ascii="宋体" w:hAnsi="宋体"/>
          <w:bCs/>
          <w:szCs w:val="21"/>
        </w:rPr>
        <w:t>（7）对外墙清洁、病媒生物防制、化粪池清掏、隔油池清理、绿化养护、垃圾清运等工作。</w:t>
      </w:r>
    </w:p>
    <w:p w14:paraId="4F64BA12">
      <w:pPr>
        <w:tabs>
          <w:tab w:val="left" w:pos="315"/>
          <w:tab w:val="left" w:pos="360"/>
        </w:tabs>
        <w:snapToGrid w:val="0"/>
        <w:spacing w:line="360" w:lineRule="auto"/>
        <w:ind w:firstLine="420" w:firstLineChars="200"/>
        <w:rPr>
          <w:rFonts w:hint="eastAsia" w:ascii="宋体" w:hAnsi="宋体"/>
          <w:bCs/>
          <w:szCs w:val="21"/>
        </w:rPr>
      </w:pPr>
      <w:r>
        <w:rPr>
          <w:rFonts w:hint="eastAsia" w:ascii="宋体" w:hAnsi="宋体"/>
          <w:bCs/>
          <w:szCs w:val="21"/>
        </w:rPr>
        <w:t>（8）保洁耗材（含清洁剂、卫生纸、洗涤剂、消毒剂、清扫工具等）由中标单位负责。</w:t>
      </w:r>
    </w:p>
    <w:p w14:paraId="664318FB">
      <w:pPr>
        <w:pStyle w:val="5"/>
        <w:ind w:firstLineChars="200"/>
        <w:rPr>
          <w:rFonts w:hint="eastAsia" w:hAnsi="宋体"/>
          <w:bCs/>
          <w:sz w:val="21"/>
          <w:szCs w:val="21"/>
        </w:rPr>
      </w:pPr>
      <w:r>
        <w:rPr>
          <w:rFonts w:hint="eastAsia" w:hAnsi="宋体"/>
          <w:bCs/>
          <w:sz w:val="21"/>
          <w:szCs w:val="21"/>
        </w:rPr>
        <w:t>（9）墙顶面乳胶漆翻新（不少于5000平米）</w:t>
      </w:r>
    </w:p>
    <w:p w14:paraId="37224A39">
      <w:pPr>
        <w:pStyle w:val="5"/>
        <w:rPr>
          <w:rFonts w:hint="eastAsia" w:hAnsi="宋体"/>
          <w:bCs/>
          <w:sz w:val="21"/>
          <w:szCs w:val="21"/>
        </w:rPr>
      </w:pPr>
      <w:r>
        <w:rPr>
          <w:rFonts w:hint="eastAsia" w:hAnsi="宋体"/>
          <w:bCs/>
          <w:sz w:val="21"/>
          <w:szCs w:val="21"/>
        </w:rPr>
        <w:t>（10）地砖空鼓修复（不少于3000平米）</w:t>
      </w:r>
    </w:p>
    <w:p w14:paraId="39863BE8">
      <w:pPr>
        <w:tabs>
          <w:tab w:val="left" w:pos="315"/>
          <w:tab w:val="left" w:pos="360"/>
        </w:tabs>
        <w:snapToGrid w:val="0"/>
        <w:spacing w:line="520" w:lineRule="exact"/>
        <w:rPr>
          <w:rFonts w:hint="eastAsia" w:ascii="宋体" w:hAnsi="宋体"/>
          <w:b/>
          <w:szCs w:val="21"/>
        </w:rPr>
      </w:pPr>
      <w:r>
        <w:rPr>
          <w:rFonts w:hint="eastAsia" w:ascii="宋体" w:hAnsi="宋体"/>
          <w:b/>
          <w:szCs w:val="21"/>
        </w:rPr>
        <w:t>四、中标人需满足的各项服务日常工作标准</w:t>
      </w:r>
    </w:p>
    <w:p w14:paraId="6DB50CE5">
      <w:pPr>
        <w:tabs>
          <w:tab w:val="left" w:pos="315"/>
          <w:tab w:val="left" w:pos="360"/>
        </w:tabs>
        <w:snapToGrid w:val="0"/>
        <w:spacing w:line="520" w:lineRule="exact"/>
        <w:ind w:left="420" w:leftChars="200"/>
        <w:rPr>
          <w:rFonts w:hint="eastAsia" w:ascii="宋体" w:hAnsi="宋体"/>
          <w:b/>
          <w:szCs w:val="21"/>
        </w:rPr>
      </w:pPr>
      <w:r>
        <w:rPr>
          <w:rFonts w:hint="eastAsia" w:ascii="宋体" w:hAnsi="宋体"/>
          <w:b/>
          <w:szCs w:val="21"/>
        </w:rPr>
        <w:t>（一）主要服务目标要求</w:t>
      </w:r>
    </w:p>
    <w:p w14:paraId="55BC9052">
      <w:pPr>
        <w:tabs>
          <w:tab w:val="left" w:pos="315"/>
          <w:tab w:val="left" w:pos="360"/>
        </w:tabs>
        <w:snapToGrid w:val="0"/>
        <w:spacing w:line="520" w:lineRule="exact"/>
        <w:ind w:firstLine="420" w:firstLineChars="200"/>
        <w:rPr>
          <w:rFonts w:hint="eastAsia" w:ascii="宋体" w:hAnsi="宋体"/>
          <w:bCs/>
          <w:szCs w:val="21"/>
        </w:rPr>
      </w:pPr>
      <w:r>
        <w:rPr>
          <w:rFonts w:hint="eastAsia" w:ascii="宋体" w:hAnsi="宋体"/>
          <w:bCs/>
          <w:szCs w:val="21"/>
        </w:rPr>
        <w:t>1.制定各项管理制度、服务质量标准、工作岗位考核标准、奖惩办法并严格执行。</w:t>
      </w:r>
    </w:p>
    <w:p w14:paraId="3DF97F9E">
      <w:pPr>
        <w:tabs>
          <w:tab w:val="left" w:pos="315"/>
          <w:tab w:val="left" w:pos="360"/>
        </w:tabs>
        <w:snapToGrid w:val="0"/>
        <w:spacing w:line="520" w:lineRule="exact"/>
        <w:ind w:firstLine="420" w:firstLineChars="200"/>
        <w:rPr>
          <w:rFonts w:hint="eastAsia" w:ascii="宋体" w:hAnsi="宋体"/>
          <w:bCs/>
          <w:szCs w:val="21"/>
        </w:rPr>
      </w:pPr>
      <w:r>
        <w:rPr>
          <w:rFonts w:hint="eastAsia" w:ascii="宋体" w:hAnsi="宋体"/>
          <w:bCs/>
          <w:szCs w:val="21"/>
        </w:rPr>
        <w:t>2.配备所需各种专业技术人员，做到持证上岗。</w:t>
      </w:r>
    </w:p>
    <w:p w14:paraId="27A1A478">
      <w:pPr>
        <w:tabs>
          <w:tab w:val="left" w:pos="315"/>
          <w:tab w:val="left" w:pos="360"/>
        </w:tabs>
        <w:snapToGrid w:val="0"/>
        <w:spacing w:line="520" w:lineRule="exact"/>
        <w:ind w:firstLine="420" w:firstLineChars="200"/>
        <w:rPr>
          <w:rFonts w:hint="eastAsia" w:ascii="宋体" w:hAnsi="宋体"/>
          <w:bCs/>
          <w:szCs w:val="21"/>
        </w:rPr>
      </w:pPr>
      <w:r>
        <w:rPr>
          <w:rFonts w:hint="eastAsia" w:ascii="宋体" w:hAnsi="宋体"/>
          <w:bCs/>
          <w:szCs w:val="21"/>
        </w:rPr>
        <w:t>3.建立健全员工培训机制，加强员工培训，不断提高员工工作技能和水平。员工在工作时间应着装整齐，仪表、仪态、用语文明礼貌；服务做到坚持原则，热情大方；服务过程中不做与工作无关的事，严守甲方秘密。</w:t>
      </w:r>
    </w:p>
    <w:p w14:paraId="7F2F61C9">
      <w:pPr>
        <w:tabs>
          <w:tab w:val="left" w:pos="315"/>
          <w:tab w:val="left" w:pos="360"/>
        </w:tabs>
        <w:snapToGrid w:val="0"/>
        <w:spacing w:line="520" w:lineRule="exact"/>
        <w:ind w:firstLine="420" w:firstLineChars="200"/>
        <w:rPr>
          <w:rFonts w:hint="eastAsia" w:ascii="宋体" w:hAnsi="宋体"/>
          <w:bCs/>
          <w:szCs w:val="21"/>
        </w:rPr>
      </w:pPr>
      <w:r>
        <w:rPr>
          <w:rFonts w:hint="eastAsia" w:ascii="宋体" w:hAnsi="宋体"/>
          <w:bCs/>
          <w:szCs w:val="21"/>
        </w:rPr>
        <w:t>4.承担服务区域内、作业人员的安全生产管理工作，包括但不限于逐级落实安全生产责任制、制定安全生产管理制度及安全操作规程、人员教育与培训、重大危险源的管控、危险作业的审批、生产安全事故应急处置等。</w:t>
      </w:r>
    </w:p>
    <w:p w14:paraId="57C76630">
      <w:pPr>
        <w:tabs>
          <w:tab w:val="left" w:pos="315"/>
          <w:tab w:val="left" w:pos="360"/>
        </w:tabs>
        <w:snapToGrid w:val="0"/>
        <w:spacing w:line="520" w:lineRule="exact"/>
        <w:ind w:firstLine="420" w:firstLineChars="200"/>
        <w:rPr>
          <w:rFonts w:hint="eastAsia" w:ascii="宋体" w:hAnsi="宋体"/>
          <w:bCs/>
          <w:szCs w:val="21"/>
        </w:rPr>
      </w:pPr>
      <w:r>
        <w:rPr>
          <w:rFonts w:hint="eastAsia" w:ascii="宋体" w:hAnsi="宋体"/>
          <w:bCs/>
          <w:szCs w:val="21"/>
        </w:rPr>
        <w:t>5.以上各项管理服务内容或延伸服务内容可根据采购人需求，另行增加相关内容和具体质量标准。</w:t>
      </w:r>
    </w:p>
    <w:p w14:paraId="17A8172E">
      <w:pPr>
        <w:tabs>
          <w:tab w:val="left" w:pos="315"/>
          <w:tab w:val="left" w:pos="360"/>
        </w:tabs>
        <w:snapToGrid w:val="0"/>
        <w:spacing w:line="520" w:lineRule="exact"/>
        <w:ind w:firstLine="422" w:firstLineChars="200"/>
        <w:rPr>
          <w:rFonts w:hint="eastAsia" w:ascii="宋体" w:hAnsi="宋体"/>
          <w:b/>
          <w:szCs w:val="21"/>
        </w:rPr>
      </w:pPr>
      <w:r>
        <w:rPr>
          <w:rFonts w:hint="eastAsia" w:ascii="宋体" w:hAnsi="宋体"/>
          <w:b/>
          <w:szCs w:val="21"/>
        </w:rPr>
        <w:t>（二）主要服务标准</w:t>
      </w:r>
    </w:p>
    <w:p w14:paraId="268E0E16">
      <w:pPr>
        <w:tabs>
          <w:tab w:val="left" w:pos="315"/>
          <w:tab w:val="left" w:pos="360"/>
        </w:tabs>
        <w:snapToGrid w:val="0"/>
        <w:spacing w:line="520" w:lineRule="exact"/>
        <w:ind w:firstLine="420" w:firstLineChars="200"/>
        <w:rPr>
          <w:rFonts w:hint="eastAsia" w:ascii="宋体" w:hAnsi="宋体"/>
          <w:bCs/>
          <w:szCs w:val="21"/>
        </w:rPr>
      </w:pPr>
      <w:r>
        <w:rPr>
          <w:rFonts w:hint="eastAsia" w:ascii="宋体" w:hAnsi="宋体"/>
          <w:bCs/>
          <w:szCs w:val="21"/>
        </w:rPr>
        <w:t>树立“服务第一，客户至上”的思想，服务从细节入手，以人为本、主动热情；客户综合满意率98%以上；客户投诉处理率100%。</w:t>
      </w:r>
    </w:p>
    <w:p w14:paraId="32BF3BAF">
      <w:pPr>
        <w:tabs>
          <w:tab w:val="left" w:pos="315"/>
          <w:tab w:val="left" w:pos="360"/>
        </w:tabs>
        <w:snapToGrid w:val="0"/>
        <w:spacing w:line="520" w:lineRule="exact"/>
        <w:ind w:firstLine="420" w:firstLineChars="200"/>
        <w:rPr>
          <w:rStyle w:val="252"/>
          <w:rFonts w:hint="eastAsia" w:ascii="宋体" w:hAnsi="宋体" w:cs="仿宋_GB2312"/>
          <w:b/>
          <w:szCs w:val="21"/>
        </w:rPr>
      </w:pPr>
      <w:r>
        <w:rPr>
          <w:rFonts w:hint="eastAsia" w:ascii="宋体" w:hAnsi="宋体" w:cs="仿宋_GB2312"/>
          <w:bCs/>
          <w:szCs w:val="21"/>
        </w:rPr>
        <w:t>1.</w:t>
      </w:r>
      <w:r>
        <w:rPr>
          <w:rStyle w:val="252"/>
          <w:rFonts w:hint="eastAsia" w:ascii="宋体" w:hAnsi="宋体" w:cs="仿宋_GB2312"/>
          <w:b/>
          <w:szCs w:val="21"/>
        </w:rPr>
        <w:t>物业服务从业人员管理</w:t>
      </w:r>
    </w:p>
    <w:p w14:paraId="6D616C4F">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中标人从业人员应当符合以下要求：</w:t>
      </w:r>
    </w:p>
    <w:p w14:paraId="4D84F455">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1.1.应当接受物业服务机构或采购人的从业资格审查，无违法犯罪记录并提供无违法犯罪记录证明，具备忠于职守、尽职尽责的职业道德和操守。</w:t>
      </w:r>
    </w:p>
    <w:p w14:paraId="009E2E6F">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1.2.应当具备相应的物业管理服务知识；专业技术人员、操作人员应当取得相应专业技术证书或者职业技能资格证书，定期参加法律法规、安全知识、专业技能等培训。</w:t>
      </w:r>
    </w:p>
    <w:p w14:paraId="4F680BB9">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1.3.中标人从业人员必须进行岗前培训，接受保密教育，合格后上岗，熟悉机关办公区的基本情况，能正确使用相关专用设备。</w:t>
      </w:r>
    </w:p>
    <w:p w14:paraId="6596A946">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1.4.中标人从业人员工作时需统一着装，佩戴标志，规范服务，语言文明，仪容仪表整洁，服务主动热情，使用普通话。</w:t>
      </w:r>
    </w:p>
    <w:p w14:paraId="5FE8CB67">
      <w:pPr>
        <w:spacing w:line="520" w:lineRule="exact"/>
        <w:ind w:firstLine="422" w:firstLineChars="200"/>
        <w:rPr>
          <w:rStyle w:val="252"/>
          <w:rFonts w:hint="eastAsia" w:ascii="宋体" w:hAnsi="宋体" w:cs="仿宋_GB2312"/>
          <w:b/>
          <w:szCs w:val="21"/>
        </w:rPr>
      </w:pPr>
      <w:r>
        <w:rPr>
          <w:rStyle w:val="252"/>
          <w:rFonts w:hint="eastAsia" w:ascii="宋体" w:hAnsi="宋体" w:cs="仿宋_GB2312"/>
          <w:b/>
          <w:szCs w:val="21"/>
        </w:rPr>
        <w:t>2.物业服务档案管理</w:t>
      </w:r>
    </w:p>
    <w:p w14:paraId="00D01A9E">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中标人档案管理应当符合以下要求：</w:t>
      </w:r>
    </w:p>
    <w:p w14:paraId="4A99DDF7">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2.1.建立档案管理制度，设置专职档案管理员。</w:t>
      </w:r>
    </w:p>
    <w:p w14:paraId="0BE519E9">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2.2.保证所收集到的房屋及其共用设施设备等档案资料齐全，分类成册，管理完善，以便查阅。</w:t>
      </w:r>
    </w:p>
    <w:p w14:paraId="6F1FC207">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2.3.做好各类设施设备、安全生产工作的巡查、检查、运行记录表的存档。</w:t>
      </w:r>
    </w:p>
    <w:p w14:paraId="30638433">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2.4.做好各类设施设备的检查、检测报告的存档工作，并按要求将需要展示在设备间的材料进行悬挂展示。</w:t>
      </w:r>
    </w:p>
    <w:p w14:paraId="74D36387">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2.5.做好中标人从业人员人事档案存档、管理工作，包括但不限于以下内容：从业人员应聘信息登记表、身份证复印件、照片、职称/技能证书、体检报告、劳动合同、保密协议等。</w:t>
      </w:r>
    </w:p>
    <w:p w14:paraId="6C9E2B6D">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2.6.库房物品归类摆放整齐，库内无杂物，货架无灰尘，保持账物相符、账账相符，每月盘库一次，上报采购人；每月初报废上月废旧配件，采购人根据报废配件数量表抽查核实配件数量及使用寿命， 经双方签字确认后方可报废。</w:t>
      </w:r>
    </w:p>
    <w:p w14:paraId="0AF4D855">
      <w:pPr>
        <w:spacing w:line="520" w:lineRule="exact"/>
        <w:ind w:firstLine="422" w:firstLineChars="200"/>
        <w:rPr>
          <w:rStyle w:val="252"/>
          <w:rFonts w:hint="eastAsia" w:ascii="宋体" w:hAnsi="宋体" w:cs="仿宋_GB2312"/>
          <w:b/>
          <w:szCs w:val="21"/>
        </w:rPr>
      </w:pPr>
      <w:r>
        <w:rPr>
          <w:rStyle w:val="252"/>
          <w:rFonts w:hint="eastAsia" w:ascii="宋体" w:hAnsi="宋体" w:cs="仿宋_GB2312"/>
          <w:b/>
          <w:szCs w:val="21"/>
        </w:rPr>
        <w:t xml:space="preserve">3.房屋、公用部位日常管理及维修养护 </w:t>
      </w:r>
    </w:p>
    <w:p w14:paraId="6E1BDF5C">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3.1.每周不少于2次对办公楼外立面及附着物进行巡视，外墙饰面、涂料等装饰有脱落、污渍的现象及时向采购人报告，根据采购人要求进行处理，做好相关记录并留档。</w:t>
      </w:r>
    </w:p>
    <w:p w14:paraId="3E54CC40">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3.2.随时巡视楼顶及室内外各类灯具、牌匾等，存在安全隐患要及时告知采购人和有关部门，并督促有关部门处理，避免造成安全事故 。</w:t>
      </w:r>
    </w:p>
    <w:p w14:paraId="562C8898">
      <w:pPr>
        <w:spacing w:line="520" w:lineRule="exact"/>
        <w:ind w:firstLine="573"/>
        <w:rPr>
          <w:rStyle w:val="252"/>
          <w:rFonts w:hint="eastAsia" w:ascii="宋体" w:hAnsi="宋体" w:cs="仿宋_GB2312"/>
          <w:szCs w:val="21"/>
        </w:rPr>
      </w:pPr>
      <w:r>
        <w:rPr>
          <w:rStyle w:val="252"/>
          <w:rFonts w:hint="eastAsia" w:ascii="宋体" w:hAnsi="宋体" w:cs="仿宋_GB2312"/>
          <w:szCs w:val="21"/>
        </w:rPr>
        <w:t>3.3.每季度检查1次梁、板、柱等结构构件，外观出现变形、开裂等现象时，应提示采购人申请房屋安全鉴定，同时采取必要的防护措施。按鉴定结果和采购人指令组织修缮。</w:t>
      </w:r>
    </w:p>
    <w:p w14:paraId="058104CA">
      <w:pPr>
        <w:spacing w:line="520" w:lineRule="exact"/>
        <w:ind w:firstLine="573"/>
        <w:rPr>
          <w:rStyle w:val="252"/>
          <w:rFonts w:hint="eastAsia" w:ascii="宋体" w:hAnsi="宋体" w:cs="仿宋_GB2312"/>
          <w:szCs w:val="21"/>
        </w:rPr>
      </w:pPr>
      <w:r>
        <w:rPr>
          <w:rStyle w:val="252"/>
          <w:rFonts w:hint="eastAsia" w:ascii="宋体" w:hAnsi="宋体" w:cs="仿宋_GB2312"/>
          <w:szCs w:val="21"/>
        </w:rPr>
        <w:t xml:space="preserve">3.4.对房屋共用部位进行日常管理和维修养护，做好检修记录和保养记录并留档。 </w:t>
      </w:r>
    </w:p>
    <w:p w14:paraId="41A17D7E">
      <w:pPr>
        <w:spacing w:line="520" w:lineRule="exact"/>
        <w:ind w:firstLine="573"/>
        <w:rPr>
          <w:rStyle w:val="252"/>
          <w:rFonts w:hint="eastAsia" w:ascii="宋体" w:hAnsi="宋体" w:cs="仿宋_GB2312"/>
          <w:szCs w:val="21"/>
        </w:rPr>
      </w:pPr>
      <w:r>
        <w:rPr>
          <w:rStyle w:val="252"/>
          <w:rFonts w:hint="eastAsia" w:ascii="宋体" w:hAnsi="宋体" w:cs="仿宋_GB2312"/>
          <w:szCs w:val="21"/>
        </w:rPr>
        <w:t>3.5.根据房屋实际使用年限，适时检查房屋共用部位的使用状况。如需要维修，属于小修范围的，及时组织修复。属于大、中修范围或者需要更新改造的，要向采购人提出报告与建议，并协助实施。</w:t>
      </w:r>
    </w:p>
    <w:p w14:paraId="6B5828E2">
      <w:pPr>
        <w:spacing w:line="520" w:lineRule="exact"/>
        <w:ind w:firstLine="573"/>
        <w:rPr>
          <w:rStyle w:val="252"/>
          <w:rFonts w:hint="eastAsia" w:ascii="宋体" w:hAnsi="宋体" w:cs="仿宋_GB2312"/>
          <w:szCs w:val="21"/>
        </w:rPr>
      </w:pPr>
      <w:r>
        <w:rPr>
          <w:rStyle w:val="252"/>
          <w:rFonts w:hint="eastAsia" w:ascii="宋体" w:hAnsi="宋体" w:cs="仿宋_GB2312"/>
          <w:szCs w:val="21"/>
        </w:rPr>
        <w:t xml:space="preserve">3.6.每日不低于2次对楼内外公共区域进行巡查，做好巡查记录，发现安全隐患或破损及时报告甲方，将巡查记录及破损报告进行存档。 </w:t>
      </w:r>
    </w:p>
    <w:p w14:paraId="30254556">
      <w:pPr>
        <w:spacing w:line="520" w:lineRule="exact"/>
        <w:ind w:firstLine="573"/>
        <w:rPr>
          <w:rStyle w:val="252"/>
          <w:rFonts w:hint="eastAsia" w:ascii="宋体" w:hAnsi="宋体" w:cs="仿宋_GB2312"/>
          <w:szCs w:val="21"/>
        </w:rPr>
      </w:pPr>
      <w:r>
        <w:rPr>
          <w:rStyle w:val="252"/>
          <w:rFonts w:hint="eastAsia" w:ascii="宋体" w:hAnsi="宋体" w:cs="仿宋_GB2312"/>
          <w:szCs w:val="21"/>
        </w:rPr>
        <w:t>3.7.发现公共部位玻璃、门窗等出现问题需要维修的，及时向采购人报告并配合采购人指定的专业人员及时维修。内墙面、顶面粉刷层发现剥落或污损，及时向甲方汇报，双方协商进行修补、除污。步行梯、散水、地面、屋面等需要维修的，随时进行修补维修。(墙面、地面等小修指面积2平米高度2米以下的非高空小面积)</w:t>
      </w:r>
    </w:p>
    <w:p w14:paraId="20E1C8FD">
      <w:pPr>
        <w:spacing w:line="520" w:lineRule="exact"/>
        <w:ind w:firstLine="573"/>
        <w:rPr>
          <w:rStyle w:val="252"/>
          <w:rFonts w:hint="eastAsia" w:ascii="宋体" w:hAnsi="宋体" w:cs="仿宋_GB2312"/>
          <w:szCs w:val="21"/>
        </w:rPr>
      </w:pPr>
      <w:r>
        <w:rPr>
          <w:rStyle w:val="252"/>
          <w:rFonts w:hint="eastAsia" w:ascii="宋体" w:hAnsi="宋体" w:cs="仿宋_GB2312"/>
          <w:szCs w:val="21"/>
        </w:rPr>
        <w:t>3.8.按照有关规定，每年提示采购人进行1次房屋避雷检测，符合避雷规范要求。</w:t>
      </w:r>
    </w:p>
    <w:p w14:paraId="10E85619">
      <w:pPr>
        <w:spacing w:line="520" w:lineRule="exact"/>
        <w:ind w:firstLine="573"/>
        <w:rPr>
          <w:rStyle w:val="252"/>
          <w:rFonts w:hint="eastAsia" w:ascii="宋体" w:hAnsi="宋体" w:cs="仿宋_GB2312"/>
          <w:kern w:val="4"/>
          <w:szCs w:val="21"/>
        </w:rPr>
      </w:pPr>
      <w:r>
        <w:rPr>
          <w:rStyle w:val="252"/>
          <w:rFonts w:hint="eastAsia" w:ascii="宋体" w:hAnsi="宋体" w:cs="仿宋_GB2312"/>
          <w:kern w:val="4"/>
          <w:szCs w:val="21"/>
        </w:rPr>
        <w:t>3.9.零活维修及时率达到100%，急修人员5分钟到达现场进行处置，做到一般维修2小时内完毕，复杂维修当日内完成，对在时限内不能完成的，向甲方说明情况。</w:t>
      </w:r>
    </w:p>
    <w:p w14:paraId="3C3BBBCC">
      <w:pPr>
        <w:spacing w:line="520" w:lineRule="exact"/>
        <w:ind w:firstLine="573"/>
        <w:rPr>
          <w:rStyle w:val="252"/>
          <w:rFonts w:hint="eastAsia" w:ascii="宋体" w:hAnsi="宋体" w:cs="仿宋_GB2312"/>
          <w:kern w:val="4"/>
          <w:szCs w:val="21"/>
        </w:rPr>
      </w:pPr>
      <w:r>
        <w:rPr>
          <w:rStyle w:val="252"/>
          <w:rFonts w:hint="eastAsia" w:ascii="宋体" w:hAnsi="宋体" w:cs="仿宋_GB2312"/>
          <w:kern w:val="4"/>
          <w:szCs w:val="21"/>
        </w:rPr>
        <w:t>3.10</w:t>
      </w:r>
      <w:r>
        <w:rPr>
          <w:rStyle w:val="252"/>
          <w:rFonts w:ascii="宋体" w:hAnsi="宋体" w:cs="仿宋_GB2312"/>
          <w:kern w:val="4"/>
          <w:szCs w:val="21"/>
        </w:rPr>
        <w:t>.</w:t>
      </w:r>
      <w:r>
        <w:rPr>
          <w:rStyle w:val="252"/>
          <w:rFonts w:hint="eastAsia" w:ascii="宋体" w:hAnsi="宋体" w:cs="仿宋_GB2312"/>
          <w:kern w:val="4"/>
          <w:szCs w:val="21"/>
        </w:rPr>
        <w:t>院内平房院服务人员免费入住，环境要修补维修，保持干净整洁。</w:t>
      </w:r>
    </w:p>
    <w:p w14:paraId="5AA05C39">
      <w:pPr>
        <w:spacing w:line="520" w:lineRule="exact"/>
        <w:ind w:firstLine="422" w:firstLineChars="200"/>
        <w:rPr>
          <w:rStyle w:val="252"/>
          <w:rFonts w:hint="eastAsia" w:ascii="宋体" w:hAnsi="宋体" w:cs="仿宋_GB2312"/>
          <w:b/>
          <w:kern w:val="4"/>
          <w:szCs w:val="21"/>
        </w:rPr>
      </w:pPr>
      <w:r>
        <w:rPr>
          <w:rStyle w:val="252"/>
          <w:rFonts w:hint="eastAsia" w:ascii="宋体" w:hAnsi="宋体" w:cs="仿宋_GB2312"/>
          <w:b/>
          <w:kern w:val="4"/>
          <w:szCs w:val="21"/>
        </w:rPr>
        <w:t xml:space="preserve">4.设施设备日常运行及维护管理 </w:t>
      </w:r>
    </w:p>
    <w:p w14:paraId="54FECBC0">
      <w:pPr>
        <w:spacing w:line="520" w:lineRule="exact"/>
        <w:ind w:firstLine="420" w:firstLineChars="200"/>
        <w:rPr>
          <w:rStyle w:val="252"/>
          <w:rFonts w:hint="eastAsia" w:ascii="宋体" w:hAnsi="宋体" w:cs="仿宋_GB2312"/>
          <w:kern w:val="4"/>
          <w:szCs w:val="21"/>
        </w:rPr>
      </w:pPr>
      <w:r>
        <w:rPr>
          <w:rStyle w:val="252"/>
          <w:rFonts w:hint="eastAsia" w:ascii="宋体" w:hAnsi="宋体" w:cs="仿宋_GB2312"/>
          <w:kern w:val="4"/>
          <w:szCs w:val="21"/>
        </w:rPr>
        <w:t>4.1.建立设施设备管理制度，如设施设备运行记录、巡检纪录、维修保养纪录、岗位职责等，并制定相应的应急预案。</w:t>
      </w:r>
    </w:p>
    <w:p w14:paraId="4DDB64CF">
      <w:pPr>
        <w:spacing w:line="520" w:lineRule="exact"/>
        <w:ind w:firstLine="420" w:firstLineChars="200"/>
        <w:rPr>
          <w:rStyle w:val="252"/>
          <w:rFonts w:hint="eastAsia" w:ascii="宋体" w:hAnsi="宋体" w:cs="仿宋_GB2312"/>
          <w:kern w:val="4"/>
          <w:szCs w:val="21"/>
        </w:rPr>
      </w:pPr>
      <w:r>
        <w:rPr>
          <w:rStyle w:val="252"/>
          <w:rFonts w:hint="eastAsia" w:ascii="宋体" w:hAnsi="宋体" w:cs="仿宋_GB2312"/>
          <w:kern w:val="4"/>
          <w:szCs w:val="21"/>
        </w:rPr>
        <w:t>4.2.每日2次巡查设施设备机房，做好巡查记录并留档；每季度末对公用设施设备进行全面检查,开展隐患巡查排查和治理,确保公用设施设备运行良好。</w:t>
      </w:r>
    </w:p>
    <w:p w14:paraId="74B72DCA">
      <w:pPr>
        <w:spacing w:line="520" w:lineRule="exact"/>
        <w:ind w:firstLine="420" w:firstLineChars="200"/>
        <w:rPr>
          <w:rStyle w:val="252"/>
          <w:rFonts w:hint="eastAsia" w:ascii="宋体" w:hAnsi="宋体" w:cs="仿宋_GB2312"/>
          <w:kern w:val="4"/>
          <w:szCs w:val="21"/>
        </w:rPr>
      </w:pPr>
      <w:r>
        <w:rPr>
          <w:rStyle w:val="252"/>
          <w:rFonts w:hint="eastAsia" w:ascii="宋体" w:hAnsi="宋体" w:cs="仿宋_GB2312"/>
          <w:kern w:val="4"/>
          <w:szCs w:val="21"/>
        </w:rPr>
        <w:t>4.3.特种设备由专业性机构进行维修养护,乙方做好日常监督和管理工作。</w:t>
      </w:r>
    </w:p>
    <w:p w14:paraId="3264A15C">
      <w:pPr>
        <w:spacing w:line="520" w:lineRule="exact"/>
        <w:ind w:firstLine="420" w:firstLineChars="200"/>
        <w:rPr>
          <w:rStyle w:val="252"/>
          <w:rFonts w:hint="eastAsia" w:ascii="宋体" w:hAnsi="宋体" w:cs="仿宋_GB2312"/>
          <w:kern w:val="4"/>
          <w:szCs w:val="21"/>
        </w:rPr>
      </w:pPr>
      <w:r>
        <w:rPr>
          <w:rStyle w:val="252"/>
          <w:rFonts w:hint="eastAsia" w:ascii="宋体" w:hAnsi="宋体" w:cs="仿宋_GB2312"/>
          <w:kern w:val="4"/>
          <w:szCs w:val="21"/>
        </w:rPr>
        <w:t>4.4.设备机房每半月清洁1次,机房整洁有序,室内无杂物；设有挡鼠板、鼠药盒或粘鼠板；在明显易取位置摆放有符合规定的消防器材以及专用工具,确保完好有效；设施设备标识标牌齐全，张贴或悬挂相关制度、证书、检验报告。</w:t>
      </w:r>
    </w:p>
    <w:p w14:paraId="598F0D61">
      <w:pPr>
        <w:spacing w:line="520" w:lineRule="exact"/>
        <w:ind w:firstLine="420" w:firstLineChars="200"/>
        <w:rPr>
          <w:rStyle w:val="252"/>
          <w:rFonts w:hint="eastAsia" w:ascii="宋体" w:hAnsi="宋体" w:cs="仿宋_GB2312"/>
          <w:kern w:val="4"/>
          <w:szCs w:val="21"/>
        </w:rPr>
      </w:pPr>
      <w:r>
        <w:rPr>
          <w:rStyle w:val="252"/>
          <w:rFonts w:hint="eastAsia" w:ascii="宋体" w:hAnsi="宋体" w:cs="仿宋_GB2312"/>
          <w:kern w:val="4"/>
          <w:szCs w:val="21"/>
        </w:rPr>
        <w:t>4.54.元旦、春节、五一、国庆等重大节假日和活动前,对供水、供电、供气、供热、空调、给排水、空调、消防等设备设施进行一次全面巡检工作，保证各类设施设备及其附属设施正常运转，做好巡检记录并留档。</w:t>
      </w:r>
    </w:p>
    <w:p w14:paraId="60011C9A">
      <w:pPr>
        <w:spacing w:line="520" w:lineRule="exact"/>
        <w:ind w:firstLine="420" w:firstLineChars="200"/>
        <w:rPr>
          <w:rStyle w:val="252"/>
          <w:rFonts w:hint="eastAsia" w:ascii="宋体" w:hAnsi="宋体" w:cs="仿宋_GB2312"/>
          <w:kern w:val="4"/>
          <w:szCs w:val="21"/>
        </w:rPr>
      </w:pPr>
      <w:r>
        <w:rPr>
          <w:rStyle w:val="252"/>
          <w:rFonts w:hint="eastAsia" w:ascii="宋体" w:hAnsi="宋体" w:cs="仿宋_GB2312"/>
          <w:kern w:val="4"/>
          <w:szCs w:val="21"/>
        </w:rPr>
        <w:t>4.6.对设施设备的总体要求：保证设施设备运行、无事故隐患；配备取得相应资格的专业技术人员，严格执行操作规程。</w:t>
      </w:r>
    </w:p>
    <w:p w14:paraId="25B31C09">
      <w:pPr>
        <w:tabs>
          <w:tab w:val="left" w:pos="315"/>
          <w:tab w:val="left" w:pos="360"/>
        </w:tabs>
        <w:snapToGrid w:val="0"/>
        <w:spacing w:line="520" w:lineRule="exact"/>
        <w:ind w:firstLine="420" w:firstLineChars="200"/>
        <w:rPr>
          <w:rFonts w:hint="eastAsia" w:ascii="宋体" w:hAnsi="宋体"/>
          <w:bCs/>
          <w:szCs w:val="21"/>
        </w:rPr>
      </w:pPr>
      <w:r>
        <w:rPr>
          <w:rStyle w:val="252"/>
          <w:rFonts w:hint="eastAsia" w:ascii="宋体" w:hAnsi="宋体" w:cs="仿宋_GB2312" w:eastAsiaTheme="minorEastAsia"/>
          <w:kern w:val="4"/>
          <w:szCs w:val="21"/>
          <w:u w:val="single"/>
        </w:rPr>
        <w:t>4.7配件购置累计超出物业合同总额的10%由采购人承担</w:t>
      </w:r>
      <w:r>
        <w:rPr>
          <w:rStyle w:val="252"/>
          <w:rFonts w:hint="eastAsia" w:ascii="宋体" w:hAnsi="宋体" w:cs="仿宋_GB2312" w:eastAsiaTheme="minorEastAsia"/>
          <w:kern w:val="4"/>
          <w:szCs w:val="21"/>
        </w:rPr>
        <w:t xml:space="preserve"> （含</w:t>
      </w:r>
      <w:r>
        <w:rPr>
          <w:rFonts w:hint="eastAsia" w:ascii="宋体" w:hAnsi="宋体"/>
          <w:bCs/>
          <w:szCs w:val="21"/>
        </w:rPr>
        <w:t>墙顶面乳胶漆翻新的材料采购（墙面不少于5000平米，不含人工）、地砖空鼓修复（不少于3000平米，不含人工）</w:t>
      </w:r>
    </w:p>
    <w:p w14:paraId="634741CF">
      <w:pPr>
        <w:spacing w:line="520" w:lineRule="exact"/>
        <w:ind w:firstLine="420" w:firstLineChars="200"/>
        <w:rPr>
          <w:rStyle w:val="252"/>
          <w:rFonts w:hint="eastAsia" w:ascii="宋体" w:hAnsi="宋体" w:cs="仿宋_GB2312" w:eastAsiaTheme="minorEastAsia"/>
          <w:kern w:val="4"/>
          <w:szCs w:val="21"/>
        </w:rPr>
      </w:pPr>
    </w:p>
    <w:p w14:paraId="3FB49969">
      <w:pPr>
        <w:spacing w:line="520" w:lineRule="exact"/>
        <w:ind w:firstLine="422" w:firstLineChars="200"/>
        <w:rPr>
          <w:rStyle w:val="252"/>
          <w:rFonts w:hint="eastAsia" w:ascii="宋体" w:hAnsi="宋体" w:cs="仿宋_GB2312"/>
          <w:b/>
          <w:kern w:val="4"/>
          <w:szCs w:val="21"/>
        </w:rPr>
      </w:pPr>
      <w:r>
        <w:rPr>
          <w:rStyle w:val="252"/>
          <w:rFonts w:hint="eastAsia" w:ascii="宋体" w:hAnsi="宋体" w:cs="仿宋_GB2312"/>
          <w:b/>
          <w:kern w:val="4"/>
          <w:szCs w:val="21"/>
        </w:rPr>
        <w:t xml:space="preserve">5.供电系统日常运行及维护管理 </w:t>
      </w:r>
    </w:p>
    <w:p w14:paraId="0E6E2A9D">
      <w:pPr>
        <w:spacing w:line="520" w:lineRule="exact"/>
        <w:ind w:firstLine="420" w:firstLineChars="200"/>
        <w:rPr>
          <w:rStyle w:val="252"/>
          <w:rFonts w:hint="eastAsia" w:ascii="宋体" w:hAnsi="宋体" w:cs="仿宋_GB2312"/>
          <w:kern w:val="4"/>
          <w:szCs w:val="21"/>
        </w:rPr>
      </w:pPr>
      <w:r>
        <w:rPr>
          <w:rStyle w:val="252"/>
          <w:rFonts w:hint="eastAsia" w:ascii="宋体" w:hAnsi="宋体" w:cs="仿宋_GB2312"/>
          <w:kern w:val="4"/>
          <w:szCs w:val="21"/>
        </w:rPr>
        <w:t>5.1.建立配送电运行制度和配电房管理制度,制定突发事件应急处理程序和临时用电管理措施，规范管理高、低压配电室；限电、停电按规定时间通知甲方。</w:t>
      </w:r>
    </w:p>
    <w:p w14:paraId="336577DE">
      <w:pPr>
        <w:spacing w:line="520" w:lineRule="exact"/>
        <w:ind w:firstLine="420" w:firstLineChars="200"/>
        <w:rPr>
          <w:rStyle w:val="252"/>
          <w:rFonts w:hint="eastAsia" w:ascii="宋体" w:hAnsi="宋体" w:cs="仿宋_GB2312"/>
          <w:kern w:val="4"/>
          <w:szCs w:val="21"/>
        </w:rPr>
      </w:pPr>
      <w:r>
        <w:rPr>
          <w:rStyle w:val="252"/>
          <w:rFonts w:hint="eastAsia" w:ascii="宋体" w:hAnsi="宋体" w:cs="仿宋_GB2312"/>
          <w:kern w:val="4"/>
          <w:szCs w:val="21"/>
        </w:rPr>
        <w:t>5.2.建立24小时运行值班监控制度，保证高压配电室值班值守不少于2人；对公共区域的电气设备每周巡视3次,保证公共区域的照明、指示灯具线路、开关保持完好,确保用电安全。</w:t>
      </w:r>
    </w:p>
    <w:p w14:paraId="56B44747">
      <w:pPr>
        <w:spacing w:line="520" w:lineRule="exact"/>
        <w:ind w:firstLine="420" w:firstLineChars="200"/>
        <w:rPr>
          <w:rStyle w:val="252"/>
          <w:rFonts w:hint="eastAsia" w:ascii="宋体" w:hAnsi="宋体" w:cs="仿宋_GB2312"/>
          <w:kern w:val="4"/>
          <w:szCs w:val="21"/>
        </w:rPr>
      </w:pPr>
      <w:r>
        <w:rPr>
          <w:rStyle w:val="252"/>
          <w:rFonts w:hint="eastAsia" w:ascii="宋体" w:hAnsi="宋体" w:cs="仿宋_GB2312"/>
          <w:kern w:val="4"/>
          <w:szCs w:val="21"/>
        </w:rPr>
        <w:t>5.3.高低压配电室各种安全警示标志齐全，不齐全的，提示甲方及时整改。保证配电操作工具整洁、齐全，便于取用。</w:t>
      </w:r>
    </w:p>
    <w:p w14:paraId="5D1F6182">
      <w:pPr>
        <w:spacing w:line="520" w:lineRule="exact"/>
        <w:ind w:firstLine="420" w:firstLineChars="200"/>
        <w:rPr>
          <w:rStyle w:val="252"/>
          <w:rFonts w:hint="eastAsia" w:ascii="宋体" w:hAnsi="宋体" w:cs="仿宋_GB2312"/>
          <w:kern w:val="4"/>
          <w:szCs w:val="21"/>
        </w:rPr>
      </w:pPr>
      <w:r>
        <w:rPr>
          <w:rStyle w:val="252"/>
          <w:rFonts w:hint="eastAsia" w:ascii="宋体" w:hAnsi="宋体" w:cs="仿宋_GB2312"/>
          <w:kern w:val="4"/>
          <w:szCs w:val="21"/>
        </w:rPr>
        <w:t>5.4.加强低压配电柜、配电箱、控制柜以及线路的重点监测,每日巡视运行状况；每年养护1次，养护内容包括紧固，检测、清扫；每季度不低于2次检查电气安全。</w:t>
      </w:r>
    </w:p>
    <w:p w14:paraId="17EC9597">
      <w:pPr>
        <w:spacing w:line="520" w:lineRule="exact"/>
        <w:ind w:firstLine="420" w:firstLineChars="200"/>
        <w:rPr>
          <w:rStyle w:val="252"/>
          <w:rFonts w:hint="eastAsia" w:ascii="宋体" w:hAnsi="宋体" w:cs="仿宋_GB2312"/>
          <w:kern w:val="4"/>
          <w:szCs w:val="21"/>
        </w:rPr>
      </w:pPr>
      <w:r>
        <w:rPr>
          <w:rStyle w:val="252"/>
          <w:rFonts w:hint="eastAsia" w:ascii="宋体" w:hAnsi="宋体" w:cs="仿宋_GB2312"/>
          <w:kern w:val="4"/>
          <w:szCs w:val="21"/>
        </w:rPr>
        <w:t>5.5.低压配电箱和低压线路每月巡视1次设备运行状况；每年养护1次，养护内容包括紧固、检测，清扫。</w:t>
      </w:r>
    </w:p>
    <w:p w14:paraId="6A3381C4">
      <w:pPr>
        <w:spacing w:line="520" w:lineRule="exact"/>
        <w:ind w:firstLine="420" w:firstLineChars="200"/>
        <w:rPr>
          <w:rStyle w:val="252"/>
          <w:rFonts w:hint="eastAsia" w:ascii="宋体" w:hAnsi="宋体" w:cs="仿宋_GB2312"/>
          <w:kern w:val="4"/>
          <w:szCs w:val="21"/>
        </w:rPr>
      </w:pPr>
      <w:r>
        <w:rPr>
          <w:rStyle w:val="252"/>
          <w:rFonts w:hint="eastAsia" w:ascii="宋体" w:hAnsi="宋体" w:cs="仿宋_GB2312"/>
          <w:kern w:val="4"/>
          <w:szCs w:val="21"/>
        </w:rPr>
        <w:t>5.6.配电室、楼层配电间防小动物措施完备，穿墙线槽周边封堵严密，锁具完好，电缆进出线和开关标志准确。</w:t>
      </w:r>
    </w:p>
    <w:p w14:paraId="55063A15">
      <w:pPr>
        <w:spacing w:line="520" w:lineRule="exact"/>
        <w:ind w:firstLine="420" w:firstLineChars="200"/>
        <w:rPr>
          <w:rStyle w:val="252"/>
          <w:rFonts w:hint="eastAsia" w:ascii="宋体" w:hAnsi="宋体" w:cs="仿宋_GB2312"/>
          <w:kern w:val="4"/>
          <w:szCs w:val="21"/>
        </w:rPr>
      </w:pPr>
      <w:r>
        <w:rPr>
          <w:rStyle w:val="252"/>
          <w:rFonts w:hint="eastAsia" w:ascii="宋体" w:hAnsi="宋体" w:cs="仿宋_GB2312"/>
          <w:kern w:val="4"/>
          <w:szCs w:val="21"/>
        </w:rPr>
        <w:t>5.7.应急照明故障,30分钟内到达并组织维修，一般故障半小时内修复,复杂故障5日内修复，复杂故障涉及供电部门维修处置的应当及时与供电部门联系,同时向采购人说明情况，并配合供电部门后期维修处置。</w:t>
      </w:r>
    </w:p>
    <w:p w14:paraId="6AEF1776">
      <w:pPr>
        <w:spacing w:line="520" w:lineRule="exact"/>
        <w:ind w:firstLine="422" w:firstLineChars="200"/>
        <w:rPr>
          <w:rStyle w:val="252"/>
          <w:rFonts w:hint="eastAsia" w:ascii="宋体" w:hAnsi="宋体" w:cs="仿宋_GB2312"/>
          <w:b/>
          <w:szCs w:val="21"/>
        </w:rPr>
      </w:pPr>
      <w:r>
        <w:rPr>
          <w:rStyle w:val="252"/>
          <w:rFonts w:hint="eastAsia" w:ascii="宋体" w:hAnsi="宋体" w:cs="仿宋_GB2312"/>
          <w:b/>
          <w:szCs w:val="21"/>
        </w:rPr>
        <w:t>6.给排水系统</w:t>
      </w:r>
      <w:r>
        <w:rPr>
          <w:rStyle w:val="252"/>
          <w:rFonts w:hint="eastAsia" w:ascii="宋体" w:hAnsi="宋体" w:cs="仿宋_GB2312"/>
          <w:b/>
          <w:kern w:val="4"/>
          <w:szCs w:val="21"/>
        </w:rPr>
        <w:t>日常运行及维护管理</w:t>
      </w:r>
    </w:p>
    <w:p w14:paraId="7163EFEB">
      <w:pPr>
        <w:tabs>
          <w:tab w:val="left" w:pos="0"/>
        </w:tabs>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6.1.建立正常给排水制度，制定二次供水事故应急预案，中标人做好每年二次供水的水质检测工作。</w:t>
      </w:r>
    </w:p>
    <w:p w14:paraId="21F7F37F">
      <w:pPr>
        <w:tabs>
          <w:tab w:val="left" w:pos="0"/>
        </w:tabs>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6.2.给排水系统管理的总体要求是系统畅通，管理措施规范合理，各种工作有记录。</w:t>
      </w:r>
    </w:p>
    <w:p w14:paraId="404522FB">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6.3.每日巡查供水泵房2次，检查供水设备运行状况，保证办公区供水正常。</w:t>
      </w:r>
    </w:p>
    <w:p w14:paraId="375BDAD7">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6.4.每日10：00、22:00对办公区内供水管路、用水设备、阀门进行巡查，</w:t>
      </w:r>
      <w:r>
        <w:rPr>
          <w:rStyle w:val="252"/>
          <w:rFonts w:hint="eastAsia" w:ascii="宋体" w:hAnsi="宋体" w:cs="仿宋_GB2312"/>
          <w:kern w:val="4"/>
          <w:szCs w:val="21"/>
        </w:rPr>
        <w:t>做到</w:t>
      </w:r>
      <w:r>
        <w:rPr>
          <w:rStyle w:val="252"/>
          <w:rFonts w:hint="eastAsia" w:ascii="宋体" w:hAnsi="宋体" w:cs="仿宋_GB2312"/>
          <w:szCs w:val="21"/>
        </w:rPr>
        <w:t>供水管路、用水设备、阀门</w:t>
      </w:r>
      <w:r>
        <w:rPr>
          <w:rStyle w:val="252"/>
          <w:rFonts w:hint="eastAsia" w:ascii="宋体" w:hAnsi="宋体" w:cs="仿宋_GB2312"/>
          <w:kern w:val="4"/>
          <w:szCs w:val="21"/>
        </w:rPr>
        <w:t>无跑、冒、滴、漏现象，</w:t>
      </w:r>
      <w:r>
        <w:rPr>
          <w:rStyle w:val="252"/>
          <w:rFonts w:hint="eastAsia" w:ascii="宋体" w:hAnsi="宋体" w:cs="仿宋_GB2312"/>
          <w:szCs w:val="21"/>
        </w:rPr>
        <w:t>发现问题及时处理，保证办公区正常用水需求，做好巡查记录并留档。</w:t>
      </w:r>
    </w:p>
    <w:p w14:paraId="59E733E9">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6.5.定期对排水管道进行疏通、清污，保证室内外排水系统通畅；每次降雨前后对主要排水口、管井进行检查，保障排水排污管道畅通。</w:t>
      </w:r>
    </w:p>
    <w:p w14:paraId="15BF4844">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6.6.建立防汛预案，每年至少组织一次防汛演练，每年上汛前对雨、污水井、屋面雨水口等排水设施进行检查，组织清理、疏通。</w:t>
      </w:r>
    </w:p>
    <w:p w14:paraId="66440B47">
      <w:pPr>
        <w:spacing w:line="520" w:lineRule="exact"/>
        <w:ind w:firstLine="420" w:firstLineChars="200"/>
        <w:rPr>
          <w:rFonts w:hint="eastAsia" w:ascii="宋体" w:hAnsi="宋体" w:cs="仿宋_GB2312"/>
          <w:szCs w:val="21"/>
        </w:rPr>
      </w:pPr>
      <w:r>
        <w:rPr>
          <w:rStyle w:val="252"/>
          <w:rFonts w:hint="eastAsia" w:ascii="宋体" w:hAnsi="宋体" w:cs="仿宋_GB2312"/>
          <w:szCs w:val="21"/>
        </w:rPr>
        <w:t>6.7.</w:t>
      </w:r>
      <w:r>
        <w:rPr>
          <w:rFonts w:hint="eastAsia" w:ascii="宋体" w:hAnsi="宋体" w:cs="仿宋_GB2312"/>
          <w:szCs w:val="21"/>
        </w:rPr>
        <w:t>污水泵：随时巡视，检查设备运行状态；定期进行手动启动测试和养护。</w:t>
      </w:r>
    </w:p>
    <w:p w14:paraId="5B7193EF">
      <w:pPr>
        <w:spacing w:line="520" w:lineRule="exact"/>
        <w:ind w:firstLine="420" w:firstLineChars="200"/>
        <w:rPr>
          <w:rFonts w:hint="eastAsia" w:ascii="宋体" w:hAnsi="宋体" w:cs="仿宋_GB2312"/>
          <w:szCs w:val="21"/>
        </w:rPr>
      </w:pPr>
      <w:r>
        <w:rPr>
          <w:rFonts w:hint="eastAsia" w:ascii="宋体" w:hAnsi="宋体" w:cs="仿宋_GB2312"/>
          <w:szCs w:val="21"/>
        </w:rPr>
        <w:t>6.8.化粪池每月检查1次，根据检查情况清掏，每年至少清掏两次，并做好清淘记录。</w:t>
      </w:r>
    </w:p>
    <w:p w14:paraId="2F451C4E">
      <w:pPr>
        <w:spacing w:line="520" w:lineRule="exact"/>
        <w:ind w:firstLine="420" w:firstLineChars="200"/>
        <w:rPr>
          <w:rFonts w:hint="eastAsia" w:ascii="宋体" w:hAnsi="宋体" w:cs="仿宋_GB2312"/>
          <w:szCs w:val="21"/>
        </w:rPr>
      </w:pPr>
      <w:r>
        <w:rPr>
          <w:rFonts w:hint="eastAsia" w:ascii="宋体" w:hAnsi="宋体" w:cs="仿宋_GB2312"/>
          <w:szCs w:val="21"/>
        </w:rPr>
        <w:t>6.9.给排水系统遇有故障，维修人员在5分钟内到达现场进行处置。</w:t>
      </w:r>
    </w:p>
    <w:p w14:paraId="095BA612">
      <w:pPr>
        <w:spacing w:line="520" w:lineRule="exact"/>
        <w:ind w:firstLine="422" w:firstLineChars="200"/>
        <w:rPr>
          <w:rStyle w:val="252"/>
          <w:rFonts w:hint="eastAsia" w:ascii="宋体" w:hAnsi="宋体" w:cs="仿宋_GB2312"/>
          <w:b/>
          <w:szCs w:val="21"/>
        </w:rPr>
      </w:pPr>
      <w:r>
        <w:rPr>
          <w:rStyle w:val="252"/>
          <w:rFonts w:hint="eastAsia" w:ascii="宋体" w:hAnsi="宋体" w:cs="仿宋_GB2312"/>
          <w:b/>
          <w:szCs w:val="21"/>
        </w:rPr>
        <w:t>7.燃气、锅炉设施日常运行及维护管理</w:t>
      </w:r>
    </w:p>
    <w:p w14:paraId="1BFEA9D4">
      <w:pPr>
        <w:spacing w:line="520" w:lineRule="exact"/>
        <w:ind w:firstLine="420" w:firstLineChars="200"/>
        <w:rPr>
          <w:rFonts w:hint="eastAsia" w:ascii="宋体" w:hAnsi="宋体" w:cs="仿宋_GB2312"/>
          <w:szCs w:val="21"/>
        </w:rPr>
      </w:pPr>
      <w:r>
        <w:rPr>
          <w:rFonts w:hint="eastAsia" w:ascii="宋体" w:hAnsi="宋体" w:cs="仿宋_GB2312"/>
          <w:szCs w:val="21"/>
        </w:rPr>
        <w:t>7.1.建立燃气管道以及燃气设施设备巡查制度、应急处置预案，每日巡查1次燃气管道以及燃气设施设备，做好巡查记录并留档；</w:t>
      </w:r>
    </w:p>
    <w:p w14:paraId="13C5E0B7">
      <w:pPr>
        <w:spacing w:line="520" w:lineRule="exact"/>
        <w:ind w:firstLine="573"/>
        <w:rPr>
          <w:rStyle w:val="252"/>
          <w:rFonts w:hint="eastAsia" w:ascii="宋体" w:hAnsi="宋体" w:cs="仿宋_GB2312"/>
          <w:kern w:val="4"/>
          <w:szCs w:val="21"/>
        </w:rPr>
      </w:pPr>
      <w:r>
        <w:rPr>
          <w:rFonts w:hint="eastAsia" w:ascii="宋体" w:hAnsi="宋体" w:cs="仿宋_GB2312"/>
          <w:szCs w:val="21"/>
        </w:rPr>
        <w:t>7.2.当巡查中发现或接获燃气泄漏报告时，应当迅速作出处置，联系供气部门，在适当情况下关闭供气开关，如发觉泄漏未能受控或扩散面积广泛，应当立即封锁现场，禁止任何人员进入，按照预案进行人员疏散，同时</w:t>
      </w:r>
      <w:r>
        <w:rPr>
          <w:rStyle w:val="252"/>
          <w:rFonts w:hint="eastAsia" w:ascii="宋体" w:hAnsi="宋体" w:cs="仿宋_GB2312"/>
          <w:kern w:val="4"/>
          <w:szCs w:val="21"/>
        </w:rPr>
        <w:t>向采购人说明情况，并配合供气部门后期维修处置。</w:t>
      </w:r>
    </w:p>
    <w:p w14:paraId="294A96E3">
      <w:pPr>
        <w:spacing w:line="520" w:lineRule="exact"/>
        <w:ind w:firstLine="573"/>
        <w:rPr>
          <w:rStyle w:val="252"/>
          <w:rFonts w:hint="eastAsia" w:ascii="宋体" w:hAnsi="宋体" w:cs="仿宋_GB2312"/>
          <w:kern w:val="4"/>
          <w:szCs w:val="21"/>
        </w:rPr>
      </w:pPr>
      <w:r>
        <w:rPr>
          <w:rStyle w:val="252"/>
          <w:rFonts w:hint="eastAsia" w:ascii="宋体" w:hAnsi="宋体" w:cs="仿宋_GB2312"/>
          <w:kern w:val="4"/>
          <w:szCs w:val="21"/>
        </w:rPr>
        <w:t>7.3.制定锅炉设备运行管理制度，完成军供及办公区内饮水、设备的年度检修保养工作，保障饮水需要。</w:t>
      </w:r>
    </w:p>
    <w:p w14:paraId="2D8B441A">
      <w:pPr>
        <w:spacing w:line="520" w:lineRule="exact"/>
        <w:ind w:firstLine="573"/>
        <w:rPr>
          <w:rStyle w:val="252"/>
          <w:rFonts w:hint="eastAsia" w:ascii="宋体" w:hAnsi="宋体" w:cs="仿宋_GB2312"/>
          <w:kern w:val="4"/>
          <w:szCs w:val="21"/>
        </w:rPr>
      </w:pPr>
      <w:r>
        <w:rPr>
          <w:rStyle w:val="252"/>
          <w:rFonts w:hint="eastAsia" w:ascii="宋体" w:hAnsi="宋体" w:cs="仿宋_GB2312"/>
          <w:kern w:val="4"/>
          <w:szCs w:val="21"/>
        </w:rPr>
        <w:t>7.4.设备无跑、冒、滴、漏现象，</w:t>
      </w:r>
      <w:r>
        <w:rPr>
          <w:rStyle w:val="252"/>
          <w:rFonts w:hint="eastAsia" w:ascii="宋体" w:hAnsi="宋体" w:cs="仿宋_GB2312"/>
          <w:szCs w:val="21"/>
        </w:rPr>
        <w:t>发现问题及时处理，保证办公区正常使用</w:t>
      </w:r>
      <w:r>
        <w:rPr>
          <w:rStyle w:val="252"/>
          <w:rFonts w:hint="eastAsia" w:ascii="宋体" w:hAnsi="宋体" w:cs="仿宋_GB2312"/>
          <w:kern w:val="4"/>
          <w:szCs w:val="21"/>
        </w:rPr>
        <w:t>。</w:t>
      </w:r>
    </w:p>
    <w:p w14:paraId="52C077C7">
      <w:pPr>
        <w:spacing w:line="520" w:lineRule="exact"/>
        <w:ind w:firstLine="573"/>
        <w:rPr>
          <w:rFonts w:hint="eastAsia" w:ascii="宋体" w:hAnsi="宋体" w:cs="仿宋_GB2312"/>
          <w:szCs w:val="21"/>
        </w:rPr>
      </w:pPr>
      <w:r>
        <w:rPr>
          <w:rFonts w:hint="eastAsia" w:ascii="宋体" w:hAnsi="宋体" w:cs="仿宋_GB2312"/>
          <w:szCs w:val="21"/>
        </w:rPr>
        <w:t>7.5.燃气锅炉保证日常维护及使用</w:t>
      </w:r>
    </w:p>
    <w:p w14:paraId="3CC0016F">
      <w:pPr>
        <w:spacing w:line="520" w:lineRule="exact"/>
        <w:ind w:firstLine="573"/>
        <w:rPr>
          <w:rFonts w:hint="eastAsia" w:ascii="宋体" w:hAnsi="宋体" w:cs="仿宋_GB2312"/>
          <w:szCs w:val="21"/>
        </w:rPr>
      </w:pPr>
      <w:r>
        <w:rPr>
          <w:rFonts w:hint="eastAsia" w:ascii="宋体" w:hAnsi="宋体" w:cs="仿宋_GB2312"/>
          <w:szCs w:val="21"/>
        </w:rPr>
        <w:t>7.6中标人负责对燃气报警维护和检测</w:t>
      </w:r>
    </w:p>
    <w:p w14:paraId="2D03C7A2">
      <w:pPr>
        <w:spacing w:line="520" w:lineRule="exact"/>
        <w:ind w:firstLine="210" w:firstLineChars="100"/>
        <w:rPr>
          <w:rFonts w:eastAsiaTheme="minorEastAsia"/>
          <w:szCs w:val="21"/>
        </w:rPr>
      </w:pPr>
      <w:r>
        <w:rPr>
          <w:rStyle w:val="252"/>
          <w:rFonts w:eastAsiaTheme="minorEastAsia"/>
          <w:szCs w:val="21"/>
        </w:rPr>
        <w:t>8.</w:t>
      </w:r>
      <w:r>
        <w:rPr>
          <w:rStyle w:val="252"/>
          <w:rFonts w:hint="eastAsia" w:eastAsiaTheme="minorEastAsia"/>
        </w:rPr>
        <w:t>无</w:t>
      </w:r>
    </w:p>
    <w:p w14:paraId="050E5032">
      <w:pPr>
        <w:spacing w:line="520" w:lineRule="exact"/>
        <w:ind w:firstLine="211" w:firstLineChars="100"/>
        <w:rPr>
          <w:rStyle w:val="252"/>
          <w:rFonts w:hint="eastAsia" w:ascii="宋体" w:hAnsi="宋体" w:cs="仿宋_GB2312"/>
          <w:b/>
          <w:szCs w:val="21"/>
        </w:rPr>
      </w:pPr>
      <w:r>
        <w:rPr>
          <w:rStyle w:val="252"/>
          <w:rFonts w:hint="eastAsia" w:ascii="宋体" w:hAnsi="宋体" w:cs="仿宋_GB2312"/>
          <w:b/>
          <w:bCs/>
          <w:szCs w:val="21"/>
        </w:rPr>
        <w:t>9.消防设施日</w:t>
      </w:r>
      <w:r>
        <w:rPr>
          <w:rStyle w:val="252"/>
          <w:rFonts w:hint="eastAsia" w:ascii="宋体" w:hAnsi="宋体" w:cs="仿宋_GB2312"/>
          <w:b/>
          <w:szCs w:val="21"/>
        </w:rPr>
        <w:t>常运行及维护管理</w:t>
      </w:r>
    </w:p>
    <w:p w14:paraId="11274670">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9.1.建立消防控制室运行管理制度，配合采购人做好办公区的消防管理工作。</w:t>
      </w:r>
    </w:p>
    <w:p w14:paraId="2AC5F9FA">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9.2.严格执行消防法规，建立消防安全管理制度和应急处置预案，确保办公区消防安全。</w:t>
      </w:r>
    </w:p>
    <w:p w14:paraId="0813A3A5">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9.3.中标人应安排符具备从业资格人员负责消防控制室的日常运行管理，设置2人24小时值班值守制度，值班电话保持24小时畅通状态，严格执行消防控制室有关规定，实时查看办公区安全出入口、内部重点区域的消防安全状态，及时发现问题并进行处置。</w:t>
      </w:r>
    </w:p>
    <w:p w14:paraId="7479B0C7">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9.</w:t>
      </w:r>
      <w:r>
        <w:rPr>
          <w:rStyle w:val="252"/>
          <w:rFonts w:ascii="宋体" w:hAnsi="宋体" w:cs="仿宋_GB2312"/>
          <w:szCs w:val="21"/>
        </w:rPr>
        <w:t>4</w:t>
      </w:r>
      <w:r>
        <w:rPr>
          <w:rStyle w:val="252"/>
          <w:rFonts w:hint="eastAsia" w:ascii="宋体" w:hAnsi="宋体" w:cs="仿宋_GB2312"/>
          <w:szCs w:val="21"/>
        </w:rPr>
        <w:t>.</w:t>
      </w:r>
      <w:r>
        <w:rPr>
          <w:rFonts w:hint="eastAsia" w:ascii="宋体" w:hAnsi="宋体"/>
          <w:szCs w:val="21"/>
        </w:rPr>
        <w:t xml:space="preserve"> </w:t>
      </w:r>
      <w:r>
        <w:rPr>
          <w:rStyle w:val="252"/>
          <w:rFonts w:hint="eastAsia" w:ascii="宋体" w:hAnsi="宋体" w:cs="仿宋_GB2312"/>
          <w:szCs w:val="21"/>
        </w:rPr>
        <w:t>消防设施检查、维护、保养、火灾隐患排除。每月检查2次消防设施，做好记录并留档，消防设施的维护管理应当符合《建筑消防设施的维护管理》（GB 25201）的要求，保证消防设施安全无故障运行。</w:t>
      </w:r>
    </w:p>
    <w:p w14:paraId="7B7FB933">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9.</w:t>
      </w:r>
      <w:r>
        <w:rPr>
          <w:rStyle w:val="252"/>
          <w:rFonts w:ascii="宋体" w:hAnsi="宋体" w:cs="仿宋_GB2312"/>
          <w:szCs w:val="21"/>
        </w:rPr>
        <w:t>5</w:t>
      </w:r>
      <w:r>
        <w:rPr>
          <w:rStyle w:val="252"/>
          <w:rFonts w:hint="eastAsia" w:ascii="宋体" w:hAnsi="宋体" w:cs="仿宋_GB2312"/>
          <w:szCs w:val="21"/>
        </w:rPr>
        <w:t>.每周检查2次办公区内各处消火栓是否损坏，水带、水枪是否在位；各处消防管道、消防水箱、是否有跑、冒、滴、漏；防火门、安全出口指示灯、消防疏散图、应急照明是否完好；安全通道是否通畅。</w:t>
      </w:r>
    </w:p>
    <w:p w14:paraId="6DF0E3EB">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9.</w:t>
      </w:r>
      <w:r>
        <w:rPr>
          <w:rStyle w:val="252"/>
          <w:rFonts w:ascii="宋体" w:hAnsi="宋体" w:cs="仿宋_GB2312"/>
          <w:szCs w:val="21"/>
        </w:rPr>
        <w:t>6</w:t>
      </w:r>
      <w:r>
        <w:rPr>
          <w:rStyle w:val="252"/>
          <w:rFonts w:hint="eastAsia" w:ascii="宋体" w:hAnsi="宋体" w:cs="仿宋_GB2312"/>
          <w:szCs w:val="21"/>
        </w:rPr>
        <w:t>.每月检查一次消防应急电源是否正常，能否及时切换；消防报警按钮、警铃以及指示灯、消防广播系统、烟感探测器、消防控制联动系统是否正常；</w:t>
      </w:r>
    </w:p>
    <w:p w14:paraId="4D649B17">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9.</w:t>
      </w:r>
      <w:r>
        <w:rPr>
          <w:rStyle w:val="252"/>
          <w:rFonts w:ascii="宋体" w:hAnsi="宋体" w:cs="仿宋_GB2312"/>
          <w:szCs w:val="21"/>
        </w:rPr>
        <w:t>7</w:t>
      </w:r>
      <w:r>
        <w:rPr>
          <w:rStyle w:val="252"/>
          <w:rFonts w:hint="eastAsia" w:ascii="宋体" w:hAnsi="宋体" w:cs="仿宋_GB2312"/>
          <w:szCs w:val="21"/>
        </w:rPr>
        <w:t>.每月检查2次手提式、推车式干粉灭火器压力是否正常、是否在年检有效内；室内外消火栓、室内自动喷淋系统管道水压是否正常；气体灭火装置。</w:t>
      </w:r>
    </w:p>
    <w:p w14:paraId="279EB0C7">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9.</w:t>
      </w:r>
      <w:r>
        <w:rPr>
          <w:rStyle w:val="252"/>
          <w:rFonts w:ascii="宋体" w:hAnsi="宋体" w:cs="仿宋_GB2312"/>
          <w:szCs w:val="21"/>
        </w:rPr>
        <w:t>8</w:t>
      </w:r>
      <w:r>
        <w:rPr>
          <w:rStyle w:val="252"/>
          <w:rFonts w:hint="eastAsia" w:ascii="宋体" w:hAnsi="宋体" w:cs="仿宋_GB2312"/>
          <w:szCs w:val="21"/>
        </w:rPr>
        <w:t>.消防控制室收到火情、险情等报警信号以及其他异常情况信号后，立即安排人员到场处理并报警，同时根据现场情况按预案进行处置；遇不能处置的情况应及时拨打报警电话，同时告知采购人主管负责人，协助第三方机构做好事件的处置工作，做好相关工作记录并留档。</w:t>
      </w:r>
    </w:p>
    <w:p w14:paraId="0DF07998">
      <w:pPr>
        <w:spacing w:line="520" w:lineRule="exact"/>
        <w:ind w:firstLine="422" w:firstLineChars="200"/>
        <w:rPr>
          <w:rStyle w:val="252"/>
          <w:rFonts w:hint="eastAsia" w:ascii="宋体" w:hAnsi="宋体" w:cs="仿宋_GB2312"/>
          <w:b/>
          <w:bCs/>
          <w:szCs w:val="21"/>
        </w:rPr>
      </w:pPr>
      <w:r>
        <w:rPr>
          <w:rStyle w:val="252"/>
          <w:rFonts w:hint="eastAsia" w:ascii="宋体" w:hAnsi="宋体" w:cs="仿宋_GB2312"/>
          <w:b/>
          <w:bCs/>
          <w:szCs w:val="21"/>
        </w:rPr>
        <w:t>10.电梯日常运行管理</w:t>
      </w:r>
    </w:p>
    <w:p w14:paraId="5D7571A4">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10.1建立电梯日常运行管理制度，应急措施与救援预案，配合采购人做好电梯日常运行管理。</w:t>
      </w:r>
    </w:p>
    <w:p w14:paraId="7D958DF8">
      <w:pPr>
        <w:spacing w:line="520" w:lineRule="exact"/>
        <w:ind w:firstLine="420" w:firstLineChars="200"/>
        <w:rPr>
          <w:rStyle w:val="252"/>
          <w:rFonts w:hint="eastAsia" w:ascii="宋体" w:hAnsi="宋体" w:cs="仿宋_GB2312"/>
          <w:szCs w:val="21"/>
        </w:rPr>
      </w:pPr>
    </w:p>
    <w:p w14:paraId="6D746AC9">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10.2电梯发生故障，中标人人员应及时通知电梯维保单位（采购人自行招标，不包含在此次采购服务内），并督促维保单位尽快对故障进行修复。</w:t>
      </w:r>
    </w:p>
    <w:p w14:paraId="26319F6D">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10.3发生电梯困人或其他重大事故，中标人员应立即通知电梯维保单位并同时告知采购人物业管理工作负责人，协助维保单位及专业人员开展应急处理和救助工作，做好相关工作记录并留档。</w:t>
      </w:r>
    </w:p>
    <w:p w14:paraId="58BDDC8E">
      <w:pPr>
        <w:spacing w:line="520" w:lineRule="exact"/>
        <w:ind w:firstLine="422" w:firstLineChars="200"/>
        <w:rPr>
          <w:rStyle w:val="252"/>
          <w:rFonts w:hint="eastAsia" w:ascii="宋体" w:hAnsi="宋体" w:cs="仿宋_GB2312"/>
          <w:b/>
          <w:bCs/>
          <w:szCs w:val="21"/>
        </w:rPr>
      </w:pPr>
      <w:r>
        <w:rPr>
          <w:rStyle w:val="252"/>
          <w:rFonts w:hint="eastAsia" w:ascii="宋体" w:hAnsi="宋体" w:cs="仿宋_GB2312"/>
          <w:b/>
          <w:bCs/>
          <w:szCs w:val="21"/>
        </w:rPr>
        <w:t>11.人防工程日常运行及维护管理</w:t>
      </w:r>
    </w:p>
    <w:p w14:paraId="06C32A20">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无</w:t>
      </w:r>
    </w:p>
    <w:p w14:paraId="0833CEBE">
      <w:pPr>
        <w:spacing w:line="520" w:lineRule="exact"/>
        <w:ind w:firstLine="422" w:firstLineChars="200"/>
        <w:rPr>
          <w:rStyle w:val="252"/>
          <w:rFonts w:hint="eastAsia" w:ascii="宋体" w:hAnsi="宋体" w:cs="仿宋_GB2312"/>
          <w:b/>
          <w:bCs/>
          <w:szCs w:val="21"/>
        </w:rPr>
      </w:pPr>
      <w:r>
        <w:rPr>
          <w:rStyle w:val="252"/>
          <w:rFonts w:hint="eastAsia" w:ascii="宋体" w:hAnsi="宋体" w:cs="仿宋_GB2312"/>
          <w:b/>
          <w:bCs/>
          <w:szCs w:val="21"/>
        </w:rPr>
        <w:t>12.有限空间日常运行及维护管理</w:t>
      </w:r>
    </w:p>
    <w:p w14:paraId="468EFC94">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12.1.建立有限空间运行管理制度、应急处置预案和安全操作规程，杜绝有限空间事故发生。</w:t>
      </w:r>
    </w:p>
    <w:p w14:paraId="767CA463">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12.2.严格按照《中华人民共和国安全生产法》、《北京市生产经营单位安全生产主体责任规定》、《有限空间作业安全技术规范》（DB11/T 852-2019）等法律法规和采购人要求开展有限空间作业。</w:t>
      </w:r>
    </w:p>
    <w:p w14:paraId="26BB5603">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12.3.完善有限空间基础台账，加强对有限空间作业人员的安全教育培训，提升有限空间作业管理人员的应急处置能力,坚决杜绝安全事故发生。</w:t>
      </w:r>
    </w:p>
    <w:p w14:paraId="7BDF883A">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12.4.有限空间从业人员必须具备有限空间作业资格，中标人必须配备有限空间作业个人防护用品及救援设备。</w:t>
      </w:r>
    </w:p>
    <w:p w14:paraId="497A22CA">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12.5.有限空间日常管理应设置专职管理员，明确维护管理的任务和内容，做到责任明确。</w:t>
      </w:r>
    </w:p>
    <w:p w14:paraId="6D9573D3">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12.6.健全有限空间警示标识，提高日常运行、从业人员的风险辨识和防范能力。</w:t>
      </w:r>
    </w:p>
    <w:p w14:paraId="19895AB1">
      <w:pPr>
        <w:spacing w:line="520" w:lineRule="exact"/>
        <w:ind w:firstLine="422" w:firstLineChars="200"/>
        <w:rPr>
          <w:rStyle w:val="252"/>
          <w:rFonts w:hint="eastAsia" w:ascii="宋体" w:hAnsi="宋体" w:cs="仿宋_GB2312"/>
          <w:b/>
          <w:bCs/>
          <w:szCs w:val="21"/>
        </w:rPr>
      </w:pPr>
      <w:r>
        <w:rPr>
          <w:rStyle w:val="252"/>
          <w:rFonts w:hint="eastAsia" w:ascii="宋体" w:hAnsi="宋体" w:cs="仿宋_GB2312"/>
          <w:b/>
          <w:bCs/>
          <w:szCs w:val="21"/>
        </w:rPr>
        <w:t>13.绿化美化日常管理及维护</w:t>
      </w:r>
    </w:p>
    <w:p w14:paraId="456907A6">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13.1.定期巡查室外绿地浇灌设施、绿植景观以及硬质景观，保持完好无损。</w:t>
      </w:r>
    </w:p>
    <w:p w14:paraId="695752DA">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13.2.有计划地对绿地、绿植、花卉、乔灌木进行浇灌、施肥、灌溉水下渗充足均匀，无明显旱涝情况发生，保证绿地、绿植、乔灌木长势良好，绿化面积99%完好。</w:t>
      </w:r>
    </w:p>
    <w:p w14:paraId="56127672">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13.3.根据病虫害发生规律，植物生长季每月至少检查3次病虫害情况并根据检查结果防治病虫害。</w:t>
      </w:r>
    </w:p>
    <w:p w14:paraId="1D56D9EB">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13.4.定期对绿地、绿植、花卉、乔灌木进行整形修剪，乔木每年冬季修剪1次，灌木每年生长季节和冬季修剪1次，绿篱每年生长季节每月修剪1次，绿地春夏季每月修剪1次、秋冬季每季1次，重点绿地在重大活动、重大节日适时整治，保持美观。</w:t>
      </w:r>
    </w:p>
    <w:p w14:paraId="27F2D26E">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13.5.暴风、雨、雪等恶劣天气来临前后，安排专人巡查，及时加固、支撑、修剪高大乔木，排除安全隐患。</w:t>
      </w:r>
    </w:p>
    <w:p w14:paraId="297F996F">
      <w:pPr>
        <w:spacing w:line="520" w:lineRule="exact"/>
        <w:ind w:firstLine="422" w:firstLineChars="200"/>
        <w:rPr>
          <w:rStyle w:val="252"/>
          <w:rFonts w:hint="eastAsia" w:ascii="宋体" w:hAnsi="宋体" w:cs="仿宋_GB2312"/>
          <w:b/>
          <w:bCs/>
          <w:szCs w:val="21"/>
        </w:rPr>
      </w:pPr>
      <w:r>
        <w:rPr>
          <w:rStyle w:val="252"/>
          <w:rFonts w:hint="eastAsia" w:ascii="宋体" w:hAnsi="宋体" w:cs="仿宋_GB2312"/>
          <w:b/>
          <w:bCs/>
          <w:szCs w:val="21"/>
        </w:rPr>
        <w:t>14.应急事件管理</w:t>
      </w:r>
    </w:p>
    <w:p w14:paraId="1F2DF824">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14.1.依据《中华人民共和国安全生产法》、《突发公共卫生事件应急条例》、《北京市突发公共事件总体应急预案》工作要求，制定机关办公区卫生防疫、安全生产规章制度、突发公共事件应急预案。</w:t>
      </w:r>
    </w:p>
    <w:p w14:paraId="41953520">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14.2.每年应当组织不少于1次的突发公共事件应急演练，当发生公共卫生事件、自然灾害、事故灾难或者社会安全事件时，启动应急预案，全力配合有关部门单位采取相应措施，保障机关人身安全和财产损失。</w:t>
      </w:r>
    </w:p>
    <w:p w14:paraId="1423E15F">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14.3.定期开展安全生产培训，建立安全生产责任制，明确各级岗位的安全职责；定期巡视、检查和维护各类基础建设和设备设施，保证基础建设和设施设备正常使用，保持消防通道畅通，对易燃易爆品等重点部位设设置专人专区管理，并在明显位置设置安全警示标志；楼梯出入口、电梯口等醒目位置有安全疏散示意图和指示牌；消火栓和灭火器箱张贴消防设施器材使用方法。</w:t>
      </w:r>
    </w:p>
    <w:p w14:paraId="3F89BDB2">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14.4.合理安排巡查路线，排除不安全因素，防止被盗事件的发生，发现违规行为及时制止，发现异常情况立即通知相关部门并现场采取必要措施。</w:t>
      </w:r>
    </w:p>
    <w:p w14:paraId="223F3ABF">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14.5.收到消防控制室、视频监控室巡查指令后，巡查人员应及时到达并采取相应措施。</w:t>
      </w:r>
    </w:p>
    <w:p w14:paraId="6EBD6622">
      <w:pPr>
        <w:numPr>
          <w:ilvl w:val="0"/>
          <w:numId w:val="10"/>
        </w:numPr>
        <w:spacing w:line="520" w:lineRule="exact"/>
        <w:ind w:firstLine="422" w:firstLineChars="200"/>
        <w:rPr>
          <w:rStyle w:val="252"/>
          <w:rFonts w:hint="eastAsia" w:ascii="宋体" w:hAnsi="宋体" w:cs="仿宋_GB2312"/>
          <w:b/>
          <w:bCs/>
          <w:szCs w:val="21"/>
        </w:rPr>
      </w:pPr>
      <w:r>
        <w:rPr>
          <w:rStyle w:val="252"/>
          <w:rFonts w:hint="eastAsia" w:ascii="宋体" w:hAnsi="宋体" w:cs="仿宋_GB2312"/>
          <w:b/>
          <w:bCs/>
          <w:szCs w:val="21"/>
        </w:rPr>
        <w:t>标识标牌日常维护管理</w:t>
      </w:r>
    </w:p>
    <w:p w14:paraId="730421C1">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 xml:space="preserve">15.1.标识标牌应当符合《标志用公共信息图形符号 第 1 部分： 通用符号》（GB/T 10001.1）的要求，消防与安全标识应当符合 《安全标志及其使用导则》（GB 2894）、《消防安全标志 第 1 部分：标志》（GB 13495.1）的要求。 </w:t>
      </w:r>
    </w:p>
    <w:p w14:paraId="008FEF9D">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15.2.定期检查指引标识、楼层标识、各功能区标识、 安全警示标识、温馨提醒标识、供配电系统模拟示意图、电气开关状态标识、给排水管道阀门、管线流向标识、交通标识等，确保标识标牌规范清晰，安装稳固。</w:t>
      </w:r>
    </w:p>
    <w:p w14:paraId="2CE80F50">
      <w:pPr>
        <w:spacing w:line="520" w:lineRule="exact"/>
        <w:ind w:firstLine="422" w:firstLineChars="200"/>
        <w:rPr>
          <w:rStyle w:val="252"/>
          <w:rFonts w:hint="eastAsia" w:ascii="宋体" w:hAnsi="宋体" w:cs="仿宋_GB2312"/>
          <w:szCs w:val="21"/>
        </w:rPr>
      </w:pPr>
      <w:r>
        <w:rPr>
          <w:rStyle w:val="252"/>
          <w:rFonts w:hint="eastAsia" w:ascii="宋体" w:hAnsi="宋体" w:cs="仿宋_GB2312"/>
          <w:b/>
          <w:bCs/>
          <w:szCs w:val="21"/>
        </w:rPr>
        <w:t>16.保洁服务日常运行管理</w:t>
      </w:r>
    </w:p>
    <w:p w14:paraId="5DA02928">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16.1.大厅地面保持干净无水渍，大理石、花岗石等材质每6个月养护1次，进出口地垫干净整洁；</w:t>
      </w:r>
    </w:p>
    <w:p w14:paraId="6457D89B">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16.2.公共通道门框、窗框、窗台、金属件表面光亮无尘无污渍，门窗玻璃干净无尘，透光性好；天花板无蛛网，指示牌干净无污渍，指示醒目。</w:t>
      </w:r>
    </w:p>
    <w:p w14:paraId="191D9837">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16.3.指定服务的办公室每日清洁1次，地面、桌面干净无污渍，办公家具设备以及门窗整洁，茶具每日清洁；其他办公室，每年春节前对门窗、玻璃进行清洁。</w:t>
      </w:r>
    </w:p>
    <w:p w14:paraId="1F652AA8">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16.4.楼梯以及楼梯间每日清洁1次，楼梯梯步、扶手栏杆、防火门以及闭门器表面干净无尘无污渍，防滑条（缝）干净，墙面、天花板无积尘、蛛网。</w:t>
      </w:r>
    </w:p>
    <w:p w14:paraId="07223D1C">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16.5.公共区域卫生间每日不限次循环保洁，保证地面干净，无污渍无积水；洁具洁净，无污渍；门窗、墙壁、隔断、玻璃、窗台表面干净，无污迹，金属饰件有金属光泽，洗手台干净无污垢；天花板表面无蛛网，换气扇表面无积尘，保持空气流通，无明显异味。</w:t>
      </w:r>
    </w:p>
    <w:p w14:paraId="478F18FD">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16.6.开水间以及清洁工具间每日不限次循环保洁，地面干净，无杂物无积水，各种物品表面干净无渍，清洁工具摆放整齐有序。</w:t>
      </w:r>
    </w:p>
    <w:p w14:paraId="57BE7621">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16.7.电梯轿厢每日擦拭2次轿厢门、面板，不限次循环清拖轿厢地面；不锈钢材料装饰的轿厢每周护理1次，石材装饰的轿厢每月护理1次；轿厢内无污渍无粘贴物；厢内操作指示板明亮，地面干净无异味，电梯门槽内无垃圾无杂物。</w:t>
      </w:r>
    </w:p>
    <w:p w14:paraId="40C6B01F">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16.8.办公区室外公共场所每日清扫道路地面2次，保持干净，无杂物无积水无污迹；室外公用设施每半月清洁 1 次，各种指示牌、路标、标志、宣传栏表面干净，无积尘无水印。</w:t>
      </w:r>
    </w:p>
    <w:p w14:paraId="215F70D4">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16.9绿化带以及景观每日清洁 1 次，绿地内无杂物。</w:t>
      </w:r>
    </w:p>
    <w:p w14:paraId="65782724">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16.10.办公楼平台、屋顶，每月清扫1次，雨雪季期间，每半月清扫1次。</w:t>
      </w:r>
    </w:p>
    <w:p w14:paraId="4D827DC6">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16.11.公共场所和周围环境每周进行一次彻底卫生消杀；采取综合措施消灭老鼠、蟑螂，控制室内外蚊虫孳生，达到基本无蝇。</w:t>
      </w:r>
    </w:p>
    <w:p w14:paraId="221FEBC6">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16.12.配合有关部门进行有害生物的预防和控制，投放药物应当预先告知，投药位置有明显标识。</w:t>
      </w:r>
    </w:p>
    <w:p w14:paraId="3DA4D269">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16.13.楼道、楼梯、楼梯间、公共卫生间、电梯轿厢、楼梯护栏扶手、门把手每日至少消毒2次；垃圾收集容器至少每日消毒2次。</w:t>
      </w:r>
    </w:p>
    <w:p w14:paraId="7728EAEC">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16.14.根据《北京市生活垃圾管理条例》、《北京市生活垃圾分类工作行动方案》，制定办公区生活垃圾管理制度，严格按照生活垃圾“四分类”方法，配合采购人做好办公区生活垃圾处置、管理工作。</w:t>
      </w:r>
    </w:p>
    <w:p w14:paraId="77C94556">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16.15.按采购人要求正确摆放垃圾分类桶（箱），张贴垃圾分类标识，自觉进行垃圾分类宣传，桶（箱）身表面干净无污渍，地面无垃圾。</w:t>
      </w:r>
    </w:p>
    <w:p w14:paraId="7F75D9C4">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16.16.室内垃圾桶（箱）摆放整齐，桶（箱）内放置垃圾收容袋，桶（箱）周围无散落垃圾、无异味。</w:t>
      </w:r>
    </w:p>
    <w:p w14:paraId="67303933">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16.17.垃圾中转区域地面每日清洁2次，无明显异味；垃圾袋装，日产日清。</w:t>
      </w:r>
    </w:p>
    <w:p w14:paraId="400F4340">
      <w:pPr>
        <w:spacing w:line="520" w:lineRule="exact"/>
        <w:ind w:firstLine="420" w:firstLineChars="200"/>
        <w:rPr>
          <w:rFonts w:hint="eastAsia" w:ascii="宋体" w:hAnsi="宋体"/>
          <w:bCs/>
          <w:szCs w:val="21"/>
        </w:rPr>
      </w:pPr>
      <w:r>
        <w:rPr>
          <w:rStyle w:val="252"/>
          <w:rFonts w:hint="eastAsia" w:ascii="宋体" w:hAnsi="宋体" w:cs="仿宋_GB2312"/>
          <w:szCs w:val="21"/>
        </w:rPr>
        <w:t>1</w:t>
      </w:r>
      <w:r>
        <w:rPr>
          <w:rStyle w:val="252"/>
          <w:rFonts w:ascii="宋体" w:hAnsi="宋体" w:cs="仿宋_GB2312"/>
          <w:szCs w:val="21"/>
        </w:rPr>
        <w:t>6.18.</w:t>
      </w:r>
      <w:r>
        <w:rPr>
          <w:rFonts w:hint="eastAsia" w:ascii="宋体" w:hAnsi="宋体"/>
          <w:bCs/>
          <w:szCs w:val="21"/>
        </w:rPr>
        <w:t>大楼大门及大厅正门清洗（每周2次），大楼外墙及玻璃保持清洁，每年至少清洁两次。</w:t>
      </w:r>
    </w:p>
    <w:p w14:paraId="2493D368">
      <w:pPr>
        <w:spacing w:line="520" w:lineRule="exact"/>
        <w:ind w:firstLine="422" w:firstLineChars="200"/>
        <w:rPr>
          <w:rFonts w:hint="eastAsia" w:ascii="宋体" w:hAnsi="宋体"/>
          <w:bCs/>
          <w:szCs w:val="21"/>
        </w:rPr>
      </w:pPr>
      <w:r>
        <w:rPr>
          <w:rFonts w:hint="eastAsia" w:ascii="宋体" w:hAnsi="宋体"/>
          <w:b/>
          <w:szCs w:val="21"/>
        </w:rPr>
        <w:t>五、采购人负担费用及提供条件</w:t>
      </w:r>
    </w:p>
    <w:p w14:paraId="5621F880">
      <w:pPr>
        <w:pStyle w:val="15"/>
      </w:pPr>
      <w:r>
        <w:rPr>
          <w:rFonts w:hint="eastAsia" w:ascii="宋体" w:hAnsi="宋体"/>
          <w:bCs/>
          <w:szCs w:val="21"/>
        </w:rPr>
        <w:t>（一）</w:t>
      </w:r>
      <w:r>
        <w:rPr>
          <w:rFonts w:hint="eastAsia"/>
        </w:rPr>
        <w:t xml:space="preserve"> 采购人向中标人按合同支付物业费，物业人员相关费用均包含在内，除超出合同规定定范畴的维修费用外，采购人不额外支付费用。</w:t>
      </w:r>
    </w:p>
    <w:p w14:paraId="7047176C">
      <w:pPr>
        <w:spacing w:line="520" w:lineRule="exact"/>
        <w:ind w:firstLine="420" w:firstLineChars="200"/>
        <w:rPr>
          <w:rFonts w:hint="eastAsia" w:ascii="宋体" w:hAnsi="宋体"/>
          <w:bCs/>
          <w:szCs w:val="21"/>
        </w:rPr>
      </w:pPr>
    </w:p>
    <w:p w14:paraId="725A6AAA">
      <w:pPr>
        <w:spacing w:line="520" w:lineRule="exact"/>
        <w:ind w:firstLine="420" w:firstLineChars="200"/>
        <w:rPr>
          <w:rFonts w:hint="eastAsia" w:ascii="宋体" w:hAnsi="宋体"/>
          <w:bCs/>
          <w:szCs w:val="21"/>
        </w:rPr>
      </w:pPr>
      <w:r>
        <w:rPr>
          <w:rFonts w:hint="eastAsia" w:ascii="宋体" w:hAnsi="宋体"/>
          <w:bCs/>
          <w:szCs w:val="21"/>
        </w:rPr>
        <w:t xml:space="preserve">（二）采购人提供中标人管理人员的办公场所，提供工程维修人员、服务人员的住宿场所。 </w:t>
      </w:r>
    </w:p>
    <w:p w14:paraId="11BAF346">
      <w:pPr>
        <w:spacing w:line="520" w:lineRule="exact"/>
        <w:ind w:firstLine="420" w:firstLineChars="200"/>
        <w:rPr>
          <w:rFonts w:hint="eastAsia" w:ascii="宋体" w:hAnsi="宋体"/>
          <w:bCs/>
          <w:szCs w:val="21"/>
        </w:rPr>
      </w:pPr>
      <w:r>
        <w:rPr>
          <w:rFonts w:hint="eastAsia" w:ascii="宋体" w:hAnsi="宋体"/>
          <w:bCs/>
          <w:szCs w:val="21"/>
        </w:rPr>
        <w:t xml:space="preserve">  </w:t>
      </w:r>
    </w:p>
    <w:p w14:paraId="4C136D1E">
      <w:pPr>
        <w:spacing w:line="520" w:lineRule="exact"/>
        <w:ind w:firstLine="422" w:firstLineChars="200"/>
        <w:rPr>
          <w:rFonts w:hint="eastAsia" w:ascii="宋体" w:hAnsi="宋体"/>
          <w:b/>
          <w:szCs w:val="21"/>
        </w:rPr>
      </w:pPr>
      <w:r>
        <w:rPr>
          <w:rFonts w:hint="eastAsia" w:ascii="宋体" w:hAnsi="宋体"/>
          <w:b/>
          <w:szCs w:val="21"/>
        </w:rPr>
        <w:t>六、服务标准，服务质量的目标要求（最低要求）</w:t>
      </w:r>
    </w:p>
    <w:p w14:paraId="204DE394">
      <w:pPr>
        <w:spacing w:line="520" w:lineRule="exact"/>
        <w:ind w:firstLine="420" w:firstLineChars="200"/>
        <w:rPr>
          <w:rFonts w:hint="eastAsia" w:ascii="宋体" w:hAnsi="宋体"/>
          <w:bCs/>
          <w:szCs w:val="21"/>
        </w:rPr>
      </w:pPr>
      <w:r>
        <w:rPr>
          <w:rFonts w:hint="eastAsia" w:ascii="宋体" w:hAnsi="宋体"/>
          <w:bCs/>
          <w:szCs w:val="21"/>
        </w:rPr>
        <w:t>（一）杜绝火灾责任事故，杜绝刑事案件；</w:t>
      </w:r>
    </w:p>
    <w:p w14:paraId="672069C6">
      <w:pPr>
        <w:spacing w:line="520" w:lineRule="exact"/>
        <w:ind w:firstLine="420" w:firstLineChars="200"/>
        <w:rPr>
          <w:rFonts w:hint="eastAsia" w:ascii="宋体" w:hAnsi="宋体"/>
          <w:bCs/>
          <w:szCs w:val="21"/>
        </w:rPr>
      </w:pPr>
      <w:r>
        <w:rPr>
          <w:rFonts w:hint="eastAsia" w:ascii="宋体" w:hAnsi="宋体"/>
          <w:bCs/>
          <w:szCs w:val="21"/>
        </w:rPr>
        <w:t>（二）环境卫生、清洁率达到98%;</w:t>
      </w:r>
    </w:p>
    <w:p w14:paraId="6186B5EE">
      <w:pPr>
        <w:spacing w:line="520" w:lineRule="exact"/>
        <w:ind w:firstLine="420" w:firstLineChars="200"/>
        <w:rPr>
          <w:rFonts w:hint="eastAsia" w:ascii="宋体" w:hAnsi="宋体"/>
          <w:bCs/>
          <w:szCs w:val="21"/>
        </w:rPr>
      </w:pPr>
      <w:r>
        <w:rPr>
          <w:rFonts w:hint="eastAsia" w:ascii="宋体" w:hAnsi="宋体"/>
          <w:bCs/>
          <w:szCs w:val="21"/>
        </w:rPr>
        <w:t>（三）房屋完好率达到98%;</w:t>
      </w:r>
    </w:p>
    <w:p w14:paraId="07FE65F9">
      <w:pPr>
        <w:spacing w:line="520" w:lineRule="exact"/>
        <w:ind w:firstLine="420" w:firstLineChars="200"/>
        <w:rPr>
          <w:rFonts w:hint="eastAsia" w:ascii="宋体" w:hAnsi="宋体"/>
          <w:bCs/>
          <w:szCs w:val="21"/>
        </w:rPr>
      </w:pPr>
      <w:r>
        <w:rPr>
          <w:rFonts w:hint="eastAsia" w:ascii="宋体" w:hAnsi="宋体"/>
          <w:bCs/>
          <w:szCs w:val="21"/>
        </w:rPr>
        <w:t>（四）消防设施、设备完好率达到100%;</w:t>
      </w:r>
    </w:p>
    <w:p w14:paraId="459AB442">
      <w:pPr>
        <w:spacing w:line="520" w:lineRule="exact"/>
        <w:ind w:firstLine="420" w:firstLineChars="200"/>
        <w:rPr>
          <w:rFonts w:hint="eastAsia" w:ascii="宋体" w:hAnsi="宋体"/>
          <w:bCs/>
          <w:szCs w:val="21"/>
        </w:rPr>
      </w:pPr>
      <w:r>
        <w:rPr>
          <w:rFonts w:hint="eastAsia" w:ascii="宋体" w:hAnsi="宋体"/>
          <w:bCs/>
          <w:szCs w:val="21"/>
        </w:rPr>
        <w:t>（五）设备运行完好率达到100%;</w:t>
      </w:r>
    </w:p>
    <w:p w14:paraId="5B0227A9">
      <w:pPr>
        <w:spacing w:line="520" w:lineRule="exact"/>
        <w:ind w:firstLine="420" w:firstLineChars="200"/>
        <w:rPr>
          <w:rFonts w:hint="eastAsia" w:ascii="宋体" w:hAnsi="宋体"/>
          <w:bCs/>
          <w:szCs w:val="21"/>
        </w:rPr>
      </w:pPr>
      <w:r>
        <w:rPr>
          <w:rFonts w:hint="eastAsia" w:ascii="宋体" w:hAnsi="宋体"/>
          <w:bCs/>
          <w:szCs w:val="21"/>
        </w:rPr>
        <w:t>（六）智能监控设备、周界防范系统运行正常率达到100%;</w:t>
      </w:r>
    </w:p>
    <w:p w14:paraId="7CB85682">
      <w:pPr>
        <w:spacing w:line="520" w:lineRule="exact"/>
        <w:ind w:firstLine="420" w:firstLineChars="200"/>
        <w:rPr>
          <w:rFonts w:hint="eastAsia" w:ascii="宋体" w:hAnsi="宋体"/>
          <w:bCs/>
          <w:szCs w:val="21"/>
        </w:rPr>
      </w:pPr>
      <w:r>
        <w:rPr>
          <w:rFonts w:hint="eastAsia" w:ascii="宋体" w:hAnsi="宋体"/>
          <w:bCs/>
          <w:szCs w:val="21"/>
        </w:rPr>
        <w:t>（七）零维修、报修及时率100%，返修率≤2%;</w:t>
      </w:r>
    </w:p>
    <w:p w14:paraId="46DBAA71">
      <w:pPr>
        <w:spacing w:line="520" w:lineRule="exact"/>
        <w:ind w:firstLine="420" w:firstLineChars="200"/>
        <w:rPr>
          <w:rFonts w:hint="eastAsia" w:ascii="宋体" w:hAnsi="宋体"/>
          <w:bCs/>
          <w:szCs w:val="21"/>
        </w:rPr>
      </w:pPr>
      <w:r>
        <w:rPr>
          <w:rFonts w:hint="eastAsia" w:ascii="宋体" w:hAnsi="宋体"/>
          <w:bCs/>
          <w:szCs w:val="21"/>
        </w:rPr>
        <w:t>（八）服务有效投诉率≤2%，处理率100%;</w:t>
      </w:r>
    </w:p>
    <w:p w14:paraId="74269C92">
      <w:pPr>
        <w:spacing w:line="520" w:lineRule="exact"/>
        <w:ind w:firstLine="420" w:firstLineChars="200"/>
        <w:rPr>
          <w:rFonts w:hint="eastAsia" w:ascii="宋体" w:hAnsi="宋体"/>
          <w:bCs/>
          <w:szCs w:val="21"/>
        </w:rPr>
      </w:pPr>
      <w:r>
        <w:rPr>
          <w:rFonts w:hint="eastAsia" w:ascii="宋体" w:hAnsi="宋体"/>
          <w:bCs/>
          <w:szCs w:val="21"/>
        </w:rPr>
        <w:t>（九）物业管理满意率达到98%;</w:t>
      </w:r>
    </w:p>
    <w:p w14:paraId="08517FFC">
      <w:pPr>
        <w:spacing w:line="520" w:lineRule="exact"/>
        <w:ind w:firstLine="420" w:firstLineChars="200"/>
        <w:rPr>
          <w:rFonts w:hint="eastAsia" w:ascii="宋体" w:hAnsi="宋体"/>
          <w:bCs/>
          <w:szCs w:val="21"/>
        </w:rPr>
      </w:pPr>
      <w:r>
        <w:rPr>
          <w:rFonts w:hint="eastAsia" w:ascii="宋体" w:hAnsi="宋体"/>
          <w:bCs/>
          <w:szCs w:val="21"/>
        </w:rPr>
        <w:t>（十）对于未达到标准，限定整改时间未完成，从物业费扣除500-2000元/次，作为处罚，对于处罚后拒不整改，采购人有权终止合同。对于工作能力不符合相关岗位需求人员，中标方应限期3日调离该人员，如限期未调离，从期限到时，按天从物业费扣除被限期调离人员工资，超过一个月，加倍扣除同时采购人有权解除合同。</w:t>
      </w:r>
    </w:p>
    <w:p w14:paraId="39A78C3D">
      <w:pPr>
        <w:spacing w:line="520" w:lineRule="exact"/>
        <w:ind w:firstLine="422" w:firstLineChars="200"/>
        <w:rPr>
          <w:rFonts w:hint="eastAsia" w:ascii="宋体" w:hAnsi="宋体"/>
          <w:b/>
          <w:szCs w:val="21"/>
        </w:rPr>
      </w:pPr>
      <w:r>
        <w:rPr>
          <w:rFonts w:hint="eastAsia" w:ascii="宋体" w:hAnsi="宋体"/>
          <w:b/>
          <w:szCs w:val="21"/>
        </w:rPr>
        <w:t>七、物业服务人员标准及要求</w:t>
      </w:r>
    </w:p>
    <w:p w14:paraId="6BBBC1A5">
      <w:pPr>
        <w:spacing w:line="520" w:lineRule="exact"/>
        <w:ind w:firstLine="420" w:firstLineChars="200"/>
        <w:rPr>
          <w:rFonts w:hint="eastAsia" w:ascii="宋体" w:hAnsi="宋体"/>
          <w:bCs/>
          <w:szCs w:val="21"/>
        </w:rPr>
      </w:pPr>
      <w:r>
        <w:rPr>
          <w:rFonts w:hint="eastAsia" w:ascii="宋体" w:hAnsi="宋体"/>
          <w:bCs/>
          <w:szCs w:val="21"/>
        </w:rPr>
        <w:t>（一）物业服务人员标准：</w:t>
      </w:r>
    </w:p>
    <w:p w14:paraId="1D00CDB5">
      <w:pPr>
        <w:spacing w:line="520" w:lineRule="exact"/>
        <w:ind w:firstLine="420" w:firstLineChars="200"/>
        <w:rPr>
          <w:rFonts w:hint="eastAsia" w:ascii="宋体" w:hAnsi="宋体"/>
          <w:bCs/>
          <w:szCs w:val="21"/>
        </w:rPr>
      </w:pPr>
      <w:r>
        <w:rPr>
          <w:rFonts w:hint="eastAsia" w:ascii="宋体" w:hAnsi="宋体"/>
          <w:bCs/>
          <w:szCs w:val="21"/>
        </w:rPr>
        <w:t>1.物业服务人员必须身份证、健康证、暂住证等齐全。</w:t>
      </w:r>
    </w:p>
    <w:p w14:paraId="42E0487C">
      <w:pPr>
        <w:spacing w:line="520" w:lineRule="exact"/>
        <w:ind w:firstLine="420" w:firstLineChars="200"/>
        <w:rPr>
          <w:rFonts w:hint="eastAsia" w:ascii="宋体" w:hAnsi="宋体"/>
          <w:bCs/>
          <w:szCs w:val="21"/>
        </w:rPr>
      </w:pPr>
      <w:r>
        <w:rPr>
          <w:rFonts w:hint="eastAsia" w:ascii="宋体" w:hAnsi="宋体"/>
          <w:bCs/>
          <w:szCs w:val="21"/>
        </w:rPr>
        <w:t>2.物业服务人员必须接受过相关专业培训，具有需求中对应证书要求。</w:t>
      </w:r>
    </w:p>
    <w:p w14:paraId="31498B93">
      <w:pPr>
        <w:spacing w:line="520" w:lineRule="exact"/>
        <w:ind w:firstLine="420" w:firstLineChars="200"/>
        <w:rPr>
          <w:rFonts w:hint="eastAsia"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物业服务人员与物业公司签订正式合同，具有基本保险，无劣迹。</w:t>
      </w:r>
    </w:p>
    <w:p w14:paraId="6D7C47AA">
      <w:pPr>
        <w:spacing w:line="520" w:lineRule="exact"/>
        <w:ind w:firstLine="420" w:firstLineChars="200"/>
        <w:rPr>
          <w:rFonts w:hint="eastAsia" w:ascii="宋体" w:hAnsi="宋体"/>
          <w:bCs/>
          <w:szCs w:val="21"/>
        </w:rPr>
      </w:pPr>
      <w:r>
        <w:rPr>
          <w:rFonts w:ascii="宋体" w:hAnsi="宋体"/>
          <w:bCs/>
          <w:szCs w:val="21"/>
        </w:rPr>
        <w:t>(</w:t>
      </w:r>
      <w:r>
        <w:rPr>
          <w:rFonts w:hint="eastAsia" w:ascii="宋体" w:hAnsi="宋体"/>
          <w:bCs/>
          <w:szCs w:val="21"/>
        </w:rPr>
        <w:t>二)物业服务人员要求：</w:t>
      </w:r>
    </w:p>
    <w:p w14:paraId="53D6269D">
      <w:pPr>
        <w:spacing w:line="520" w:lineRule="exact"/>
        <w:ind w:firstLine="420" w:firstLineChars="200"/>
        <w:rPr>
          <w:rFonts w:hint="eastAsia" w:ascii="宋体" w:hAnsi="宋体"/>
          <w:bCs/>
          <w:szCs w:val="21"/>
        </w:rPr>
      </w:pPr>
      <w:r>
        <w:rPr>
          <w:rFonts w:hint="eastAsia" w:ascii="宋体" w:hAnsi="宋体"/>
          <w:bCs/>
          <w:szCs w:val="21"/>
        </w:rPr>
        <w:t xml:space="preserve"> 物业服务人员配置：项目经理1人，负责整个项目的协调组织工作，应与甲方及时沟通。年龄要求25（含）至60（含）周岁，初中及以上学历，3年及以上类似工作经验。 </w:t>
      </w:r>
    </w:p>
    <w:p w14:paraId="59943791">
      <w:pPr>
        <w:numPr>
          <w:ilvl w:val="0"/>
          <w:numId w:val="11"/>
        </w:numPr>
        <w:spacing w:line="520" w:lineRule="exact"/>
        <w:ind w:firstLine="420" w:firstLineChars="200"/>
        <w:rPr>
          <w:rFonts w:hint="eastAsia" w:ascii="宋体" w:hAnsi="宋体"/>
          <w:bCs/>
          <w:szCs w:val="21"/>
        </w:rPr>
      </w:pPr>
      <w:r>
        <w:rPr>
          <w:rFonts w:hint="eastAsia" w:ascii="宋体" w:hAnsi="宋体"/>
          <w:bCs/>
          <w:szCs w:val="21"/>
        </w:rPr>
        <w:t>项目经理，工作日8:30-18：00在岗。</w:t>
      </w:r>
    </w:p>
    <w:p w14:paraId="26248A0C">
      <w:pPr>
        <w:spacing w:line="520" w:lineRule="exact"/>
        <w:ind w:firstLine="420" w:firstLineChars="200"/>
        <w:rPr>
          <w:rFonts w:hint="eastAsia" w:ascii="宋体" w:hAnsi="宋体"/>
          <w:bCs/>
          <w:szCs w:val="21"/>
        </w:rPr>
      </w:pPr>
      <w:r>
        <w:rPr>
          <w:rFonts w:hint="eastAsia" w:ascii="宋体" w:hAnsi="宋体"/>
          <w:bCs/>
          <w:szCs w:val="21"/>
        </w:rPr>
        <w:t>1.1负责物业服务的全面工作，具有良好的物业管理</w:t>
      </w:r>
      <w:r>
        <w:rPr>
          <w:rFonts w:hint="eastAsia" w:ascii="宋体" w:hAnsi="宋体"/>
          <w:bCs/>
          <w:szCs w:val="21"/>
          <w:lang w:eastAsia="zh-Hans"/>
        </w:rPr>
        <w:t>水平</w:t>
      </w:r>
      <w:r>
        <w:rPr>
          <w:rFonts w:hint="eastAsia" w:ascii="宋体" w:hAnsi="宋体"/>
          <w:bCs/>
          <w:szCs w:val="21"/>
        </w:rPr>
        <w:t>，水、电、暖、空调等基础知识。</w:t>
      </w:r>
    </w:p>
    <w:p w14:paraId="62D0B610">
      <w:pPr>
        <w:spacing w:line="520" w:lineRule="exact"/>
        <w:ind w:firstLine="420" w:firstLineChars="200"/>
        <w:rPr>
          <w:rFonts w:hint="eastAsia" w:ascii="宋体" w:hAnsi="宋体"/>
          <w:bCs/>
          <w:szCs w:val="21"/>
        </w:rPr>
      </w:pPr>
      <w:r>
        <w:rPr>
          <w:rFonts w:hint="eastAsia" w:ascii="宋体" w:hAnsi="宋体"/>
          <w:bCs/>
          <w:szCs w:val="21"/>
        </w:rPr>
        <w:t>1.2具备协调解决工程问题及维修人员技术提升的能力，建立相应管理动作流程。</w:t>
      </w:r>
    </w:p>
    <w:p w14:paraId="7BE57D7E">
      <w:pPr>
        <w:spacing w:line="520" w:lineRule="exact"/>
        <w:ind w:firstLine="420" w:firstLineChars="200"/>
        <w:rPr>
          <w:rFonts w:hint="eastAsia" w:ascii="宋体" w:hAnsi="宋体"/>
          <w:bCs/>
          <w:szCs w:val="21"/>
        </w:rPr>
      </w:pPr>
      <w:r>
        <w:rPr>
          <w:rFonts w:hint="eastAsia" w:ascii="宋体" w:hAnsi="宋体"/>
          <w:bCs/>
          <w:szCs w:val="21"/>
        </w:rPr>
        <w:t>1.3合理安排分配工程人员完成计划内外工作。执行力、规划能力强，富有团队合作和敬业精神。</w:t>
      </w:r>
    </w:p>
    <w:p w14:paraId="2E0C4A61">
      <w:pPr>
        <w:spacing w:line="520" w:lineRule="exact"/>
        <w:ind w:firstLine="420" w:firstLineChars="200"/>
        <w:rPr>
          <w:rFonts w:hint="eastAsia" w:ascii="宋体" w:hAnsi="宋体"/>
          <w:bCs/>
          <w:szCs w:val="21"/>
        </w:rPr>
      </w:pPr>
      <w:r>
        <w:rPr>
          <w:rFonts w:hint="eastAsia" w:ascii="宋体" w:hAnsi="宋体"/>
          <w:bCs/>
          <w:szCs w:val="21"/>
        </w:rPr>
        <w:t>1.4有物业经理资格认证、安全员资格证等资格证书。</w:t>
      </w:r>
    </w:p>
    <w:p w14:paraId="288E2B9A">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2、物业服务档案管理，</w:t>
      </w:r>
      <w:r>
        <w:rPr>
          <w:rFonts w:hint="eastAsia" w:ascii="宋体" w:hAnsi="宋体"/>
          <w:bCs/>
          <w:szCs w:val="21"/>
        </w:rPr>
        <w:t>工作日在岗。</w:t>
      </w:r>
    </w:p>
    <w:p w14:paraId="712B8DE8">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中标人档案管理应当符合以下要求：</w:t>
      </w:r>
    </w:p>
    <w:p w14:paraId="2EEFEAC1">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2.1.建立档案管理制度，设置专职档案管理员。</w:t>
      </w:r>
    </w:p>
    <w:p w14:paraId="450DB020">
      <w:pPr>
        <w:spacing w:line="520" w:lineRule="exact"/>
        <w:ind w:firstLine="420" w:firstLineChars="200"/>
        <w:rPr>
          <w:rStyle w:val="252"/>
          <w:rFonts w:hint="eastAsia" w:ascii="宋体" w:hAnsi="宋体" w:cs="仿宋_GB2312"/>
          <w:szCs w:val="21"/>
        </w:rPr>
      </w:pPr>
      <w:r>
        <w:rPr>
          <w:rStyle w:val="252"/>
          <w:rFonts w:hint="eastAsia" w:ascii="宋体" w:hAnsi="宋体" w:cs="仿宋_GB2312"/>
          <w:szCs w:val="21"/>
        </w:rPr>
        <w:t>2.2.保证所收集到的房屋及其共用设施设备等档案资料齐全，分类成册，管理完善，以便查阅。</w:t>
      </w:r>
    </w:p>
    <w:p w14:paraId="392A9670">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2.3.做好各类设施设备、安全生产工作的巡查、检查、运行记录表的存档。</w:t>
      </w:r>
    </w:p>
    <w:p w14:paraId="31DA2639">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2.4.做好各类设施设备的检查、检测报告的存档工作，并按要求将需要展示在设备间的材料进行悬挂展示。</w:t>
      </w:r>
    </w:p>
    <w:p w14:paraId="18F922E4">
      <w:pPr>
        <w:spacing w:line="520" w:lineRule="exact"/>
        <w:ind w:firstLine="420" w:firstLineChars="200"/>
        <w:rPr>
          <w:rStyle w:val="252"/>
          <w:rFonts w:hint="eastAsia" w:ascii="宋体" w:hAnsi="宋体" w:cs="仿宋_GB2312"/>
          <w:bCs/>
          <w:szCs w:val="21"/>
        </w:rPr>
      </w:pPr>
      <w:r>
        <w:rPr>
          <w:rStyle w:val="252"/>
          <w:rFonts w:hint="eastAsia" w:ascii="宋体" w:hAnsi="宋体" w:cs="仿宋_GB2312"/>
          <w:bCs/>
          <w:szCs w:val="21"/>
        </w:rPr>
        <w:t>2.5.做好中标人从业人员人事档案存档、管理工作，包括但不限于以下内容：从业人员应聘信息登记表、身份证复印件、照片、职称/技能证书、体检报告、劳动合同、保密协议等。</w:t>
      </w:r>
    </w:p>
    <w:p w14:paraId="28BC3190">
      <w:pPr>
        <w:spacing w:line="520" w:lineRule="exact"/>
        <w:ind w:firstLine="420" w:firstLineChars="200"/>
        <w:rPr>
          <w:rFonts w:hint="eastAsia" w:ascii="宋体" w:hAnsi="宋体"/>
          <w:bCs/>
          <w:szCs w:val="21"/>
        </w:rPr>
      </w:pPr>
      <w:r>
        <w:rPr>
          <w:rStyle w:val="252"/>
          <w:rFonts w:hint="eastAsia" w:ascii="宋体" w:hAnsi="宋体" w:cs="仿宋_GB2312"/>
          <w:bCs/>
          <w:szCs w:val="21"/>
        </w:rPr>
        <w:t>2.6.库房物品归类摆放整齐，库内无杂物，货架无灰尘，保持账物相符、账账相符，每月盘库一次，上报采购人；每月初报废上月废旧配件，甲方根据报废配件数量表抽查核实配件数量及使用寿命， 经双方签字确认后方可报废。</w:t>
      </w:r>
    </w:p>
    <w:p w14:paraId="56C625A5">
      <w:pPr>
        <w:spacing w:line="520" w:lineRule="exact"/>
        <w:ind w:firstLine="420" w:firstLineChars="200"/>
        <w:rPr>
          <w:rFonts w:hint="eastAsia"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综合维修人员5人，服务范围：北楼、南配楼、西配楼、院区。</w:t>
      </w:r>
    </w:p>
    <w:p w14:paraId="0A9F1DF6">
      <w:pPr>
        <w:spacing w:line="520" w:lineRule="exact"/>
        <w:ind w:firstLine="420" w:firstLineChars="200"/>
        <w:rPr>
          <w:rFonts w:hint="eastAsia" w:ascii="宋体" w:hAnsi="宋体"/>
          <w:bCs/>
          <w:szCs w:val="21"/>
        </w:rPr>
      </w:pPr>
      <w:r>
        <w:rPr>
          <w:rFonts w:hint="eastAsia" w:ascii="宋体" w:hAnsi="宋体"/>
          <w:bCs/>
          <w:szCs w:val="21"/>
        </w:rPr>
        <w:t>4</w:t>
      </w:r>
      <w:r>
        <w:rPr>
          <w:rFonts w:ascii="宋体" w:hAnsi="宋体"/>
          <w:bCs/>
          <w:szCs w:val="21"/>
        </w:rPr>
        <w:t>.</w:t>
      </w:r>
      <w:r>
        <w:rPr>
          <w:rFonts w:hint="eastAsia" w:ascii="宋体" w:hAnsi="宋体"/>
          <w:bCs/>
          <w:szCs w:val="21"/>
        </w:rPr>
        <w:t>保洁员 6人，服务范围：北楼、南配楼、西配楼、院区。</w:t>
      </w:r>
    </w:p>
    <w:p w14:paraId="154D12E1">
      <w:pPr>
        <w:spacing w:line="520" w:lineRule="exact"/>
        <w:ind w:firstLine="420" w:firstLineChars="200"/>
        <w:rPr>
          <w:rFonts w:hint="eastAsia" w:ascii="宋体" w:hAnsi="宋体"/>
          <w:bCs/>
          <w:szCs w:val="21"/>
        </w:rPr>
      </w:pPr>
      <w:r>
        <w:rPr>
          <w:rFonts w:hint="eastAsia" w:ascii="宋体" w:hAnsi="宋体"/>
          <w:bCs/>
          <w:szCs w:val="21"/>
        </w:rPr>
        <w:t>5</w:t>
      </w:r>
      <w:r>
        <w:rPr>
          <w:rFonts w:ascii="宋体" w:hAnsi="宋体"/>
          <w:bCs/>
          <w:szCs w:val="21"/>
        </w:rPr>
        <w:t>.</w:t>
      </w:r>
      <w:r>
        <w:rPr>
          <w:rFonts w:hint="eastAsia" w:ascii="宋体" w:hAnsi="宋体"/>
          <w:bCs/>
          <w:szCs w:val="21"/>
        </w:rPr>
        <w:t>配电室6人，值班人员（双岗值守）。</w:t>
      </w:r>
    </w:p>
    <w:p w14:paraId="48D9F12B">
      <w:pPr>
        <w:spacing w:line="520" w:lineRule="exact"/>
        <w:ind w:firstLine="420" w:firstLineChars="200"/>
        <w:rPr>
          <w:rFonts w:hint="eastAsia"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中标人必须承诺：合同履行期间，本项目物业服务人员的变动不超过30%,中标人更换工作人员，需征求甲方意见。乙方员工的伙食费由乙方承担，甲方提供员工就餐食堂，乙方员工就餐费自理。派出人员往返路费、市区交通费、个人电话费和手机费、长途电话费等由乙方承担。</w:t>
      </w:r>
    </w:p>
    <w:p w14:paraId="6C05D7A2">
      <w:pPr>
        <w:spacing w:line="520" w:lineRule="exact"/>
        <w:ind w:firstLine="420" w:firstLineChars="200"/>
        <w:rPr>
          <w:rFonts w:hint="eastAsia" w:ascii="宋体" w:hAnsi="宋体"/>
          <w:bCs/>
          <w:szCs w:val="21"/>
        </w:rPr>
      </w:pPr>
    </w:p>
    <w:p w14:paraId="372E59F6">
      <w:pPr>
        <w:spacing w:line="520" w:lineRule="exact"/>
        <w:ind w:firstLine="422" w:firstLineChars="200"/>
        <w:rPr>
          <w:rFonts w:hint="eastAsia" w:ascii="宋体" w:hAnsi="宋体"/>
          <w:b/>
          <w:szCs w:val="21"/>
        </w:rPr>
      </w:pPr>
      <w:r>
        <w:rPr>
          <w:rFonts w:hint="eastAsia" w:ascii="宋体" w:hAnsi="宋体"/>
          <w:b/>
          <w:szCs w:val="21"/>
        </w:rPr>
        <w:t>八、说明</w:t>
      </w:r>
    </w:p>
    <w:p w14:paraId="083E12CE">
      <w:pPr>
        <w:spacing w:line="520" w:lineRule="exact"/>
        <w:ind w:firstLine="420" w:firstLineChars="200"/>
        <w:rPr>
          <w:rFonts w:hint="eastAsia" w:ascii="宋体" w:hAnsi="宋体"/>
          <w:bCs/>
          <w:szCs w:val="21"/>
        </w:rPr>
      </w:pPr>
      <w:r>
        <w:rPr>
          <w:rFonts w:hint="eastAsia" w:ascii="宋体" w:hAnsi="宋体"/>
          <w:bCs/>
          <w:szCs w:val="21"/>
        </w:rPr>
        <w:t>中标人不得在签署合同后，把此项目分包给其它单位（含挂靠单位）。一经发现，采购人将立即终止合同，同时追究乙方的法律责任并赔偿经济损失。</w:t>
      </w:r>
    </w:p>
    <w:p w14:paraId="5064138B">
      <w:pPr>
        <w:spacing w:line="520" w:lineRule="exact"/>
        <w:ind w:firstLine="420" w:firstLineChars="200"/>
        <w:rPr>
          <w:rFonts w:hint="eastAsia" w:ascii="宋体" w:hAnsi="宋体"/>
          <w:bCs/>
          <w:szCs w:val="21"/>
        </w:rPr>
      </w:pPr>
      <w:r>
        <w:rPr>
          <w:rFonts w:hint="eastAsia" w:ascii="宋体" w:hAnsi="宋体"/>
          <w:bCs/>
          <w:szCs w:val="21"/>
        </w:rPr>
        <w:t>合同期内，如遇不可抗力，经双方协商解决后按实际月份支付发生的相关费用。</w:t>
      </w:r>
    </w:p>
    <w:p w14:paraId="2A4EA9DE">
      <w:pPr>
        <w:spacing w:line="520" w:lineRule="exact"/>
        <w:ind w:firstLine="422" w:firstLineChars="200"/>
        <w:rPr>
          <w:rFonts w:hint="eastAsia" w:ascii="宋体" w:hAnsi="宋体"/>
          <w:b/>
          <w:szCs w:val="21"/>
        </w:rPr>
      </w:pPr>
      <w:r>
        <w:rPr>
          <w:rFonts w:hint="eastAsia" w:ascii="宋体" w:hAnsi="宋体"/>
          <w:b/>
          <w:szCs w:val="21"/>
        </w:rPr>
        <w:t>八、其他服务要求</w:t>
      </w:r>
    </w:p>
    <w:p w14:paraId="26D7727B">
      <w:pPr>
        <w:spacing w:line="520" w:lineRule="exact"/>
        <w:ind w:firstLine="420" w:firstLineChars="200"/>
        <w:rPr>
          <w:rFonts w:hint="eastAsia" w:ascii="宋体" w:hAnsi="宋体"/>
          <w:bCs/>
          <w:szCs w:val="21"/>
        </w:rPr>
      </w:pPr>
      <w:r>
        <w:rPr>
          <w:rFonts w:hint="eastAsia" w:ascii="宋体" w:hAnsi="宋体"/>
          <w:bCs/>
          <w:szCs w:val="21"/>
        </w:rPr>
        <w:t>中标人应配备具有专业能力的人员，协助采购人开展节约能源资源工作。包括但不限于节能管理、节水管理、反食品浪费、生活垃圾分类等方面。</w:t>
      </w:r>
    </w:p>
    <w:p w14:paraId="324FA171">
      <w:pPr>
        <w:ind w:firstLine="420" w:firstLineChars="200"/>
        <w:rPr>
          <w:rFonts w:hint="eastAsia" w:ascii="仿宋_GB2312" w:hAnsi="仿宋_GB2312" w:cs="仿宋_GB2312"/>
          <w:kern w:val="0"/>
          <w:szCs w:val="32"/>
          <w:lang w:bidi="ar"/>
        </w:rPr>
      </w:pPr>
      <w:r>
        <w:rPr>
          <w:rFonts w:hint="eastAsia" w:ascii="仿宋_GB2312" w:hAnsi="仿宋_GB2312" w:cs="仿宋_GB2312"/>
          <w:kern w:val="0"/>
          <w:szCs w:val="32"/>
          <w:lang w:bidi="ar"/>
        </w:rPr>
        <w:t>请供应商承诺投标截止日前3年内未发生以下事项：</w:t>
      </w:r>
    </w:p>
    <w:p w14:paraId="33F12DD7">
      <w:pPr>
        <w:ind w:firstLine="275" w:firstLineChars="131"/>
        <w:rPr>
          <w:rFonts w:hint="eastAsia" w:ascii="仿宋_GB2312" w:hAnsi="仿宋_GB2312" w:cs="仿宋_GB2312"/>
          <w:kern w:val="0"/>
          <w:szCs w:val="32"/>
          <w:lang w:bidi="ar"/>
        </w:rPr>
      </w:pPr>
      <w:r>
        <w:rPr>
          <w:rFonts w:hint="eastAsia" w:ascii="仿宋_GB2312" w:hAnsi="仿宋_GB2312" w:cs="仿宋_GB2312"/>
          <w:kern w:val="0"/>
          <w:szCs w:val="32"/>
          <w:lang w:bidi="ar"/>
        </w:rPr>
        <w:t>1.在招标（交易发起）文件规定的投标（交易响应）截止日起的投标（交易响应）有效期内撤销其投标（交易响应）的；</w:t>
      </w:r>
    </w:p>
    <w:p w14:paraId="46785703">
      <w:pPr>
        <w:ind w:firstLine="275" w:firstLineChars="131"/>
        <w:rPr>
          <w:rFonts w:hint="eastAsia" w:ascii="仿宋_GB2312" w:hAnsi="仿宋_GB2312" w:cs="仿宋_GB2312"/>
          <w:kern w:val="0"/>
          <w:szCs w:val="32"/>
          <w:lang w:bidi="ar"/>
        </w:rPr>
      </w:pPr>
      <w:r>
        <w:rPr>
          <w:rFonts w:hint="eastAsia" w:ascii="仿宋_GB2312" w:hAnsi="仿宋_GB2312" w:cs="仿宋_GB2312"/>
          <w:kern w:val="0"/>
          <w:szCs w:val="32"/>
          <w:lang w:bidi="ar"/>
        </w:rPr>
        <w:t>2.因供应商自身原因或其他客观情况造成合同履约超期，或经过采购人催告后仍故意或拒绝履行合同义务的；</w:t>
      </w:r>
    </w:p>
    <w:p w14:paraId="11AEF9FD">
      <w:pPr>
        <w:ind w:firstLine="275" w:firstLineChars="131"/>
        <w:rPr>
          <w:rFonts w:hint="eastAsia" w:ascii="仿宋_GB2312" w:hAnsi="仿宋_GB2312" w:cs="仿宋_GB2312"/>
          <w:kern w:val="0"/>
          <w:szCs w:val="32"/>
          <w:lang w:bidi="ar"/>
        </w:rPr>
      </w:pPr>
      <w:r>
        <w:rPr>
          <w:rFonts w:hint="eastAsia" w:ascii="仿宋_GB2312" w:hAnsi="仿宋_GB2312" w:cs="仿宋_GB2312"/>
          <w:kern w:val="0"/>
          <w:szCs w:val="32"/>
          <w:lang w:bidi="ar"/>
        </w:rPr>
        <w:t>3.因供应商其自身严重或持续的履约缺陷，导致合同被提前终止、索赔或其他类似制裁的；</w:t>
      </w:r>
    </w:p>
    <w:p w14:paraId="00B927F8">
      <w:pPr>
        <w:ind w:firstLine="275" w:firstLineChars="131"/>
        <w:rPr>
          <w:rFonts w:hint="eastAsia" w:ascii="仿宋_GB2312" w:hAnsi="仿宋_GB2312" w:cs="仿宋_GB2312"/>
          <w:kern w:val="0"/>
          <w:szCs w:val="32"/>
          <w:lang w:bidi="ar"/>
        </w:rPr>
      </w:pPr>
      <w:r>
        <w:rPr>
          <w:rFonts w:hint="eastAsia" w:ascii="仿宋_GB2312" w:hAnsi="仿宋_GB2312" w:cs="仿宋_GB2312"/>
          <w:kern w:val="0"/>
          <w:szCs w:val="32"/>
          <w:lang w:bidi="ar"/>
        </w:rPr>
        <w:t>4.存在拖欠工资的；</w:t>
      </w:r>
    </w:p>
    <w:p w14:paraId="5A3F0C64">
      <w:pPr>
        <w:ind w:firstLine="275" w:firstLineChars="131"/>
        <w:rPr>
          <w:rFonts w:hint="eastAsia" w:ascii="仿宋_GB2312" w:hAnsi="仿宋_GB2312" w:cs="仿宋_GB2312"/>
          <w:kern w:val="0"/>
          <w:szCs w:val="32"/>
          <w:lang w:bidi="ar"/>
        </w:rPr>
      </w:pPr>
      <w:r>
        <w:rPr>
          <w:rFonts w:hint="eastAsia" w:ascii="仿宋_GB2312" w:hAnsi="仿宋_GB2312" w:cs="仿宋_GB2312"/>
          <w:kern w:val="0"/>
          <w:szCs w:val="32"/>
          <w:lang w:bidi="ar"/>
        </w:rPr>
        <w:t>5.存在《京津冀政府采购负面行为清单》（冀财采〔2024〕18号）规定的供应商负面行为的：</w:t>
      </w:r>
    </w:p>
    <w:p w14:paraId="3FCB341E">
      <w:pPr>
        <w:ind w:firstLine="275" w:firstLineChars="131"/>
        <w:rPr>
          <w:rFonts w:hint="eastAsia" w:ascii="仿宋_GB2312" w:hAnsi="仿宋_GB2312" w:cs="仿宋_GB2312"/>
          <w:kern w:val="0"/>
          <w:szCs w:val="32"/>
          <w:lang w:bidi="ar"/>
        </w:rPr>
      </w:pPr>
      <w:r>
        <w:rPr>
          <w:rFonts w:hint="eastAsia" w:ascii="仿宋_GB2312" w:hAnsi="仿宋_GB2312" w:cs="仿宋_GB2312"/>
          <w:kern w:val="0"/>
          <w:szCs w:val="32"/>
          <w:lang w:bidi="ar"/>
        </w:rPr>
        <w:t>（1）具有关联或存在利益冲突的供应商违规参加同一政府采购项目；</w:t>
      </w:r>
    </w:p>
    <w:p w14:paraId="719B3564">
      <w:pPr>
        <w:ind w:firstLine="275" w:firstLineChars="131"/>
        <w:rPr>
          <w:rFonts w:hint="eastAsia" w:ascii="仿宋_GB2312" w:hAnsi="仿宋_GB2312" w:cs="仿宋_GB2312"/>
          <w:kern w:val="0"/>
          <w:szCs w:val="32"/>
          <w:lang w:bidi="ar"/>
        </w:rPr>
      </w:pPr>
      <w:r>
        <w:rPr>
          <w:rFonts w:hint="eastAsia" w:ascii="仿宋_GB2312" w:hAnsi="仿宋_GB2312" w:cs="仿宋_GB2312"/>
          <w:kern w:val="0"/>
          <w:szCs w:val="32"/>
          <w:lang w:bidi="ar"/>
        </w:rPr>
        <w:t>（2）供应商不公平竞争；</w:t>
      </w:r>
    </w:p>
    <w:p w14:paraId="6A5C3D01">
      <w:pPr>
        <w:ind w:firstLine="275" w:firstLineChars="131"/>
        <w:rPr>
          <w:rFonts w:hint="eastAsia" w:ascii="仿宋_GB2312" w:hAnsi="仿宋_GB2312" w:cs="仿宋_GB2312"/>
          <w:kern w:val="0"/>
          <w:szCs w:val="32"/>
          <w:lang w:bidi="ar"/>
        </w:rPr>
      </w:pPr>
      <w:r>
        <w:rPr>
          <w:rFonts w:hint="eastAsia" w:ascii="仿宋_GB2312" w:hAnsi="仿宋_GB2312" w:cs="仿宋_GB2312"/>
          <w:kern w:val="0"/>
          <w:szCs w:val="32"/>
          <w:lang w:bidi="ar"/>
        </w:rPr>
        <w:t>（3）供应商恶意串通；</w:t>
      </w:r>
    </w:p>
    <w:p w14:paraId="6F9D3CFB">
      <w:pPr>
        <w:ind w:firstLine="275" w:firstLineChars="131"/>
        <w:rPr>
          <w:rFonts w:hint="eastAsia" w:ascii="仿宋_GB2312" w:hAnsi="仿宋_GB2312" w:cs="仿宋_GB2312"/>
          <w:kern w:val="0"/>
          <w:szCs w:val="32"/>
          <w:lang w:bidi="ar"/>
        </w:rPr>
      </w:pPr>
      <w:r>
        <w:rPr>
          <w:rFonts w:hint="eastAsia" w:ascii="仿宋_GB2312" w:hAnsi="仿宋_GB2312" w:cs="仿宋_GB2312"/>
          <w:kern w:val="0"/>
          <w:szCs w:val="32"/>
          <w:lang w:bidi="ar"/>
        </w:rPr>
        <w:t>（4）其他串通行为；</w:t>
      </w:r>
    </w:p>
    <w:p w14:paraId="7E395F6B">
      <w:pPr>
        <w:ind w:firstLine="275" w:firstLineChars="131"/>
        <w:rPr>
          <w:rFonts w:hint="eastAsia" w:ascii="仿宋_GB2312" w:hAnsi="仿宋_GB2312" w:cs="仿宋_GB2312"/>
          <w:kern w:val="0"/>
          <w:szCs w:val="32"/>
          <w:lang w:bidi="ar"/>
        </w:rPr>
      </w:pPr>
      <w:r>
        <w:rPr>
          <w:rFonts w:hint="eastAsia" w:ascii="仿宋_GB2312" w:hAnsi="仿宋_GB2312" w:cs="仿宋_GB2312"/>
          <w:kern w:val="0"/>
          <w:szCs w:val="32"/>
          <w:lang w:bidi="ar"/>
        </w:rPr>
        <w:t>（5）未按规定签订合同；</w:t>
      </w:r>
    </w:p>
    <w:p w14:paraId="7A0E7DFC">
      <w:pPr>
        <w:ind w:firstLine="275" w:firstLineChars="131"/>
        <w:rPr>
          <w:rFonts w:hint="eastAsia" w:ascii="仿宋_GB2312" w:hAnsi="仿宋_GB2312" w:cs="仿宋_GB2312"/>
          <w:kern w:val="0"/>
          <w:szCs w:val="32"/>
          <w:lang w:bidi="ar"/>
        </w:rPr>
      </w:pPr>
      <w:r>
        <w:rPr>
          <w:rFonts w:hint="eastAsia" w:ascii="仿宋_GB2312" w:hAnsi="仿宋_GB2312" w:cs="仿宋_GB2312"/>
          <w:kern w:val="0"/>
          <w:szCs w:val="32"/>
          <w:lang w:bidi="ar"/>
        </w:rPr>
        <w:t>（6）未按规定履行合同；</w:t>
      </w:r>
    </w:p>
    <w:p w14:paraId="19041EF7">
      <w:pPr>
        <w:spacing w:line="360" w:lineRule="auto"/>
        <w:outlineLvl w:val="0"/>
        <w:rPr>
          <w:b/>
          <w:sz w:val="36"/>
          <w:szCs w:val="36"/>
        </w:rPr>
      </w:pPr>
      <w:r>
        <w:rPr>
          <w:rFonts w:hint="eastAsia" w:ascii="仿宋_GB2312" w:hAnsi="仿宋_GB2312" w:cs="仿宋_GB2312"/>
          <w:kern w:val="0"/>
          <w:szCs w:val="32"/>
          <w:lang w:bidi="ar"/>
        </w:rPr>
        <w:t>（7）在监督检查和投诉处理中提供虚假材料</w:t>
      </w:r>
    </w:p>
    <w:bookmarkEnd w:id="1"/>
    <w:bookmarkEnd w:id="2"/>
    <w:bookmarkEnd w:id="3"/>
    <w:bookmarkEnd w:id="4"/>
    <w:bookmarkEnd w:id="5"/>
    <w:bookmarkEnd w:id="6"/>
    <w:bookmarkEnd w:id="7"/>
    <w:bookmarkEnd w:id="8"/>
    <w:bookmarkEnd w:id="9"/>
    <w:bookmarkEnd w:id="10"/>
    <w:bookmarkEnd w:id="11"/>
    <w:bookmarkEnd w:id="12"/>
    <w:bookmarkEnd w:id="13"/>
    <w:bookmarkEnd w:id="14"/>
    <w:p w14:paraId="4AC60739">
      <w:pPr>
        <w:rPr>
          <w:b/>
          <w:sz w:val="36"/>
          <w:szCs w:val="36"/>
        </w:rPr>
      </w:pPr>
      <w:bookmarkStart w:id="16" w:name="_GoBack"/>
      <w:bookmarkEnd w:id="16"/>
    </w:p>
    <w:sectPr>
      <w:footerReference r:id="rId5" w:type="default"/>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微软简楷体">
    <w:altName w:val="楷体_GB2312"/>
    <w:panose1 w:val="00000000000000000000"/>
    <w:charset w:val="86"/>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方正楷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28DC">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3A64A"/>
    <w:multiLevelType w:val="singleLevel"/>
    <w:tmpl w:val="B593A64A"/>
    <w:lvl w:ilvl="0" w:tentative="0">
      <w:start w:val="1"/>
      <w:numFmt w:val="decimal"/>
      <w:suff w:val="space"/>
      <w:lvlText w:val="%1."/>
      <w:lvlJc w:val="left"/>
    </w:lvl>
  </w:abstractNum>
  <w:abstractNum w:abstractNumId="1">
    <w:nsid w:val="0000000A"/>
    <w:multiLevelType w:val="multilevel"/>
    <w:tmpl w:val="0000000A"/>
    <w:lvl w:ilvl="0" w:tentative="0">
      <w:start w:val="1"/>
      <w:numFmt w:val="decimal"/>
      <w:pStyle w:val="7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4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07"/>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6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7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66"/>
      <w:lvlText w:val="%1"/>
      <w:lvlJc w:val="left"/>
      <w:pPr>
        <w:ind w:left="680" w:hanging="680"/>
      </w:pPr>
      <w:rPr>
        <w:rFonts w:hint="eastAsia" w:ascii="宋体" w:hAnsi="宋体" w:eastAsia="宋体"/>
      </w:rPr>
    </w:lvl>
    <w:lvl w:ilvl="1" w:tentative="0">
      <w:start w:val="1"/>
      <w:numFmt w:val="decimal"/>
      <w:pStyle w:val="167"/>
      <w:lvlText w:val="%1.%2"/>
      <w:lvlJc w:val="left"/>
      <w:pPr>
        <w:ind w:left="851" w:hanging="851"/>
      </w:pPr>
      <w:rPr>
        <w:rFonts w:hint="eastAsia" w:ascii="宋体" w:hAnsi="宋体" w:eastAsia="宋体"/>
        <w:color w:val="auto"/>
      </w:rPr>
    </w:lvl>
    <w:lvl w:ilvl="2" w:tentative="0">
      <w:start w:val="1"/>
      <w:numFmt w:val="decimal"/>
      <w:pStyle w:val="16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304C55C2"/>
    <w:multiLevelType w:val="singleLevel"/>
    <w:tmpl w:val="304C55C2"/>
    <w:lvl w:ilvl="0" w:tentative="0">
      <w:start w:val="2"/>
      <w:numFmt w:val="chineseCounting"/>
      <w:suff w:val="nothing"/>
      <w:lvlText w:val="%1、"/>
      <w:lvlJc w:val="left"/>
      <w:rPr>
        <w:rFonts w:hint="eastAsia"/>
      </w:rPr>
    </w:lvl>
  </w:abstractNum>
  <w:abstractNum w:abstractNumId="9">
    <w:nsid w:val="60CAA259"/>
    <w:multiLevelType w:val="singleLevel"/>
    <w:tmpl w:val="60CAA259"/>
    <w:lvl w:ilvl="0" w:tentative="0">
      <w:start w:val="15"/>
      <w:numFmt w:val="decimal"/>
      <w:suff w:val="nothing"/>
      <w:lvlText w:val="%1."/>
      <w:lvlJc w:val="left"/>
    </w:lvl>
  </w:abstractNum>
  <w:abstractNum w:abstractNumId="10">
    <w:nsid w:val="618E1DBC"/>
    <w:multiLevelType w:val="singleLevel"/>
    <w:tmpl w:val="618E1DBC"/>
    <w:lvl w:ilvl="0" w:tentative="0">
      <w:start w:val="1"/>
      <w:numFmt w:val="decimal"/>
      <w:suff w:val="nothing"/>
      <w:lvlText w:val="%1."/>
      <w:lvlJc w:val="left"/>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7"/>
  </w:num>
  <w:num w:numId="8">
    <w:abstractNumId w:val="8"/>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6C8"/>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733"/>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5F6"/>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5A"/>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1E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819"/>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A50"/>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3FF5"/>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2D"/>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83"/>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06"/>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55"/>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D99"/>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628"/>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340"/>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AB1"/>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7BF"/>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552"/>
    <w:rsid w:val="00485858"/>
    <w:rsid w:val="00485904"/>
    <w:rsid w:val="00485C1D"/>
    <w:rsid w:val="00485E19"/>
    <w:rsid w:val="0048613E"/>
    <w:rsid w:val="00486215"/>
    <w:rsid w:val="00486339"/>
    <w:rsid w:val="00486672"/>
    <w:rsid w:val="004868A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EF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C9"/>
    <w:rsid w:val="005429E1"/>
    <w:rsid w:val="00542B25"/>
    <w:rsid w:val="005433E9"/>
    <w:rsid w:val="00543983"/>
    <w:rsid w:val="00543AC9"/>
    <w:rsid w:val="00543AE6"/>
    <w:rsid w:val="00543B25"/>
    <w:rsid w:val="00543BCD"/>
    <w:rsid w:val="00543DE6"/>
    <w:rsid w:val="00543F80"/>
    <w:rsid w:val="0054402D"/>
    <w:rsid w:val="005446DB"/>
    <w:rsid w:val="005446F5"/>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2FA"/>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3CE"/>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DA"/>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1E0"/>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15"/>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84"/>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45"/>
    <w:rsid w:val="007B6E50"/>
    <w:rsid w:val="007B73E4"/>
    <w:rsid w:val="007B78B6"/>
    <w:rsid w:val="007B7A3A"/>
    <w:rsid w:val="007B7AE6"/>
    <w:rsid w:val="007C04B1"/>
    <w:rsid w:val="007C04B8"/>
    <w:rsid w:val="007C0A99"/>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BA4"/>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296"/>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413"/>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CB0"/>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67F"/>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9CE"/>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70"/>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01A"/>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0A"/>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D57"/>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56C"/>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BC2"/>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73"/>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953"/>
    <w:rsid w:val="00B02BFB"/>
    <w:rsid w:val="00B030F8"/>
    <w:rsid w:val="00B03106"/>
    <w:rsid w:val="00B03253"/>
    <w:rsid w:val="00B03895"/>
    <w:rsid w:val="00B03904"/>
    <w:rsid w:val="00B03A5D"/>
    <w:rsid w:val="00B03A61"/>
    <w:rsid w:val="00B03AC9"/>
    <w:rsid w:val="00B03B4C"/>
    <w:rsid w:val="00B03B56"/>
    <w:rsid w:val="00B03B9A"/>
    <w:rsid w:val="00B03C4D"/>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4AC"/>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B0"/>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32B"/>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71F"/>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429"/>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3C"/>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2BD"/>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666"/>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3F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9C2"/>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3B1"/>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1B8"/>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2F"/>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5F96"/>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725"/>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AF"/>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6F7A"/>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A49"/>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11"/>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EC5C74"/>
    <w:rsid w:val="070B2BEB"/>
    <w:rsid w:val="07F36417"/>
    <w:rsid w:val="09B63701"/>
    <w:rsid w:val="0A6E0B9B"/>
    <w:rsid w:val="0AEE26D6"/>
    <w:rsid w:val="0B660C1A"/>
    <w:rsid w:val="0C83145C"/>
    <w:rsid w:val="0D186481"/>
    <w:rsid w:val="0D9D24E2"/>
    <w:rsid w:val="0E133600"/>
    <w:rsid w:val="127C4DBC"/>
    <w:rsid w:val="14625AD7"/>
    <w:rsid w:val="16A520BC"/>
    <w:rsid w:val="17F93E0B"/>
    <w:rsid w:val="190A2206"/>
    <w:rsid w:val="196B04A0"/>
    <w:rsid w:val="19E40FF5"/>
    <w:rsid w:val="1A1576F4"/>
    <w:rsid w:val="1AB764EA"/>
    <w:rsid w:val="1C455CA5"/>
    <w:rsid w:val="1D2C69D2"/>
    <w:rsid w:val="1E3D5840"/>
    <w:rsid w:val="2030628A"/>
    <w:rsid w:val="211D2A9C"/>
    <w:rsid w:val="217C0935"/>
    <w:rsid w:val="2277734E"/>
    <w:rsid w:val="239E00B4"/>
    <w:rsid w:val="251D41DD"/>
    <w:rsid w:val="251E74A4"/>
    <w:rsid w:val="267D05B7"/>
    <w:rsid w:val="26831BBC"/>
    <w:rsid w:val="27224980"/>
    <w:rsid w:val="27843CE5"/>
    <w:rsid w:val="2B9845BD"/>
    <w:rsid w:val="2BDC37EE"/>
    <w:rsid w:val="2F655284"/>
    <w:rsid w:val="311957C8"/>
    <w:rsid w:val="31754DFF"/>
    <w:rsid w:val="321715DC"/>
    <w:rsid w:val="32DA195F"/>
    <w:rsid w:val="32EB653A"/>
    <w:rsid w:val="35EB3E55"/>
    <w:rsid w:val="37D7646D"/>
    <w:rsid w:val="38BA00EA"/>
    <w:rsid w:val="395F27B8"/>
    <w:rsid w:val="398F586D"/>
    <w:rsid w:val="3A422AA2"/>
    <w:rsid w:val="3ACD4293"/>
    <w:rsid w:val="3B037377"/>
    <w:rsid w:val="3BCB6780"/>
    <w:rsid w:val="3C187A8A"/>
    <w:rsid w:val="3C363E1C"/>
    <w:rsid w:val="3CC85B63"/>
    <w:rsid w:val="3D20675E"/>
    <w:rsid w:val="3DCE3E6E"/>
    <w:rsid w:val="3FC44B7C"/>
    <w:rsid w:val="402A14E2"/>
    <w:rsid w:val="40610FCA"/>
    <w:rsid w:val="425A2175"/>
    <w:rsid w:val="42CD0A98"/>
    <w:rsid w:val="431A0C09"/>
    <w:rsid w:val="480E2158"/>
    <w:rsid w:val="4ADB19C8"/>
    <w:rsid w:val="4B65373A"/>
    <w:rsid w:val="4C327140"/>
    <w:rsid w:val="4C3B4DC5"/>
    <w:rsid w:val="4D00163A"/>
    <w:rsid w:val="4D0B0C3B"/>
    <w:rsid w:val="4EDD719E"/>
    <w:rsid w:val="4F0F5BE3"/>
    <w:rsid w:val="4FCD4952"/>
    <w:rsid w:val="50055E16"/>
    <w:rsid w:val="51EE198B"/>
    <w:rsid w:val="52422029"/>
    <w:rsid w:val="534722A1"/>
    <w:rsid w:val="545455E7"/>
    <w:rsid w:val="55040901"/>
    <w:rsid w:val="56245862"/>
    <w:rsid w:val="56C5064D"/>
    <w:rsid w:val="56DF05DE"/>
    <w:rsid w:val="57237BD0"/>
    <w:rsid w:val="57FC6189"/>
    <w:rsid w:val="58C438B2"/>
    <w:rsid w:val="58E00503"/>
    <w:rsid w:val="5A0D7420"/>
    <w:rsid w:val="5B9205D4"/>
    <w:rsid w:val="5B961A42"/>
    <w:rsid w:val="5D370EBC"/>
    <w:rsid w:val="5F073306"/>
    <w:rsid w:val="5F434264"/>
    <w:rsid w:val="5F5F73B9"/>
    <w:rsid w:val="5F7B6E87"/>
    <w:rsid w:val="6017124D"/>
    <w:rsid w:val="6465428E"/>
    <w:rsid w:val="66A7561B"/>
    <w:rsid w:val="66F73E63"/>
    <w:rsid w:val="67817BD3"/>
    <w:rsid w:val="6838144E"/>
    <w:rsid w:val="68AA7398"/>
    <w:rsid w:val="6EAB6FA9"/>
    <w:rsid w:val="73037F0B"/>
    <w:rsid w:val="73A53748"/>
    <w:rsid w:val="742C597A"/>
    <w:rsid w:val="768E2675"/>
    <w:rsid w:val="77041962"/>
    <w:rsid w:val="77521CC0"/>
    <w:rsid w:val="7B356255"/>
    <w:rsid w:val="7BFC08FF"/>
    <w:rsid w:val="7C103455"/>
    <w:rsid w:val="7D8362BA"/>
    <w:rsid w:val="7DC2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18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8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87"/>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8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8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8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3"/>
    <w:qFormat/>
    <w:uiPriority w:val="0"/>
    <w:pPr>
      <w:shd w:val="clear" w:color="auto" w:fill="000080"/>
    </w:pPr>
  </w:style>
  <w:style w:type="paragraph" w:styleId="15">
    <w:name w:val="annotation text"/>
    <w:basedOn w:val="1"/>
    <w:link w:val="194"/>
    <w:qFormat/>
    <w:uiPriority w:val="99"/>
    <w:pPr>
      <w:jc w:val="left"/>
    </w:pPr>
  </w:style>
  <w:style w:type="paragraph" w:styleId="16">
    <w:name w:val="Body Text 3"/>
    <w:basedOn w:val="1"/>
    <w:link w:val="195"/>
    <w:qFormat/>
    <w:uiPriority w:val="0"/>
    <w:pPr>
      <w:spacing w:after="120"/>
    </w:pPr>
    <w:rPr>
      <w:sz w:val="16"/>
      <w:szCs w:val="16"/>
    </w:rPr>
  </w:style>
  <w:style w:type="paragraph" w:styleId="17">
    <w:name w:val="Body Text"/>
    <w:basedOn w:val="1"/>
    <w:link w:val="196"/>
    <w:qFormat/>
    <w:uiPriority w:val="0"/>
    <w:pPr>
      <w:tabs>
        <w:tab w:val="left" w:pos="567"/>
      </w:tabs>
      <w:spacing w:before="120" w:line="22" w:lineRule="atLeast"/>
    </w:pPr>
    <w:rPr>
      <w:rFonts w:ascii="宋体" w:hAnsi="宋体"/>
      <w:sz w:val="24"/>
    </w:rPr>
  </w:style>
  <w:style w:type="paragraph" w:styleId="18">
    <w:name w:val="Body Text Indent"/>
    <w:basedOn w:val="1"/>
    <w:link w:val="19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19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199"/>
    <w:qFormat/>
    <w:uiPriority w:val="0"/>
    <w:pPr>
      <w:ind w:left="100" w:leftChars="2500"/>
    </w:pPr>
    <w:rPr>
      <w:rFonts w:ascii="仿宋_GB2312" w:hAnsi="宋体" w:eastAsia="仿宋_GB2312"/>
      <w:color w:val="000000"/>
      <w:sz w:val="24"/>
    </w:rPr>
  </w:style>
  <w:style w:type="paragraph" w:styleId="26">
    <w:name w:val="Body Text Indent 2"/>
    <w:basedOn w:val="1"/>
    <w:link w:val="200"/>
    <w:qFormat/>
    <w:uiPriority w:val="0"/>
    <w:pPr>
      <w:ind w:firstLine="480" w:firstLineChars="200"/>
    </w:pPr>
    <w:rPr>
      <w:rFonts w:ascii="仿宋_GB2312" w:eastAsia="仿宋_GB2312"/>
      <w:sz w:val="24"/>
    </w:rPr>
  </w:style>
  <w:style w:type="paragraph" w:styleId="27">
    <w:name w:val="Balloon Text"/>
    <w:basedOn w:val="1"/>
    <w:link w:val="201"/>
    <w:qFormat/>
    <w:uiPriority w:val="0"/>
    <w:rPr>
      <w:sz w:val="18"/>
      <w:szCs w:val="18"/>
    </w:rPr>
  </w:style>
  <w:style w:type="paragraph" w:styleId="28">
    <w:name w:val="footer"/>
    <w:basedOn w:val="1"/>
    <w:link w:val="20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203"/>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0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206"/>
    <w:qFormat/>
    <w:uiPriority w:val="0"/>
    <w:pPr>
      <w:jc w:val="center"/>
      <w:outlineLvl w:val="0"/>
    </w:pPr>
    <w:rPr>
      <w:b/>
      <w:sz w:val="32"/>
      <w:szCs w:val="20"/>
    </w:rPr>
  </w:style>
  <w:style w:type="paragraph" w:styleId="40">
    <w:name w:val="annotation subject"/>
    <w:basedOn w:val="15"/>
    <w:next w:val="15"/>
    <w:link w:val="207"/>
    <w:qFormat/>
    <w:uiPriority w:val="0"/>
    <w:rPr>
      <w:b/>
      <w:bCs/>
    </w:rPr>
  </w:style>
  <w:style w:type="paragraph" w:styleId="41">
    <w:name w:val="Body Text First Indent 2"/>
    <w:basedOn w:val="18"/>
    <w:link w:val="20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注释"/>
    <w:basedOn w:val="1"/>
    <w:link w:val="212"/>
    <w:qFormat/>
    <w:uiPriority w:val="0"/>
    <w:pPr>
      <w:adjustRightInd w:val="0"/>
      <w:snapToGrid w:val="0"/>
      <w:ind w:left="420" w:hanging="420" w:hangingChars="200"/>
      <w:jc w:val="left"/>
    </w:pPr>
    <w:rPr>
      <w:rFonts w:ascii="宋体" w:hAnsi="宋体"/>
      <w:szCs w:val="21"/>
    </w:rPr>
  </w:style>
  <w:style w:type="paragraph" w:customStyle="1" w:styleId="54">
    <w:name w:val="正文文本缩进1"/>
    <w:basedOn w:val="1"/>
    <w:link w:val="218"/>
    <w:qFormat/>
    <w:uiPriority w:val="0"/>
    <w:pPr>
      <w:spacing w:line="480" w:lineRule="exact"/>
      <w:ind w:firstLine="480" w:firstLineChars="200"/>
    </w:pPr>
    <w:rPr>
      <w:rFonts w:ascii="宋体" w:hAnsi="宋体"/>
      <w:kern w:val="0"/>
      <w:sz w:val="24"/>
    </w:rPr>
  </w:style>
  <w:style w:type="paragraph" w:customStyle="1" w:styleId="55">
    <w:name w:val="正文大标题"/>
    <w:basedOn w:val="56"/>
    <w:next w:val="5"/>
    <w:link w:val="221"/>
    <w:qFormat/>
    <w:uiPriority w:val="0"/>
    <w:pPr>
      <w:jc w:val="center"/>
    </w:pPr>
    <w:rPr>
      <w:i w:val="0"/>
      <w:color w:val="000000"/>
      <w:sz w:val="28"/>
      <w:szCs w:val="21"/>
    </w:rPr>
  </w:style>
  <w:style w:type="paragraph" w:customStyle="1" w:styleId="56">
    <w:name w:val="正文小标题"/>
    <w:basedOn w:val="1"/>
    <w:next w:val="5"/>
    <w:link w:val="22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7">
    <w:name w:val="List Paragraph"/>
    <w:basedOn w:val="1"/>
    <w:link w:val="224"/>
    <w:qFormat/>
    <w:uiPriority w:val="34"/>
    <w:pPr>
      <w:ind w:firstLine="420" w:firstLineChars="200"/>
    </w:pPr>
    <w:rPr>
      <w:rFonts w:ascii="Calibri" w:hAnsi="Calibri"/>
      <w:szCs w:val="22"/>
    </w:rPr>
  </w:style>
  <w:style w:type="paragraph" w:customStyle="1" w:styleId="58">
    <w:name w:val="正文格式"/>
    <w:basedOn w:val="1"/>
    <w:link w:val="225"/>
    <w:qFormat/>
    <w:uiPriority w:val="0"/>
    <w:pPr>
      <w:spacing w:beforeLines="50" w:line="360" w:lineRule="auto"/>
      <w:ind w:firstLine="480" w:firstLineChars="200"/>
    </w:pPr>
    <w:rPr>
      <w:rFonts w:ascii="宋体" w:hAnsi="宋体"/>
      <w:kern w:val="0"/>
      <w:sz w:val="24"/>
      <w:lang w:val="en-GB"/>
    </w:rPr>
  </w:style>
  <w:style w:type="paragraph" w:customStyle="1" w:styleId="59">
    <w:name w:val="正文缩进1"/>
    <w:basedOn w:val="1"/>
    <w:link w:val="233"/>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0">
    <w:name w:val="正文表格"/>
    <w:basedOn w:val="1"/>
    <w:link w:val="236"/>
    <w:qFormat/>
    <w:uiPriority w:val="0"/>
    <w:pPr>
      <w:adjustRightInd w:val="0"/>
      <w:snapToGrid w:val="0"/>
      <w:jc w:val="left"/>
    </w:pPr>
    <w:rPr>
      <w:rFonts w:ascii="宋体" w:hAnsi="宋体"/>
      <w:color w:val="000000"/>
      <w:szCs w:val="21"/>
    </w:rPr>
  </w:style>
  <w:style w:type="paragraph" w:customStyle="1" w:styleId="61">
    <w:name w:val="正文重点"/>
    <w:basedOn w:val="1"/>
    <w:link w:val="237"/>
    <w:qFormat/>
    <w:uiPriority w:val="0"/>
    <w:pPr>
      <w:adjustRightInd w:val="0"/>
      <w:spacing w:line="360" w:lineRule="auto"/>
      <w:ind w:firstLine="482" w:firstLineChars="200"/>
      <w:jc w:val="left"/>
      <w:textAlignment w:val="baseline"/>
    </w:pPr>
    <w:rPr>
      <w:b/>
      <w:kern w:val="0"/>
      <w:sz w:val="24"/>
      <w:szCs w:val="20"/>
    </w:rPr>
  </w:style>
  <w:style w:type="paragraph" w:customStyle="1" w:styleId="62">
    <w:name w:val="1"/>
    <w:link w:val="249"/>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63">
    <w:name w:val="Char Char Char1"/>
    <w:basedOn w:val="1"/>
    <w:qFormat/>
    <w:uiPriority w:val="0"/>
    <w:rPr>
      <w:rFonts w:ascii="Tahoma" w:hAnsi="Tahoma"/>
      <w:sz w:val="24"/>
      <w:szCs w:val="20"/>
    </w:rPr>
  </w:style>
  <w:style w:type="paragraph" w:customStyle="1" w:styleId="64">
    <w:name w:val="Char3 Char Char Char"/>
    <w:basedOn w:val="1"/>
    <w:qFormat/>
    <w:uiPriority w:val="0"/>
    <w:rPr>
      <w:rFonts w:ascii="Tahoma" w:hAnsi="Tahoma"/>
      <w:sz w:val="24"/>
      <w:szCs w:val="20"/>
    </w:rPr>
  </w:style>
  <w:style w:type="paragraph" w:customStyle="1" w:styleId="65">
    <w:name w:val="一级条标题"/>
    <w:basedOn w:val="66"/>
    <w:next w:val="1"/>
    <w:qFormat/>
    <w:uiPriority w:val="0"/>
    <w:pPr>
      <w:numPr>
        <w:ilvl w:val="1"/>
      </w:numPr>
      <w:tabs>
        <w:tab w:val="left" w:pos="360"/>
        <w:tab w:val="left" w:pos="840"/>
      </w:tabs>
      <w:ind w:left="0" w:hanging="840"/>
      <w:outlineLvl w:val="1"/>
    </w:pPr>
  </w:style>
  <w:style w:type="paragraph" w:customStyle="1" w:styleId="6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7">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68">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69">
    <w:name w:val="默认段落字体 Para Char Char Char Char"/>
    <w:basedOn w:val="1"/>
    <w:qFormat/>
    <w:uiPriority w:val="0"/>
    <w:rPr>
      <w:rFonts w:ascii="Arial" w:hAnsi="Arial" w:cs="Arial"/>
      <w:szCs w:val="21"/>
    </w:rPr>
  </w:style>
  <w:style w:type="paragraph" w:customStyle="1" w:styleId="70">
    <w:name w:val="二级条标题"/>
    <w:basedOn w:val="65"/>
    <w:next w:val="1"/>
    <w:qFormat/>
    <w:uiPriority w:val="0"/>
    <w:pPr>
      <w:numPr>
        <w:ilvl w:val="0"/>
        <w:numId w:val="0"/>
      </w:numPr>
      <w:ind w:hanging="840"/>
      <w:outlineLvl w:val="2"/>
    </w:pPr>
    <w:rPr>
      <w:rFonts w:ascii="宋体" w:eastAsia="宋体"/>
      <w:b w:val="0"/>
    </w:rPr>
  </w:style>
  <w:style w:type="paragraph" w:customStyle="1" w:styleId="7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2">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5">
    <w:name w:val="缺省文本"/>
    <w:basedOn w:val="1"/>
    <w:qFormat/>
    <w:uiPriority w:val="0"/>
    <w:pPr>
      <w:autoSpaceDE w:val="0"/>
      <w:autoSpaceDN w:val="0"/>
      <w:adjustRightInd w:val="0"/>
      <w:jc w:val="left"/>
    </w:pPr>
    <w:rPr>
      <w:kern w:val="0"/>
      <w:sz w:val="24"/>
    </w:rPr>
  </w:style>
  <w:style w:type="paragraph" w:customStyle="1" w:styleId="76">
    <w:name w:val="项目编号2"/>
    <w:basedOn w:val="72"/>
    <w:qFormat/>
    <w:uiPriority w:val="0"/>
    <w:pPr>
      <w:numPr>
        <w:numId w:val="3"/>
      </w:numPr>
    </w:pPr>
  </w:style>
  <w:style w:type="paragraph" w:customStyle="1" w:styleId="7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8">
    <w:name w:val="字元 字元"/>
    <w:basedOn w:val="1"/>
    <w:qFormat/>
    <w:uiPriority w:val="0"/>
    <w:rPr>
      <w:rFonts w:ascii="Tahoma" w:hAnsi="Tahoma"/>
      <w:sz w:val="24"/>
      <w:szCs w:val="20"/>
    </w:rPr>
  </w:style>
  <w:style w:type="paragraph" w:customStyle="1" w:styleId="79">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80">
    <w:name w:val="图中文字"/>
    <w:basedOn w:val="1"/>
    <w:qFormat/>
    <w:uiPriority w:val="0"/>
    <w:pPr>
      <w:adjustRightInd w:val="0"/>
      <w:snapToGrid w:val="0"/>
      <w:spacing w:line="0" w:lineRule="atLeast"/>
      <w:jc w:val="center"/>
    </w:pPr>
    <w:rPr>
      <w:sz w:val="24"/>
      <w:szCs w:val="20"/>
    </w:rPr>
  </w:style>
  <w:style w:type="paragraph" w:customStyle="1" w:styleId="81">
    <w:name w:val="Char Char Char"/>
    <w:basedOn w:val="1"/>
    <w:qFormat/>
    <w:uiPriority w:val="0"/>
    <w:rPr>
      <w:rFonts w:ascii="Tahoma" w:hAnsi="Tahoma"/>
      <w:sz w:val="24"/>
      <w:szCs w:val="20"/>
    </w:rPr>
  </w:style>
  <w:style w:type="paragraph" w:customStyle="1" w:styleId="8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3">
    <w:name w:val="四级条标题"/>
    <w:basedOn w:val="84"/>
    <w:next w:val="1"/>
    <w:qFormat/>
    <w:uiPriority w:val="0"/>
    <w:pPr>
      <w:numPr>
        <w:ilvl w:val="4"/>
      </w:numPr>
      <w:tabs>
        <w:tab w:val="left" w:pos="360"/>
        <w:tab w:val="left" w:pos="840"/>
      </w:tabs>
      <w:ind w:left="0" w:hanging="840"/>
      <w:outlineLvl w:val="4"/>
    </w:pPr>
  </w:style>
  <w:style w:type="paragraph" w:customStyle="1" w:styleId="84">
    <w:name w:val="三级条标题"/>
    <w:basedOn w:val="70"/>
    <w:next w:val="1"/>
    <w:qFormat/>
    <w:uiPriority w:val="0"/>
    <w:pPr>
      <w:numPr>
        <w:ilvl w:val="3"/>
        <w:numId w:val="1"/>
      </w:numPr>
      <w:ind w:left="0" w:hanging="840"/>
      <w:outlineLvl w:val="3"/>
    </w:pPr>
  </w:style>
  <w:style w:type="paragraph" w:customStyle="1" w:styleId="8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8">
    <w:name w:val="Char2"/>
    <w:basedOn w:val="1"/>
    <w:qFormat/>
    <w:uiPriority w:val="0"/>
    <w:rPr>
      <w:rFonts w:ascii="Tahoma" w:hAnsi="Tahoma"/>
      <w:sz w:val="24"/>
      <w:szCs w:val="20"/>
    </w:rPr>
  </w:style>
  <w:style w:type="paragraph" w:customStyle="1" w:styleId="8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0">
    <w:name w:val="样式2"/>
    <w:basedOn w:val="38"/>
    <w:qFormat/>
    <w:uiPriority w:val="0"/>
    <w:pPr>
      <w:spacing w:line="360" w:lineRule="auto"/>
      <w:jc w:val="center"/>
    </w:pPr>
    <w:rPr>
      <w:sz w:val="24"/>
    </w:rPr>
  </w:style>
  <w:style w:type="paragraph" w:customStyle="1" w:styleId="9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4">
    <w:name w:val="五级条标题"/>
    <w:basedOn w:val="83"/>
    <w:next w:val="1"/>
    <w:qFormat/>
    <w:uiPriority w:val="0"/>
    <w:pPr>
      <w:numPr>
        <w:ilvl w:val="5"/>
      </w:numPr>
      <w:ind w:left="0" w:hanging="840"/>
      <w:outlineLvl w:val="5"/>
    </w:p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项目符号1"/>
    <w:basedOn w:val="97"/>
    <w:qFormat/>
    <w:uiPriority w:val="0"/>
    <w:pPr>
      <w:ind w:left="-25" w:firstLine="0"/>
    </w:pPr>
  </w:style>
  <w:style w:type="paragraph" w:customStyle="1" w:styleId="97">
    <w:name w:val="正文文本样式"/>
    <w:basedOn w:val="1"/>
    <w:qFormat/>
    <w:uiPriority w:val="0"/>
    <w:pPr>
      <w:spacing w:line="360" w:lineRule="auto"/>
      <w:ind w:firstLine="482"/>
    </w:pPr>
    <w:rPr>
      <w:rFonts w:cs="宋体"/>
      <w:sz w:val="24"/>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1名"/>
    <w:basedOn w:val="1"/>
    <w:qFormat/>
    <w:uiPriority w:val="0"/>
    <w:pPr>
      <w:numPr>
        <w:ilvl w:val="0"/>
        <w:numId w:val="4"/>
      </w:numPr>
      <w:spacing w:before="120"/>
    </w:pPr>
    <w:rPr>
      <w:rFonts w:ascii="宋体"/>
      <w:sz w:val="28"/>
      <w:szCs w:val="20"/>
    </w:rPr>
  </w:style>
  <w:style w:type="paragraph" w:customStyle="1" w:styleId="10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0">
    <w:name w:val="font8"/>
    <w:basedOn w:val="1"/>
    <w:qFormat/>
    <w:uiPriority w:val="0"/>
    <w:pPr>
      <w:widowControl/>
      <w:spacing w:before="100" w:beforeAutospacing="1" w:after="100" w:afterAutospacing="1"/>
      <w:jc w:val="left"/>
    </w:pPr>
    <w:rPr>
      <w:kern w:val="0"/>
      <w:sz w:val="36"/>
      <w:szCs w:val="36"/>
    </w:rPr>
  </w:style>
  <w:style w:type="paragraph" w:customStyle="1" w:styleId="111">
    <w:name w:val="Char Char Char Char Char Char Char Char Char Char"/>
    <w:basedOn w:val="1"/>
    <w:qFormat/>
    <w:uiPriority w:val="0"/>
  </w:style>
  <w:style w:type="paragraph" w:customStyle="1" w:styleId="112">
    <w:name w:val="Char"/>
    <w:basedOn w:val="1"/>
    <w:qFormat/>
    <w:uiPriority w:val="0"/>
    <w:pPr>
      <w:tabs>
        <w:tab w:val="left" w:pos="360"/>
      </w:tabs>
    </w:pPr>
    <w:rPr>
      <w:sz w:val="24"/>
    </w:rPr>
  </w:style>
  <w:style w:type="paragraph" w:customStyle="1" w:styleId="11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5">
    <w:name w:val="Char Char1"/>
    <w:basedOn w:val="14"/>
    <w:qFormat/>
    <w:uiPriority w:val="0"/>
    <w:rPr>
      <w:rFonts w:ascii="Tahoma" w:hAnsi="Tahoma"/>
      <w:sz w:val="24"/>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19">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5">
    <w:name w:val="文档正文"/>
    <w:basedOn w:val="1"/>
    <w:qFormat/>
    <w:uiPriority w:val="0"/>
    <w:pPr>
      <w:snapToGrid w:val="0"/>
      <w:spacing w:before="120" w:after="120" w:line="180" w:lineRule="auto"/>
    </w:pPr>
    <w:rPr>
      <w:rFonts w:ascii="Arial" w:hAnsi="Arial"/>
      <w:szCs w:val="20"/>
    </w:rPr>
  </w:style>
  <w:style w:type="paragraph" w:customStyle="1" w:styleId="12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7">
    <w:name w:val="Char Char Char1 Char"/>
    <w:basedOn w:val="1"/>
    <w:qFormat/>
    <w:uiPriority w:val="0"/>
    <w:rPr>
      <w:rFonts w:ascii="Tahoma" w:hAnsi="Tahoma"/>
      <w:sz w:val="24"/>
      <w:szCs w:val="20"/>
    </w:rPr>
  </w:style>
  <w:style w:type="paragraph" w:customStyle="1" w:styleId="128">
    <w:name w:val="Char Char Char1 Char1"/>
    <w:basedOn w:val="1"/>
    <w:qFormat/>
    <w:uiPriority w:val="0"/>
    <w:rPr>
      <w:rFonts w:ascii="Tahoma" w:hAnsi="Tahoma"/>
      <w:sz w:val="24"/>
      <w:szCs w:val="20"/>
    </w:rPr>
  </w:style>
  <w:style w:type="paragraph" w:customStyle="1" w:styleId="129">
    <w:name w:val="Char1"/>
    <w:basedOn w:val="1"/>
    <w:qFormat/>
    <w:uiPriority w:val="0"/>
    <w:pPr>
      <w:tabs>
        <w:tab w:val="left" w:pos="360"/>
      </w:tabs>
    </w:pPr>
    <w:rPr>
      <w:sz w:val="24"/>
    </w:rPr>
  </w:style>
  <w:style w:type="paragraph" w:customStyle="1" w:styleId="13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8">
    <w:name w:val="正文 + 楷体_GB2312"/>
    <w:basedOn w:val="1"/>
    <w:qFormat/>
    <w:uiPriority w:val="0"/>
    <w:pPr>
      <w:widowControl/>
      <w:jc w:val="left"/>
    </w:pPr>
    <w:rPr>
      <w:rFonts w:ascii="楷体_GB2312" w:eastAsia="楷体_GB2312" w:cs="Arial"/>
      <w:kern w:val="0"/>
      <w:sz w:val="24"/>
    </w:rPr>
  </w:style>
  <w:style w:type="paragraph" w:customStyle="1" w:styleId="1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0">
    <w:name w:val="1 Char Char Char Char"/>
    <w:basedOn w:val="1"/>
    <w:qFormat/>
    <w:uiPriority w:val="0"/>
    <w:rPr>
      <w:rFonts w:ascii="Tahoma" w:hAnsi="Tahoma"/>
      <w:sz w:val="24"/>
      <w:szCs w:val="20"/>
    </w:rPr>
  </w:style>
  <w:style w:type="paragraph" w:customStyle="1" w:styleId="141">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paragraph" w:customStyle="1" w:styleId="142">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43">
    <w:name w:val="列出段落1"/>
    <w:basedOn w:val="1"/>
    <w:qFormat/>
    <w:uiPriority w:val="0"/>
    <w:pPr>
      <w:ind w:firstLine="420" w:firstLineChars="200"/>
    </w:pPr>
    <w:rPr>
      <w:rFonts w:ascii="Calibri" w:hAnsi="Calibri"/>
      <w:szCs w:val="22"/>
    </w:rPr>
  </w:style>
  <w:style w:type="paragraph" w:customStyle="1" w:styleId="14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字元 字元1"/>
    <w:basedOn w:val="1"/>
    <w:qFormat/>
    <w:uiPriority w:val="0"/>
    <w:rPr>
      <w:rFonts w:ascii="Tahoma" w:hAnsi="Tahoma"/>
      <w:sz w:val="24"/>
      <w:szCs w:val="20"/>
    </w:rPr>
  </w:style>
  <w:style w:type="paragraph" w:customStyle="1" w:styleId="146">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47">
    <w:name w:val="项目编号3"/>
    <w:basedOn w:val="97"/>
    <w:qFormat/>
    <w:uiPriority w:val="0"/>
    <w:pPr>
      <w:numPr>
        <w:ilvl w:val="0"/>
        <w:numId w:val="6"/>
      </w:numPr>
    </w:pPr>
  </w:style>
  <w:style w:type="paragraph" w:customStyle="1" w:styleId="148">
    <w:name w:val="Char21"/>
    <w:basedOn w:val="1"/>
    <w:qFormat/>
    <w:uiPriority w:val="0"/>
    <w:rPr>
      <w:rFonts w:ascii="Tahoma" w:hAnsi="Tahoma"/>
      <w:sz w:val="24"/>
      <w:szCs w:val="20"/>
    </w:rPr>
  </w:style>
  <w:style w:type="paragraph" w:customStyle="1" w:styleId="14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50">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51">
    <w:name w:val="Char Char Char Char Char Char Char Char Char Char1"/>
    <w:basedOn w:val="1"/>
    <w:qFormat/>
    <w:uiPriority w:val="0"/>
    <w:rPr>
      <w:rFonts w:ascii="宋体" w:hAnsi="宋体" w:cs="Courier New"/>
      <w:sz w:val="32"/>
      <w:szCs w:val="32"/>
    </w:rPr>
  </w:style>
  <w:style w:type="paragraph" w:customStyle="1" w:styleId="152">
    <w:name w:val="正文文本样式 加粗"/>
    <w:basedOn w:val="97"/>
    <w:qFormat/>
    <w:uiPriority w:val="0"/>
    <w:rPr>
      <w:b/>
    </w:rPr>
  </w:style>
  <w:style w:type="paragraph" w:customStyle="1" w:styleId="153">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54">
    <w:name w:val="Char2 Char Char Char Char Char Char"/>
    <w:basedOn w:val="1"/>
    <w:qFormat/>
    <w:uiPriority w:val="0"/>
    <w:pPr>
      <w:widowControl/>
      <w:spacing w:line="400" w:lineRule="exact"/>
      <w:jc w:val="center"/>
    </w:pPr>
  </w:style>
  <w:style w:type="paragraph" w:customStyle="1" w:styleId="155">
    <w:name w:val="Char Char4"/>
    <w:basedOn w:val="1"/>
    <w:qFormat/>
    <w:uiPriority w:val="0"/>
    <w:pPr>
      <w:widowControl/>
      <w:spacing w:line="400" w:lineRule="exact"/>
      <w:jc w:val="center"/>
    </w:pPr>
  </w:style>
  <w:style w:type="paragraph" w:customStyle="1" w:styleId="156">
    <w:name w:val="Char3 Char Char Char1"/>
    <w:basedOn w:val="1"/>
    <w:qFormat/>
    <w:uiPriority w:val="0"/>
    <w:rPr>
      <w:rFonts w:ascii="Tahoma" w:hAnsi="Tahoma"/>
      <w:sz w:val="24"/>
      <w:szCs w:val="20"/>
    </w:rPr>
  </w:style>
  <w:style w:type="paragraph" w:styleId="157">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5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59">
    <w:name w:val="图例"/>
    <w:basedOn w:val="1"/>
    <w:qFormat/>
    <w:uiPriority w:val="0"/>
    <w:pPr>
      <w:spacing w:before="120" w:after="120" w:line="360" w:lineRule="auto"/>
      <w:jc w:val="center"/>
    </w:pPr>
    <w:rPr>
      <w:rFonts w:eastAsia="仿宋_GB2312"/>
      <w:b/>
      <w:sz w:val="24"/>
      <w:szCs w:val="20"/>
    </w:rPr>
  </w:style>
  <w:style w:type="paragraph" w:customStyle="1" w:styleId="160">
    <w:name w:val="图文"/>
    <w:basedOn w:val="1"/>
    <w:qFormat/>
    <w:uiPriority w:val="0"/>
    <w:pPr>
      <w:adjustRightInd w:val="0"/>
      <w:snapToGrid w:val="0"/>
      <w:spacing w:after="50" w:line="360" w:lineRule="auto"/>
    </w:pPr>
    <w:rPr>
      <w:sz w:val="24"/>
    </w:rPr>
  </w:style>
  <w:style w:type="paragraph" w:customStyle="1" w:styleId="161">
    <w:name w:val="Char22"/>
    <w:basedOn w:val="1"/>
    <w:qFormat/>
    <w:uiPriority w:val="0"/>
    <w:rPr>
      <w:rFonts w:ascii="Tahoma" w:hAnsi="Tahoma"/>
      <w:sz w:val="24"/>
      <w:szCs w:val="20"/>
    </w:rPr>
  </w:style>
  <w:style w:type="paragraph" w:customStyle="1" w:styleId="16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3">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标题1-附件"/>
    <w:basedOn w:val="2"/>
    <w:qFormat/>
    <w:uiPriority w:val="0"/>
    <w:pPr>
      <w:jc w:val="left"/>
    </w:pPr>
    <w:rPr>
      <w:sz w:val="24"/>
      <w:szCs w:val="24"/>
    </w:rPr>
  </w:style>
  <w:style w:type="paragraph" w:customStyle="1" w:styleId="165">
    <w:name w:val="Char3"/>
    <w:basedOn w:val="1"/>
    <w:qFormat/>
    <w:uiPriority w:val="0"/>
    <w:pPr>
      <w:tabs>
        <w:tab w:val="left" w:pos="360"/>
      </w:tabs>
    </w:pPr>
    <w:rPr>
      <w:sz w:val="24"/>
    </w:rPr>
  </w:style>
  <w:style w:type="paragraph" w:customStyle="1" w:styleId="16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69">
    <w:name w:val="表格1"/>
    <w:basedOn w:val="1"/>
    <w:qFormat/>
    <w:uiPriority w:val="0"/>
    <w:pPr>
      <w:ind w:firstLine="480" w:firstLineChars="200"/>
      <w:jc w:val="center"/>
    </w:pPr>
    <w:rPr>
      <w:sz w:val="24"/>
      <w:szCs w:val="20"/>
    </w:rPr>
  </w:style>
  <w:style w:type="paragraph" w:customStyle="1" w:styleId="170">
    <w:name w:val="字元 字元2"/>
    <w:basedOn w:val="1"/>
    <w:qFormat/>
    <w:uiPriority w:val="0"/>
    <w:rPr>
      <w:rFonts w:ascii="Tahoma" w:hAnsi="Tahoma"/>
      <w:sz w:val="24"/>
      <w:szCs w:val="20"/>
    </w:rPr>
  </w:style>
  <w:style w:type="paragraph" w:customStyle="1" w:styleId="171">
    <w:name w:val="Char3 Char Char Char2"/>
    <w:basedOn w:val="1"/>
    <w:qFormat/>
    <w:uiPriority w:val="0"/>
    <w:rPr>
      <w:rFonts w:ascii="Tahoma" w:hAnsi="Tahoma"/>
      <w:sz w:val="24"/>
      <w:szCs w:val="20"/>
    </w:rPr>
  </w:style>
  <w:style w:type="paragraph" w:customStyle="1" w:styleId="172">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173">
    <w:name w:val="列出段落2"/>
    <w:basedOn w:val="1"/>
    <w:qFormat/>
    <w:uiPriority w:val="0"/>
    <w:pPr>
      <w:ind w:firstLine="420" w:firstLineChars="200"/>
    </w:pPr>
    <w:rPr>
      <w:rFonts w:ascii="Calibri" w:hAnsi="Calibri"/>
      <w:szCs w:val="22"/>
    </w:rPr>
  </w:style>
  <w:style w:type="paragraph" w:customStyle="1" w:styleId="174">
    <w:name w:val="Char Char Char1 Char2"/>
    <w:basedOn w:val="1"/>
    <w:qFormat/>
    <w:uiPriority w:val="0"/>
    <w:rPr>
      <w:rFonts w:ascii="Tahoma" w:hAnsi="Tahoma"/>
      <w:sz w:val="24"/>
      <w:szCs w:val="20"/>
    </w:rPr>
  </w:style>
  <w:style w:type="paragraph" w:customStyle="1" w:styleId="175">
    <w:name w:val="Char Char Char2"/>
    <w:basedOn w:val="1"/>
    <w:qFormat/>
    <w:uiPriority w:val="0"/>
    <w:rPr>
      <w:rFonts w:ascii="Tahoma" w:hAnsi="Tahoma"/>
      <w:sz w:val="24"/>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78">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79">
    <w:name w:val="Char Char Char Char Char Char Char Char Char Char2"/>
    <w:basedOn w:val="1"/>
    <w:qFormat/>
    <w:uiPriority w:val="0"/>
    <w:rPr>
      <w:rFonts w:ascii="宋体" w:hAnsi="宋体" w:cs="Courier New"/>
      <w:sz w:val="32"/>
      <w:szCs w:val="32"/>
    </w:rPr>
  </w:style>
  <w:style w:type="paragraph" w:customStyle="1" w:styleId="180">
    <w:name w:val="Char2 Char Char Char Char Char Char1"/>
    <w:basedOn w:val="1"/>
    <w:qFormat/>
    <w:uiPriority w:val="0"/>
    <w:pPr>
      <w:widowControl/>
      <w:spacing w:line="400" w:lineRule="exact"/>
      <w:jc w:val="center"/>
    </w:pPr>
  </w:style>
  <w:style w:type="paragraph" w:customStyle="1" w:styleId="181">
    <w:name w:val="Char Char41"/>
    <w:basedOn w:val="1"/>
    <w:qFormat/>
    <w:uiPriority w:val="0"/>
    <w:pPr>
      <w:widowControl/>
      <w:spacing w:line="400" w:lineRule="exact"/>
      <w:jc w:val="center"/>
    </w:pPr>
  </w:style>
  <w:style w:type="paragraph" w:customStyle="1" w:styleId="18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3">
    <w:name w:val="标题 1 字符"/>
    <w:link w:val="2"/>
    <w:qFormat/>
    <w:uiPriority w:val="0"/>
    <w:rPr>
      <w:rFonts w:ascii="宋体"/>
      <w:b/>
      <w:kern w:val="44"/>
      <w:sz w:val="32"/>
    </w:rPr>
  </w:style>
  <w:style w:type="character" w:customStyle="1" w:styleId="184">
    <w:name w:val="标题 2 字符"/>
    <w:link w:val="3"/>
    <w:qFormat/>
    <w:uiPriority w:val="0"/>
    <w:rPr>
      <w:rFonts w:ascii="Arial" w:hAnsi="Arial" w:eastAsia="黑体"/>
      <w:b/>
      <w:sz w:val="30"/>
      <w:lang w:val="en-US" w:eastAsia="zh-CN" w:bidi="ar-SA"/>
    </w:rPr>
  </w:style>
  <w:style w:type="character" w:customStyle="1" w:styleId="185">
    <w:name w:val="标题 3 字符"/>
    <w:link w:val="4"/>
    <w:qFormat/>
    <w:uiPriority w:val="0"/>
    <w:rPr>
      <w:rFonts w:ascii="宋体" w:eastAsia="宋体"/>
      <w:b/>
      <w:sz w:val="24"/>
      <w:u w:val="single"/>
      <w:lang w:val="en-US" w:eastAsia="zh-CN" w:bidi="ar-SA"/>
    </w:rPr>
  </w:style>
  <w:style w:type="character" w:customStyle="1" w:styleId="186">
    <w:name w:val="正文缩进 字符"/>
    <w:link w:val="5"/>
    <w:qFormat/>
    <w:uiPriority w:val="0"/>
    <w:rPr>
      <w:rFonts w:ascii="宋体" w:eastAsia="宋体"/>
      <w:kern w:val="2"/>
      <w:sz w:val="24"/>
      <w:szCs w:val="24"/>
      <w:lang w:val="en-US" w:eastAsia="zh-CN" w:bidi="ar-SA"/>
    </w:rPr>
  </w:style>
  <w:style w:type="character" w:customStyle="1" w:styleId="187">
    <w:name w:val="标题 4 字符"/>
    <w:link w:val="6"/>
    <w:qFormat/>
    <w:uiPriority w:val="0"/>
    <w:rPr>
      <w:sz w:val="24"/>
    </w:rPr>
  </w:style>
  <w:style w:type="character" w:customStyle="1" w:styleId="188">
    <w:name w:val="标题 5 字符"/>
    <w:link w:val="7"/>
    <w:qFormat/>
    <w:uiPriority w:val="0"/>
    <w:rPr>
      <w:b/>
      <w:sz w:val="28"/>
    </w:rPr>
  </w:style>
  <w:style w:type="character" w:customStyle="1" w:styleId="189">
    <w:name w:val="标题 6 字符"/>
    <w:link w:val="8"/>
    <w:qFormat/>
    <w:uiPriority w:val="0"/>
    <w:rPr>
      <w:rFonts w:ascii="Arial" w:hAnsi="Arial" w:eastAsia="黑体"/>
      <w:b/>
      <w:sz w:val="24"/>
    </w:rPr>
  </w:style>
  <w:style w:type="character" w:customStyle="1" w:styleId="190">
    <w:name w:val="标题 7 字符"/>
    <w:link w:val="9"/>
    <w:qFormat/>
    <w:uiPriority w:val="0"/>
    <w:rPr>
      <w:b/>
      <w:sz w:val="24"/>
    </w:rPr>
  </w:style>
  <w:style w:type="character" w:customStyle="1" w:styleId="191">
    <w:name w:val="标题 8 字符"/>
    <w:link w:val="10"/>
    <w:qFormat/>
    <w:uiPriority w:val="0"/>
    <w:rPr>
      <w:rFonts w:ascii="Arial" w:hAnsi="Arial" w:eastAsia="黑体"/>
      <w:sz w:val="24"/>
    </w:rPr>
  </w:style>
  <w:style w:type="character" w:customStyle="1" w:styleId="192">
    <w:name w:val="标题 9 字符"/>
    <w:link w:val="11"/>
    <w:qFormat/>
    <w:uiPriority w:val="0"/>
    <w:rPr>
      <w:rFonts w:ascii="Arial" w:hAnsi="Arial" w:eastAsia="黑体"/>
      <w:sz w:val="21"/>
    </w:rPr>
  </w:style>
  <w:style w:type="character" w:customStyle="1" w:styleId="193">
    <w:name w:val="文档结构图 字符"/>
    <w:link w:val="14"/>
    <w:qFormat/>
    <w:uiPriority w:val="0"/>
    <w:rPr>
      <w:kern w:val="2"/>
      <w:sz w:val="21"/>
      <w:szCs w:val="24"/>
      <w:shd w:val="clear" w:color="auto" w:fill="000080"/>
    </w:rPr>
  </w:style>
  <w:style w:type="character" w:customStyle="1" w:styleId="194">
    <w:name w:val="批注文字 字符1"/>
    <w:link w:val="15"/>
    <w:qFormat/>
    <w:uiPriority w:val="99"/>
    <w:rPr>
      <w:kern w:val="2"/>
      <w:sz w:val="21"/>
      <w:szCs w:val="24"/>
    </w:rPr>
  </w:style>
  <w:style w:type="character" w:customStyle="1" w:styleId="195">
    <w:name w:val="正文文本 3 字符"/>
    <w:link w:val="16"/>
    <w:qFormat/>
    <w:uiPriority w:val="0"/>
    <w:rPr>
      <w:kern w:val="2"/>
      <w:sz w:val="16"/>
      <w:szCs w:val="16"/>
    </w:rPr>
  </w:style>
  <w:style w:type="character" w:customStyle="1" w:styleId="196">
    <w:name w:val="正文文本 字符"/>
    <w:link w:val="17"/>
    <w:qFormat/>
    <w:uiPriority w:val="0"/>
    <w:rPr>
      <w:rFonts w:ascii="宋体" w:hAnsi="宋体"/>
      <w:kern w:val="2"/>
      <w:sz w:val="24"/>
      <w:szCs w:val="24"/>
    </w:rPr>
  </w:style>
  <w:style w:type="character" w:customStyle="1" w:styleId="197">
    <w:name w:val="正文文本缩进 字符"/>
    <w:link w:val="18"/>
    <w:qFormat/>
    <w:uiPriority w:val="0"/>
    <w:rPr>
      <w:rFonts w:eastAsia="宋体"/>
      <w:kern w:val="2"/>
      <w:sz w:val="24"/>
      <w:szCs w:val="24"/>
      <w:lang w:val="en-US" w:eastAsia="zh-CN" w:bidi="ar-SA"/>
    </w:rPr>
  </w:style>
  <w:style w:type="character" w:customStyle="1" w:styleId="198">
    <w:name w:val="纯文本 字符2"/>
    <w:link w:val="23"/>
    <w:qFormat/>
    <w:uiPriority w:val="0"/>
    <w:rPr>
      <w:rFonts w:hint="eastAsia" w:ascii="宋体" w:hAnsi="Courier New" w:eastAsia="宋体" w:cs="宋体"/>
      <w:kern w:val="2"/>
      <w:sz w:val="21"/>
    </w:rPr>
  </w:style>
  <w:style w:type="character" w:customStyle="1" w:styleId="199">
    <w:name w:val="日期 字符"/>
    <w:link w:val="25"/>
    <w:qFormat/>
    <w:uiPriority w:val="0"/>
    <w:rPr>
      <w:rFonts w:ascii="仿宋_GB2312" w:hAnsi="宋体" w:eastAsia="仿宋_GB2312"/>
      <w:color w:val="000000"/>
      <w:kern w:val="2"/>
      <w:sz w:val="24"/>
      <w:szCs w:val="24"/>
    </w:rPr>
  </w:style>
  <w:style w:type="character" w:customStyle="1" w:styleId="200">
    <w:name w:val="正文文本缩进 2 字符"/>
    <w:link w:val="26"/>
    <w:qFormat/>
    <w:uiPriority w:val="0"/>
    <w:rPr>
      <w:rFonts w:ascii="仿宋_GB2312" w:eastAsia="仿宋_GB2312"/>
      <w:kern w:val="2"/>
      <w:sz w:val="24"/>
      <w:szCs w:val="24"/>
    </w:rPr>
  </w:style>
  <w:style w:type="character" w:customStyle="1" w:styleId="201">
    <w:name w:val="批注框文本 字符"/>
    <w:link w:val="27"/>
    <w:qFormat/>
    <w:uiPriority w:val="0"/>
    <w:rPr>
      <w:kern w:val="2"/>
      <w:sz w:val="18"/>
      <w:szCs w:val="18"/>
    </w:rPr>
  </w:style>
  <w:style w:type="character" w:customStyle="1" w:styleId="202">
    <w:name w:val="页脚 字符"/>
    <w:link w:val="28"/>
    <w:qFormat/>
    <w:uiPriority w:val="99"/>
    <w:rPr>
      <w:rFonts w:ascii="宋体" w:eastAsia="宋体"/>
      <w:sz w:val="18"/>
      <w:lang w:val="en-US" w:eastAsia="zh-CN" w:bidi="ar-SA"/>
    </w:rPr>
  </w:style>
  <w:style w:type="character" w:customStyle="1" w:styleId="203">
    <w:name w:val="页眉 字符"/>
    <w:link w:val="29"/>
    <w:qFormat/>
    <w:uiPriority w:val="0"/>
    <w:rPr>
      <w:rFonts w:eastAsia="宋体"/>
      <w:kern w:val="2"/>
      <w:sz w:val="18"/>
      <w:szCs w:val="18"/>
      <w:lang w:val="en-US" w:eastAsia="zh-CN" w:bidi="ar-SA"/>
    </w:rPr>
  </w:style>
  <w:style w:type="character" w:customStyle="1" w:styleId="204">
    <w:name w:val="正文文本缩进 3 字符"/>
    <w:link w:val="33"/>
    <w:qFormat/>
    <w:uiPriority w:val="0"/>
    <w:rPr>
      <w:rFonts w:ascii="宋体"/>
      <w:sz w:val="24"/>
    </w:rPr>
  </w:style>
  <w:style w:type="character" w:customStyle="1" w:styleId="205">
    <w:name w:val="HTML 预设格式 字符"/>
    <w:link w:val="36"/>
    <w:qFormat/>
    <w:uiPriority w:val="0"/>
    <w:rPr>
      <w:rFonts w:ascii="宋体" w:hAnsi="宋体" w:cs="宋体"/>
      <w:sz w:val="24"/>
      <w:szCs w:val="24"/>
    </w:rPr>
  </w:style>
  <w:style w:type="character" w:customStyle="1" w:styleId="206">
    <w:name w:val="标题 字符"/>
    <w:link w:val="39"/>
    <w:qFormat/>
    <w:uiPriority w:val="0"/>
    <w:rPr>
      <w:b/>
      <w:kern w:val="2"/>
      <w:sz w:val="32"/>
    </w:rPr>
  </w:style>
  <w:style w:type="character" w:customStyle="1" w:styleId="207">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208">
    <w:name w:val="正文文本首行缩进 2 字符"/>
    <w:link w:val="41"/>
    <w:qFormat/>
    <w:uiPriority w:val="0"/>
    <w:rPr>
      <w:rFonts w:eastAsia="宋体"/>
      <w:kern w:val="2"/>
      <w:sz w:val="24"/>
      <w:szCs w:val="24"/>
      <w:lang w:val="en-US" w:eastAsia="zh-CN" w:bidi="ar-SA"/>
    </w:rPr>
  </w:style>
  <w:style w:type="character" w:customStyle="1" w:styleId="209">
    <w:name w:val="c21"/>
    <w:qFormat/>
    <w:uiPriority w:val="0"/>
    <w:rPr>
      <w:rFonts w:hint="default" w:ascii="ˎ̥" w:hAnsi="ˎ̥"/>
      <w:color w:val="000000"/>
      <w:sz w:val="20"/>
      <w:szCs w:val="20"/>
      <w:u w:val="none"/>
    </w:rPr>
  </w:style>
  <w:style w:type="character" w:customStyle="1" w:styleId="210">
    <w:name w:val="批注文字 Char"/>
    <w:qFormat/>
    <w:uiPriority w:val="99"/>
    <w:rPr>
      <w:kern w:val="2"/>
      <w:sz w:val="21"/>
      <w:szCs w:val="24"/>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注释 Char"/>
    <w:link w:val="53"/>
    <w:qFormat/>
    <w:uiPriority w:val="0"/>
    <w:rPr>
      <w:rFonts w:ascii="宋体" w:hAnsi="宋体"/>
      <w:kern w:val="2"/>
      <w:sz w:val="21"/>
      <w:szCs w:val="21"/>
    </w:rPr>
  </w:style>
  <w:style w:type="character" w:customStyle="1" w:styleId="213">
    <w:name w:val="cf01"/>
    <w:qFormat/>
    <w:uiPriority w:val="0"/>
    <w:rPr>
      <w:rFonts w:hint="eastAsia" w:ascii="Microsoft YaHei UI" w:hAnsi="Microsoft YaHei UI" w:eastAsia="Microsoft YaHei UI"/>
      <w:sz w:val="18"/>
      <w:szCs w:val="18"/>
    </w:rPr>
  </w:style>
  <w:style w:type="character" w:customStyle="1" w:styleId="214">
    <w:name w:val="批注文字 字符"/>
    <w:qFormat/>
    <w:uiPriority w:val="99"/>
    <w:rPr>
      <w:rFonts w:ascii="Times New Roman" w:hAnsi="Times New Roman" w:eastAsia="宋体" w:cs="Times New Roman"/>
      <w:sz w:val="24"/>
      <w:lang w:val="en-US" w:eastAsia="zh-CN" w:bidi="ar-SA"/>
    </w:rPr>
  </w:style>
  <w:style w:type="character" w:customStyle="1" w:styleId="215">
    <w:name w:val="标题 2 Char Char"/>
    <w:qFormat/>
    <w:uiPriority w:val="0"/>
    <w:rPr>
      <w:rFonts w:ascii="Arial" w:hAnsi="Arial" w:eastAsia="黑体"/>
      <w:b/>
      <w:bCs/>
      <w:kern w:val="2"/>
      <w:sz w:val="32"/>
      <w:szCs w:val="32"/>
      <w:lang w:val="en-US" w:eastAsia="zh-CN" w:bidi="ar-SA"/>
    </w:rPr>
  </w:style>
  <w:style w:type="character" w:customStyle="1" w:styleId="216">
    <w:name w:val="chanpin1"/>
    <w:qFormat/>
    <w:uiPriority w:val="0"/>
    <w:rPr>
      <w:rFonts w:hint="default" w:ascii="ˎ̥" w:hAnsi="ˎ̥"/>
      <w:color w:val="000000"/>
      <w:sz w:val="20"/>
      <w:szCs w:val="20"/>
      <w:u w:val="none"/>
    </w:rPr>
  </w:style>
  <w:style w:type="character" w:customStyle="1" w:styleId="217">
    <w:name w:val="txt"/>
    <w:qFormat/>
    <w:uiPriority w:val="0"/>
  </w:style>
  <w:style w:type="character" w:customStyle="1" w:styleId="218">
    <w:name w:val="正文文本缩进 Char1"/>
    <w:link w:val="54"/>
    <w:qFormat/>
    <w:uiPriority w:val="0"/>
    <w:rPr>
      <w:rFonts w:ascii="宋体" w:hAnsi="宋体" w:eastAsia="宋体"/>
      <w:sz w:val="24"/>
      <w:szCs w:val="24"/>
      <w:lang w:bidi="ar-SA"/>
    </w:rPr>
  </w:style>
  <w:style w:type="character" w:customStyle="1" w:styleId="219">
    <w:name w:val="普通文字1 Char1"/>
    <w:qFormat/>
    <w:uiPriority w:val="0"/>
    <w:rPr>
      <w:rFonts w:ascii="宋体" w:hAnsi="Courier New" w:eastAsia="宋体"/>
      <w:kern w:val="2"/>
      <w:sz w:val="21"/>
      <w:lang w:val="en-US" w:eastAsia="zh-CN" w:bidi="ar-SA"/>
    </w:rPr>
  </w:style>
  <w:style w:type="character" w:customStyle="1" w:styleId="220">
    <w:name w:val="Char Char111"/>
    <w:qFormat/>
    <w:uiPriority w:val="0"/>
    <w:rPr>
      <w:rFonts w:ascii="宋体" w:eastAsia="宋体"/>
      <w:b/>
      <w:sz w:val="24"/>
      <w:u w:val="single"/>
      <w:lang w:val="en-US" w:eastAsia="zh-CN" w:bidi="ar-SA"/>
    </w:rPr>
  </w:style>
  <w:style w:type="character" w:customStyle="1" w:styleId="221">
    <w:name w:val="正文大标题 Char"/>
    <w:link w:val="55"/>
    <w:qFormat/>
    <w:uiPriority w:val="0"/>
    <w:rPr>
      <w:rFonts w:ascii="宋体" w:hAnsi="宋体"/>
      <w:b/>
      <w:color w:val="000000"/>
      <w:kern w:val="2"/>
      <w:sz w:val="28"/>
      <w:szCs w:val="21"/>
    </w:rPr>
  </w:style>
  <w:style w:type="character" w:customStyle="1" w:styleId="222">
    <w:name w:val="正文小标题 Char"/>
    <w:link w:val="56"/>
    <w:qFormat/>
    <w:uiPriority w:val="0"/>
    <w:rPr>
      <w:rFonts w:ascii="宋体" w:hAnsi="宋体"/>
      <w:b/>
      <w:i/>
      <w:color w:val="FF0000"/>
      <w:kern w:val="2"/>
      <w:sz w:val="24"/>
    </w:rPr>
  </w:style>
  <w:style w:type="character" w:customStyle="1" w:styleId="223">
    <w:name w:val="纯文本 Char1"/>
    <w:qFormat/>
    <w:uiPriority w:val="0"/>
    <w:rPr>
      <w:rFonts w:ascii="宋体" w:hAnsi="Courier New" w:eastAsia="宋体"/>
      <w:kern w:val="2"/>
      <w:sz w:val="21"/>
      <w:lang w:val="en-US" w:eastAsia="zh-CN" w:bidi="ar-SA"/>
    </w:rPr>
  </w:style>
  <w:style w:type="character" w:customStyle="1" w:styleId="224">
    <w:name w:val="列表段落 字符"/>
    <w:link w:val="57"/>
    <w:qFormat/>
    <w:uiPriority w:val="34"/>
    <w:rPr>
      <w:rFonts w:ascii="Calibri" w:hAnsi="Calibri" w:eastAsia="宋体"/>
      <w:kern w:val="2"/>
      <w:sz w:val="21"/>
      <w:szCs w:val="22"/>
      <w:lang w:val="en-US" w:eastAsia="zh-CN" w:bidi="ar-SA"/>
    </w:rPr>
  </w:style>
  <w:style w:type="character" w:customStyle="1" w:styleId="225">
    <w:name w:val="正文格式 Char"/>
    <w:link w:val="58"/>
    <w:qFormat/>
    <w:locked/>
    <w:uiPriority w:val="0"/>
    <w:rPr>
      <w:rFonts w:ascii="宋体" w:hAnsi="宋体"/>
      <w:sz w:val="24"/>
      <w:szCs w:val="24"/>
      <w:lang w:val="en-GB"/>
    </w:rPr>
  </w:style>
  <w:style w:type="character" w:customStyle="1" w:styleId="226">
    <w:name w:val="纯文本 字符1"/>
    <w:qFormat/>
    <w:uiPriority w:val="0"/>
    <w:rPr>
      <w:rFonts w:ascii="宋体" w:hAnsi="Courier New"/>
    </w:rPr>
  </w:style>
  <w:style w:type="character" w:customStyle="1" w:styleId="227">
    <w:name w:val="bjh-p"/>
    <w:qFormat/>
    <w:uiPriority w:val="0"/>
  </w:style>
  <w:style w:type="character" w:customStyle="1" w:styleId="228">
    <w:name w:val="正文缩进 Char"/>
    <w:qFormat/>
    <w:uiPriority w:val="0"/>
    <w:rPr>
      <w:rFonts w:ascii="宋体" w:eastAsia="宋体"/>
      <w:kern w:val="2"/>
      <w:sz w:val="24"/>
      <w:szCs w:val="24"/>
      <w:lang w:val="en-US" w:eastAsia="zh-CN" w:bidi="ar-SA"/>
    </w:rPr>
  </w:style>
  <w:style w:type="character" w:customStyle="1" w:styleId="229">
    <w:name w:val="正文文本缩进 Char"/>
    <w:qFormat/>
    <w:uiPriority w:val="0"/>
    <w:rPr>
      <w:rFonts w:eastAsia="宋体"/>
      <w:kern w:val="2"/>
      <w:sz w:val="24"/>
      <w:szCs w:val="24"/>
      <w:lang w:val="en-US" w:eastAsia="zh-CN" w:bidi="ar-SA"/>
    </w:rPr>
  </w:style>
  <w:style w:type="character" w:customStyle="1" w:styleId="230">
    <w:name w:val="页脚 Char"/>
    <w:qFormat/>
    <w:uiPriority w:val="0"/>
    <w:rPr>
      <w:rFonts w:ascii="宋体" w:eastAsia="宋体"/>
      <w:sz w:val="18"/>
      <w:lang w:val="en-US" w:eastAsia="zh-CN" w:bidi="ar-SA"/>
    </w:rPr>
  </w:style>
  <w:style w:type="character" w:customStyle="1" w:styleId="231">
    <w:name w:val="cf21"/>
    <w:qFormat/>
    <w:uiPriority w:val="0"/>
    <w:rPr>
      <w:rFonts w:hint="eastAsia" w:ascii="Microsoft YaHei UI" w:hAnsi="Microsoft YaHei UI" w:eastAsia="Microsoft YaHei UI"/>
      <w:sz w:val="18"/>
      <w:szCs w:val="18"/>
      <w:shd w:val="clear" w:color="auto" w:fill="FFFFFF"/>
    </w:rPr>
  </w:style>
  <w:style w:type="character" w:customStyle="1" w:styleId="232">
    <w:name w:val="street-address"/>
    <w:qFormat/>
    <w:uiPriority w:val="0"/>
  </w:style>
  <w:style w:type="character" w:customStyle="1" w:styleId="233">
    <w:name w:val="正文缩进 Char Char"/>
    <w:link w:val="59"/>
    <w:qFormat/>
    <w:uiPriority w:val="0"/>
    <w:rPr>
      <w:rFonts w:ascii="宋体" w:eastAsia="宋体"/>
      <w:snapToGrid w:val="0"/>
      <w:color w:val="000000"/>
      <w:kern w:val="28"/>
      <w:sz w:val="28"/>
      <w:lang w:bidi="ar-SA"/>
    </w:rPr>
  </w:style>
  <w:style w:type="character" w:customStyle="1" w:styleId="234">
    <w:name w:val="Char Char11"/>
    <w:qFormat/>
    <w:uiPriority w:val="0"/>
    <w:rPr>
      <w:rFonts w:ascii="宋体" w:eastAsia="宋体"/>
      <w:b/>
      <w:sz w:val="24"/>
      <w:u w:val="single"/>
      <w:lang w:val="en-US" w:eastAsia="zh-CN" w:bidi="ar-SA"/>
    </w:rPr>
  </w:style>
  <w:style w:type="character" w:customStyle="1" w:styleId="235">
    <w:name w:val="title4"/>
    <w:qFormat/>
    <w:uiPriority w:val="0"/>
    <w:rPr>
      <w:b/>
      <w:bCs/>
      <w:color w:val="1D87B3"/>
      <w:sz w:val="15"/>
      <w:szCs w:val="15"/>
    </w:rPr>
  </w:style>
  <w:style w:type="character" w:customStyle="1" w:styleId="236">
    <w:name w:val="正文表格 Char"/>
    <w:link w:val="60"/>
    <w:qFormat/>
    <w:uiPriority w:val="0"/>
    <w:rPr>
      <w:rFonts w:ascii="宋体" w:hAnsi="宋体"/>
      <w:color w:val="000000"/>
      <w:kern w:val="2"/>
      <w:sz w:val="21"/>
      <w:szCs w:val="21"/>
    </w:rPr>
  </w:style>
  <w:style w:type="character" w:customStyle="1" w:styleId="237">
    <w:name w:val="正文重点 Char"/>
    <w:link w:val="61"/>
    <w:qFormat/>
    <w:uiPriority w:val="0"/>
    <w:rPr>
      <w:b/>
      <w:sz w:val="24"/>
    </w:rPr>
  </w:style>
  <w:style w:type="character" w:customStyle="1" w:styleId="238">
    <w:name w:val="标题 2 Char"/>
    <w:qFormat/>
    <w:uiPriority w:val="0"/>
    <w:rPr>
      <w:rFonts w:ascii="Arial" w:hAnsi="Arial" w:eastAsia="黑体"/>
      <w:b/>
      <w:sz w:val="30"/>
      <w:lang w:val="en-US" w:eastAsia="zh-CN" w:bidi="ar-SA"/>
    </w:rPr>
  </w:style>
  <w:style w:type="character" w:customStyle="1" w:styleId="239">
    <w:name w:val="标题 3 Char"/>
    <w:qFormat/>
    <w:uiPriority w:val="0"/>
    <w:rPr>
      <w:rFonts w:ascii="宋体" w:eastAsia="宋体"/>
      <w:b/>
      <w:sz w:val="24"/>
      <w:u w:val="single"/>
      <w:lang w:val="en-US" w:eastAsia="zh-CN" w:bidi="ar-SA"/>
    </w:rPr>
  </w:style>
  <w:style w:type="character" w:customStyle="1" w:styleId="240">
    <w:name w:val="纯文本 字符"/>
    <w:qFormat/>
    <w:uiPriority w:val="99"/>
    <w:rPr>
      <w:rFonts w:ascii="宋体" w:hAnsi="Courier New" w:eastAsia="宋体" w:cs="Times New Roman"/>
      <w:kern w:val="2"/>
      <w:sz w:val="21"/>
      <w:szCs w:val="21"/>
      <w:lang w:val="en-US" w:eastAsia="zh-CN" w:bidi="ar-SA"/>
    </w:rPr>
  </w:style>
  <w:style w:type="character" w:customStyle="1" w:styleId="241">
    <w:name w:val="列出段落 Char"/>
    <w:qFormat/>
    <w:uiPriority w:val="0"/>
    <w:rPr>
      <w:rFonts w:ascii="Calibri" w:hAnsi="Calibri" w:eastAsia="宋体"/>
      <w:kern w:val="2"/>
      <w:sz w:val="21"/>
      <w:szCs w:val="22"/>
      <w:lang w:val="en-US" w:eastAsia="zh-CN" w:bidi="ar-SA"/>
    </w:rPr>
  </w:style>
  <w:style w:type="character" w:customStyle="1" w:styleId="242">
    <w:name w:val="cf11"/>
    <w:qFormat/>
    <w:uiPriority w:val="0"/>
    <w:rPr>
      <w:rFonts w:hint="eastAsia" w:ascii="Microsoft YaHei UI" w:hAnsi="Microsoft YaHei UI" w:eastAsia="Microsoft YaHei UI"/>
      <w:sz w:val="18"/>
      <w:szCs w:val="18"/>
    </w:rPr>
  </w:style>
  <w:style w:type="character" w:customStyle="1" w:styleId="243">
    <w:name w:val="black1"/>
    <w:qFormat/>
    <w:uiPriority w:val="0"/>
    <w:rPr>
      <w:color w:val="000000"/>
    </w:rPr>
  </w:style>
  <w:style w:type="character" w:customStyle="1" w:styleId="244">
    <w:name w:val="locality"/>
    <w:qFormat/>
    <w:uiPriority w:val="0"/>
  </w:style>
  <w:style w:type="character" w:customStyle="1" w:styleId="245">
    <w:name w:val="标题 3 Char Char"/>
    <w:qFormat/>
    <w:uiPriority w:val="0"/>
    <w:rPr>
      <w:rFonts w:eastAsia="宋体"/>
      <w:b/>
      <w:bCs/>
      <w:kern w:val="2"/>
      <w:sz w:val="32"/>
      <w:szCs w:val="32"/>
      <w:lang w:val="en-US" w:eastAsia="zh-CN" w:bidi="ar-SA"/>
    </w:rPr>
  </w:style>
  <w:style w:type="character" w:customStyle="1" w:styleId="246">
    <w:name w:val="段1 Char"/>
    <w:qFormat/>
    <w:uiPriority w:val="0"/>
    <w:rPr>
      <w:rFonts w:ascii="宋体" w:eastAsia="宋体"/>
      <w:sz w:val="24"/>
      <w:lang w:val="en-US" w:eastAsia="zh-CN" w:bidi="ar-SA"/>
    </w:rPr>
  </w:style>
  <w:style w:type="character" w:customStyle="1" w:styleId="247">
    <w:name w:val="chanpin拷贝"/>
    <w:qFormat/>
    <w:uiPriority w:val="0"/>
  </w:style>
  <w:style w:type="character" w:customStyle="1" w:styleId="248">
    <w:name w:val="apple-style-span"/>
    <w:qFormat/>
    <w:uiPriority w:val="0"/>
    <w:rPr>
      <w:rFonts w:cs="Times New Roman"/>
    </w:rPr>
  </w:style>
  <w:style w:type="character" w:customStyle="1" w:styleId="249">
    <w:name w:val="中等深浅网格 1 - 强调文字颜色 2 Char"/>
    <w:link w:val="62"/>
    <w:qFormat/>
    <w:uiPriority w:val="0"/>
    <w:rPr>
      <w:kern w:val="2"/>
      <w:sz w:val="21"/>
      <w:szCs w:val="24"/>
      <w:lang w:val="zh-CN" w:eastAsia="zh-CN"/>
    </w:rPr>
  </w:style>
  <w:style w:type="character" w:customStyle="1" w:styleId="250">
    <w:name w:val="标题 Char"/>
    <w:qFormat/>
    <w:uiPriority w:val="0"/>
    <w:rPr>
      <w:b/>
      <w:kern w:val="2"/>
      <w:sz w:val="32"/>
    </w:rPr>
  </w:style>
  <w:style w:type="table" w:customStyle="1" w:styleId="25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52">
    <w:name w:val="NormalCharacter"/>
    <w:semiHidden/>
    <w:qFormat/>
    <w:uiPriority w:val="0"/>
  </w:style>
  <w:style w:type="paragraph" w:customStyle="1" w:styleId="253">
    <w:name w:val="列表段落1"/>
    <w:basedOn w:val="1"/>
    <w:qFormat/>
    <w:uiPriority w:val="34"/>
    <w:pPr>
      <w:ind w:firstLine="420" w:firstLineChars="200"/>
    </w:pPr>
  </w:style>
  <w:style w:type="paragraph" w:customStyle="1" w:styleId="254">
    <w:name w:val="Header Base"/>
    <w:basedOn w:val="17"/>
    <w:qFormat/>
    <w:uiPriority w:val="0"/>
    <w:pPr>
      <w:keepLines/>
      <w:widowControl/>
      <w:tabs>
        <w:tab w:val="center" w:pos="4320"/>
        <w:tab w:val="right" w:pos="8640"/>
        <w:tab w:val="clear" w:pos="567"/>
      </w:tabs>
      <w:suppressAutoHyphens/>
      <w:spacing w:line="180" w:lineRule="atLeast"/>
    </w:pPr>
    <w:rPr>
      <w:rFonts w:ascii="Arial" w:hAnsi="Arial" w:eastAsia="微软简楷体"/>
      <w:spacing w:val="-5"/>
      <w:kern w:val="0"/>
      <w:szCs w:val="20"/>
    </w:rPr>
  </w:style>
  <w:style w:type="paragraph" w:customStyle="1" w:styleId="25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57">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0CEEA-FE31-4604-914C-DBC90774314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13418</Words>
  <Characters>14206</Characters>
  <Lines>2020</Lines>
  <Paragraphs>1907</Paragraphs>
  <TotalTime>7</TotalTime>
  <ScaleCrop>false</ScaleCrop>
  <LinksUpToDate>false</LinksUpToDate>
  <CharactersWithSpaces>14337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2026-04-02T10:06:00Z</dcterms:created>
  <dc:creator>Yin Hao</dc:creator>
  <cp:lastModifiedBy>user</cp:lastModifiedBy>
  <cp:lastPrinted>2020-04-01T03:13:00Z</cp:lastPrinted>
  <dcterms:modified xsi:type="dcterms:W3CDTF">2026-04-03T06:28:39Z</dcterms:modified>
  <dc:title>政府采购示范文本（2023）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D5CA528D434F4E8E904AB50E81CBAFCD_13</vt:lpwstr>
  </property>
  <property fmtid="{D5CDD505-2E9C-101B-9397-08002B2CF9AE}" pid="4" name="KSOTemplateDocerSaveRecord">
    <vt:lpwstr>eyJoZGlkIjoiZDY2ZGE0NTNjMjczYjk4NjU0NDRhYjBhMjQwOTk3ZjUiLCJ1c2VySWQiOiI1ODk3MTQzNjQifQ==</vt:lpwstr>
  </property>
</Properties>
</file>