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943D2">
      <w:pPr>
        <w:spacing w:line="360" w:lineRule="auto"/>
        <w:jc w:val="center"/>
        <w:outlineLvl w:val="0"/>
        <w:rPr>
          <w:rFonts w:ascii="宋体" w:hAnsi="宋体"/>
          <w:b/>
          <w:sz w:val="36"/>
          <w:szCs w:val="36"/>
        </w:rPr>
      </w:pPr>
      <w:r>
        <w:rPr>
          <w:rFonts w:hint="eastAsia" w:ascii="宋体" w:hAnsi="宋体"/>
          <w:b/>
          <w:sz w:val="36"/>
          <w:szCs w:val="36"/>
        </w:rPr>
        <w:t xml:space="preserve"> </w:t>
      </w:r>
      <w:r>
        <w:rPr>
          <w:rFonts w:ascii="宋体" w:hAnsi="宋体"/>
          <w:b/>
          <w:sz w:val="36"/>
          <w:szCs w:val="36"/>
        </w:rPr>
        <w:t>采购需求</w:t>
      </w:r>
    </w:p>
    <w:p w14:paraId="41A02EAF">
      <w:pPr>
        <w:spacing w:line="360" w:lineRule="auto"/>
        <w:ind w:firstLine="482" w:firstLineChars="200"/>
        <w:jc w:val="left"/>
        <w:rPr>
          <w:rFonts w:ascii="宋体" w:hAnsi="宋体" w:cs="宋体"/>
          <w:b/>
          <w:bCs/>
          <w:sz w:val="24"/>
        </w:rPr>
      </w:pPr>
      <w:bookmarkStart w:id="0" w:name="_Toc199365171"/>
      <w:r>
        <w:rPr>
          <w:rFonts w:hint="eastAsia" w:ascii="宋体" w:hAnsi="宋体" w:cs="宋体"/>
          <w:b/>
          <w:bCs/>
          <w:sz w:val="24"/>
        </w:rPr>
        <w:t>一、采购标的</w:t>
      </w:r>
    </w:p>
    <w:tbl>
      <w:tblPr>
        <w:tblStyle w:val="4"/>
        <w:tblW w:w="8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985"/>
        <w:gridCol w:w="1275"/>
        <w:gridCol w:w="4393"/>
      </w:tblGrid>
      <w:tr w14:paraId="31AFD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765" w:type="dxa"/>
            <w:vAlign w:val="center"/>
          </w:tcPr>
          <w:p w14:paraId="7F7B83F6">
            <w:pPr>
              <w:jc w:val="center"/>
              <w:rPr>
                <w:rFonts w:ascii="宋体" w:hAnsi="宋体"/>
                <w:bCs/>
                <w:sz w:val="24"/>
              </w:rPr>
            </w:pPr>
            <w:r>
              <w:rPr>
                <w:rFonts w:hint="eastAsia" w:ascii="宋体" w:hAnsi="宋体"/>
                <w:bCs/>
                <w:sz w:val="24"/>
              </w:rPr>
              <w:t>序号</w:t>
            </w:r>
          </w:p>
        </w:tc>
        <w:tc>
          <w:tcPr>
            <w:tcW w:w="1985" w:type="dxa"/>
            <w:vAlign w:val="center"/>
          </w:tcPr>
          <w:p w14:paraId="0A8FCD7B">
            <w:pPr>
              <w:jc w:val="center"/>
              <w:rPr>
                <w:rFonts w:ascii="宋体" w:hAnsi="宋体"/>
                <w:bCs/>
                <w:sz w:val="24"/>
              </w:rPr>
            </w:pPr>
            <w:r>
              <w:rPr>
                <w:rFonts w:hint="eastAsia" w:ascii="宋体" w:hAnsi="宋体"/>
                <w:bCs/>
                <w:sz w:val="24"/>
              </w:rPr>
              <w:t>标的名称</w:t>
            </w:r>
          </w:p>
        </w:tc>
        <w:tc>
          <w:tcPr>
            <w:tcW w:w="1275" w:type="dxa"/>
            <w:vAlign w:val="center"/>
          </w:tcPr>
          <w:p w14:paraId="32AFC20F">
            <w:pPr>
              <w:jc w:val="center"/>
              <w:rPr>
                <w:rFonts w:ascii="宋体" w:hAnsi="宋体"/>
                <w:bCs/>
                <w:sz w:val="24"/>
              </w:rPr>
            </w:pPr>
            <w:r>
              <w:rPr>
                <w:rFonts w:hint="eastAsia" w:ascii="宋体" w:hAnsi="宋体"/>
                <w:bCs/>
                <w:sz w:val="24"/>
              </w:rPr>
              <w:t>项目预算金额</w:t>
            </w:r>
          </w:p>
        </w:tc>
        <w:tc>
          <w:tcPr>
            <w:tcW w:w="4393" w:type="dxa"/>
            <w:vAlign w:val="center"/>
          </w:tcPr>
          <w:p w14:paraId="35CBD190">
            <w:pPr>
              <w:jc w:val="center"/>
              <w:rPr>
                <w:rFonts w:ascii="宋体" w:hAnsi="宋体"/>
                <w:bCs/>
                <w:sz w:val="24"/>
              </w:rPr>
            </w:pPr>
            <w:r>
              <w:rPr>
                <w:rFonts w:hint="eastAsia" w:ascii="宋体" w:hAnsi="宋体"/>
                <w:bCs/>
                <w:sz w:val="24"/>
              </w:rPr>
              <w:t>简要技术需求或服务要求</w:t>
            </w:r>
          </w:p>
        </w:tc>
      </w:tr>
      <w:tr w14:paraId="4236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exact"/>
          <w:jc w:val="center"/>
        </w:trPr>
        <w:tc>
          <w:tcPr>
            <w:tcW w:w="765" w:type="dxa"/>
            <w:vAlign w:val="center"/>
          </w:tcPr>
          <w:p w14:paraId="2E596B14">
            <w:pPr>
              <w:jc w:val="center"/>
              <w:rPr>
                <w:rFonts w:ascii="宋体" w:hAnsi="宋体"/>
                <w:bCs/>
                <w:sz w:val="24"/>
              </w:rPr>
            </w:pPr>
            <w:r>
              <w:rPr>
                <w:rFonts w:ascii="宋体" w:hAnsi="宋体"/>
                <w:sz w:val="24"/>
              </w:rPr>
              <w:t>1</w:t>
            </w:r>
          </w:p>
        </w:tc>
        <w:tc>
          <w:tcPr>
            <w:tcW w:w="1985" w:type="dxa"/>
            <w:vAlign w:val="center"/>
          </w:tcPr>
          <w:p w14:paraId="7059127F">
            <w:pPr>
              <w:jc w:val="center"/>
              <w:rPr>
                <w:rFonts w:ascii="宋体" w:hAnsi="宋体"/>
                <w:bCs/>
                <w:sz w:val="24"/>
              </w:rPr>
            </w:pPr>
            <w:r>
              <w:rPr>
                <w:rFonts w:hint="eastAsia" w:ascii="宋体" w:hAnsi="宋体"/>
                <w:bCs/>
                <w:sz w:val="24"/>
              </w:rPr>
              <w:t>科研经费购置临床研究服务项目</w:t>
            </w:r>
          </w:p>
        </w:tc>
        <w:tc>
          <w:tcPr>
            <w:tcW w:w="1275" w:type="dxa"/>
            <w:vAlign w:val="center"/>
          </w:tcPr>
          <w:p w14:paraId="11113FD4">
            <w:pPr>
              <w:jc w:val="center"/>
              <w:rPr>
                <w:rFonts w:ascii="宋体" w:hAnsi="宋体"/>
                <w:bCs/>
                <w:sz w:val="24"/>
              </w:rPr>
            </w:pPr>
            <w:r>
              <w:rPr>
                <w:rFonts w:hint="eastAsia" w:ascii="宋体" w:hAnsi="宋体"/>
                <w:bCs/>
                <w:sz w:val="24"/>
              </w:rPr>
              <w:t>292.8596</w:t>
            </w:r>
          </w:p>
          <w:p w14:paraId="636748DE">
            <w:pPr>
              <w:jc w:val="center"/>
              <w:rPr>
                <w:rFonts w:ascii="宋体" w:hAnsi="宋体"/>
                <w:bCs/>
                <w:sz w:val="24"/>
              </w:rPr>
            </w:pPr>
            <w:r>
              <w:rPr>
                <w:rFonts w:hint="eastAsia" w:ascii="宋体" w:hAnsi="宋体"/>
                <w:bCs/>
                <w:sz w:val="24"/>
              </w:rPr>
              <w:t>万元</w:t>
            </w:r>
          </w:p>
        </w:tc>
        <w:tc>
          <w:tcPr>
            <w:tcW w:w="4393" w:type="dxa"/>
            <w:vAlign w:val="center"/>
          </w:tcPr>
          <w:p w14:paraId="664DB897">
            <w:pPr>
              <w:jc w:val="left"/>
              <w:rPr>
                <w:rFonts w:ascii="宋体" w:hAnsi="宋体"/>
                <w:bCs/>
                <w:sz w:val="24"/>
              </w:rPr>
            </w:pPr>
            <w:r>
              <w:rPr>
                <w:rFonts w:hint="eastAsia" w:ascii="宋体" w:hAnsi="宋体"/>
                <w:bCs/>
                <w:sz w:val="24"/>
              </w:rPr>
              <w:t>1.研究内容：发病4.5小时-24小时计划接受血管内治疗的急性前循环大血管闭塞性脑卒中患者转诊前替奈普酶静脉溶栓的有效性和安全性研究。</w:t>
            </w:r>
          </w:p>
          <w:p w14:paraId="1DA75E06">
            <w:pPr>
              <w:jc w:val="left"/>
              <w:rPr>
                <w:rFonts w:ascii="宋体" w:hAnsi="宋体"/>
                <w:bCs/>
                <w:sz w:val="24"/>
              </w:rPr>
            </w:pPr>
            <w:r>
              <w:rPr>
                <w:rFonts w:hint="eastAsia" w:ascii="宋体" w:hAnsi="宋体"/>
                <w:bCs/>
                <w:sz w:val="24"/>
              </w:rPr>
              <w:t>2.研究药物：替奈普酶。</w:t>
            </w:r>
          </w:p>
          <w:p w14:paraId="0961DFCB">
            <w:pPr>
              <w:jc w:val="left"/>
              <w:rPr>
                <w:rFonts w:ascii="宋体" w:hAnsi="宋体"/>
                <w:bCs/>
                <w:sz w:val="24"/>
              </w:rPr>
            </w:pPr>
            <w:r>
              <w:rPr>
                <w:rFonts w:hint="eastAsia" w:ascii="宋体" w:hAnsi="宋体"/>
                <w:bCs/>
                <w:sz w:val="24"/>
              </w:rPr>
              <w:t>3.适应症：急性缺血性脑卒中。</w:t>
            </w:r>
          </w:p>
        </w:tc>
      </w:tr>
    </w:tbl>
    <w:p w14:paraId="4EA46FBB">
      <w:pPr>
        <w:spacing w:line="360" w:lineRule="auto"/>
        <w:ind w:firstLine="482" w:firstLineChars="200"/>
        <w:rPr>
          <w:rFonts w:ascii="宋体" w:hAnsi="宋体" w:cs="宋体"/>
          <w:b/>
          <w:bCs/>
          <w:sz w:val="24"/>
        </w:rPr>
      </w:pPr>
      <w:r>
        <w:rPr>
          <w:rFonts w:hint="eastAsia" w:ascii="宋体" w:hAnsi="宋体" w:cs="宋体"/>
          <w:b/>
          <w:bCs/>
          <w:sz w:val="24"/>
        </w:rPr>
        <w:t>二、商务要求</w:t>
      </w:r>
    </w:p>
    <w:bookmarkEnd w:id="0"/>
    <w:p w14:paraId="7E9E1021">
      <w:pPr>
        <w:pStyle w:val="6"/>
        <w:spacing w:line="360" w:lineRule="auto"/>
        <w:ind w:firstLine="480"/>
        <w:contextualSpacing/>
        <w:jc w:val="left"/>
        <w:rPr>
          <w:rFonts w:ascii="宋体" w:hAnsi="宋体"/>
          <w:bCs/>
          <w:sz w:val="24"/>
        </w:rPr>
      </w:pPr>
      <w:r>
        <w:rPr>
          <w:rFonts w:hint="eastAsia" w:ascii="宋体" w:hAnsi="宋体"/>
          <w:bCs/>
          <w:sz w:val="24"/>
        </w:rPr>
        <w:t>（一）服务期限和地点</w:t>
      </w:r>
    </w:p>
    <w:p w14:paraId="121C955F">
      <w:pPr>
        <w:pStyle w:val="6"/>
        <w:spacing w:line="360" w:lineRule="auto"/>
        <w:ind w:firstLine="480"/>
        <w:contextualSpacing/>
        <w:jc w:val="left"/>
        <w:rPr>
          <w:rFonts w:ascii="宋体" w:hAnsi="宋体"/>
          <w:bCs/>
          <w:sz w:val="24"/>
        </w:rPr>
      </w:pPr>
      <w:r>
        <w:rPr>
          <w:rFonts w:hint="eastAsia" w:ascii="宋体" w:hAnsi="宋体"/>
          <w:bCs/>
          <w:sz w:val="24"/>
        </w:rPr>
        <w:t>1.服务期限：</w:t>
      </w:r>
      <w:r>
        <w:rPr>
          <w:rFonts w:hint="eastAsia" w:ascii="宋体" w:hAnsi="宋体"/>
          <w:sz w:val="24"/>
          <w:u w:val="single"/>
        </w:rPr>
        <w:t>供应商需在签订合同后36个月内完成入组，整体项目在42个月内完成并须符合现行《药物临床试验质量管理规范》</w:t>
      </w:r>
      <w:r>
        <w:rPr>
          <w:rFonts w:hint="eastAsia" w:ascii="宋体" w:hAnsi="宋体"/>
          <w:bCs/>
          <w:sz w:val="24"/>
        </w:rPr>
        <w:t>。</w:t>
      </w:r>
    </w:p>
    <w:p w14:paraId="1639AF64">
      <w:pPr>
        <w:pStyle w:val="6"/>
        <w:spacing w:line="360" w:lineRule="auto"/>
        <w:ind w:firstLine="480"/>
        <w:contextualSpacing/>
        <w:jc w:val="left"/>
        <w:rPr>
          <w:rFonts w:ascii="宋体" w:hAnsi="宋体"/>
          <w:sz w:val="24"/>
          <w:u w:val="single"/>
        </w:rPr>
      </w:pPr>
      <w:r>
        <w:rPr>
          <w:rFonts w:hint="eastAsia" w:ascii="宋体" w:hAnsi="宋体"/>
          <w:bCs/>
          <w:sz w:val="24"/>
        </w:rPr>
        <w:t>2.服务地点：</w:t>
      </w:r>
      <w:r>
        <w:rPr>
          <w:rFonts w:hint="eastAsia" w:ascii="宋体" w:hAnsi="宋体"/>
          <w:sz w:val="24"/>
          <w:u w:val="single"/>
        </w:rPr>
        <w:t>采购人指定地点。</w:t>
      </w:r>
    </w:p>
    <w:p w14:paraId="6C645A27">
      <w:pPr>
        <w:pStyle w:val="6"/>
        <w:spacing w:line="360" w:lineRule="auto"/>
        <w:ind w:firstLine="480"/>
        <w:contextualSpacing/>
        <w:jc w:val="left"/>
        <w:rPr>
          <w:rFonts w:ascii="宋体" w:hAnsi="宋体"/>
          <w:bCs/>
          <w:sz w:val="24"/>
        </w:rPr>
      </w:pPr>
      <w:r>
        <w:rPr>
          <w:rFonts w:hint="eastAsia" w:ascii="宋体" w:hAnsi="宋体"/>
          <w:bCs/>
          <w:sz w:val="24"/>
        </w:rPr>
        <w:t>（二）付款条件（进度和方式）：详见第六章 拟签订的合同文本</w:t>
      </w:r>
    </w:p>
    <w:p w14:paraId="51CA0314">
      <w:pPr>
        <w:pStyle w:val="6"/>
        <w:spacing w:line="360" w:lineRule="auto"/>
        <w:ind w:firstLine="480"/>
        <w:contextualSpacing/>
        <w:jc w:val="left"/>
        <w:rPr>
          <w:rFonts w:ascii="宋体" w:hAnsi="宋体"/>
          <w:b/>
          <w:sz w:val="24"/>
          <w:szCs w:val="24"/>
        </w:rPr>
      </w:pPr>
      <w:r>
        <w:rPr>
          <w:rFonts w:hint="eastAsia" w:ascii="宋体" w:hAnsi="宋体"/>
          <w:bCs/>
          <w:sz w:val="24"/>
        </w:rPr>
        <w:t>三、</w:t>
      </w:r>
      <w:r>
        <w:rPr>
          <w:rFonts w:ascii="宋体" w:hAnsi="宋体"/>
          <w:b/>
          <w:sz w:val="24"/>
          <w:szCs w:val="24"/>
        </w:rPr>
        <w:t>技术要求</w:t>
      </w:r>
    </w:p>
    <w:p w14:paraId="15A8D69A">
      <w:pPr>
        <w:spacing w:line="360" w:lineRule="auto"/>
        <w:ind w:firstLine="482" w:firstLineChars="200"/>
        <w:contextualSpacing/>
        <w:rPr>
          <w:rFonts w:ascii="宋体" w:hAnsi="宋体" w:cs="宋体"/>
          <w:b/>
          <w:bCs/>
          <w:sz w:val="24"/>
        </w:rPr>
      </w:pPr>
      <w:r>
        <w:rPr>
          <w:rFonts w:hint="eastAsia" w:ascii="宋体" w:hAnsi="宋体" w:cs="宋体"/>
          <w:b/>
          <w:bCs/>
          <w:sz w:val="24"/>
        </w:rPr>
        <w:t>（一）基本要求</w:t>
      </w:r>
    </w:p>
    <w:p w14:paraId="02AA6670">
      <w:pPr>
        <w:spacing w:line="360" w:lineRule="auto"/>
        <w:ind w:firstLine="482" w:firstLineChars="200"/>
        <w:contextualSpacing/>
        <w:rPr>
          <w:rFonts w:ascii="宋体" w:hAnsi="宋体" w:cs="宋体"/>
          <w:b/>
          <w:bCs/>
          <w:sz w:val="24"/>
        </w:rPr>
      </w:pPr>
      <w:r>
        <w:rPr>
          <w:rFonts w:hint="eastAsia" w:ascii="宋体" w:hAnsi="宋体" w:cs="宋体"/>
          <w:b/>
          <w:bCs/>
          <w:sz w:val="24"/>
        </w:rPr>
        <w:t>1.采购标的需实现的功能或者目标</w:t>
      </w:r>
    </w:p>
    <w:p w14:paraId="7E17E30F">
      <w:pPr>
        <w:pStyle w:val="3"/>
        <w:spacing w:line="360" w:lineRule="auto"/>
        <w:ind w:firstLine="480" w:firstLineChars="200"/>
        <w:rPr>
          <w:rFonts w:hAnsi="宋体" w:cs="宋体"/>
        </w:rPr>
      </w:pPr>
      <w:r>
        <w:rPr>
          <w:rFonts w:hint="eastAsia" w:hAnsi="宋体" w:cs="宋体"/>
        </w:rPr>
        <w:t>本次招标采购是</w:t>
      </w:r>
      <w:r>
        <w:rPr>
          <w:rFonts w:hint="eastAsia" w:hAnsi="宋体"/>
        </w:rPr>
        <w:t>科研经费购置临床研究服务项目</w:t>
      </w:r>
      <w:r>
        <w:rPr>
          <w:rFonts w:hint="eastAsia" w:hAnsi="宋体" w:cs="宋体"/>
        </w:rPr>
        <w:t>，投标人应根据招标文件所提出的设备技术规格和服务要求，以满足招标文件要求的产品、优良的服务和优惠的价格，充分显示自己的竞争实力。</w:t>
      </w:r>
    </w:p>
    <w:p w14:paraId="2D04ACDC">
      <w:pPr>
        <w:numPr>
          <w:ilvl w:val="0"/>
          <w:numId w:val="1"/>
        </w:numPr>
        <w:spacing w:line="360" w:lineRule="auto"/>
        <w:ind w:firstLine="482"/>
        <w:contextualSpacing/>
        <w:rPr>
          <w:rFonts w:ascii="宋体" w:hAnsi="宋体" w:cs="宋体"/>
          <w:kern w:val="0"/>
          <w:sz w:val="24"/>
        </w:rPr>
      </w:pPr>
      <w:r>
        <w:rPr>
          <w:rFonts w:hint="eastAsia" w:ascii="宋体" w:hAnsi="宋体" w:cs="宋体"/>
          <w:b/>
          <w:bCs/>
          <w:sz w:val="24"/>
        </w:rPr>
        <w:t>需满足国家相关标准、行业标准、地方标准或者其他标准、规范：</w:t>
      </w:r>
    </w:p>
    <w:p w14:paraId="7F7D39B7">
      <w:pPr>
        <w:tabs>
          <w:tab w:val="left" w:pos="312"/>
        </w:tabs>
        <w:spacing w:line="360" w:lineRule="auto"/>
        <w:ind w:left="482"/>
        <w:contextualSpacing/>
        <w:rPr>
          <w:rFonts w:ascii="宋体" w:hAnsi="宋体" w:cs="宋体"/>
          <w:kern w:val="0"/>
          <w:sz w:val="24"/>
        </w:rPr>
      </w:pPr>
      <w:r>
        <w:rPr>
          <w:rFonts w:hint="eastAsia" w:ascii="宋体" w:hAnsi="宋体" w:cs="宋体"/>
          <w:bCs/>
          <w:sz w:val="24"/>
        </w:rPr>
        <w:t>提供的服务满足</w:t>
      </w:r>
      <w:r>
        <w:rPr>
          <w:rFonts w:hint="eastAsia" w:ascii="宋体" w:hAnsi="宋体" w:cs="宋体"/>
          <w:kern w:val="0"/>
          <w:sz w:val="24"/>
        </w:rPr>
        <w:t>国家相关标准、行业标准、地方标准或者其他标准、规范。</w:t>
      </w:r>
    </w:p>
    <w:p w14:paraId="699B833C">
      <w:pPr>
        <w:pStyle w:val="2"/>
        <w:ind w:firstLine="482" w:firstLineChars="200"/>
        <w:jc w:val="both"/>
      </w:pPr>
      <w:r>
        <w:rPr>
          <w:rFonts w:hint="eastAsia"/>
        </w:rPr>
        <w:t>（二）具体要求</w:t>
      </w:r>
    </w:p>
    <w:p w14:paraId="0C1DCEEB">
      <w:pPr>
        <w:pStyle w:val="7"/>
        <w:spacing w:line="360" w:lineRule="auto"/>
        <w:rPr>
          <w:rFonts w:cs="宋体"/>
        </w:rPr>
      </w:pPr>
      <w:r>
        <w:rPr>
          <w:rFonts w:hint="eastAsia" w:cs="宋体"/>
        </w:rPr>
        <w:t>1.研究内容：发病4.5小时-24小时计划接受血管内治疗的急性前循环大血管闭塞性脑卒中患者转诊前替奈普酶静脉溶栓的有效性和安全性研究</w:t>
      </w:r>
    </w:p>
    <w:p w14:paraId="78CB110A">
      <w:pPr>
        <w:pStyle w:val="7"/>
        <w:spacing w:line="360" w:lineRule="auto"/>
        <w:rPr>
          <w:rFonts w:cs="宋体"/>
        </w:rPr>
      </w:pPr>
      <w:r>
        <w:rPr>
          <w:rFonts w:hint="eastAsia" w:cs="宋体"/>
        </w:rPr>
        <w:t>2.研究药物：替奈普酶</w:t>
      </w:r>
    </w:p>
    <w:p w14:paraId="3396F81D">
      <w:pPr>
        <w:pStyle w:val="7"/>
        <w:spacing w:line="360" w:lineRule="auto"/>
        <w:rPr>
          <w:rFonts w:cs="宋体"/>
        </w:rPr>
      </w:pPr>
      <w:r>
        <w:rPr>
          <w:rFonts w:hint="eastAsia" w:cs="宋体"/>
        </w:rPr>
        <w:t>3.适应症：急性缺血性脑卒中</w:t>
      </w:r>
    </w:p>
    <w:p w14:paraId="03321DF1">
      <w:pPr>
        <w:pStyle w:val="7"/>
        <w:spacing w:line="360" w:lineRule="auto"/>
        <w:rPr>
          <w:rFonts w:cs="宋体"/>
        </w:rPr>
      </w:pPr>
      <w:r>
        <w:rPr>
          <w:rFonts w:hint="eastAsia" w:cs="宋体"/>
        </w:rPr>
        <w:t>4.服务内容</w:t>
      </w:r>
    </w:p>
    <w:p w14:paraId="69F69595">
      <w:pPr>
        <w:pStyle w:val="7"/>
        <w:spacing w:line="360" w:lineRule="auto"/>
        <w:rPr>
          <w:rFonts w:cs="宋体"/>
        </w:rPr>
      </w:pPr>
      <w:r>
        <w:rPr>
          <w:rFonts w:hint="eastAsia" w:cs="宋体"/>
        </w:rPr>
        <w:t>4.1分中心招募：根据项目要求在1年内全国招募100家区域分中心及对应的基层分中心医院约400家，协助全部分中心通过项目立项、伦理审查。对不符合进度要求的参研单位及时预警，制定退出标准。</w:t>
      </w:r>
    </w:p>
    <w:p w14:paraId="74C56456">
      <w:pPr>
        <w:pStyle w:val="7"/>
        <w:spacing w:line="360" w:lineRule="auto"/>
        <w:rPr>
          <w:rFonts w:cs="宋体"/>
        </w:rPr>
      </w:pPr>
      <w:r>
        <w:rPr>
          <w:rFonts w:hint="eastAsia" w:cs="宋体"/>
        </w:rPr>
        <w:t>4.2现场启动、促进、质控及核查：根据项目进度，组织各项目分中心召开线下启动会及培训会，解答分中心在项目开展过程中遇到的相关问题，对各分中心进行项目质控及核查。（差旅费自理）</w:t>
      </w:r>
    </w:p>
    <w:p w14:paraId="6D094329">
      <w:pPr>
        <w:pStyle w:val="7"/>
        <w:spacing w:line="360" w:lineRule="auto"/>
        <w:rPr>
          <w:rFonts w:cs="宋体"/>
        </w:rPr>
      </w:pPr>
      <w:r>
        <w:rPr>
          <w:rFonts w:hint="eastAsia" w:cs="宋体"/>
        </w:rPr>
        <w:t>4.3 服务（受试者管理，数据录入）：7*24小时在线，辅助分中心进行受试者筛选及入组工作，对所有入组受试者进行随访提醒，回收患者在基层分中心及区域中心全部研究资料，在数据采集完成后10天内录入EDC。</w:t>
      </w:r>
    </w:p>
    <w:p w14:paraId="21EFA1EC">
      <w:pPr>
        <w:pStyle w:val="7"/>
        <w:spacing w:line="360" w:lineRule="auto"/>
        <w:rPr>
          <w:rFonts w:cs="宋体"/>
        </w:rPr>
      </w:pPr>
      <w:r>
        <w:rPr>
          <w:rFonts w:hint="eastAsia" w:cs="宋体"/>
        </w:rPr>
        <w:t>4.4研究物资管理（药品、资料及办公物资消耗）：</w:t>
      </w:r>
    </w:p>
    <w:p w14:paraId="4FA0FE7E">
      <w:pPr>
        <w:pStyle w:val="7"/>
        <w:spacing w:line="360" w:lineRule="auto"/>
        <w:rPr>
          <w:rFonts w:cs="宋体"/>
        </w:rPr>
      </w:pPr>
      <w:r>
        <w:rPr>
          <w:rFonts w:hint="eastAsia" w:cs="宋体"/>
        </w:rPr>
        <w:t>4.4.1项目药品管理：和供药方协作对研究药品进行管理。保障项目使用合格的研究药品，对研究单位药品的发放、储存、使用、回收进行管理。</w:t>
      </w:r>
    </w:p>
    <w:p w14:paraId="10107C2B">
      <w:pPr>
        <w:pStyle w:val="7"/>
        <w:spacing w:line="360" w:lineRule="auto"/>
        <w:rPr>
          <w:rFonts w:cs="宋体"/>
        </w:rPr>
      </w:pPr>
      <w:r>
        <w:rPr>
          <w:rFonts w:hint="eastAsia" w:cs="宋体"/>
        </w:rPr>
        <w:t>4.4.2项目资料管理：印刷项目研究文件（方案、知情、病历报告表等），及时供应分中心单位。</w:t>
      </w:r>
    </w:p>
    <w:p w14:paraId="02025C2F">
      <w:pPr>
        <w:pStyle w:val="7"/>
        <w:spacing w:line="360" w:lineRule="auto"/>
        <w:rPr>
          <w:rFonts w:cs="宋体"/>
        </w:rPr>
      </w:pPr>
      <w:r>
        <w:rPr>
          <w:rFonts w:hint="eastAsia" w:cs="宋体"/>
        </w:rPr>
        <w:t>4.4.3其他物资管理：项目办公用品、阴凉柜等采购，及时供应分中心单位。（办公用品、邮寄、采购物资等费用自理）</w:t>
      </w:r>
    </w:p>
    <w:p w14:paraId="2D57E438">
      <w:pPr>
        <w:pStyle w:val="7"/>
        <w:spacing w:line="360" w:lineRule="auto"/>
        <w:rPr>
          <w:rFonts w:cs="宋体"/>
        </w:rPr>
      </w:pPr>
      <w:r>
        <w:rPr>
          <w:rFonts w:hint="eastAsia" w:cs="宋体"/>
        </w:rPr>
        <w:t>4.5中心化随访：根据每例受试者末次访视时间窗，安排合格人员对患者进行中心化随访，保存随访录音或录像。</w:t>
      </w:r>
    </w:p>
    <w:p w14:paraId="7512347B">
      <w:pPr>
        <w:pStyle w:val="7"/>
        <w:spacing w:line="360" w:lineRule="auto"/>
      </w:pPr>
      <w:r>
        <w:rPr>
          <w:rFonts w:hint="eastAsia"/>
        </w:rPr>
        <w:t>4.6具备与与国内研究中心的合作经验；</w:t>
      </w:r>
    </w:p>
    <w:p w14:paraId="1B3C11D6">
      <w:pPr>
        <w:pStyle w:val="7"/>
        <w:spacing w:line="360" w:lineRule="auto"/>
      </w:pPr>
      <w:r>
        <w:rPr>
          <w:rFonts w:hint="eastAsia"/>
        </w:rPr>
        <w:t>4.7临床试验实施过程规范：需符合项目SOP、GCP及其他相关法规、指南、指导原则的要求。</w:t>
      </w:r>
    </w:p>
    <w:p w14:paraId="76F5D442">
      <w:pPr>
        <w:pStyle w:val="7"/>
        <w:spacing w:line="360" w:lineRule="auto"/>
      </w:pPr>
      <w:r>
        <w:rPr>
          <w:rFonts w:hint="eastAsia" w:cs="宋体"/>
        </w:rPr>
        <w:t>▲4.</w:t>
      </w:r>
      <w:r>
        <w:rPr>
          <w:rFonts w:hint="eastAsia"/>
        </w:rPr>
        <w:t>8供应商有专业的运营、数据管理等部门，且具有承担过3个及以上神经类药物临床试验项目经验。以上部门负责本项目的人员需有3年以上临床试验项目经验。</w:t>
      </w:r>
      <w:r>
        <w:rPr>
          <w:rFonts w:hint="eastAsia"/>
          <w:b/>
        </w:rPr>
        <w:t>（提供承诺书并加盖投标人单位公章）</w:t>
      </w:r>
    </w:p>
    <w:p w14:paraId="3163C1D9">
      <w:pPr>
        <w:pStyle w:val="7"/>
        <w:spacing w:line="360" w:lineRule="auto"/>
      </w:pPr>
      <w:r>
        <w:rPr>
          <w:rFonts w:hint="eastAsia" w:cs="宋体"/>
        </w:rPr>
        <w:t>▲4.</w:t>
      </w:r>
      <w:r>
        <w:rPr>
          <w:rFonts w:hint="eastAsia"/>
        </w:rPr>
        <w:t>9项目经理具有至少3年项目管理经验，完成至少1个及以上神经类临床研究相关临床试验经验；</w:t>
      </w:r>
      <w:r>
        <w:t>临床研究人员</w:t>
      </w:r>
      <w:r>
        <w:rPr>
          <w:rFonts w:hint="eastAsia"/>
        </w:rPr>
        <w:t>至少具有1年的监查经验。</w:t>
      </w:r>
      <w:r>
        <w:rPr>
          <w:rFonts w:hint="eastAsia"/>
          <w:b/>
        </w:rPr>
        <w:t>（提供承诺书并加盖投标人单位公章）</w:t>
      </w:r>
    </w:p>
    <w:p w14:paraId="5A557DE0">
      <w:pPr>
        <w:pStyle w:val="7"/>
        <w:spacing w:line="360" w:lineRule="auto"/>
      </w:pPr>
      <w:r>
        <w:rPr>
          <w:rFonts w:hint="eastAsia"/>
        </w:rPr>
        <w:t>4.10本项目执行期间确保项目组成员的稳定性。在整个试验过程中项目经理更换不得超过2次。如超过2次，每超过1次，视为违约，供应商须向采购人支付违约金5万元。</w:t>
      </w:r>
    </w:p>
    <w:p w14:paraId="2CE68E19">
      <w:pPr>
        <w:pStyle w:val="7"/>
        <w:spacing w:line="360" w:lineRule="auto"/>
      </w:pPr>
      <w:r>
        <w:rPr>
          <w:rFonts w:hint="eastAsia"/>
        </w:rPr>
        <w:t>4.11项目经理全职管理本临床试验项目，不得同时承担其他项目；临床试验过程中不得因为项目组任何成员工时不足影响项目质量和进度。供应商在未完成本项目入组情况下，未经采购人同意不得再承接其他申办方相同适应症的临床试验项目。</w:t>
      </w:r>
    </w:p>
    <w:p w14:paraId="43CC30AE">
      <w:pPr>
        <w:pStyle w:val="7"/>
        <w:spacing w:line="360" w:lineRule="auto"/>
      </w:pPr>
      <w:r>
        <w:rPr>
          <w:rFonts w:hint="eastAsia"/>
        </w:rPr>
        <w:t>4.12临床试验期间，供应商必须进行第三方供应商筛选，并向采购人提供供应商资质及相关资料；供应商须对第三方供应商进行管理，保证第三方供应商提供的服务与采购人项目要求相匹配、服务质量符合临床试验相关法规要求。采购人有权利对供应商与第三方供应商的合同履行情况进行监管。</w:t>
      </w:r>
    </w:p>
    <w:p w14:paraId="2E507EC5">
      <w:pPr>
        <w:pStyle w:val="7"/>
        <w:spacing w:line="360" w:lineRule="auto"/>
      </w:pPr>
      <w:r>
        <w:rPr>
          <w:rFonts w:hint="eastAsia" w:cs="宋体"/>
        </w:rPr>
        <w:t>▲4.</w:t>
      </w:r>
      <w:r>
        <w:rPr>
          <w:rFonts w:hint="eastAsia"/>
        </w:rPr>
        <w:t>14采购人有权利对供应商合同执行中实际向第三方支付的费用进行监管。</w:t>
      </w:r>
      <w:r>
        <w:rPr>
          <w:rFonts w:hint="eastAsia"/>
          <w:b/>
        </w:rPr>
        <w:t>（提供承诺书并加盖投标人单位公章）</w:t>
      </w:r>
    </w:p>
    <w:p w14:paraId="69D366B4">
      <w:r>
        <w:rPr>
          <w:rFonts w:hint="eastAsia" w:cs="宋体"/>
        </w:rPr>
        <w:t>▲4.</w:t>
      </w:r>
      <w:r>
        <w:rPr>
          <w:rFonts w:hint="eastAsia"/>
        </w:rPr>
        <w:t>15供应商项目经理或高于项目经理职位人员应每月当面向采购人汇报项目进度、质量以及其他相关事宜。对于采购人建议和要求，供应商需在12小时以内做出明确的回应。</w:t>
      </w:r>
      <w:r>
        <w:rPr>
          <w:rFonts w:hint="eastAsia"/>
          <w:b/>
        </w:rPr>
        <w:t>（提供承诺书并加盖投标人单位公章）</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13B98B"/>
    <w:multiLevelType w:val="singleLevel"/>
    <w:tmpl w:val="BB13B98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9A0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line="360" w:lineRule="auto"/>
      <w:jc w:val="center"/>
      <w:outlineLvl w:val="1"/>
    </w:pPr>
    <w:rPr>
      <w:rFonts w:ascii="宋体" w:hAnsi="宋体"/>
      <w:b/>
      <w:kern w:val="0"/>
      <w:sz w:val="2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customStyle="1" w:styleId="6">
    <w:name w:val="列出段落1"/>
    <w:basedOn w:val="1"/>
    <w:autoRedefine/>
    <w:qFormat/>
    <w:uiPriority w:val="34"/>
    <w:pPr>
      <w:ind w:firstLine="420" w:firstLineChars="200"/>
    </w:pPr>
    <w:rPr>
      <w:rFonts w:ascii="Calibri" w:hAnsi="Calibri"/>
      <w:szCs w:val="22"/>
    </w:rPr>
  </w:style>
  <w:style w:type="paragraph" w:customStyle="1" w:styleId="7">
    <w:name w:val="*正文"/>
    <w:basedOn w:val="1"/>
    <w:autoRedefine/>
    <w:qFormat/>
    <w:uiPriority w:val="0"/>
    <w:pPr>
      <w:spacing w:line="300" w:lineRule="auto"/>
      <w:ind w:firstLine="480"/>
    </w:pPr>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2026-04-27T06:38:30Z</dcterms:created>
  <dc:creator>zxhd</dc:creator>
  <cp:lastModifiedBy>周连妹</cp:lastModifiedBy>
  <dcterms:modified xsi:type="dcterms:W3CDTF">2026-04-27T06:38:32Z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eyJoZGlkIjoiMDEwZGE1MDQxZjI0MTBlMTY3ZGU0MzI3NzJmNmRmOTQiLCJ1c2VySWQiOiIyOTI2NjUzMzQifQ==</vt:lpwstr>
  </property>
  <property fmtid="{D5CDD505-2E9C-101B-9397-08002B2CF9AE}" pid="4" name="ICV">
    <vt:lpwstr>CA747F6C5DEE46B6A7A0AD086DFA86F3_12</vt:lpwstr>
  </property>
</Properties>
</file>