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highlight w:val="none"/>
        </w:rPr>
      </w:pPr>
      <w:r>
        <w:rPr>
          <w:b/>
          <w:color w:val="auto"/>
          <w:sz w:val="36"/>
          <w:szCs w:val="36"/>
          <w:highlight w:val="none"/>
        </w:rPr>
        <w:t>北京市公共资源交易平台信息系统运行维护服务（2026</w:t>
      </w:r>
      <w:r>
        <w:rPr>
          <w:rFonts w:hint="default"/>
          <w:b/>
          <w:color w:val="auto"/>
          <w:sz w:val="36"/>
          <w:szCs w:val="36"/>
          <w:highlight w:val="none"/>
        </w:rPr>
        <w:t>年度）</w:t>
      </w:r>
      <w:r>
        <w:rPr>
          <w:b/>
          <w:color w:val="auto"/>
          <w:sz w:val="36"/>
          <w:szCs w:val="36"/>
          <w:highlight w:val="none"/>
        </w:rPr>
        <w:t>采购需求</w:t>
      </w:r>
    </w:p>
    <w:p>
      <w:pPr>
        <w:spacing w:line="360" w:lineRule="auto"/>
        <w:jc w:val="center"/>
        <w:outlineLvl w:val="0"/>
        <w:rPr>
          <w:b/>
          <w:color w:val="auto"/>
          <w:sz w:val="36"/>
          <w:szCs w:val="36"/>
          <w:highlight w:val="none"/>
        </w:rPr>
      </w:pPr>
      <w:r>
        <w:rPr>
          <w:b/>
          <w:color w:val="auto"/>
          <w:sz w:val="36"/>
          <w:szCs w:val="36"/>
          <w:highlight w:val="none"/>
        </w:rPr>
        <w:t>第1包北京市公共资源交易平台信息系统信息化运维-应用和数据维护服务(2026年度)</w:t>
      </w:r>
      <w:bookmarkStart w:id="584" w:name="_GoBack"/>
      <w:bookmarkEnd w:id="584"/>
    </w:p>
    <w:p>
      <w:pPr>
        <w:numPr>
          <w:ilvl w:val="0"/>
          <w:numId w:val="1"/>
        </w:numPr>
        <w:spacing w:line="360" w:lineRule="auto"/>
        <w:ind w:left="499" w:hanging="499"/>
        <w:contextualSpacing/>
        <w:outlineLvl w:val="1"/>
        <w:rPr>
          <w:b/>
          <w:color w:val="auto"/>
          <w:sz w:val="28"/>
          <w:szCs w:val="28"/>
          <w:highlight w:val="none"/>
        </w:rPr>
      </w:pPr>
      <w:r>
        <w:rPr>
          <w:b/>
          <w:color w:val="auto"/>
          <w:sz w:val="28"/>
          <w:szCs w:val="28"/>
          <w:highlight w:val="none"/>
        </w:rPr>
        <w:t>采购标的</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1. 采购标的</w:t>
      </w:r>
    </w:p>
    <w:p>
      <w:pPr>
        <w:spacing w:line="360" w:lineRule="auto"/>
        <w:ind w:firstLine="482"/>
        <w:contextualSpacing/>
        <w:jc w:val="left"/>
        <w:rPr>
          <w:color w:val="auto"/>
          <w:sz w:val="24"/>
          <w:highlight w:val="none"/>
        </w:rPr>
      </w:pPr>
      <w:r>
        <w:rPr>
          <w:color w:val="auto"/>
          <w:sz w:val="24"/>
          <w:highlight w:val="none"/>
        </w:rPr>
        <w:t>第</w:t>
      </w:r>
      <w:r>
        <w:rPr>
          <w:rFonts w:hint="eastAsia"/>
          <w:color w:val="auto"/>
          <w:sz w:val="24"/>
          <w:highlight w:val="none"/>
        </w:rPr>
        <w:t>1</w:t>
      </w:r>
      <w:r>
        <w:rPr>
          <w:color w:val="auto"/>
          <w:sz w:val="24"/>
          <w:highlight w:val="none"/>
        </w:rPr>
        <w:t>包北京市公共资源交易平台信息系统信息化运维-应用和数据维护服务(2026年度)</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2. 项目背景/项目概述</w:t>
      </w:r>
    </w:p>
    <w:p>
      <w:pPr>
        <w:spacing w:line="360" w:lineRule="auto"/>
        <w:ind w:firstLine="482"/>
        <w:contextualSpacing/>
        <w:rPr>
          <w:color w:val="auto"/>
          <w:sz w:val="24"/>
          <w:highlight w:val="none"/>
        </w:rPr>
      </w:pPr>
      <w:r>
        <w:rPr>
          <w:color w:val="auto"/>
          <w:sz w:val="24"/>
          <w:highlight w:val="none"/>
        </w:rPr>
        <w:t>北京市公共资源交易平台信息系统由北京市公共资源交易公共服务平台、北京市公共资源交易监管平台、北京市公共资源综合交易系统、运行维护系统、应用支撑平台构成，覆盖全市所有的行政区域，服务全市的工程建设招投标、政府采购、土地使用权和矿业权出让、国有产权交易等公共资源交易和在线监管。</w:t>
      </w:r>
    </w:p>
    <w:p>
      <w:pPr>
        <w:spacing w:line="360" w:lineRule="auto"/>
        <w:ind w:firstLine="482"/>
        <w:contextualSpacing/>
        <w:rPr>
          <w:color w:val="auto"/>
          <w:sz w:val="24"/>
          <w:highlight w:val="none"/>
        </w:rPr>
      </w:pPr>
      <w:r>
        <w:rPr>
          <w:color w:val="auto"/>
          <w:sz w:val="24"/>
          <w:highlight w:val="none"/>
        </w:rPr>
        <w:t>（1）北京市公共资源交易公共服务平台</w:t>
      </w:r>
    </w:p>
    <w:p>
      <w:pPr>
        <w:spacing w:line="360" w:lineRule="auto"/>
        <w:ind w:firstLine="482"/>
        <w:contextualSpacing/>
        <w:rPr>
          <w:color w:val="auto"/>
          <w:sz w:val="24"/>
          <w:highlight w:val="none"/>
        </w:rPr>
      </w:pPr>
      <w:r>
        <w:rPr>
          <w:color w:val="auto"/>
          <w:sz w:val="24"/>
          <w:highlight w:val="none"/>
        </w:rPr>
        <w:t>全市统一的“北京市公共资源交易服务平台”，承担对全市各类交易项目统一赋码、统一信息发布和统一专家管理，基本实现市场主体统一身份认证、统一诚信管理；同时对接国家公共资源交易平台、中国招标投标公共服务平台等多个国家、市级部门的监管系统或业务系统，全面实现本市交易、专家、主体、信用、监管等各类公共资源交易信息和数据资源共享与综合利用。</w:t>
      </w:r>
    </w:p>
    <w:p>
      <w:pPr>
        <w:spacing w:line="360" w:lineRule="auto"/>
        <w:ind w:firstLine="482"/>
        <w:contextualSpacing/>
        <w:rPr>
          <w:color w:val="auto"/>
          <w:sz w:val="24"/>
          <w:highlight w:val="none"/>
        </w:rPr>
      </w:pPr>
      <w:r>
        <w:rPr>
          <w:color w:val="auto"/>
          <w:sz w:val="24"/>
          <w:highlight w:val="none"/>
        </w:rPr>
        <w:t>（2）北京市公共资源交易监管平台</w:t>
      </w:r>
    </w:p>
    <w:p>
      <w:pPr>
        <w:spacing w:line="360" w:lineRule="auto"/>
        <w:ind w:firstLine="482"/>
        <w:contextualSpacing/>
        <w:rPr>
          <w:color w:val="auto"/>
          <w:sz w:val="24"/>
          <w:highlight w:val="none"/>
        </w:rPr>
      </w:pPr>
      <w:r>
        <w:rPr>
          <w:color w:val="auto"/>
          <w:sz w:val="24"/>
          <w:highlight w:val="none"/>
        </w:rPr>
        <w:t>全市统一的公共资源交易监管平台，承担对全市公共资源交易项目的全流程电子化监管，为行政监督部门提供项目交易过程管理、动态监督、投诉举报受理和处理通道；通过与市公共服务平台和各交易系统的有效对接，实现交易数据、开评标过程音视频信息、行政处罚信息的共享与汇集；利用大数据技术，分析市场主体交易行为、专家评标行为，为交易监管提供数据支撑。</w:t>
      </w:r>
    </w:p>
    <w:p>
      <w:pPr>
        <w:spacing w:line="360" w:lineRule="auto"/>
        <w:ind w:firstLine="482"/>
        <w:contextualSpacing/>
        <w:rPr>
          <w:color w:val="auto"/>
          <w:sz w:val="24"/>
          <w:highlight w:val="none"/>
        </w:rPr>
      </w:pPr>
      <w:r>
        <w:rPr>
          <w:color w:val="auto"/>
          <w:sz w:val="24"/>
          <w:highlight w:val="none"/>
        </w:rPr>
        <w:t>（3）北京市公共资源综合交易系统</w:t>
      </w:r>
    </w:p>
    <w:p>
      <w:pPr>
        <w:spacing w:line="360" w:lineRule="auto"/>
        <w:ind w:firstLine="482"/>
        <w:contextualSpacing/>
        <w:rPr>
          <w:color w:val="auto"/>
          <w:sz w:val="24"/>
          <w:highlight w:val="none"/>
        </w:rPr>
      </w:pPr>
      <w:r>
        <w:rPr>
          <w:color w:val="auto"/>
          <w:sz w:val="24"/>
          <w:highlight w:val="none"/>
        </w:rPr>
        <w:t>北京市公共资源综合交易系统，为全市国有土地使用权出让和勘察设计、交通、水务等工程建设项目招投标活动提供全流程电子化交易支撑。</w:t>
      </w:r>
    </w:p>
    <w:p>
      <w:pPr>
        <w:spacing w:line="360" w:lineRule="auto"/>
        <w:ind w:firstLine="482"/>
        <w:contextualSpacing/>
        <w:rPr>
          <w:color w:val="auto"/>
          <w:sz w:val="24"/>
          <w:highlight w:val="none"/>
        </w:rPr>
      </w:pPr>
      <w:r>
        <w:rPr>
          <w:color w:val="auto"/>
          <w:sz w:val="24"/>
          <w:highlight w:val="none"/>
        </w:rPr>
        <w:t>（4）运行维护系统</w:t>
      </w:r>
    </w:p>
    <w:p>
      <w:pPr>
        <w:spacing w:line="360" w:lineRule="auto"/>
        <w:ind w:firstLine="482"/>
        <w:contextualSpacing/>
        <w:rPr>
          <w:color w:val="auto"/>
          <w:sz w:val="24"/>
          <w:highlight w:val="none"/>
        </w:rPr>
      </w:pPr>
      <w:r>
        <w:rPr>
          <w:color w:val="auto"/>
          <w:sz w:val="24"/>
          <w:highlight w:val="none"/>
        </w:rPr>
        <w:t>北京市公共资源交易平台运行维护系统包括用户管理、权限管理、配置管理、问题管理、日志管理、系统监控功能，可对公共资源交易平台进行集中管理和统一监控，实现运行维护管理工作的精细化、智能化，实现运行维护业务管理的制度化、规范化和流程化。</w:t>
      </w:r>
    </w:p>
    <w:p>
      <w:pPr>
        <w:spacing w:line="360" w:lineRule="auto"/>
        <w:ind w:firstLine="482"/>
        <w:contextualSpacing/>
        <w:rPr>
          <w:color w:val="auto"/>
          <w:sz w:val="24"/>
          <w:highlight w:val="none"/>
        </w:rPr>
      </w:pPr>
      <w:r>
        <w:rPr>
          <w:color w:val="auto"/>
          <w:sz w:val="24"/>
          <w:highlight w:val="none"/>
        </w:rPr>
        <w:t>（5）应用支撑平台</w:t>
      </w:r>
    </w:p>
    <w:p>
      <w:pPr>
        <w:spacing w:line="360" w:lineRule="auto"/>
        <w:ind w:firstLine="482"/>
        <w:contextualSpacing/>
        <w:rPr>
          <w:color w:val="auto"/>
          <w:sz w:val="24"/>
          <w:highlight w:val="none"/>
        </w:rPr>
      </w:pPr>
      <w:r>
        <w:rPr>
          <w:color w:val="auto"/>
          <w:sz w:val="24"/>
          <w:highlight w:val="none"/>
        </w:rPr>
        <w:t>应用支撑平台主要包括数据交换、用户身份统一数字认证、报表服务、工作流服务、全文检索、任务调度、日志管理、视频监控、短信平台、统计分析功能。</w:t>
      </w:r>
    </w:p>
    <w:p>
      <w:pPr>
        <w:numPr>
          <w:ilvl w:val="0"/>
          <w:numId w:val="1"/>
        </w:numPr>
        <w:spacing w:line="360" w:lineRule="auto"/>
        <w:ind w:left="499" w:hanging="499"/>
        <w:contextualSpacing/>
        <w:outlineLvl w:val="1"/>
        <w:rPr>
          <w:b/>
          <w:color w:val="auto"/>
          <w:sz w:val="28"/>
          <w:szCs w:val="28"/>
          <w:highlight w:val="none"/>
        </w:rPr>
      </w:pPr>
      <w:r>
        <w:rPr>
          <w:b/>
          <w:color w:val="auto"/>
          <w:sz w:val="28"/>
          <w:szCs w:val="28"/>
          <w:highlight w:val="none"/>
        </w:rPr>
        <w:t>商务要求</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1. 交付（实施）的时间（期限）和地点（范围）</w:t>
      </w:r>
    </w:p>
    <w:p>
      <w:pPr>
        <w:autoSpaceDE w:val="0"/>
        <w:autoSpaceDN w:val="0"/>
        <w:adjustRightInd w:val="0"/>
        <w:spacing w:line="360" w:lineRule="auto"/>
        <w:ind w:firstLine="420"/>
        <w:jc w:val="left"/>
        <w:rPr>
          <w:color w:val="auto"/>
          <w:sz w:val="24"/>
          <w:highlight w:val="none"/>
        </w:rPr>
      </w:pPr>
      <w:r>
        <w:rPr>
          <w:color w:val="auto"/>
          <w:sz w:val="24"/>
          <w:highlight w:val="none"/>
        </w:rPr>
        <w:t>本项目运维周期为：2026年5月1日至2027年4月30日</w:t>
      </w:r>
    </w:p>
    <w:p>
      <w:pPr>
        <w:autoSpaceDE w:val="0"/>
        <w:autoSpaceDN w:val="0"/>
        <w:adjustRightInd w:val="0"/>
        <w:spacing w:line="360" w:lineRule="auto"/>
        <w:ind w:firstLine="420"/>
        <w:jc w:val="left"/>
        <w:rPr>
          <w:color w:val="auto"/>
          <w:sz w:val="24"/>
          <w:highlight w:val="none"/>
        </w:rPr>
      </w:pPr>
      <w:r>
        <w:rPr>
          <w:color w:val="auto"/>
          <w:sz w:val="24"/>
          <w:highlight w:val="none"/>
        </w:rPr>
        <w:t>本项目实施地点：采购人指定地点</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2. 付款条件（进度和方式）</w:t>
      </w:r>
    </w:p>
    <w:p>
      <w:pPr>
        <w:autoSpaceDE w:val="0"/>
        <w:autoSpaceDN w:val="0"/>
        <w:adjustRightInd w:val="0"/>
        <w:spacing w:line="360" w:lineRule="auto"/>
        <w:ind w:firstLine="420"/>
        <w:jc w:val="left"/>
        <w:rPr>
          <w:color w:val="auto"/>
          <w:sz w:val="24"/>
          <w:highlight w:val="none"/>
        </w:rPr>
      </w:pPr>
      <w:r>
        <w:rPr>
          <w:color w:val="auto"/>
          <w:sz w:val="24"/>
          <w:highlight w:val="none"/>
        </w:rPr>
        <w:t>（1）本合同签署生效且财政资金拨付到位后，于2026年6月30日前，采购人向中标人支付本合同首款，为合同总价格的50%，计人民币（大写）：     （￥       元）；</w:t>
      </w:r>
    </w:p>
    <w:p>
      <w:pPr>
        <w:autoSpaceDE w:val="0"/>
        <w:autoSpaceDN w:val="0"/>
        <w:adjustRightInd w:val="0"/>
        <w:spacing w:line="360" w:lineRule="auto"/>
        <w:ind w:firstLine="420"/>
        <w:jc w:val="left"/>
        <w:rPr>
          <w:color w:val="auto"/>
          <w:sz w:val="24"/>
          <w:highlight w:val="none"/>
        </w:rPr>
      </w:pPr>
      <w:r>
        <w:rPr>
          <w:color w:val="auto"/>
          <w:sz w:val="24"/>
          <w:highlight w:val="none"/>
        </w:rPr>
        <w:t>（2）中标人按合同要求完成相应工作并经采购人阶段性验收通过后，于2026年12月30日前，采购人向乙方支付本合同中期款，为合同总价格的16.67%，计人民币（大写）：    元（￥    元）；</w:t>
      </w:r>
    </w:p>
    <w:p>
      <w:pPr>
        <w:autoSpaceDE w:val="0"/>
        <w:autoSpaceDN w:val="0"/>
        <w:adjustRightInd w:val="0"/>
        <w:spacing w:line="360" w:lineRule="auto"/>
        <w:jc w:val="left"/>
        <w:rPr>
          <w:color w:val="auto"/>
          <w:highlight w:val="none"/>
        </w:rPr>
      </w:pPr>
      <w:r>
        <w:rPr>
          <w:color w:val="auto"/>
          <w:sz w:val="24"/>
          <w:highlight w:val="none"/>
        </w:rPr>
        <w:t>（3）中标人按合同要求完成全部工作并经采购人验收通过，且2027年财政资金拨付到位后，于2027年6月30日前，采购人向乙方支付本合同尾款，本合同总价格的33.33%，计人民币（大写）：    元（￥    元）。</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3. 类似业绩</w:t>
      </w:r>
    </w:p>
    <w:p>
      <w:pPr>
        <w:autoSpaceDE w:val="0"/>
        <w:autoSpaceDN w:val="0"/>
        <w:adjustRightInd w:val="0"/>
        <w:spacing w:line="360" w:lineRule="auto"/>
        <w:ind w:firstLine="420"/>
        <w:jc w:val="left"/>
        <w:rPr>
          <w:color w:val="auto"/>
          <w:sz w:val="24"/>
          <w:highlight w:val="none"/>
        </w:rPr>
      </w:pPr>
      <w:r>
        <w:rPr>
          <w:color w:val="auto"/>
          <w:sz w:val="24"/>
          <w:highlight w:val="none"/>
        </w:rPr>
        <w:t>投标人近三年内（2023年4月1日起至投标文件递交截止时间，以合同签订日期为准）承担过类似信息化建设项目或运维项目证明材料，以提供的合同复印件为准，要求必须提供项目名称页、主要内容页、金额所在页、签字盖章页复印件作为证明。</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4.企业能力要求</w:t>
      </w:r>
    </w:p>
    <w:p>
      <w:pPr>
        <w:pStyle w:val="6"/>
        <w:spacing w:line="360" w:lineRule="auto"/>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投标人具有有效的质量管理体系认证证书、信息安全管理体系认证证书、信息技术服务管理体系认证证书。</w:t>
      </w:r>
    </w:p>
    <w:p>
      <w:pPr>
        <w:pStyle w:val="6"/>
        <w:spacing w:line="360" w:lineRule="auto"/>
        <w:ind w:firstLine="566" w:firstLineChars="236"/>
        <w:rPr>
          <w:rFonts w:ascii="Times New Roman" w:hAnsi="Times New Roman"/>
          <w:color w:val="auto"/>
          <w:highlight w:val="none"/>
        </w:rPr>
      </w:pPr>
      <w:r>
        <w:rPr>
          <w:rFonts w:ascii="Times New Roman" w:hAnsi="Times New Roman"/>
          <w:color w:val="auto"/>
          <w:sz w:val="24"/>
          <w:szCs w:val="24"/>
          <w:highlight w:val="none"/>
        </w:rPr>
        <w:t>注：须提供证书及一年内监督审核证明复印件或扫描件(新办证书不用提供年度监督审核证明) ，（或提供全国认证认可公共服务平台查询结果为“有效”信息，提供截图）。</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5. 人员要求</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本项目由市公共资源交易中心主导组建运维团队，统一组织协调系统运行中的日常事务，牵头制订系统运维的各项规章制度。</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运维团队按照各项规章制度执行运维工作，负责运维管理工作，开展日常巡检和基础维护、功能维护和应急处置，做好重点时期保障工作。</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运行维护织机构根据工作内容的不同分为：运维管理组、巡检服务组、日常维护组、技术支持组、应急支持组。</w:t>
      </w:r>
    </w:p>
    <w:p>
      <w:pPr>
        <w:spacing w:line="360" w:lineRule="auto"/>
        <w:ind w:firstLine="640"/>
        <w:rPr>
          <w:color w:val="auto"/>
          <w:highlight w:val="none"/>
        </w:rPr>
      </w:pPr>
      <w:r>
        <w:rPr>
          <w:color w:val="auto"/>
          <w:highlight w:val="none"/>
        </w:rPr>
        <w:drawing>
          <wp:inline distT="0" distB="0" distL="114300" distR="114300">
            <wp:extent cx="4477385" cy="1463040"/>
            <wp:effectExtent l="6350" t="0" r="88265" b="0"/>
            <wp:docPr id="1" name="图示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本运维项目中涉及运维项目经理、运维工程师、技术支持工程师、测试工程师等。</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根据本项目实际需求，采用驻场技术服务和后台技术支持服务团队结合的方式，需要至少安排8名驻场服务人员，其中2名驻场人员专职负责数据统计分析任务。</w:t>
      </w:r>
    </w:p>
    <w:p>
      <w:pPr>
        <w:widowControl/>
        <w:adjustRightInd w:val="0"/>
        <w:snapToGrid w:val="0"/>
        <w:spacing w:line="360" w:lineRule="auto"/>
        <w:ind w:firstLine="480" w:firstLineChars="200"/>
        <w:rPr>
          <w:color w:val="auto"/>
          <w:kern w:val="0"/>
          <w:highlight w:val="none"/>
        </w:rPr>
      </w:pPr>
      <w:r>
        <w:rPr>
          <w:color w:val="auto"/>
          <w:kern w:val="0"/>
          <w:sz w:val="24"/>
          <w:highlight w:val="none"/>
        </w:rPr>
        <w:t>项目团队需明确项目经理、技术负责人，其中：</w:t>
      </w:r>
    </w:p>
    <w:p>
      <w:pPr>
        <w:widowControl/>
        <w:adjustRightInd w:val="0"/>
        <w:snapToGrid w:val="0"/>
        <w:spacing w:line="360" w:lineRule="auto"/>
        <w:ind w:firstLine="480" w:firstLineChars="200"/>
        <w:rPr>
          <w:color w:val="auto"/>
          <w:kern w:val="0"/>
          <w:highlight w:val="none"/>
        </w:rPr>
      </w:pPr>
      <w:r>
        <w:rPr>
          <w:color w:val="auto"/>
          <w:kern w:val="0"/>
          <w:sz w:val="24"/>
          <w:highlight w:val="none"/>
        </w:rPr>
        <w:t>（1）项目经理需具备信息系统项目管理师证书；</w:t>
      </w:r>
    </w:p>
    <w:p>
      <w:pPr>
        <w:widowControl/>
        <w:adjustRightInd w:val="0"/>
        <w:snapToGrid w:val="0"/>
        <w:spacing w:line="360" w:lineRule="auto"/>
        <w:ind w:firstLine="480" w:firstLineChars="200"/>
        <w:rPr>
          <w:color w:val="auto"/>
          <w:kern w:val="0"/>
          <w:highlight w:val="none"/>
        </w:rPr>
      </w:pPr>
      <w:r>
        <w:rPr>
          <w:color w:val="auto"/>
          <w:kern w:val="0"/>
          <w:sz w:val="24"/>
          <w:highlight w:val="none"/>
        </w:rPr>
        <w:t>（2）技术负责人需同时具备系统分析师证书、系统架构设计师证书；</w:t>
      </w:r>
    </w:p>
    <w:p>
      <w:pPr>
        <w:ind w:firstLine="480" w:firstLineChars="200"/>
        <w:rPr>
          <w:color w:val="auto"/>
          <w:highlight w:val="none"/>
        </w:rPr>
      </w:pPr>
      <w:r>
        <w:rPr>
          <w:color w:val="auto"/>
          <w:kern w:val="0"/>
          <w:sz w:val="24"/>
          <w:highlight w:val="none"/>
        </w:rPr>
        <w:t>（3）其余拟派团队人具有计算机类专业技术资格</w:t>
      </w:r>
      <w:r>
        <w:rPr>
          <w:rFonts w:hint="eastAsia"/>
          <w:color w:val="auto"/>
          <w:kern w:val="0"/>
          <w:sz w:val="24"/>
          <w:highlight w:val="none"/>
        </w:rPr>
        <w:t>中、高</w:t>
      </w:r>
      <w:r>
        <w:rPr>
          <w:color w:val="auto"/>
          <w:kern w:val="0"/>
          <w:sz w:val="24"/>
          <w:highlight w:val="none"/>
        </w:rPr>
        <w:t>证书。</w:t>
      </w:r>
    </w:p>
    <w:p>
      <w:pPr>
        <w:widowControl/>
        <w:adjustRightInd w:val="0"/>
        <w:snapToGrid w:val="0"/>
        <w:spacing w:line="360" w:lineRule="auto"/>
        <w:ind w:firstLine="720" w:firstLineChars="300"/>
        <w:rPr>
          <w:color w:val="auto"/>
          <w:kern w:val="0"/>
          <w:sz w:val="24"/>
          <w:highlight w:val="none"/>
        </w:rPr>
      </w:pPr>
      <w:r>
        <w:rPr>
          <w:color w:val="auto"/>
          <w:kern w:val="0"/>
          <w:sz w:val="24"/>
          <w:highlight w:val="none"/>
        </w:rPr>
        <w:t>团队人员需提供个人在职证明（加盖投标人公章的合同或承诺函）、证书复印件。</w:t>
      </w:r>
    </w:p>
    <w:p>
      <w:pPr>
        <w:rPr>
          <w:color w:val="auto"/>
          <w:highlight w:val="none"/>
        </w:rPr>
      </w:pPr>
    </w:p>
    <w:p>
      <w:pPr>
        <w:numPr>
          <w:ilvl w:val="0"/>
          <w:numId w:val="1"/>
        </w:numPr>
        <w:spacing w:line="360" w:lineRule="auto"/>
        <w:ind w:left="499" w:hanging="499"/>
        <w:contextualSpacing/>
        <w:outlineLvl w:val="1"/>
        <w:rPr>
          <w:b/>
          <w:color w:val="auto"/>
          <w:sz w:val="28"/>
          <w:szCs w:val="28"/>
          <w:highlight w:val="none"/>
        </w:rPr>
      </w:pPr>
      <w:r>
        <w:rPr>
          <w:b/>
          <w:color w:val="auto"/>
          <w:sz w:val="28"/>
          <w:szCs w:val="28"/>
          <w:highlight w:val="none"/>
        </w:rPr>
        <w:t>技术要求</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1. 基本要求</w:t>
      </w:r>
    </w:p>
    <w:p>
      <w:pPr>
        <w:autoSpaceDE w:val="0"/>
        <w:autoSpaceDN w:val="0"/>
        <w:adjustRightInd w:val="0"/>
        <w:spacing w:line="360" w:lineRule="auto"/>
        <w:ind w:firstLine="420"/>
        <w:jc w:val="left"/>
        <w:rPr>
          <w:color w:val="auto"/>
          <w:sz w:val="24"/>
          <w:highlight w:val="none"/>
        </w:rPr>
      </w:pPr>
      <w:r>
        <w:rPr>
          <w:color w:val="auto"/>
          <w:sz w:val="24"/>
          <w:highlight w:val="none"/>
        </w:rPr>
        <w:t>保障北京市公共资源交易平台信息系统的安全可靠运行，</w:t>
      </w:r>
      <w:r>
        <w:rPr>
          <w:bCs/>
          <w:color w:val="auto"/>
          <w:kern w:val="0"/>
          <w:sz w:val="24"/>
          <w:highlight w:val="none"/>
        </w:rPr>
        <w:t>对北京市公共资源交易平台信息系统所涉及的中间件、第三方组件、应用软件系统及与自管机房有关的网络、服务器、操作系统、数据库，承担日常巡检、基础维护、功能维护、应急处置、重点时期保障以及运维管理工作。</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2. 服务内容及要求</w:t>
      </w:r>
    </w:p>
    <w:p>
      <w:pPr>
        <w:keepNext/>
        <w:keepLines/>
        <w:adjustRightInd w:val="0"/>
        <w:spacing w:before="280" w:after="290" w:line="376" w:lineRule="atLeast"/>
        <w:textAlignment w:val="baseline"/>
        <w:outlineLvl w:val="3"/>
        <w:rPr>
          <w:b/>
          <w:color w:val="auto"/>
          <w:kern w:val="0"/>
          <w:sz w:val="28"/>
          <w:szCs w:val="20"/>
          <w:highlight w:val="none"/>
        </w:rPr>
      </w:pPr>
      <w:bookmarkStart w:id="0" w:name="_Toc59115820"/>
      <w:r>
        <w:rPr>
          <w:b/>
          <w:color w:val="auto"/>
          <w:kern w:val="0"/>
          <w:sz w:val="28"/>
          <w:szCs w:val="20"/>
          <w:highlight w:val="none"/>
        </w:rPr>
        <w:t>2.1运维范围</w:t>
      </w:r>
      <w:bookmarkEnd w:id="0"/>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本项目部署在市级政务云，以租用云服务商服务方式解决网络基础设施、服务器计算和存储资源，以及网络安全防护、主机防病毒服务需求。</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本项目运维单位运维范围包括：系统网络策略、服务器、操作系统、数据库、中间件、第三方组件、应用系统，详细情况见下表。</w:t>
      </w:r>
    </w:p>
    <w:tbl>
      <w:tblPr>
        <w:tblStyle w:val="4"/>
        <w:tblW w:w="90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5267"/>
        <w:gridCol w:w="1238"/>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32" w:type="dxa"/>
            <w:noWrap w:val="0"/>
            <w:vAlign w:val="center"/>
          </w:tcPr>
          <w:p>
            <w:pPr>
              <w:jc w:val="center"/>
              <w:rPr>
                <w:b/>
                <w:color w:val="auto"/>
                <w:szCs w:val="21"/>
                <w:highlight w:val="none"/>
              </w:rPr>
            </w:pPr>
            <w:r>
              <w:rPr>
                <w:b/>
                <w:color w:val="auto"/>
                <w:szCs w:val="21"/>
                <w:highlight w:val="none"/>
              </w:rPr>
              <w:t>序号</w:t>
            </w:r>
          </w:p>
        </w:tc>
        <w:tc>
          <w:tcPr>
            <w:tcW w:w="5267" w:type="dxa"/>
            <w:noWrap w:val="0"/>
            <w:vAlign w:val="center"/>
          </w:tcPr>
          <w:p>
            <w:pPr>
              <w:jc w:val="center"/>
              <w:rPr>
                <w:b/>
                <w:color w:val="auto"/>
                <w:szCs w:val="21"/>
                <w:highlight w:val="none"/>
              </w:rPr>
            </w:pPr>
            <w:r>
              <w:rPr>
                <w:b/>
                <w:color w:val="auto"/>
                <w:szCs w:val="21"/>
                <w:highlight w:val="none"/>
              </w:rPr>
              <w:t>名称</w:t>
            </w:r>
          </w:p>
        </w:tc>
        <w:tc>
          <w:tcPr>
            <w:tcW w:w="1238" w:type="dxa"/>
            <w:noWrap w:val="0"/>
            <w:vAlign w:val="center"/>
          </w:tcPr>
          <w:p>
            <w:pPr>
              <w:jc w:val="center"/>
              <w:rPr>
                <w:b/>
                <w:color w:val="auto"/>
                <w:szCs w:val="21"/>
                <w:highlight w:val="none"/>
              </w:rPr>
            </w:pPr>
            <w:r>
              <w:rPr>
                <w:b/>
                <w:color w:val="auto"/>
                <w:szCs w:val="21"/>
                <w:highlight w:val="none"/>
              </w:rPr>
              <w:t>数量</w:t>
            </w:r>
          </w:p>
        </w:tc>
        <w:tc>
          <w:tcPr>
            <w:tcW w:w="1325" w:type="dxa"/>
            <w:noWrap w:val="0"/>
            <w:vAlign w:val="center"/>
          </w:tcPr>
          <w:p>
            <w:pPr>
              <w:jc w:val="center"/>
              <w:rPr>
                <w:b/>
                <w:color w:val="auto"/>
                <w:szCs w:val="21"/>
                <w:highlight w:val="none"/>
              </w:rPr>
            </w:pPr>
            <w:r>
              <w:rPr>
                <w:b/>
                <w:color w:val="auto"/>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top"/>
          </w:tcPr>
          <w:p>
            <w:pPr>
              <w:jc w:val="center"/>
              <w:rPr>
                <w:b/>
                <w:color w:val="auto"/>
                <w:szCs w:val="21"/>
                <w:highlight w:val="none"/>
              </w:rPr>
            </w:pPr>
            <w:r>
              <w:rPr>
                <w:b/>
                <w:color w:val="auto"/>
                <w:szCs w:val="21"/>
                <w:highlight w:val="none"/>
              </w:rPr>
              <w:t>一</w:t>
            </w:r>
          </w:p>
        </w:tc>
        <w:tc>
          <w:tcPr>
            <w:tcW w:w="7830" w:type="dxa"/>
            <w:gridSpan w:val="3"/>
            <w:tcBorders>
              <w:top w:val="nil"/>
              <w:bottom w:val="nil"/>
            </w:tcBorders>
            <w:noWrap w:val="0"/>
            <w:vAlign w:val="top"/>
          </w:tcPr>
          <w:p>
            <w:pPr>
              <w:widowControl/>
              <w:jc w:val="left"/>
              <w:rPr>
                <w:b/>
                <w:color w:val="auto"/>
                <w:szCs w:val="21"/>
                <w:highlight w:val="none"/>
              </w:rPr>
            </w:pPr>
            <w:r>
              <w:rPr>
                <w:b/>
                <w:color w:val="auto"/>
                <w:szCs w:val="21"/>
                <w:highlight w:val="none"/>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2"/>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物理服务器</w:t>
            </w:r>
          </w:p>
        </w:tc>
        <w:tc>
          <w:tcPr>
            <w:tcW w:w="1238" w:type="dxa"/>
            <w:noWrap w:val="0"/>
            <w:vAlign w:val="center"/>
          </w:tcPr>
          <w:p>
            <w:pPr>
              <w:spacing w:line="276" w:lineRule="auto"/>
              <w:jc w:val="center"/>
              <w:rPr>
                <w:color w:val="auto"/>
                <w:szCs w:val="21"/>
                <w:highlight w:val="none"/>
              </w:rPr>
            </w:pPr>
            <w:r>
              <w:rPr>
                <w:color w:val="auto"/>
                <w:szCs w:val="21"/>
                <w:highlight w:val="none"/>
              </w:rPr>
              <w:t>25</w:t>
            </w:r>
          </w:p>
        </w:tc>
        <w:tc>
          <w:tcPr>
            <w:tcW w:w="1325" w:type="dxa"/>
            <w:noWrap w:val="0"/>
            <w:vAlign w:val="center"/>
          </w:tcPr>
          <w:p>
            <w:pPr>
              <w:spacing w:line="276" w:lineRule="auto"/>
              <w:jc w:val="center"/>
              <w:rPr>
                <w:color w:val="auto"/>
                <w:szCs w:val="21"/>
                <w:highlight w:val="none"/>
              </w:rPr>
            </w:pPr>
            <w:r>
              <w:rPr>
                <w:color w:val="auto"/>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spacing w:line="276" w:lineRule="auto"/>
              <w:jc w:val="center"/>
              <w:rPr>
                <w:b/>
                <w:color w:val="auto"/>
                <w:szCs w:val="21"/>
                <w:highlight w:val="none"/>
              </w:rPr>
            </w:pPr>
            <w:r>
              <w:rPr>
                <w:b/>
                <w:color w:val="auto"/>
                <w:szCs w:val="21"/>
                <w:highlight w:val="none"/>
              </w:rPr>
              <w:t>二</w:t>
            </w:r>
          </w:p>
        </w:tc>
        <w:tc>
          <w:tcPr>
            <w:tcW w:w="7830" w:type="dxa"/>
            <w:gridSpan w:val="3"/>
            <w:tcBorders>
              <w:top w:val="nil"/>
              <w:bottom w:val="nil"/>
            </w:tcBorders>
            <w:noWrap w:val="0"/>
            <w:vAlign w:val="top"/>
          </w:tcPr>
          <w:p>
            <w:pPr>
              <w:widowControl/>
              <w:jc w:val="left"/>
              <w:rPr>
                <w:color w:val="auto"/>
                <w:szCs w:val="21"/>
                <w:highlight w:val="none"/>
              </w:rPr>
            </w:pPr>
            <w:r>
              <w:rPr>
                <w:b/>
                <w:color w:val="auto"/>
                <w:szCs w:val="21"/>
                <w:highlight w:val="none"/>
              </w:rPr>
              <w:t>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3"/>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Windows Server</w:t>
            </w:r>
          </w:p>
        </w:tc>
        <w:tc>
          <w:tcPr>
            <w:tcW w:w="1238" w:type="dxa"/>
            <w:noWrap w:val="0"/>
            <w:vAlign w:val="center"/>
          </w:tcPr>
          <w:p>
            <w:pPr>
              <w:spacing w:line="276" w:lineRule="auto"/>
              <w:jc w:val="center"/>
              <w:rPr>
                <w:color w:val="auto"/>
                <w:szCs w:val="21"/>
                <w:highlight w:val="none"/>
              </w:rPr>
            </w:pPr>
            <w:r>
              <w:rPr>
                <w:color w:val="auto"/>
                <w:szCs w:val="21"/>
                <w:highlight w:val="none"/>
              </w:rPr>
              <w:t>25</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2" w:type="dxa"/>
            <w:noWrap w:val="0"/>
            <w:vAlign w:val="center"/>
          </w:tcPr>
          <w:p>
            <w:pPr>
              <w:spacing w:line="276" w:lineRule="auto"/>
              <w:jc w:val="center"/>
              <w:rPr>
                <w:b/>
                <w:color w:val="auto"/>
                <w:szCs w:val="21"/>
                <w:highlight w:val="none"/>
              </w:rPr>
            </w:pPr>
            <w:r>
              <w:rPr>
                <w:b/>
                <w:color w:val="auto"/>
                <w:szCs w:val="21"/>
                <w:highlight w:val="none"/>
              </w:rPr>
              <w:t>三</w:t>
            </w:r>
          </w:p>
        </w:tc>
        <w:tc>
          <w:tcPr>
            <w:tcW w:w="7830" w:type="dxa"/>
            <w:gridSpan w:val="3"/>
            <w:tcBorders>
              <w:top w:val="nil"/>
              <w:bottom w:val="nil"/>
            </w:tcBorders>
            <w:noWrap w:val="0"/>
            <w:vAlign w:val="top"/>
          </w:tcPr>
          <w:p>
            <w:pPr>
              <w:widowControl/>
              <w:jc w:val="left"/>
              <w:rPr>
                <w:color w:val="auto"/>
                <w:szCs w:val="21"/>
                <w:highlight w:val="none"/>
              </w:rPr>
            </w:pPr>
            <w:r>
              <w:rPr>
                <w:b/>
                <w:color w:val="auto"/>
                <w:szCs w:val="21"/>
                <w:highlight w:val="none"/>
              </w:rPr>
              <w:t>数据库系统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4"/>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SQL Server</w:t>
            </w:r>
          </w:p>
        </w:tc>
        <w:tc>
          <w:tcPr>
            <w:tcW w:w="1238" w:type="dxa"/>
            <w:noWrap w:val="0"/>
            <w:vAlign w:val="center"/>
          </w:tcPr>
          <w:p>
            <w:pPr>
              <w:spacing w:line="276" w:lineRule="auto"/>
              <w:jc w:val="center"/>
              <w:rPr>
                <w:color w:val="auto"/>
                <w:szCs w:val="21"/>
                <w:highlight w:val="none"/>
              </w:rPr>
            </w:pPr>
            <w:r>
              <w:rPr>
                <w:color w:val="auto"/>
                <w:szCs w:val="21"/>
                <w:highlight w:val="none"/>
              </w:rPr>
              <w:t>19</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spacing w:line="276" w:lineRule="auto"/>
              <w:jc w:val="center"/>
              <w:rPr>
                <w:b/>
                <w:color w:val="auto"/>
                <w:szCs w:val="21"/>
                <w:highlight w:val="none"/>
              </w:rPr>
            </w:pPr>
            <w:r>
              <w:rPr>
                <w:b/>
                <w:color w:val="auto"/>
                <w:szCs w:val="21"/>
                <w:highlight w:val="none"/>
              </w:rPr>
              <w:t>四</w:t>
            </w:r>
          </w:p>
        </w:tc>
        <w:tc>
          <w:tcPr>
            <w:tcW w:w="7830" w:type="dxa"/>
            <w:gridSpan w:val="3"/>
            <w:noWrap w:val="0"/>
            <w:vAlign w:val="center"/>
          </w:tcPr>
          <w:p>
            <w:pPr>
              <w:spacing w:line="276" w:lineRule="auto"/>
              <w:jc w:val="left"/>
              <w:rPr>
                <w:b/>
                <w:color w:val="auto"/>
                <w:szCs w:val="21"/>
                <w:highlight w:val="none"/>
              </w:rPr>
            </w:pPr>
            <w:r>
              <w:rPr>
                <w:b/>
                <w:color w:val="auto"/>
                <w:szCs w:val="21"/>
                <w:highlight w:val="none"/>
              </w:rPr>
              <w:t>网络子域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5"/>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综合交易分平台开评标服务区</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spacing w:line="276" w:lineRule="auto"/>
              <w:jc w:val="center"/>
              <w:rPr>
                <w:b/>
                <w:color w:val="auto"/>
                <w:szCs w:val="21"/>
                <w:highlight w:val="none"/>
              </w:rPr>
            </w:pPr>
            <w:r>
              <w:rPr>
                <w:b/>
                <w:color w:val="auto"/>
                <w:szCs w:val="21"/>
                <w:highlight w:val="none"/>
              </w:rPr>
              <w:t>五</w:t>
            </w:r>
          </w:p>
        </w:tc>
        <w:tc>
          <w:tcPr>
            <w:tcW w:w="7830" w:type="dxa"/>
            <w:gridSpan w:val="3"/>
            <w:noWrap w:val="0"/>
            <w:vAlign w:val="center"/>
          </w:tcPr>
          <w:p>
            <w:pPr>
              <w:spacing w:line="276" w:lineRule="auto"/>
              <w:jc w:val="left"/>
              <w:rPr>
                <w:color w:val="auto"/>
                <w:szCs w:val="21"/>
                <w:highlight w:val="none"/>
              </w:rPr>
            </w:pPr>
            <w:r>
              <w:rPr>
                <w:b/>
                <w:color w:val="auto"/>
                <w:szCs w:val="21"/>
                <w:highlight w:val="none"/>
              </w:rPr>
              <w:t>中间件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Nginx</w:t>
            </w:r>
          </w:p>
        </w:tc>
        <w:tc>
          <w:tcPr>
            <w:tcW w:w="1238" w:type="dxa"/>
            <w:noWrap w:val="0"/>
            <w:vAlign w:val="center"/>
          </w:tcPr>
          <w:p>
            <w:pPr>
              <w:spacing w:line="276" w:lineRule="auto"/>
              <w:jc w:val="center"/>
              <w:rPr>
                <w:color w:val="auto"/>
                <w:szCs w:val="21"/>
                <w:highlight w:val="none"/>
              </w:rPr>
            </w:pPr>
            <w:r>
              <w:rPr>
                <w:color w:val="auto"/>
                <w:szCs w:val="21"/>
                <w:highlight w:val="none"/>
              </w:rPr>
              <w:t>21</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TongWeb</w:t>
            </w:r>
          </w:p>
        </w:tc>
        <w:tc>
          <w:tcPr>
            <w:tcW w:w="1238" w:type="dxa"/>
            <w:noWrap w:val="0"/>
            <w:vAlign w:val="center"/>
          </w:tcPr>
          <w:p>
            <w:pPr>
              <w:spacing w:line="276" w:lineRule="auto"/>
              <w:jc w:val="center"/>
              <w:rPr>
                <w:color w:val="auto"/>
                <w:szCs w:val="21"/>
                <w:highlight w:val="none"/>
              </w:rPr>
            </w:pPr>
            <w:r>
              <w:rPr>
                <w:color w:val="auto"/>
                <w:szCs w:val="21"/>
                <w:highlight w:val="none"/>
              </w:rPr>
              <w:t>33</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ElasticSearch</w:t>
            </w:r>
          </w:p>
        </w:tc>
        <w:tc>
          <w:tcPr>
            <w:tcW w:w="1238" w:type="dxa"/>
            <w:noWrap w:val="0"/>
            <w:vAlign w:val="center"/>
          </w:tcPr>
          <w:p>
            <w:pPr>
              <w:spacing w:line="276" w:lineRule="auto"/>
              <w:jc w:val="center"/>
              <w:rPr>
                <w:color w:val="auto"/>
                <w:szCs w:val="21"/>
                <w:highlight w:val="none"/>
              </w:rPr>
            </w:pPr>
            <w:r>
              <w:rPr>
                <w:color w:val="auto"/>
                <w:szCs w:val="21"/>
                <w:highlight w:val="none"/>
              </w:rPr>
              <w:t>4</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Tomcat</w:t>
            </w:r>
          </w:p>
        </w:tc>
        <w:tc>
          <w:tcPr>
            <w:tcW w:w="1238" w:type="dxa"/>
            <w:noWrap w:val="0"/>
            <w:vAlign w:val="center"/>
          </w:tcPr>
          <w:p>
            <w:pPr>
              <w:spacing w:line="276" w:lineRule="auto"/>
              <w:jc w:val="center"/>
              <w:rPr>
                <w:color w:val="auto"/>
                <w:szCs w:val="21"/>
                <w:highlight w:val="none"/>
              </w:rPr>
            </w:pPr>
            <w:r>
              <w:rPr>
                <w:color w:val="auto"/>
                <w:szCs w:val="21"/>
                <w:highlight w:val="none"/>
              </w:rPr>
              <w:t>6</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Apache</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ELK</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Redis</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IIS</w:t>
            </w:r>
          </w:p>
        </w:tc>
        <w:tc>
          <w:tcPr>
            <w:tcW w:w="1238" w:type="dxa"/>
            <w:noWrap w:val="0"/>
            <w:vAlign w:val="center"/>
          </w:tcPr>
          <w:p>
            <w:pPr>
              <w:spacing w:line="276" w:lineRule="auto"/>
              <w:jc w:val="center"/>
              <w:rPr>
                <w:color w:val="auto"/>
                <w:szCs w:val="21"/>
                <w:highlight w:val="none"/>
              </w:rPr>
            </w:pPr>
            <w:r>
              <w:rPr>
                <w:color w:val="auto"/>
                <w:szCs w:val="21"/>
                <w:highlight w:val="none"/>
              </w:rPr>
              <w:t>24</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6"/>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Spark</w:t>
            </w:r>
          </w:p>
        </w:tc>
        <w:tc>
          <w:tcPr>
            <w:tcW w:w="1238" w:type="dxa"/>
            <w:noWrap w:val="0"/>
            <w:vAlign w:val="center"/>
          </w:tcPr>
          <w:p>
            <w:pPr>
              <w:spacing w:line="276" w:lineRule="auto"/>
              <w:jc w:val="center"/>
              <w:rPr>
                <w:color w:val="auto"/>
                <w:szCs w:val="21"/>
                <w:highlight w:val="none"/>
              </w:rPr>
            </w:pPr>
            <w:r>
              <w:rPr>
                <w:color w:val="auto"/>
                <w:szCs w:val="21"/>
                <w:highlight w:val="none"/>
              </w:rPr>
              <w:t>7</w:t>
            </w:r>
          </w:p>
        </w:tc>
        <w:tc>
          <w:tcPr>
            <w:tcW w:w="1325" w:type="dxa"/>
            <w:noWrap w:val="0"/>
            <w:vAlign w:val="top"/>
          </w:tcPr>
          <w:p>
            <w:pPr>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spacing w:line="276" w:lineRule="auto"/>
              <w:jc w:val="center"/>
              <w:rPr>
                <w:b/>
                <w:color w:val="auto"/>
                <w:szCs w:val="21"/>
                <w:highlight w:val="none"/>
              </w:rPr>
            </w:pPr>
            <w:r>
              <w:rPr>
                <w:b/>
                <w:color w:val="auto"/>
                <w:szCs w:val="21"/>
                <w:highlight w:val="none"/>
              </w:rPr>
              <w:t>六</w:t>
            </w:r>
          </w:p>
        </w:tc>
        <w:tc>
          <w:tcPr>
            <w:tcW w:w="7830" w:type="dxa"/>
            <w:gridSpan w:val="3"/>
            <w:noWrap w:val="0"/>
            <w:vAlign w:val="center"/>
          </w:tcPr>
          <w:p>
            <w:pPr>
              <w:spacing w:line="276" w:lineRule="auto"/>
              <w:jc w:val="left"/>
              <w:rPr>
                <w:color w:val="auto"/>
                <w:szCs w:val="21"/>
                <w:highlight w:val="none"/>
              </w:rPr>
            </w:pPr>
            <w:r>
              <w:rPr>
                <w:b/>
                <w:color w:val="auto"/>
                <w:szCs w:val="21"/>
                <w:highlight w:val="none"/>
              </w:rPr>
              <w:t>第三方组件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7"/>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DataX</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7"/>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Struts</w:t>
            </w:r>
          </w:p>
        </w:tc>
        <w:tc>
          <w:tcPr>
            <w:tcW w:w="1238" w:type="dxa"/>
            <w:noWrap w:val="0"/>
            <w:vAlign w:val="center"/>
          </w:tcPr>
          <w:p>
            <w:pPr>
              <w:spacing w:line="276" w:lineRule="auto"/>
              <w:jc w:val="center"/>
              <w:rPr>
                <w:color w:val="auto"/>
                <w:szCs w:val="21"/>
                <w:highlight w:val="none"/>
              </w:rPr>
            </w:pPr>
            <w:r>
              <w:rPr>
                <w:color w:val="auto"/>
                <w:szCs w:val="21"/>
                <w:highlight w:val="none"/>
              </w:rPr>
              <w:t>10</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spacing w:line="276" w:lineRule="auto"/>
              <w:jc w:val="center"/>
              <w:rPr>
                <w:b/>
                <w:color w:val="auto"/>
                <w:szCs w:val="21"/>
                <w:highlight w:val="none"/>
              </w:rPr>
            </w:pPr>
            <w:r>
              <w:rPr>
                <w:b/>
                <w:color w:val="auto"/>
                <w:szCs w:val="21"/>
                <w:highlight w:val="none"/>
              </w:rPr>
              <w:t>七</w:t>
            </w:r>
          </w:p>
        </w:tc>
        <w:tc>
          <w:tcPr>
            <w:tcW w:w="7830" w:type="dxa"/>
            <w:gridSpan w:val="3"/>
            <w:noWrap w:val="0"/>
            <w:vAlign w:val="center"/>
          </w:tcPr>
          <w:p>
            <w:pPr>
              <w:spacing w:line="276" w:lineRule="auto"/>
              <w:jc w:val="left"/>
              <w:rPr>
                <w:color w:val="auto"/>
                <w:szCs w:val="21"/>
                <w:highlight w:val="none"/>
              </w:rPr>
            </w:pPr>
            <w:r>
              <w:rPr>
                <w:b/>
                <w:color w:val="auto"/>
                <w:szCs w:val="21"/>
                <w:highlight w:val="none"/>
              </w:rPr>
              <w:t>应用软件系统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8"/>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公共服务平台</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8"/>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监管平台</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8"/>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大数据分析平台</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8"/>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金融服务平台</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8"/>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综合交易系统</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8"/>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运行维护系统</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noWrap w:val="0"/>
            <w:vAlign w:val="center"/>
          </w:tcPr>
          <w:p>
            <w:pPr>
              <w:numPr>
                <w:ilvl w:val="0"/>
                <w:numId w:val="8"/>
              </w:numPr>
              <w:spacing w:line="276" w:lineRule="auto"/>
              <w:jc w:val="center"/>
              <w:rPr>
                <w:color w:val="auto"/>
                <w:szCs w:val="21"/>
                <w:highlight w:val="none"/>
              </w:rPr>
            </w:pPr>
          </w:p>
        </w:tc>
        <w:tc>
          <w:tcPr>
            <w:tcW w:w="5267" w:type="dxa"/>
            <w:noWrap w:val="0"/>
            <w:vAlign w:val="center"/>
          </w:tcPr>
          <w:p>
            <w:pPr>
              <w:spacing w:line="276" w:lineRule="auto"/>
              <w:rPr>
                <w:color w:val="auto"/>
                <w:szCs w:val="21"/>
                <w:highlight w:val="none"/>
              </w:rPr>
            </w:pPr>
            <w:r>
              <w:rPr>
                <w:color w:val="auto"/>
                <w:szCs w:val="21"/>
                <w:highlight w:val="none"/>
              </w:rPr>
              <w:t>应用支撑平台</w:t>
            </w:r>
          </w:p>
        </w:tc>
        <w:tc>
          <w:tcPr>
            <w:tcW w:w="1238" w:type="dxa"/>
            <w:noWrap w:val="0"/>
            <w:vAlign w:val="center"/>
          </w:tcPr>
          <w:p>
            <w:pPr>
              <w:spacing w:line="276" w:lineRule="auto"/>
              <w:jc w:val="center"/>
              <w:rPr>
                <w:color w:val="auto"/>
                <w:szCs w:val="21"/>
                <w:highlight w:val="none"/>
              </w:rPr>
            </w:pPr>
            <w:r>
              <w:rPr>
                <w:color w:val="auto"/>
                <w:szCs w:val="21"/>
                <w:highlight w:val="none"/>
              </w:rPr>
              <w:t>1</w:t>
            </w:r>
          </w:p>
        </w:tc>
        <w:tc>
          <w:tcPr>
            <w:tcW w:w="1325" w:type="dxa"/>
            <w:noWrap w:val="0"/>
            <w:vAlign w:val="center"/>
          </w:tcPr>
          <w:p>
            <w:pPr>
              <w:spacing w:line="276" w:lineRule="auto"/>
              <w:jc w:val="center"/>
              <w:rPr>
                <w:color w:val="auto"/>
                <w:szCs w:val="21"/>
                <w:highlight w:val="none"/>
              </w:rPr>
            </w:pPr>
            <w:r>
              <w:rPr>
                <w:color w:val="auto"/>
                <w:szCs w:val="21"/>
                <w:highlight w:val="none"/>
              </w:rPr>
              <w:t>套</w:t>
            </w:r>
          </w:p>
        </w:tc>
      </w:tr>
    </w:tbl>
    <w:p>
      <w:pPr>
        <w:widowControl/>
        <w:adjustRightInd w:val="0"/>
        <w:snapToGrid w:val="0"/>
        <w:spacing w:line="360" w:lineRule="auto"/>
        <w:ind w:firstLine="480" w:firstLineChars="200"/>
        <w:rPr>
          <w:color w:val="auto"/>
          <w:kern w:val="0"/>
          <w:sz w:val="24"/>
          <w:highlight w:val="none"/>
        </w:rPr>
      </w:pP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1、网络域及策略</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北京市市公共资源交易平台信息系统网络主要涉及互联网区和政务外网区。</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互联网区：公共服务平台子域、综合交易系统子域、短信平台子域、金融服务平台子域4个子域。涉及400余个外部访问策略和80余个内部访问策略；</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政务外网区：公共服务平台子域、监管平台子域、运维平台子域、综合交易系统子域、大数据平台子域5个子域。涉及480余个外部访问策略和120余个内部访问策略。</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本招标项目的网络域与策略运维范围为下图中“综合交易分平台开评标服务”部分。</w:t>
      </w:r>
    </w:p>
    <w:p>
      <w:pPr>
        <w:jc w:val="center"/>
        <w:rPr>
          <w:color w:val="auto"/>
          <w:highlight w:val="none"/>
        </w:rPr>
      </w:pPr>
      <w:r>
        <w:rPr>
          <w:color w:val="auto"/>
          <w:highlight w:val="none"/>
        </w:rPr>
        <w:object>
          <v:shape id="_x0000_i1025" o:spt="75" type="#_x0000_t75" style="height:345pt;width:415.2pt;" o:ole="t" filled="f" o:preferrelative="t" stroked="f" coordsize="21600,21600">
            <v:path/>
            <v:fill on="f" focussize="0,0"/>
            <v:stroke on="f"/>
            <v:imagedata r:id="rId10" o:title=""/>
            <o:lock v:ext="edit" aspectratio="t"/>
            <w10:wrap type="none"/>
            <w10:anchorlock/>
          </v:shape>
          <o:OLEObject Type="Embed" ProgID="Visio.Drawing.15" ShapeID="_x0000_i1025" DrawAspect="Content" ObjectID="_1468075725" r:id="rId9">
            <o:LockedField>false</o:LockedField>
          </o:OLEObject>
        </w:objec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2、服务器</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互联网区：共部署了40台云服务器，用于支撑公共服务平台的对外数据共享、业务协同、短信服务、门户网站的运行，金融服务平台和综合交易系统的在线招投标服务、土地使用权交易服务。</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政务外网区：共部署了34台云服务器和25台开评标物理服务器，用于支撑公共服务平台数据收集、共享服务、业务协同服务，监管平台的过程监督、过程管理、投诉举报处理，大数据分析和综合交易系统的开评标服务。</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本招标项目的服务器运维范围为25台开评标物理服务器。</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3、操作系统</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北京市公共资源交易平台信息系统包括70套Linux操作系统、29套Windows Server操作系统。</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本招标项目的操作系统运维范围为25台开评标物理服务器的25套Windows Server操作系统。</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4、数据库</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北京市公共资源交易平台信息系统包括30套MySQL数据库，21套SQL Server数据库。</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本招标项目的数据库运维范围为25台开评标物理服务器的19套SQL Server数据库。</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5、中间件</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北京市公共资源交易平台信息系统包括21套Nginx，33套TongWeb，4套ElasticSearch,6套Tomcat，1套Apache,1套ELK，1套Redis，24套IIS，7套Spark。全部为本招标项目的运维范围。</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6、第三方组件</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北京市公共资源交易平台信息系统包括1套DataX，10套Struts。全部为本招标项目的运维范围。</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7、应用软件系统</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北京市公共资源交易平台信息系统包括公共服务平台（门户网站、数据中心、数据共享服务、统一赋码、统一认证、立项信息共享、机构基础信息共享服务、场地信息共享）、监管平台（过程管理、过程监督、音视频监控、投诉举报处理、预警报警、信用信息管理）、大数据分析平台、金融服务平台、综合交易系统（通用招投标、勘察设计招投标、水利工程招投标、交通工程招投标和土地使用权交易）、运行维护系统、应用支撑平台（数据交换、报表服务、全文检索服务、短信平台）。全部为本招标项目的运维范围。</w:t>
      </w:r>
    </w:p>
    <w:p>
      <w:pPr>
        <w:keepNext/>
        <w:keepLines/>
        <w:adjustRightInd w:val="0"/>
        <w:spacing w:before="280" w:after="290" w:line="376" w:lineRule="atLeast"/>
        <w:textAlignment w:val="baseline"/>
        <w:outlineLvl w:val="3"/>
        <w:rPr>
          <w:b/>
          <w:color w:val="auto"/>
          <w:kern w:val="0"/>
          <w:sz w:val="28"/>
          <w:szCs w:val="20"/>
          <w:highlight w:val="none"/>
        </w:rPr>
      </w:pPr>
      <w:bookmarkStart w:id="1" w:name="_Toc59115821"/>
      <w:r>
        <w:rPr>
          <w:b/>
          <w:color w:val="auto"/>
          <w:kern w:val="0"/>
          <w:sz w:val="28"/>
          <w:szCs w:val="20"/>
          <w:highlight w:val="none"/>
        </w:rPr>
        <w:t>2.2运维管理</w:t>
      </w:r>
      <w:bookmarkEnd w:id="1"/>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工作内容包括：系统信息化资产管理、版本管理和运维工作计划及总结编制。</w:t>
      </w:r>
    </w:p>
    <w:p>
      <w:pPr>
        <w:keepNext/>
        <w:keepLines/>
        <w:adjustRightInd w:val="0"/>
        <w:spacing w:before="280" w:after="290" w:line="376" w:lineRule="atLeast"/>
        <w:textAlignment w:val="baseline"/>
        <w:outlineLvl w:val="4"/>
        <w:rPr>
          <w:b/>
          <w:color w:val="auto"/>
          <w:kern w:val="0"/>
          <w:sz w:val="28"/>
          <w:szCs w:val="28"/>
          <w:highlight w:val="none"/>
        </w:rPr>
      </w:pPr>
      <w:bookmarkStart w:id="2" w:name="_Toc59115822"/>
      <w:r>
        <w:rPr>
          <w:b/>
          <w:color w:val="auto"/>
          <w:kern w:val="0"/>
          <w:sz w:val="28"/>
          <w:szCs w:val="28"/>
          <w:highlight w:val="none"/>
        </w:rPr>
        <w:t>2.2.1资产管理</w:t>
      </w:r>
      <w:bookmarkEnd w:id="2"/>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对北京市公共资源交易平台信息系统所涉及的信息资产进行分类登记和管理，更好的提供系统的运行维护工作。</w:t>
      </w:r>
    </w:p>
    <w:p>
      <w:pPr>
        <w:widowControl/>
        <w:spacing w:line="360" w:lineRule="auto"/>
        <w:ind w:firstLine="640"/>
        <w:rPr>
          <w:color w:val="auto"/>
          <w:kern w:val="0"/>
          <w:sz w:val="24"/>
          <w:highlight w:val="none"/>
        </w:rPr>
      </w:pPr>
      <w:r>
        <w:rPr>
          <w:color w:val="auto"/>
          <w:kern w:val="0"/>
          <w:sz w:val="24"/>
          <w:highlight w:val="none"/>
        </w:rPr>
        <w:t>内容包括：</w:t>
      </w:r>
    </w:p>
    <w:p>
      <w:pPr>
        <w:widowControl/>
        <w:numPr>
          <w:ilvl w:val="0"/>
          <w:numId w:val="9"/>
        </w:numPr>
        <w:spacing w:line="360" w:lineRule="auto"/>
        <w:rPr>
          <w:color w:val="auto"/>
          <w:kern w:val="0"/>
          <w:sz w:val="24"/>
          <w:highlight w:val="none"/>
        </w:rPr>
      </w:pPr>
      <w:r>
        <w:rPr>
          <w:color w:val="auto"/>
          <w:kern w:val="0"/>
          <w:sz w:val="24"/>
          <w:highlight w:val="none"/>
        </w:rPr>
        <w:t>对服务器设备型号、数量、版本信息的统计登记和管理；</w:t>
      </w:r>
    </w:p>
    <w:p>
      <w:pPr>
        <w:widowControl/>
        <w:numPr>
          <w:ilvl w:val="0"/>
          <w:numId w:val="9"/>
        </w:numPr>
        <w:spacing w:line="360" w:lineRule="auto"/>
        <w:rPr>
          <w:color w:val="auto"/>
          <w:kern w:val="0"/>
          <w:sz w:val="24"/>
          <w:highlight w:val="none"/>
        </w:rPr>
      </w:pPr>
      <w:r>
        <w:rPr>
          <w:color w:val="auto"/>
          <w:kern w:val="0"/>
          <w:sz w:val="24"/>
          <w:highlight w:val="none"/>
        </w:rPr>
        <w:t>对软件产品型号、版本和补丁信息的统计登记和管理；</w:t>
      </w:r>
    </w:p>
    <w:p>
      <w:pPr>
        <w:widowControl/>
        <w:numPr>
          <w:ilvl w:val="0"/>
          <w:numId w:val="9"/>
        </w:numPr>
        <w:spacing w:line="360" w:lineRule="auto"/>
        <w:rPr>
          <w:color w:val="auto"/>
          <w:kern w:val="0"/>
          <w:sz w:val="24"/>
          <w:highlight w:val="none"/>
        </w:rPr>
      </w:pPr>
      <w:r>
        <w:rPr>
          <w:color w:val="auto"/>
          <w:kern w:val="0"/>
          <w:sz w:val="24"/>
          <w:highlight w:val="none"/>
        </w:rPr>
        <w:t>对网络结构、网络路由、网络IP地址的统计登记和管理；</w:t>
      </w:r>
    </w:p>
    <w:p>
      <w:pPr>
        <w:widowControl/>
        <w:numPr>
          <w:ilvl w:val="0"/>
          <w:numId w:val="9"/>
        </w:numPr>
        <w:spacing w:line="360" w:lineRule="auto"/>
        <w:rPr>
          <w:color w:val="auto"/>
          <w:kern w:val="0"/>
          <w:sz w:val="24"/>
          <w:highlight w:val="none"/>
        </w:rPr>
      </w:pPr>
      <w:r>
        <w:rPr>
          <w:color w:val="auto"/>
          <w:kern w:val="0"/>
          <w:sz w:val="24"/>
          <w:highlight w:val="none"/>
        </w:rPr>
        <w:t>其它附属设备的统计登记和管理。</w:t>
      </w:r>
    </w:p>
    <w:p>
      <w:pPr>
        <w:widowControl/>
        <w:spacing w:line="360" w:lineRule="auto"/>
        <w:ind w:firstLine="640"/>
        <w:rPr>
          <w:color w:val="auto"/>
          <w:kern w:val="0"/>
          <w:sz w:val="24"/>
          <w:highlight w:val="none"/>
        </w:rPr>
      </w:pPr>
      <w:r>
        <w:rPr>
          <w:color w:val="auto"/>
          <w:kern w:val="0"/>
          <w:sz w:val="24"/>
          <w:highlight w:val="none"/>
        </w:rPr>
        <w:t>信息资产的日常管理，对运维的基础软件资产进行管理登记，更新资产清单，设施变更管理，完成资产报表，确保基础软件资产信息完整，并按月形成资产报表。</w:t>
      </w:r>
    </w:p>
    <w:p>
      <w:pPr>
        <w:keepNext/>
        <w:keepLines/>
        <w:adjustRightInd w:val="0"/>
        <w:spacing w:before="280" w:after="290" w:line="376" w:lineRule="atLeast"/>
        <w:textAlignment w:val="baseline"/>
        <w:outlineLvl w:val="4"/>
        <w:rPr>
          <w:b/>
          <w:color w:val="auto"/>
          <w:kern w:val="0"/>
          <w:sz w:val="28"/>
          <w:szCs w:val="28"/>
          <w:highlight w:val="none"/>
        </w:rPr>
      </w:pPr>
      <w:bookmarkStart w:id="3" w:name="_Toc59115823"/>
      <w:r>
        <w:rPr>
          <w:b/>
          <w:color w:val="auto"/>
          <w:kern w:val="0"/>
          <w:sz w:val="28"/>
          <w:szCs w:val="28"/>
          <w:highlight w:val="none"/>
        </w:rPr>
        <w:t>2.2.2版本管理</w:t>
      </w:r>
      <w:bookmarkEnd w:id="3"/>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对操作系统、数据库、中间件、第三方组件、应用系统进行版本记录与管理。</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按照每月定期对操作系统、数据库、中间件、第三方组件的版本进行更新查询，发现更新版本后，对更新版本进行分析，并整理提交版本更新方案。</w:t>
      </w:r>
    </w:p>
    <w:p>
      <w:pPr>
        <w:keepNext/>
        <w:keepLines/>
        <w:adjustRightInd w:val="0"/>
        <w:spacing w:before="280" w:after="290" w:line="376" w:lineRule="atLeast"/>
        <w:textAlignment w:val="baseline"/>
        <w:outlineLvl w:val="4"/>
        <w:rPr>
          <w:b/>
          <w:color w:val="auto"/>
          <w:kern w:val="0"/>
          <w:sz w:val="28"/>
          <w:szCs w:val="28"/>
          <w:highlight w:val="none"/>
        </w:rPr>
      </w:pPr>
      <w:bookmarkStart w:id="4" w:name="_Toc59115824"/>
      <w:r>
        <w:rPr>
          <w:b/>
          <w:color w:val="auto"/>
          <w:kern w:val="0"/>
          <w:sz w:val="28"/>
          <w:szCs w:val="28"/>
          <w:highlight w:val="none"/>
        </w:rPr>
        <w:t>2.2.3运维工作计划及总结</w:t>
      </w:r>
      <w:bookmarkEnd w:id="4"/>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1、年度运维</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制定年度运维工作计划，编写年度运维工作总结。</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2、专项运维</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针对每年常规的两次漏洞扫描和一次等保测评的测评结果，制定专项运维工作计划、编写专项运维工作总结。</w:t>
      </w:r>
    </w:p>
    <w:p>
      <w:pPr>
        <w:keepNext/>
        <w:keepLines/>
        <w:adjustRightInd w:val="0"/>
        <w:spacing w:before="280" w:after="290" w:line="376" w:lineRule="atLeast"/>
        <w:textAlignment w:val="baseline"/>
        <w:outlineLvl w:val="3"/>
        <w:rPr>
          <w:b/>
          <w:color w:val="auto"/>
          <w:kern w:val="0"/>
          <w:sz w:val="28"/>
          <w:szCs w:val="20"/>
          <w:highlight w:val="none"/>
        </w:rPr>
      </w:pPr>
      <w:bookmarkStart w:id="5" w:name="_Toc59115825"/>
      <w:r>
        <w:rPr>
          <w:b/>
          <w:color w:val="auto"/>
          <w:kern w:val="0"/>
          <w:sz w:val="28"/>
          <w:szCs w:val="20"/>
          <w:highlight w:val="none"/>
        </w:rPr>
        <w:t>2.3日常巡检</w:t>
      </w:r>
      <w:bookmarkEnd w:id="5"/>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工作内容包括：运行监控、可用性检查、数据检查。</w:t>
      </w:r>
    </w:p>
    <w:p>
      <w:pPr>
        <w:keepNext/>
        <w:keepLines/>
        <w:adjustRightInd w:val="0"/>
        <w:spacing w:before="280" w:after="290" w:line="376" w:lineRule="atLeast"/>
        <w:textAlignment w:val="baseline"/>
        <w:outlineLvl w:val="4"/>
        <w:rPr>
          <w:b/>
          <w:color w:val="auto"/>
          <w:kern w:val="0"/>
          <w:sz w:val="28"/>
          <w:szCs w:val="28"/>
          <w:highlight w:val="none"/>
        </w:rPr>
      </w:pPr>
      <w:bookmarkStart w:id="6" w:name="_Toc59115826"/>
      <w:r>
        <w:rPr>
          <w:b/>
          <w:color w:val="auto"/>
          <w:kern w:val="0"/>
          <w:sz w:val="28"/>
          <w:szCs w:val="28"/>
          <w:highlight w:val="none"/>
        </w:rPr>
        <w:t>2.3.1运行监控</w:t>
      </w:r>
      <w:bookmarkEnd w:id="6"/>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包括对网络、主机、数据库、中间件、应用系统运行状态进行监控。</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网络监控：每工作日分2次，监控本招标项目运维范围内网络区域的网络策略是否正常，监控对外开放的网络服务是否正常，监控与对接的系统间的网络连通是否正常，检查网络流量、响应速度是否正常，记录监控日志，如发现异常及时上报处置。</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2、主机监控：每工作日分2次，监控本招标项目运维范围内服务器的运行状态，包括：系统日志、CPU使用率、内存使用率、磁盘使用率，记录监控日志，如发现异常及时上报处置。</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3、数据库监控：每工作日分2次，监控本招标项目运维范围内数据库系统的运行状态，包括：数据库日志、连通状态、数据库连接数、查询效率、磁盘I/O读写速度，记录监控日志，如发现异常及时上报处置。</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4、中间件监控：每工作日分2次，监控21套Nginx，33套TongWeb，4套ElasticSearch中间件软件的运行状态,包括:Nginx的系统连接数，TongWeb内存、CPU的使用情况和线程连接数情况，ElasticSearch集群和节点健康状态、数据存储情况，记录监控日志，如发现异常及时上报处置。</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5、应用系统监控：</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工作日分4次，监控重点功能运行状态，包括：公共服务平台的门户网站、统一赋码、统一认证，综合交易系统的招投标业务、开评标业务，监管平台的过程管理和应用支撑平台的短信平台，记录监控日志，如发现异常及时上报处置。</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工作日分2次，监控其他应用系统功能的运行状态，包括：公共服务平台（数据中心、数据共享服务、立项信息共享、机构基础信息共享服务、场地信息共享）、监管平台（过程监督、音视频监控、投诉举报处理、预警报警、信用信息管理）、大数据分析平台、金融服务平台、综合交易系统（通用招投标、勘察设计招投标、水利工程招投标、交通工程招投标和土地使用权交易）、运行维护系统、应用支撑平台（数据交换、报表服务、全文检索服务），记录监控日志，如发现异常及时上报处置。</w:t>
      </w:r>
    </w:p>
    <w:p>
      <w:pPr>
        <w:keepNext/>
        <w:keepLines/>
        <w:adjustRightInd w:val="0"/>
        <w:spacing w:before="280" w:after="290" w:line="376" w:lineRule="atLeast"/>
        <w:textAlignment w:val="baseline"/>
        <w:outlineLvl w:val="4"/>
        <w:rPr>
          <w:b/>
          <w:color w:val="auto"/>
          <w:kern w:val="0"/>
          <w:sz w:val="28"/>
          <w:szCs w:val="28"/>
          <w:highlight w:val="none"/>
        </w:rPr>
      </w:pPr>
      <w:bookmarkStart w:id="7" w:name="_Toc59115827"/>
      <w:r>
        <w:rPr>
          <w:b/>
          <w:color w:val="auto"/>
          <w:kern w:val="0"/>
          <w:sz w:val="28"/>
          <w:szCs w:val="28"/>
          <w:highlight w:val="none"/>
        </w:rPr>
        <w:t>2.3.2可用性检查</w:t>
      </w:r>
      <w:bookmarkEnd w:id="7"/>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包括系统主要对外服务接口和系统人机交互功能进行可用性检查。</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1、对外服务接口功能检查</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需要检查的接口包括：公共服务平台的8个业务协同接口和7个数据共享接口服务，综合交易系统的13个业务协同接口和5个数据共享接口服务，大数据分析系统的1个协同接口服务，金融服务平台的7个业务协同接口服务。</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工作日分4次，检查各数据共享接口能否正常获取对方提交的数据，对外提供数据的接口服务功能是否正常；统一赋码、统一认证、评标专家抽取申请提交和结果获取、开评标音视频录播和直播、开评标业务、金融服务平台业务协同接口功能是否正常。</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2、应用系统人机交互功能检查</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每工作日分2次，安排专人人工检查应用系统人机交互功能，是否能够正常访问。检查范围包括：</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1）北京市公共资源交易公共服务平台</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门户网站：网站首页、栏目页、信息页是否正常浏览，投诉、建议、复议是否正常登陆、提交，检索功能是否正常，外部链接是否正常访问，网站后台功能是否正常。</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政务外网数据中心：用户能否正常登陆、各项信息查询浏览功能是否正常，信息维护功能是否正常。</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2）北京市公共资源交易监管平台</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检查交易过程管理、交易过程监督、投诉举报受理和处理、开评标过程音视频信息、行政处罚信息共享功能是否正常。</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3）北京市公共资源综合交易系统</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检查国有土地使用权出让和勘察设计、交通、水务、通用、公告公示发布工具的“招、投、开、评、定”各环节功能，以及综合交易系统网站是否正常。</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4）运行维护系统功能模块巡检</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检查运行维护系统的用户管理、权限管理、配置管理、问题管理、日志管理、系统监控功能是否正常。</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5）北京市公共资源交易大数据分析系统</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检查交易运行、交易统计、智慧监管、经济数据、市场环境、我的关注功能是否正常，检查数据中台的后台接口响应是否正常、数据标准和代码集是否需要更新、元数据管理、规则中心、数据采集、数据开发（ETL）、数据质量管理功能是否正常。</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6）北京市公共资源交易担保金融服务平台</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检查银行转账交退保证金、电子保函提交保证金和保函索赔以及综合查询统计和对账功能是否正常。</w:t>
      </w:r>
    </w:p>
    <w:p>
      <w:pPr>
        <w:keepNext/>
        <w:keepLines/>
        <w:adjustRightInd w:val="0"/>
        <w:spacing w:before="280" w:after="290" w:line="376" w:lineRule="atLeast"/>
        <w:textAlignment w:val="baseline"/>
        <w:outlineLvl w:val="4"/>
        <w:rPr>
          <w:b/>
          <w:color w:val="auto"/>
          <w:kern w:val="0"/>
          <w:sz w:val="28"/>
          <w:szCs w:val="28"/>
          <w:highlight w:val="none"/>
        </w:rPr>
      </w:pPr>
      <w:bookmarkStart w:id="8" w:name="_Toc59115828"/>
      <w:r>
        <w:rPr>
          <w:b/>
          <w:color w:val="auto"/>
          <w:kern w:val="0"/>
          <w:sz w:val="28"/>
          <w:szCs w:val="28"/>
          <w:highlight w:val="none"/>
        </w:rPr>
        <w:t>2.3.3数据检查</w:t>
      </w:r>
      <w:bookmarkEnd w:id="8"/>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工作日分2次，检查全市20多个交易系统提交的各类数据解析是否正常，检查由信用北京、北京市组织机构代码库、固定资产投资项目在线审批平台、全国公共资源交易平台各政务业务系统共享的数据能否正常获取，检查向监察委系统、中介服务平台、全市大数据平台、北京通、全国公共资源交易平台、中国招标投标公共服务平台、互联网+监督平台共享的数据是否正常。</w:t>
      </w:r>
    </w:p>
    <w:p>
      <w:pPr>
        <w:keepNext/>
        <w:keepLines/>
        <w:adjustRightInd w:val="0"/>
        <w:spacing w:before="280" w:after="290" w:line="376" w:lineRule="atLeast"/>
        <w:textAlignment w:val="baseline"/>
        <w:outlineLvl w:val="3"/>
        <w:rPr>
          <w:b/>
          <w:color w:val="auto"/>
          <w:kern w:val="0"/>
          <w:sz w:val="28"/>
          <w:szCs w:val="20"/>
          <w:highlight w:val="none"/>
        </w:rPr>
      </w:pPr>
      <w:bookmarkStart w:id="9" w:name="_Toc59115829"/>
      <w:r>
        <w:rPr>
          <w:b/>
          <w:color w:val="auto"/>
          <w:kern w:val="0"/>
          <w:sz w:val="28"/>
          <w:szCs w:val="20"/>
          <w:highlight w:val="none"/>
        </w:rPr>
        <w:t>2.4基础维护</w:t>
      </w:r>
      <w:bookmarkEnd w:id="9"/>
    </w:p>
    <w:p>
      <w:pPr>
        <w:widowControl/>
        <w:adjustRightInd w:val="0"/>
        <w:snapToGrid w:val="0"/>
        <w:spacing w:line="360" w:lineRule="auto"/>
        <w:ind w:firstLine="480" w:firstLineChars="200"/>
        <w:rPr>
          <w:color w:val="auto"/>
          <w:kern w:val="0"/>
          <w:sz w:val="28"/>
          <w:szCs w:val="28"/>
          <w:highlight w:val="none"/>
        </w:rPr>
      </w:pPr>
      <w:r>
        <w:rPr>
          <w:color w:val="auto"/>
          <w:kern w:val="0"/>
          <w:sz w:val="24"/>
          <w:highlight w:val="none"/>
        </w:rPr>
        <w:t>工作内容包括：补丁安装、账户及权限管理、策略及配置管理、数据的日常维护。</w:t>
      </w:r>
    </w:p>
    <w:p>
      <w:pPr>
        <w:keepNext/>
        <w:keepLines/>
        <w:adjustRightInd w:val="0"/>
        <w:spacing w:before="280" w:after="290" w:line="376" w:lineRule="atLeast"/>
        <w:textAlignment w:val="baseline"/>
        <w:outlineLvl w:val="4"/>
        <w:rPr>
          <w:b/>
          <w:color w:val="auto"/>
          <w:kern w:val="0"/>
          <w:sz w:val="28"/>
          <w:szCs w:val="28"/>
          <w:highlight w:val="none"/>
        </w:rPr>
      </w:pPr>
      <w:bookmarkStart w:id="10" w:name="_Toc59115830"/>
      <w:r>
        <w:rPr>
          <w:b/>
          <w:color w:val="auto"/>
          <w:kern w:val="0"/>
          <w:sz w:val="28"/>
          <w:szCs w:val="28"/>
          <w:highlight w:val="none"/>
        </w:rPr>
        <w:t>2.4.1补丁安装</w:t>
      </w:r>
      <w:bookmarkEnd w:id="10"/>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每季度安装操作系统、数据库、中间件、第三方组件的补丁，并根据上级安全部门的警示通知及时安装相关补丁。</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1、操作系统补丁安装</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根据本招标项目运维范围内操作系统安全检查结果，制定详细的补丁加固计划与方案，对补丁进行兼容性测试，并对操作系统进行安全补丁加固，确保操作系统安全稳定运行。</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2、数据库补丁安装</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根据本招标项目运维范围内数据库安全检查结果，制定详细的补丁加固计划与方案，对补丁进行兼容性测试，并对数据库进行安全补丁加固，确保数据库安全稳定运行。</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3、中间件补丁安装</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根据中间件安全检查结果，制定详细的补丁加固计划与方案，对补丁进行兼容性测试，并对中间件进行安全补丁加固，确保中间件安全稳定运行。</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4、第三方组件补丁安装</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根据第三方组件安全检查结果，制定详细的补丁加固计划与方案，对补丁进行兼容性测试，并对第三方组件进行安全补丁加固，确保第三方组件安全稳定运行。</w:t>
      </w:r>
    </w:p>
    <w:p>
      <w:pPr>
        <w:keepNext/>
        <w:keepLines/>
        <w:adjustRightInd w:val="0"/>
        <w:spacing w:before="280" w:after="290" w:line="376" w:lineRule="atLeast"/>
        <w:textAlignment w:val="baseline"/>
        <w:outlineLvl w:val="4"/>
        <w:rPr>
          <w:b/>
          <w:color w:val="auto"/>
          <w:kern w:val="0"/>
          <w:sz w:val="28"/>
          <w:szCs w:val="28"/>
          <w:highlight w:val="none"/>
        </w:rPr>
      </w:pPr>
      <w:bookmarkStart w:id="11" w:name="_Toc59115831"/>
      <w:r>
        <w:rPr>
          <w:b/>
          <w:color w:val="auto"/>
          <w:kern w:val="0"/>
          <w:sz w:val="28"/>
          <w:szCs w:val="28"/>
          <w:highlight w:val="none"/>
        </w:rPr>
        <w:t>2.4.2账户及权限管理</w:t>
      </w:r>
      <w:bookmarkEnd w:id="11"/>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对本招标项目运维范围内操作系统、数据库、中间件进行账户维护及权限管理。</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1、操作系统账户及权限管理，包括系统管理员账户、一般维护人员账户的创建和授权，定期更改系统账户口令。</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2、数据库账户及权限管理，包括数据库管理员账户、一般数据库账户的创建和授权，定期更改数据库管理员账户口令。</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3、中间件账户及权限管理，包括TongWeb、Tomcat后台管理账户的创建和维护。</w:t>
      </w:r>
    </w:p>
    <w:p>
      <w:pPr>
        <w:keepNext/>
        <w:keepLines/>
        <w:adjustRightInd w:val="0"/>
        <w:spacing w:before="280" w:after="290" w:line="376" w:lineRule="atLeast"/>
        <w:textAlignment w:val="baseline"/>
        <w:outlineLvl w:val="4"/>
        <w:rPr>
          <w:b/>
          <w:color w:val="auto"/>
          <w:kern w:val="0"/>
          <w:sz w:val="28"/>
          <w:szCs w:val="28"/>
          <w:highlight w:val="none"/>
        </w:rPr>
      </w:pPr>
      <w:bookmarkStart w:id="12" w:name="_Toc59115832"/>
      <w:r>
        <w:rPr>
          <w:b/>
          <w:color w:val="auto"/>
          <w:kern w:val="0"/>
          <w:sz w:val="28"/>
          <w:szCs w:val="28"/>
          <w:highlight w:val="none"/>
        </w:rPr>
        <w:t>2.4.3策略及配置管理</w:t>
      </w:r>
      <w:bookmarkEnd w:id="12"/>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对本招标项目运维范围内操作系统、数据库、中间件进行策略及配置管理。</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1、操作系统策略及配置管理，包括主机防火墙、重要系统策略的配置、变更。</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2、数据库策略及配置管理，包括数据实例、索引创建优化、相关授权配置、数据库主从结构的配置和调整。</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3、中间件策略及配置管理，包括ElasticSearch数据实例、索引创建优化、相关授权配置，维护集群节点相关配置，Tongweb管理后台相关配置。</w:t>
      </w:r>
    </w:p>
    <w:p>
      <w:pPr>
        <w:keepNext/>
        <w:keepLines/>
        <w:adjustRightInd w:val="0"/>
        <w:spacing w:before="280" w:after="290" w:line="376" w:lineRule="atLeast"/>
        <w:textAlignment w:val="baseline"/>
        <w:outlineLvl w:val="4"/>
        <w:rPr>
          <w:b/>
          <w:color w:val="auto"/>
          <w:kern w:val="0"/>
          <w:sz w:val="28"/>
          <w:szCs w:val="28"/>
          <w:highlight w:val="none"/>
        </w:rPr>
      </w:pPr>
      <w:bookmarkStart w:id="13" w:name="_Toc59115833"/>
      <w:r>
        <w:rPr>
          <w:b/>
          <w:color w:val="auto"/>
          <w:kern w:val="0"/>
          <w:sz w:val="28"/>
          <w:szCs w:val="28"/>
          <w:highlight w:val="none"/>
        </w:rPr>
        <w:t>2.4.4数据的日常维护</w:t>
      </w:r>
      <w:bookmarkEnd w:id="13"/>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每月检查和维护本招标项目运维范围内数据库实例主键约束、字段类型范围等关于数据完整性规则的工作。</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每月检查数据表之间的关联关系，配合业务团队修复问题数据，保障数据安全。</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每天检查数据库备份功能是否正常，核查备份数据是否正常；每月验证备份数据恢复。</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每季度优化数据库索引、优化数据库空间。</w:t>
      </w:r>
    </w:p>
    <w:p>
      <w:pPr>
        <w:keepNext/>
        <w:keepLines/>
        <w:adjustRightInd w:val="0"/>
        <w:spacing w:before="280" w:after="290" w:line="376" w:lineRule="atLeast"/>
        <w:textAlignment w:val="baseline"/>
        <w:outlineLvl w:val="3"/>
        <w:rPr>
          <w:b/>
          <w:color w:val="auto"/>
          <w:kern w:val="0"/>
          <w:sz w:val="28"/>
          <w:szCs w:val="20"/>
          <w:highlight w:val="none"/>
        </w:rPr>
      </w:pPr>
      <w:bookmarkStart w:id="14" w:name="_Toc59115834"/>
      <w:r>
        <w:rPr>
          <w:b/>
          <w:color w:val="auto"/>
          <w:kern w:val="0"/>
          <w:sz w:val="28"/>
          <w:szCs w:val="20"/>
          <w:highlight w:val="none"/>
        </w:rPr>
        <w:t>2.5功能维护</w:t>
      </w:r>
      <w:bookmarkEnd w:id="14"/>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工作内容包括：应用系统缺陷维护、功能完善、资源变更。</w:t>
      </w:r>
    </w:p>
    <w:p>
      <w:pPr>
        <w:keepNext/>
        <w:keepLines/>
        <w:adjustRightInd w:val="0"/>
        <w:spacing w:before="280" w:after="290" w:line="376" w:lineRule="atLeast"/>
        <w:textAlignment w:val="baseline"/>
        <w:outlineLvl w:val="4"/>
        <w:rPr>
          <w:b/>
          <w:color w:val="auto"/>
          <w:kern w:val="0"/>
          <w:sz w:val="28"/>
          <w:szCs w:val="28"/>
          <w:highlight w:val="none"/>
        </w:rPr>
      </w:pPr>
      <w:bookmarkStart w:id="15" w:name="_Toc59115835"/>
      <w:r>
        <w:rPr>
          <w:b/>
          <w:color w:val="auto"/>
          <w:kern w:val="0"/>
          <w:sz w:val="28"/>
          <w:szCs w:val="28"/>
          <w:highlight w:val="none"/>
        </w:rPr>
        <w:t>2.5.1应用系统缺陷维护</w:t>
      </w:r>
      <w:bookmarkEnd w:id="15"/>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缺陷维护的范围包括：公共服务平台、监管平台、综合交易系统、大数据分析、金融服务、运行维护系统。</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1、问题的发现和确认：整理和确认使用中发现的问题和安全检查、系统安全等级保护测评中发现的应用系统不足。</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2、原因分析和方案制定：分析确定原因，制定问题修复方案。</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3、问题修复：及时安排有关的技术支持人员解决问题并进行与相关系统的功能联调。</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4、结果验证：安排专人验证问题是否得到解决，由问题发现人员确认修复结果。</w:t>
      </w:r>
    </w:p>
    <w:p>
      <w:pPr>
        <w:widowControl/>
        <w:adjustRightInd w:val="0"/>
        <w:snapToGrid w:val="0"/>
        <w:spacing w:line="360" w:lineRule="auto"/>
        <w:ind w:firstLine="480" w:firstLineChars="200"/>
        <w:rPr>
          <w:color w:val="auto"/>
          <w:kern w:val="0"/>
          <w:sz w:val="24"/>
          <w:szCs w:val="32"/>
          <w:highlight w:val="none"/>
        </w:rPr>
      </w:pPr>
      <w:r>
        <w:rPr>
          <w:color w:val="auto"/>
          <w:kern w:val="0"/>
          <w:sz w:val="24"/>
          <w:highlight w:val="none"/>
        </w:rPr>
        <w:t>5、结果部署：按照流程将修复成果进行部署，与相关系统进行功能验证，进行回归测试并进行总结，跟踪运行情况，直至正常稳定运转。</w:t>
      </w:r>
    </w:p>
    <w:p>
      <w:pPr>
        <w:keepNext/>
        <w:keepLines/>
        <w:adjustRightInd w:val="0"/>
        <w:spacing w:before="280" w:after="290" w:line="376" w:lineRule="atLeast"/>
        <w:textAlignment w:val="baseline"/>
        <w:outlineLvl w:val="4"/>
        <w:rPr>
          <w:b/>
          <w:color w:val="auto"/>
          <w:kern w:val="0"/>
          <w:sz w:val="28"/>
          <w:szCs w:val="28"/>
          <w:highlight w:val="none"/>
        </w:rPr>
      </w:pPr>
      <w:bookmarkStart w:id="16" w:name="_Toc59115836"/>
      <w:r>
        <w:rPr>
          <w:b/>
          <w:color w:val="auto"/>
          <w:kern w:val="0"/>
          <w:sz w:val="28"/>
          <w:szCs w:val="28"/>
          <w:highlight w:val="none"/>
        </w:rPr>
        <w:t>2.5.2功能完善</w:t>
      </w:r>
      <w:bookmarkEnd w:id="16"/>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1、整理和确认实际运转中各类用户提出的完善要求，分析需求。</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2、制定完善方案，确定完善计划，及时安排技术支持人员进行功能完善并进行与相关系统的功能联调。</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3、安排专人验证完善后的功能是否满足需求。</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4、按照流程部署，与相关系统进行功能验证，进行回归测试并进行总结，跟踪功能运行情况，直至正常稳定运转。</w:t>
      </w:r>
    </w:p>
    <w:p>
      <w:pPr>
        <w:keepNext/>
        <w:keepLines/>
        <w:adjustRightInd w:val="0"/>
        <w:spacing w:before="280" w:after="290" w:line="376" w:lineRule="atLeast"/>
        <w:textAlignment w:val="baseline"/>
        <w:outlineLvl w:val="4"/>
        <w:rPr>
          <w:b/>
          <w:color w:val="auto"/>
          <w:kern w:val="0"/>
          <w:sz w:val="28"/>
          <w:szCs w:val="28"/>
          <w:highlight w:val="none"/>
        </w:rPr>
      </w:pPr>
      <w:bookmarkStart w:id="17" w:name="_Toc59115837"/>
      <w:r>
        <w:rPr>
          <w:b/>
          <w:color w:val="auto"/>
          <w:kern w:val="0"/>
          <w:sz w:val="28"/>
          <w:szCs w:val="28"/>
          <w:highlight w:val="none"/>
        </w:rPr>
        <w:t>2.5.3资源变更</w:t>
      </w:r>
      <w:bookmarkEnd w:id="17"/>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对网络、主机、数据库、中间件性能检查结果进行分析，对网络带宽、CPU、内存、磁盘空间进行合理化配置，制定资源变更计划及实施方案，提交资源变更申请，并跟踪资源变更情况。</w:t>
      </w:r>
    </w:p>
    <w:p>
      <w:pPr>
        <w:keepNext/>
        <w:keepLines/>
        <w:adjustRightInd w:val="0"/>
        <w:spacing w:before="280" w:after="290" w:line="376" w:lineRule="atLeast"/>
        <w:textAlignment w:val="baseline"/>
        <w:outlineLvl w:val="3"/>
        <w:rPr>
          <w:b/>
          <w:color w:val="auto"/>
          <w:kern w:val="0"/>
          <w:sz w:val="28"/>
          <w:szCs w:val="20"/>
          <w:highlight w:val="none"/>
        </w:rPr>
      </w:pPr>
      <w:r>
        <w:rPr>
          <w:b/>
          <w:color w:val="auto"/>
          <w:kern w:val="0"/>
          <w:sz w:val="28"/>
          <w:szCs w:val="20"/>
          <w:highlight w:val="none"/>
        </w:rPr>
        <w:t>2.6数据统计</w:t>
      </w:r>
    </w:p>
    <w:p>
      <w:pPr>
        <w:keepNext/>
        <w:keepLines/>
        <w:adjustRightInd w:val="0"/>
        <w:spacing w:before="280" w:after="290" w:line="376" w:lineRule="atLeast"/>
        <w:textAlignment w:val="baseline"/>
        <w:outlineLvl w:val="4"/>
        <w:rPr>
          <w:b/>
          <w:color w:val="auto"/>
          <w:kern w:val="0"/>
          <w:sz w:val="28"/>
          <w:szCs w:val="28"/>
          <w:highlight w:val="none"/>
        </w:rPr>
      </w:pPr>
      <w:r>
        <w:rPr>
          <w:b/>
          <w:color w:val="auto"/>
          <w:kern w:val="0"/>
          <w:sz w:val="28"/>
          <w:szCs w:val="28"/>
          <w:highlight w:val="none"/>
        </w:rPr>
        <w:t>2.6.1常规任务统计</w:t>
      </w:r>
    </w:p>
    <w:p>
      <w:pPr>
        <w:pStyle w:val="3"/>
        <w:rPr>
          <w:rFonts w:ascii="Times New Roman"/>
          <w:color w:val="auto"/>
          <w:highlight w:val="none"/>
        </w:rPr>
      </w:pPr>
      <w:r>
        <w:rPr>
          <w:rFonts w:ascii="Times New Roman"/>
          <w:color w:val="auto"/>
          <w:highlight w:val="none"/>
        </w:rPr>
        <w:t>负责支持交易中心各类常规数据统计任务，包含周、月、季、年期刊数据统计，经济运行指标、营商环境指标。</w:t>
      </w:r>
    </w:p>
    <w:p>
      <w:pPr>
        <w:keepNext/>
        <w:keepLines/>
        <w:adjustRightInd w:val="0"/>
        <w:spacing w:before="280" w:after="290" w:line="376" w:lineRule="atLeast"/>
        <w:textAlignment w:val="baseline"/>
        <w:outlineLvl w:val="4"/>
        <w:rPr>
          <w:b/>
          <w:color w:val="auto"/>
          <w:kern w:val="0"/>
          <w:sz w:val="28"/>
          <w:szCs w:val="28"/>
          <w:highlight w:val="none"/>
        </w:rPr>
      </w:pPr>
      <w:r>
        <w:rPr>
          <w:b/>
          <w:color w:val="auto"/>
          <w:kern w:val="0"/>
          <w:sz w:val="28"/>
          <w:szCs w:val="28"/>
          <w:highlight w:val="none"/>
        </w:rPr>
        <w:t>2.6.2数据协查任务</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负责协助中心完成各类监管部门数据协查任务，包括政治任务类、应急协助类协查任务。</w:t>
      </w:r>
    </w:p>
    <w:p>
      <w:pPr>
        <w:keepNext/>
        <w:keepLines/>
        <w:adjustRightInd w:val="0"/>
        <w:spacing w:before="280" w:after="290" w:line="376" w:lineRule="atLeast"/>
        <w:textAlignment w:val="baseline"/>
        <w:outlineLvl w:val="4"/>
        <w:rPr>
          <w:b/>
          <w:color w:val="auto"/>
          <w:kern w:val="0"/>
          <w:sz w:val="28"/>
          <w:szCs w:val="28"/>
          <w:highlight w:val="none"/>
        </w:rPr>
      </w:pPr>
      <w:r>
        <w:rPr>
          <w:b/>
          <w:color w:val="auto"/>
          <w:kern w:val="0"/>
          <w:sz w:val="28"/>
          <w:szCs w:val="28"/>
          <w:highlight w:val="none"/>
        </w:rPr>
        <w:t>2.6.3数据可视化展示</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实现数据可视化展示，强化数据对业务工作赋能支撑作用，进一步提升中心内部数据获取、使用的便捷度和体验感。利用数据可视化方式，将核心业务数据直观、动态嵌入OA办公系统，提升数据服务的及时性与可用性。</w:t>
      </w:r>
    </w:p>
    <w:p>
      <w:pPr>
        <w:keepNext/>
        <w:keepLines/>
        <w:adjustRightInd w:val="0"/>
        <w:spacing w:before="280" w:after="290" w:line="376" w:lineRule="atLeast"/>
        <w:textAlignment w:val="baseline"/>
        <w:outlineLvl w:val="3"/>
        <w:rPr>
          <w:b/>
          <w:color w:val="auto"/>
          <w:kern w:val="0"/>
          <w:sz w:val="28"/>
          <w:szCs w:val="20"/>
          <w:highlight w:val="none"/>
        </w:rPr>
      </w:pPr>
      <w:bookmarkStart w:id="18" w:name="_Toc59115838"/>
      <w:r>
        <w:rPr>
          <w:b/>
          <w:color w:val="auto"/>
          <w:kern w:val="0"/>
          <w:sz w:val="28"/>
          <w:szCs w:val="20"/>
          <w:highlight w:val="none"/>
        </w:rPr>
        <w:t>2.7应急处置</w:t>
      </w:r>
      <w:bookmarkEnd w:id="18"/>
    </w:p>
    <w:p>
      <w:pPr>
        <w:keepNext/>
        <w:keepLines/>
        <w:adjustRightInd w:val="0"/>
        <w:spacing w:before="280" w:after="290" w:line="376" w:lineRule="atLeast"/>
        <w:textAlignment w:val="baseline"/>
        <w:outlineLvl w:val="4"/>
        <w:rPr>
          <w:b/>
          <w:color w:val="auto"/>
          <w:kern w:val="0"/>
          <w:sz w:val="28"/>
          <w:szCs w:val="28"/>
          <w:highlight w:val="none"/>
        </w:rPr>
      </w:pPr>
      <w:bookmarkStart w:id="19" w:name="_Toc59115839"/>
      <w:r>
        <w:rPr>
          <w:b/>
          <w:color w:val="auto"/>
          <w:kern w:val="0"/>
          <w:sz w:val="28"/>
          <w:szCs w:val="28"/>
          <w:highlight w:val="none"/>
        </w:rPr>
        <w:t>2.7.1应急预案的制定和修订</w:t>
      </w:r>
      <w:bookmarkEnd w:id="19"/>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1、系统级应急预案制定和修订</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根据系统运维类别的特点，分别对北京市公共资源交易服务平台、北京市公共资源交易监管平台、北京市公共资源交易综合交易系统、北京市公共资源交易运维系统制定相对独立的应急预案并做相关修订，配备相关应急资源，针对突发紧急情况，启动技术专家现场服务，必要时联合多方面专家进行联合分析诊断、事件定位与紧急处理，持续跟进直到问题完全解决。</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制定标准化的应急响应服务流程，建立分级故障响应机制，明确组织结构及职责划分，按照应急预案开展应急演练。</w:t>
      </w:r>
    </w:p>
    <w:p>
      <w:pPr>
        <w:widowControl/>
        <w:spacing w:line="360" w:lineRule="auto"/>
        <w:ind w:firstLine="640"/>
        <w:rPr>
          <w:color w:val="auto"/>
          <w:kern w:val="0"/>
          <w:sz w:val="24"/>
          <w:highlight w:val="none"/>
        </w:rPr>
      </w:pPr>
      <w:r>
        <w:rPr>
          <w:color w:val="auto"/>
          <w:kern w:val="0"/>
          <w:sz w:val="24"/>
          <w:highlight w:val="none"/>
        </w:rPr>
        <w:t>应急预案主要包括：</w:t>
      </w:r>
    </w:p>
    <w:p>
      <w:pPr>
        <w:widowControl/>
        <w:numPr>
          <w:ilvl w:val="0"/>
          <w:numId w:val="10"/>
        </w:numPr>
        <w:spacing w:line="360" w:lineRule="auto"/>
        <w:rPr>
          <w:color w:val="auto"/>
          <w:kern w:val="0"/>
          <w:sz w:val="24"/>
          <w:highlight w:val="none"/>
        </w:rPr>
      </w:pPr>
      <w:r>
        <w:rPr>
          <w:color w:val="auto"/>
          <w:kern w:val="0"/>
          <w:sz w:val="24"/>
          <w:highlight w:val="none"/>
        </w:rPr>
        <w:t>《北京市公共资源交易服务平台应急预案》</w:t>
      </w:r>
    </w:p>
    <w:p>
      <w:pPr>
        <w:widowControl/>
        <w:numPr>
          <w:ilvl w:val="0"/>
          <w:numId w:val="10"/>
        </w:numPr>
        <w:spacing w:line="360" w:lineRule="auto"/>
        <w:rPr>
          <w:color w:val="auto"/>
          <w:kern w:val="0"/>
          <w:sz w:val="24"/>
          <w:highlight w:val="none"/>
        </w:rPr>
      </w:pPr>
      <w:r>
        <w:rPr>
          <w:color w:val="auto"/>
          <w:kern w:val="0"/>
          <w:sz w:val="24"/>
          <w:highlight w:val="none"/>
        </w:rPr>
        <w:t>《北京市公共资源交易监管平台应急预案》</w:t>
      </w:r>
    </w:p>
    <w:p>
      <w:pPr>
        <w:widowControl/>
        <w:numPr>
          <w:ilvl w:val="0"/>
          <w:numId w:val="10"/>
        </w:numPr>
        <w:spacing w:line="360" w:lineRule="auto"/>
        <w:rPr>
          <w:color w:val="auto"/>
          <w:kern w:val="0"/>
          <w:sz w:val="24"/>
          <w:highlight w:val="none"/>
        </w:rPr>
      </w:pPr>
      <w:r>
        <w:rPr>
          <w:color w:val="auto"/>
          <w:kern w:val="0"/>
          <w:sz w:val="24"/>
          <w:highlight w:val="none"/>
        </w:rPr>
        <w:t>《北京市公共资源交易综合交易系统应急预案》</w:t>
      </w:r>
    </w:p>
    <w:p>
      <w:pPr>
        <w:widowControl/>
        <w:numPr>
          <w:ilvl w:val="0"/>
          <w:numId w:val="10"/>
        </w:numPr>
        <w:spacing w:line="360" w:lineRule="auto"/>
        <w:rPr>
          <w:color w:val="auto"/>
          <w:kern w:val="0"/>
          <w:sz w:val="24"/>
          <w:highlight w:val="none"/>
        </w:rPr>
      </w:pPr>
      <w:r>
        <w:rPr>
          <w:color w:val="auto"/>
          <w:kern w:val="0"/>
          <w:sz w:val="24"/>
          <w:highlight w:val="none"/>
        </w:rPr>
        <w:t>《北京市公共资源交易运维系统应急预案》</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2、重点业务应急预案制定和修订</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根据重点业务运维保障的特点，分别对北京市公共资源交易服务平台门户网站、统一赋码、统一认证、立项信息共享、机构基础信息共享，综合交易系统开标、评标子系统制定相对独立的应急预案并做相关修订，配备相关应急资源，针对突发紧急情况，启动技术专家现场服务，必要时联合多方面专家进行联合分析诊断、事件定位与紧急处理，持续跟进直到问题完全解决。</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制定标准化的应急响应服务流程，建立分级故障响应机制，明确组织结构及职责划分，按照应急预案开展应急演练。</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应急预案主要包括：</w:t>
      </w:r>
    </w:p>
    <w:p>
      <w:pPr>
        <w:widowControl/>
        <w:numPr>
          <w:ilvl w:val="0"/>
          <w:numId w:val="10"/>
        </w:numPr>
        <w:spacing w:line="360" w:lineRule="auto"/>
        <w:rPr>
          <w:color w:val="auto"/>
          <w:kern w:val="0"/>
          <w:sz w:val="24"/>
          <w:highlight w:val="none"/>
        </w:rPr>
      </w:pPr>
      <w:r>
        <w:rPr>
          <w:color w:val="auto"/>
          <w:kern w:val="0"/>
          <w:sz w:val="24"/>
          <w:highlight w:val="none"/>
        </w:rPr>
        <w:t>《北京市公共资源交易服务平台门户网站应急预案》</w:t>
      </w:r>
    </w:p>
    <w:p>
      <w:pPr>
        <w:widowControl/>
        <w:numPr>
          <w:ilvl w:val="0"/>
          <w:numId w:val="10"/>
        </w:numPr>
        <w:spacing w:line="360" w:lineRule="auto"/>
        <w:rPr>
          <w:color w:val="auto"/>
          <w:kern w:val="0"/>
          <w:sz w:val="24"/>
          <w:highlight w:val="none"/>
        </w:rPr>
      </w:pPr>
      <w:r>
        <w:rPr>
          <w:color w:val="auto"/>
          <w:kern w:val="0"/>
          <w:sz w:val="24"/>
          <w:highlight w:val="none"/>
        </w:rPr>
        <w:t>《北京市公共资源交易服务平台统一赋码服务应急预案》</w:t>
      </w:r>
    </w:p>
    <w:p>
      <w:pPr>
        <w:widowControl/>
        <w:numPr>
          <w:ilvl w:val="0"/>
          <w:numId w:val="10"/>
        </w:numPr>
        <w:spacing w:line="360" w:lineRule="auto"/>
        <w:rPr>
          <w:color w:val="auto"/>
          <w:kern w:val="0"/>
          <w:sz w:val="24"/>
          <w:highlight w:val="none"/>
        </w:rPr>
      </w:pPr>
      <w:r>
        <w:rPr>
          <w:color w:val="auto"/>
          <w:kern w:val="0"/>
          <w:sz w:val="24"/>
          <w:highlight w:val="none"/>
        </w:rPr>
        <w:t>《北京市公共资源交易服务平台统一认证服务应急预案》</w:t>
      </w:r>
    </w:p>
    <w:p>
      <w:pPr>
        <w:widowControl/>
        <w:numPr>
          <w:ilvl w:val="0"/>
          <w:numId w:val="10"/>
        </w:numPr>
        <w:spacing w:line="360" w:lineRule="auto"/>
        <w:rPr>
          <w:color w:val="auto"/>
          <w:kern w:val="0"/>
          <w:sz w:val="24"/>
          <w:highlight w:val="none"/>
        </w:rPr>
      </w:pPr>
      <w:r>
        <w:rPr>
          <w:color w:val="auto"/>
          <w:kern w:val="0"/>
          <w:sz w:val="24"/>
          <w:highlight w:val="none"/>
        </w:rPr>
        <w:t>《北京市公共资源交易服务平台立项信息共享服务应急预案》</w:t>
      </w:r>
    </w:p>
    <w:p>
      <w:pPr>
        <w:widowControl/>
        <w:numPr>
          <w:ilvl w:val="0"/>
          <w:numId w:val="10"/>
        </w:numPr>
        <w:spacing w:line="360" w:lineRule="auto"/>
        <w:rPr>
          <w:color w:val="auto"/>
          <w:kern w:val="0"/>
          <w:sz w:val="24"/>
          <w:highlight w:val="none"/>
        </w:rPr>
      </w:pPr>
      <w:r>
        <w:rPr>
          <w:color w:val="auto"/>
          <w:kern w:val="0"/>
          <w:sz w:val="24"/>
          <w:highlight w:val="none"/>
        </w:rPr>
        <w:t>《北京市公共资源交易服务平台机构基础信息共享服务应急预案》</w:t>
      </w:r>
    </w:p>
    <w:p>
      <w:pPr>
        <w:widowControl/>
        <w:numPr>
          <w:ilvl w:val="0"/>
          <w:numId w:val="10"/>
        </w:numPr>
        <w:spacing w:line="360" w:lineRule="auto"/>
        <w:rPr>
          <w:color w:val="auto"/>
          <w:kern w:val="0"/>
          <w:sz w:val="24"/>
          <w:highlight w:val="none"/>
        </w:rPr>
      </w:pPr>
      <w:r>
        <w:rPr>
          <w:color w:val="auto"/>
          <w:kern w:val="0"/>
          <w:sz w:val="24"/>
          <w:highlight w:val="none"/>
        </w:rPr>
        <w:t>《北京市公共资源交易服务平台综合交易系统开标、评标子系统应急预案》</w:t>
      </w:r>
    </w:p>
    <w:p>
      <w:pPr>
        <w:keepNext/>
        <w:keepLines/>
        <w:adjustRightInd w:val="0"/>
        <w:spacing w:before="280" w:after="290" w:line="376" w:lineRule="atLeast"/>
        <w:textAlignment w:val="baseline"/>
        <w:outlineLvl w:val="4"/>
        <w:rPr>
          <w:b/>
          <w:color w:val="auto"/>
          <w:kern w:val="0"/>
          <w:sz w:val="28"/>
          <w:szCs w:val="28"/>
          <w:highlight w:val="none"/>
        </w:rPr>
      </w:pPr>
      <w:bookmarkStart w:id="20" w:name="_Toc59115840"/>
      <w:r>
        <w:rPr>
          <w:b/>
          <w:color w:val="auto"/>
          <w:kern w:val="0"/>
          <w:sz w:val="28"/>
          <w:szCs w:val="28"/>
          <w:highlight w:val="none"/>
        </w:rPr>
        <w:t>2.7.2应急演练</w:t>
      </w:r>
      <w:bookmarkEnd w:id="20"/>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每年至少对北京市公共资源交易服务平台门户网站、统一赋码服务、统一认证服务，综合交易系统招投标、开标、评标子系统的主要业务功能和各业务系统数据备份与恢复进行两次应急演练，制定详细的演练方案和演练计划，演练过程中记录具体演练流程，在演练结束后及时完成演练总结报告。</w:t>
      </w:r>
    </w:p>
    <w:p>
      <w:pPr>
        <w:keepNext/>
        <w:keepLines/>
        <w:adjustRightInd w:val="0"/>
        <w:spacing w:before="280" w:after="290" w:line="376" w:lineRule="atLeast"/>
        <w:textAlignment w:val="baseline"/>
        <w:outlineLvl w:val="4"/>
        <w:rPr>
          <w:b/>
          <w:color w:val="auto"/>
          <w:kern w:val="0"/>
          <w:sz w:val="28"/>
          <w:szCs w:val="28"/>
          <w:highlight w:val="none"/>
        </w:rPr>
      </w:pPr>
      <w:bookmarkStart w:id="21" w:name="_Toc59115841"/>
      <w:r>
        <w:rPr>
          <w:b/>
          <w:color w:val="auto"/>
          <w:kern w:val="0"/>
          <w:sz w:val="28"/>
          <w:szCs w:val="28"/>
          <w:highlight w:val="none"/>
        </w:rPr>
        <w:t>2.7.3应急处置</w:t>
      </w:r>
      <w:bookmarkEnd w:id="21"/>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配合</w:t>
      </w:r>
      <w:r>
        <w:rPr>
          <w:rFonts w:hint="eastAsia"/>
          <w:color w:val="auto"/>
          <w:kern w:val="0"/>
          <w:sz w:val="24"/>
          <w:highlight w:val="none"/>
        </w:rPr>
        <w:t>采购人</w:t>
      </w:r>
      <w:r>
        <w:rPr>
          <w:color w:val="auto"/>
          <w:kern w:val="0"/>
          <w:sz w:val="24"/>
          <w:highlight w:val="none"/>
        </w:rPr>
        <w:t>、云服务方、云环境运维方进行以下应急处置。</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1、一般性事件应急处置</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一般性事件定义：现有系统的操作性能严重降低，或由于网络性能失常或安全事件严重影响数据中心业务运作，持续小于4小时，造成一定范围的不良影响的事件。持续时间超过4小时则升级到重大事件。包括一般网站事件、严重网络事件、严重应用事件和基础设施故障等安全事件。</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一般性事件服务响应：工作时间1小时之内启动应急响应，非工作时间2小时之内启动应急响应。</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一般性事件处置：一般性事件需在4小时之内完成业务恢复、备机启用。</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2、重大事件应急处置</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重大事件定义：现有的系统宕机，或遭到严重攻击、入侵等行为，使业务系统无法正常提供服务、信息系统的正常业务运作产生重大影响，或严重影响到业务提供服务的服务质量的，造成大范围不良影响的重大事件。包括重大网络事件、网站事件、应用事件和严重的基础设施故障等安全事件。</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重大事件服务响应：工作时间10分钟之内启动应急响应，非工作时间20分钟之内启动应急响应。</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重大事件处置：重大事件需在30分钟之内完成业务恢复、备机启用。</w:t>
      </w:r>
    </w:p>
    <w:p>
      <w:pPr>
        <w:keepNext/>
        <w:keepLines/>
        <w:adjustRightInd w:val="0"/>
        <w:spacing w:before="280" w:after="290" w:line="376" w:lineRule="atLeast"/>
        <w:textAlignment w:val="baseline"/>
        <w:outlineLvl w:val="3"/>
        <w:rPr>
          <w:b/>
          <w:color w:val="auto"/>
          <w:kern w:val="0"/>
          <w:sz w:val="28"/>
          <w:szCs w:val="20"/>
          <w:highlight w:val="none"/>
        </w:rPr>
      </w:pPr>
      <w:bookmarkStart w:id="22" w:name="_Toc59115842"/>
      <w:r>
        <w:rPr>
          <w:b/>
          <w:color w:val="auto"/>
          <w:kern w:val="0"/>
          <w:sz w:val="28"/>
          <w:szCs w:val="20"/>
          <w:highlight w:val="none"/>
        </w:rPr>
        <w:t>2.8重点时期保障</w:t>
      </w:r>
      <w:bookmarkEnd w:id="22"/>
    </w:p>
    <w:p>
      <w:pPr>
        <w:keepNext/>
        <w:keepLines/>
        <w:adjustRightInd w:val="0"/>
        <w:spacing w:before="280" w:after="290" w:line="376" w:lineRule="atLeast"/>
        <w:textAlignment w:val="baseline"/>
        <w:outlineLvl w:val="4"/>
        <w:rPr>
          <w:b/>
          <w:color w:val="auto"/>
          <w:kern w:val="0"/>
          <w:sz w:val="28"/>
          <w:szCs w:val="28"/>
          <w:highlight w:val="none"/>
        </w:rPr>
      </w:pPr>
      <w:bookmarkStart w:id="23" w:name="_Toc59115843"/>
      <w:r>
        <w:rPr>
          <w:b/>
          <w:color w:val="auto"/>
          <w:kern w:val="0"/>
          <w:sz w:val="28"/>
          <w:szCs w:val="28"/>
          <w:highlight w:val="none"/>
        </w:rPr>
        <w:t>2.8.1重点时期</w:t>
      </w:r>
      <w:bookmarkEnd w:id="23"/>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考虑到系统在本市公共资源交易中的重要作用，需要在春节、全国两会、建党、国庆重点时期安排专人全天24小时值守，保障系统的正常运转。</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2026年5月～2027年4月重点值守时期包括：</w:t>
      </w:r>
    </w:p>
    <w:tbl>
      <w:tblPr>
        <w:tblStyle w:val="4"/>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2"/>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292" w:type="dxa"/>
            <w:noWrap w:val="0"/>
            <w:vAlign w:val="top"/>
          </w:tcPr>
          <w:p>
            <w:pPr>
              <w:spacing w:line="360" w:lineRule="auto"/>
              <w:jc w:val="center"/>
              <w:rPr>
                <w:b/>
                <w:color w:val="auto"/>
                <w:sz w:val="24"/>
                <w:highlight w:val="none"/>
              </w:rPr>
            </w:pPr>
            <w:r>
              <w:rPr>
                <w:b/>
                <w:color w:val="auto"/>
                <w:sz w:val="24"/>
                <w:highlight w:val="none"/>
              </w:rPr>
              <w:t>重点时期</w:t>
            </w:r>
          </w:p>
        </w:tc>
        <w:tc>
          <w:tcPr>
            <w:tcW w:w="3770" w:type="dxa"/>
            <w:noWrap w:val="0"/>
            <w:vAlign w:val="top"/>
          </w:tcPr>
          <w:p>
            <w:pPr>
              <w:spacing w:line="360" w:lineRule="auto"/>
              <w:jc w:val="center"/>
              <w:rPr>
                <w:b/>
                <w:color w:val="auto"/>
                <w:sz w:val="24"/>
                <w:highlight w:val="none"/>
              </w:rPr>
            </w:pPr>
            <w:r>
              <w:rPr>
                <w:b/>
                <w:color w:val="auto"/>
                <w:sz w:val="24"/>
                <w:highlight w:val="none"/>
              </w:rPr>
              <w:t>值守天数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92" w:type="dxa"/>
            <w:noWrap w:val="0"/>
            <w:vAlign w:val="top"/>
          </w:tcPr>
          <w:p>
            <w:pPr>
              <w:spacing w:line="360" w:lineRule="auto"/>
              <w:jc w:val="center"/>
              <w:rPr>
                <w:color w:val="auto"/>
                <w:sz w:val="24"/>
                <w:highlight w:val="none"/>
              </w:rPr>
            </w:pPr>
            <w:r>
              <w:rPr>
                <w:color w:val="auto"/>
                <w:sz w:val="24"/>
                <w:highlight w:val="none"/>
              </w:rPr>
              <w:t>春节</w:t>
            </w:r>
          </w:p>
        </w:tc>
        <w:tc>
          <w:tcPr>
            <w:tcW w:w="3770" w:type="dxa"/>
            <w:noWrap w:val="0"/>
            <w:vAlign w:val="top"/>
          </w:tcPr>
          <w:p>
            <w:pPr>
              <w:spacing w:line="360" w:lineRule="auto"/>
              <w:jc w:val="center"/>
              <w:rPr>
                <w:color w:val="auto"/>
                <w:sz w:val="24"/>
                <w:highlight w:val="none"/>
              </w:rPr>
            </w:pPr>
            <w:r>
              <w:rPr>
                <w:color w:val="auto"/>
                <w:sz w:val="24"/>
                <w:highlight w:val="none"/>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92" w:type="dxa"/>
            <w:noWrap w:val="0"/>
            <w:vAlign w:val="top"/>
          </w:tcPr>
          <w:p>
            <w:pPr>
              <w:spacing w:line="360" w:lineRule="auto"/>
              <w:jc w:val="center"/>
              <w:rPr>
                <w:color w:val="auto"/>
                <w:sz w:val="24"/>
                <w:highlight w:val="none"/>
              </w:rPr>
            </w:pPr>
            <w:r>
              <w:rPr>
                <w:color w:val="auto"/>
                <w:sz w:val="24"/>
                <w:highlight w:val="none"/>
              </w:rPr>
              <w:t>全国两会</w:t>
            </w:r>
          </w:p>
        </w:tc>
        <w:tc>
          <w:tcPr>
            <w:tcW w:w="3770" w:type="dxa"/>
            <w:noWrap w:val="0"/>
            <w:vAlign w:val="top"/>
          </w:tcPr>
          <w:p>
            <w:pPr>
              <w:spacing w:line="360" w:lineRule="auto"/>
              <w:jc w:val="center"/>
              <w:rPr>
                <w:color w:val="auto"/>
                <w:sz w:val="24"/>
                <w:highlight w:val="none"/>
              </w:rPr>
            </w:pPr>
            <w:r>
              <w:rPr>
                <w:color w:val="auto"/>
                <w:sz w:val="24"/>
                <w:highlight w:val="none"/>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92" w:type="dxa"/>
            <w:noWrap w:val="0"/>
            <w:vAlign w:val="top"/>
          </w:tcPr>
          <w:p>
            <w:pPr>
              <w:spacing w:line="360" w:lineRule="auto"/>
              <w:jc w:val="center"/>
              <w:rPr>
                <w:color w:val="auto"/>
                <w:sz w:val="24"/>
                <w:highlight w:val="none"/>
              </w:rPr>
            </w:pPr>
            <w:r>
              <w:rPr>
                <w:color w:val="auto"/>
                <w:sz w:val="24"/>
                <w:highlight w:val="none"/>
              </w:rPr>
              <w:t>建党</w:t>
            </w:r>
          </w:p>
        </w:tc>
        <w:tc>
          <w:tcPr>
            <w:tcW w:w="3770" w:type="dxa"/>
            <w:noWrap w:val="0"/>
            <w:vAlign w:val="top"/>
          </w:tcPr>
          <w:p>
            <w:pPr>
              <w:spacing w:line="360" w:lineRule="auto"/>
              <w:jc w:val="center"/>
              <w:rPr>
                <w:color w:val="auto"/>
                <w:sz w:val="24"/>
                <w:highlight w:val="none"/>
              </w:rPr>
            </w:pPr>
            <w:r>
              <w:rPr>
                <w:color w:val="auto"/>
                <w:sz w:val="24"/>
                <w:highlight w:val="none"/>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92" w:type="dxa"/>
            <w:noWrap w:val="0"/>
            <w:vAlign w:val="top"/>
          </w:tcPr>
          <w:p>
            <w:pPr>
              <w:spacing w:line="360" w:lineRule="auto"/>
              <w:jc w:val="center"/>
              <w:rPr>
                <w:color w:val="auto"/>
                <w:sz w:val="24"/>
                <w:highlight w:val="none"/>
              </w:rPr>
            </w:pPr>
            <w:r>
              <w:rPr>
                <w:color w:val="auto"/>
                <w:sz w:val="24"/>
                <w:highlight w:val="none"/>
              </w:rPr>
              <w:t>国庆</w:t>
            </w:r>
          </w:p>
        </w:tc>
        <w:tc>
          <w:tcPr>
            <w:tcW w:w="3770" w:type="dxa"/>
            <w:noWrap w:val="0"/>
            <w:vAlign w:val="top"/>
          </w:tcPr>
          <w:p>
            <w:pPr>
              <w:spacing w:line="360" w:lineRule="auto"/>
              <w:jc w:val="center"/>
              <w:rPr>
                <w:color w:val="auto"/>
                <w:sz w:val="24"/>
                <w:highlight w:val="none"/>
              </w:rPr>
            </w:pPr>
            <w:r>
              <w:rPr>
                <w:color w:val="auto"/>
                <w:sz w:val="24"/>
                <w:highlight w:val="none"/>
              </w:rPr>
              <w:t>15天</w:t>
            </w:r>
          </w:p>
        </w:tc>
      </w:tr>
    </w:tbl>
    <w:p>
      <w:pPr>
        <w:keepNext/>
        <w:keepLines/>
        <w:adjustRightInd w:val="0"/>
        <w:spacing w:before="280" w:after="290" w:line="376" w:lineRule="atLeast"/>
        <w:textAlignment w:val="baseline"/>
        <w:outlineLvl w:val="4"/>
        <w:rPr>
          <w:b/>
          <w:color w:val="auto"/>
          <w:kern w:val="0"/>
          <w:sz w:val="28"/>
          <w:szCs w:val="28"/>
          <w:highlight w:val="none"/>
        </w:rPr>
      </w:pPr>
      <w:bookmarkStart w:id="24" w:name="_Toc59115844"/>
      <w:r>
        <w:rPr>
          <w:b/>
          <w:color w:val="auto"/>
          <w:kern w:val="0"/>
          <w:sz w:val="28"/>
          <w:szCs w:val="28"/>
          <w:highlight w:val="none"/>
        </w:rPr>
        <w:t>2.8.2监控和保障范围</w:t>
      </w:r>
      <w:bookmarkEnd w:id="24"/>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为确保重要时期北京市公共平台各信息系统重点业务的正常运行，要求提高业务系统24小时人机巡检频次，同时安排人员进行每日2次（10时、22时）读网值守工作，值守人员需按值守时间要求对各业务系统重点业务功能与访问链接是否正常进行巡检，并及时汇报巡检结果。如发现问题，值守人员应及时汇报，并按照应急预案要求进行处理。</w:t>
      </w:r>
    </w:p>
    <w:p>
      <w:pPr>
        <w:keepNext/>
        <w:keepLines/>
        <w:adjustRightInd w:val="0"/>
        <w:spacing w:before="280" w:after="290" w:line="376" w:lineRule="atLeast"/>
        <w:textAlignment w:val="baseline"/>
        <w:outlineLvl w:val="4"/>
        <w:rPr>
          <w:b/>
          <w:color w:val="auto"/>
          <w:kern w:val="0"/>
          <w:sz w:val="28"/>
          <w:szCs w:val="28"/>
          <w:highlight w:val="none"/>
        </w:rPr>
      </w:pPr>
      <w:bookmarkStart w:id="25" w:name="_Toc59115845"/>
      <w:r>
        <w:rPr>
          <w:b/>
          <w:color w:val="auto"/>
          <w:kern w:val="0"/>
          <w:sz w:val="28"/>
          <w:szCs w:val="28"/>
          <w:highlight w:val="none"/>
        </w:rPr>
        <w:t>2.8.3人员安排</w:t>
      </w:r>
      <w:bookmarkEnd w:id="25"/>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重点时期的值守服务应当明确具体人员安排，人员安排需要到人到天到班，形成《重点时期值守人员安排表》和《重点时期应急人员电话表》。</w:t>
      </w:r>
    </w:p>
    <w:p>
      <w:pPr>
        <w:keepNext/>
        <w:keepLines/>
        <w:adjustRightInd w:val="0"/>
        <w:spacing w:before="280" w:after="290" w:line="376" w:lineRule="atLeast"/>
        <w:textAlignment w:val="baseline"/>
        <w:outlineLvl w:val="4"/>
        <w:rPr>
          <w:b/>
          <w:color w:val="auto"/>
          <w:kern w:val="0"/>
          <w:sz w:val="28"/>
          <w:szCs w:val="28"/>
          <w:highlight w:val="none"/>
        </w:rPr>
      </w:pPr>
      <w:bookmarkStart w:id="26" w:name="_Toc59115846"/>
      <w:r>
        <w:rPr>
          <w:b/>
          <w:color w:val="auto"/>
          <w:kern w:val="0"/>
          <w:sz w:val="28"/>
          <w:szCs w:val="28"/>
          <w:highlight w:val="none"/>
        </w:rPr>
        <w:t>2.8.4重点时期专项应急预案制定</w:t>
      </w:r>
      <w:bookmarkEnd w:id="26"/>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根据重点时期运维保障的特点，制定相应的应急预案，配备相关应急资源，针对突发紧急情况，启动技术专家现场服务，必要时联合多方面专家进行联合分析诊断、事件定位与紧急处理，持续跟进直到问题完全解决。</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制定标准化的应急响应服务流程，建立分级故障响应机制，明确组织结构及职责划分。</w:t>
      </w:r>
      <w:bookmarkStart w:id="27" w:name="_Toc53606199"/>
      <w:bookmarkEnd w:id="27"/>
      <w:bookmarkStart w:id="28" w:name="_Toc53606179"/>
      <w:bookmarkEnd w:id="28"/>
      <w:bookmarkStart w:id="29" w:name="_Toc53606489"/>
      <w:bookmarkEnd w:id="29"/>
      <w:bookmarkStart w:id="30" w:name="_Toc53606503"/>
      <w:bookmarkEnd w:id="30"/>
      <w:bookmarkStart w:id="31" w:name="_Toc53606231"/>
      <w:bookmarkEnd w:id="31"/>
      <w:bookmarkStart w:id="32" w:name="_Toc53606298"/>
      <w:bookmarkEnd w:id="32"/>
      <w:bookmarkStart w:id="33" w:name="_Toc53606594"/>
      <w:bookmarkEnd w:id="33"/>
      <w:bookmarkStart w:id="34" w:name="_Toc53606206"/>
      <w:bookmarkEnd w:id="34"/>
      <w:bookmarkStart w:id="35" w:name="_Toc53606270"/>
      <w:bookmarkEnd w:id="35"/>
      <w:bookmarkStart w:id="36" w:name="_Toc53606149"/>
      <w:bookmarkEnd w:id="36"/>
      <w:bookmarkStart w:id="37" w:name="_Toc53606513"/>
      <w:bookmarkEnd w:id="37"/>
      <w:bookmarkStart w:id="38" w:name="_Toc53606476"/>
      <w:bookmarkEnd w:id="38"/>
      <w:bookmarkStart w:id="39" w:name="_Toc53606230"/>
      <w:bookmarkEnd w:id="39"/>
      <w:bookmarkStart w:id="40" w:name="_Toc53606188"/>
      <w:bookmarkEnd w:id="40"/>
      <w:bookmarkStart w:id="41" w:name="_Toc53606477"/>
      <w:bookmarkEnd w:id="41"/>
      <w:bookmarkStart w:id="42" w:name="_Toc53606275"/>
      <w:bookmarkEnd w:id="42"/>
      <w:bookmarkStart w:id="43" w:name="_Toc53606265"/>
      <w:bookmarkEnd w:id="43"/>
      <w:bookmarkStart w:id="44" w:name="_Toc53606239"/>
      <w:bookmarkEnd w:id="44"/>
      <w:bookmarkStart w:id="45" w:name="_Toc53606240"/>
      <w:bookmarkEnd w:id="45"/>
      <w:bookmarkStart w:id="46" w:name="_Toc53606197"/>
      <w:bookmarkEnd w:id="46"/>
      <w:bookmarkStart w:id="47" w:name="_Toc53606132"/>
      <w:bookmarkEnd w:id="47"/>
      <w:bookmarkStart w:id="48" w:name="_Toc53606196"/>
      <w:bookmarkEnd w:id="48"/>
      <w:bookmarkStart w:id="49" w:name="_Toc53606248"/>
      <w:bookmarkEnd w:id="49"/>
      <w:bookmarkStart w:id="50" w:name="_Toc53606133"/>
      <w:bookmarkEnd w:id="50"/>
      <w:bookmarkStart w:id="51" w:name="_Toc53606237"/>
      <w:bookmarkEnd w:id="51"/>
      <w:bookmarkStart w:id="52" w:name="_Toc53606497"/>
      <w:bookmarkEnd w:id="52"/>
      <w:bookmarkStart w:id="53" w:name="_Toc53606200"/>
      <w:bookmarkEnd w:id="53"/>
      <w:bookmarkStart w:id="54" w:name="_Toc53606519"/>
      <w:bookmarkEnd w:id="54"/>
      <w:bookmarkStart w:id="55" w:name="_Toc53606189"/>
      <w:bookmarkEnd w:id="55"/>
      <w:bookmarkStart w:id="56" w:name="_Toc53606224"/>
      <w:bookmarkEnd w:id="56"/>
      <w:bookmarkStart w:id="57" w:name="_Toc53606214"/>
      <w:bookmarkEnd w:id="57"/>
      <w:bookmarkStart w:id="58" w:name="_Toc53606296"/>
      <w:bookmarkEnd w:id="58"/>
      <w:bookmarkStart w:id="59" w:name="_Toc53606316"/>
      <w:bookmarkEnd w:id="59"/>
      <w:bookmarkStart w:id="60" w:name="_Toc53606273"/>
      <w:bookmarkEnd w:id="60"/>
      <w:bookmarkStart w:id="61" w:name="_Toc53606369"/>
      <w:bookmarkEnd w:id="61"/>
      <w:bookmarkStart w:id="62" w:name="_Toc53606193"/>
      <w:bookmarkEnd w:id="62"/>
      <w:bookmarkStart w:id="63" w:name="_Toc53606216"/>
      <w:bookmarkEnd w:id="63"/>
      <w:bookmarkStart w:id="64" w:name="_Toc53606312"/>
      <w:bookmarkEnd w:id="64"/>
      <w:bookmarkStart w:id="65" w:name="_Toc53606324"/>
      <w:bookmarkEnd w:id="65"/>
      <w:bookmarkStart w:id="66" w:name="_Toc53606238"/>
      <w:bookmarkEnd w:id="66"/>
      <w:bookmarkStart w:id="67" w:name="_Toc53606305"/>
      <w:bookmarkEnd w:id="67"/>
      <w:bookmarkStart w:id="68" w:name="_Toc53606233"/>
      <w:bookmarkEnd w:id="68"/>
      <w:bookmarkStart w:id="69" w:name="_Toc53606281"/>
      <w:bookmarkEnd w:id="69"/>
      <w:bookmarkStart w:id="70" w:name="_Toc53606300"/>
      <w:bookmarkEnd w:id="70"/>
      <w:bookmarkStart w:id="71" w:name="_Toc53606283"/>
      <w:bookmarkEnd w:id="71"/>
      <w:bookmarkStart w:id="72" w:name="_Toc53606220"/>
      <w:bookmarkEnd w:id="72"/>
      <w:bookmarkStart w:id="73" w:name="_Toc53605975"/>
      <w:bookmarkEnd w:id="73"/>
      <w:bookmarkStart w:id="74" w:name="_Toc53605976"/>
      <w:bookmarkEnd w:id="74"/>
      <w:bookmarkStart w:id="75" w:name="_Toc53605931"/>
      <w:bookmarkEnd w:id="75"/>
      <w:bookmarkStart w:id="76" w:name="_Toc53605783"/>
      <w:bookmarkEnd w:id="76"/>
      <w:bookmarkStart w:id="77" w:name="_Toc53606057"/>
      <w:bookmarkEnd w:id="77"/>
      <w:bookmarkStart w:id="78" w:name="_Toc53605954"/>
      <w:bookmarkEnd w:id="78"/>
      <w:bookmarkStart w:id="79" w:name="_Toc53605786"/>
      <w:bookmarkEnd w:id="79"/>
      <w:bookmarkStart w:id="80" w:name="_Toc53606130"/>
      <w:bookmarkEnd w:id="80"/>
      <w:bookmarkStart w:id="81" w:name="_Toc53606106"/>
      <w:bookmarkEnd w:id="81"/>
      <w:bookmarkStart w:id="82" w:name="_Toc53606089"/>
      <w:bookmarkEnd w:id="82"/>
      <w:bookmarkStart w:id="83" w:name="_Toc53606104"/>
      <w:bookmarkEnd w:id="83"/>
      <w:bookmarkStart w:id="84" w:name="_Toc53606099"/>
      <w:bookmarkEnd w:id="84"/>
      <w:bookmarkStart w:id="85" w:name="_Toc53606008"/>
      <w:bookmarkEnd w:id="85"/>
      <w:bookmarkStart w:id="86" w:name="_Toc53606087"/>
      <w:bookmarkEnd w:id="86"/>
      <w:bookmarkStart w:id="87" w:name="_Toc53605798"/>
      <w:bookmarkEnd w:id="87"/>
      <w:bookmarkStart w:id="88" w:name="_Toc53606093"/>
      <w:bookmarkEnd w:id="88"/>
      <w:bookmarkStart w:id="89" w:name="_Toc53606085"/>
      <w:bookmarkEnd w:id="89"/>
      <w:bookmarkStart w:id="90" w:name="_Toc53605908"/>
      <w:bookmarkEnd w:id="90"/>
      <w:bookmarkStart w:id="91" w:name="_Toc53606006"/>
      <w:bookmarkEnd w:id="91"/>
      <w:bookmarkStart w:id="92" w:name="_Toc53605838"/>
      <w:bookmarkEnd w:id="92"/>
      <w:bookmarkStart w:id="93" w:name="_Toc53605912"/>
      <w:bookmarkEnd w:id="93"/>
      <w:bookmarkStart w:id="94" w:name="_Toc53605889"/>
      <w:bookmarkEnd w:id="94"/>
      <w:bookmarkStart w:id="95" w:name="_Toc53606058"/>
      <w:bookmarkEnd w:id="95"/>
      <w:bookmarkStart w:id="96" w:name="_Toc53605861"/>
      <w:bookmarkEnd w:id="96"/>
      <w:bookmarkStart w:id="97" w:name="_Toc53605932"/>
      <w:bookmarkEnd w:id="97"/>
      <w:bookmarkStart w:id="98" w:name="_Toc53606114"/>
      <w:bookmarkEnd w:id="98"/>
      <w:bookmarkStart w:id="99" w:name="_Toc53606080"/>
      <w:bookmarkEnd w:id="99"/>
      <w:bookmarkStart w:id="100" w:name="_Toc53606123"/>
      <w:bookmarkEnd w:id="100"/>
      <w:bookmarkStart w:id="101" w:name="_Toc53605863"/>
      <w:bookmarkEnd w:id="101"/>
      <w:bookmarkStart w:id="102" w:name="_Toc53605821"/>
      <w:bookmarkEnd w:id="102"/>
      <w:bookmarkStart w:id="103" w:name="_Toc53605955"/>
      <w:bookmarkEnd w:id="103"/>
      <w:bookmarkStart w:id="104" w:name="_Toc53606059"/>
      <w:bookmarkEnd w:id="104"/>
      <w:bookmarkStart w:id="105" w:name="_Toc53606095"/>
      <w:bookmarkEnd w:id="105"/>
      <w:bookmarkStart w:id="106" w:name="_Toc53605934"/>
      <w:bookmarkEnd w:id="106"/>
      <w:bookmarkStart w:id="107" w:name="_Toc53605807"/>
      <w:bookmarkEnd w:id="107"/>
      <w:bookmarkStart w:id="108" w:name="_Toc53605956"/>
      <w:bookmarkEnd w:id="108"/>
      <w:bookmarkStart w:id="109" w:name="_Toc53606121"/>
      <w:bookmarkEnd w:id="109"/>
      <w:bookmarkStart w:id="110" w:name="_Toc53606112"/>
      <w:bookmarkEnd w:id="110"/>
      <w:bookmarkStart w:id="111" w:name="_Toc53606053"/>
      <w:bookmarkEnd w:id="111"/>
      <w:bookmarkStart w:id="112" w:name="_Toc53606142"/>
      <w:bookmarkEnd w:id="112"/>
      <w:bookmarkStart w:id="113" w:name="_Toc53606140"/>
      <w:bookmarkEnd w:id="113"/>
      <w:bookmarkStart w:id="114" w:name="_Toc53606088"/>
      <w:bookmarkEnd w:id="114"/>
      <w:bookmarkStart w:id="115" w:name="_Toc53606052"/>
      <w:bookmarkEnd w:id="115"/>
      <w:bookmarkStart w:id="116" w:name="_Toc53606037"/>
      <w:bookmarkEnd w:id="116"/>
      <w:bookmarkStart w:id="117" w:name="_Toc53606055"/>
      <w:bookmarkEnd w:id="117"/>
      <w:bookmarkStart w:id="118" w:name="_Toc53606105"/>
      <w:bookmarkEnd w:id="118"/>
      <w:bookmarkStart w:id="119" w:name="_Toc53606091"/>
      <w:bookmarkEnd w:id="119"/>
      <w:bookmarkStart w:id="120" w:name="_Toc53605820"/>
      <w:bookmarkEnd w:id="120"/>
      <w:bookmarkStart w:id="121" w:name="_Toc53606145"/>
      <w:bookmarkEnd w:id="121"/>
      <w:bookmarkStart w:id="122" w:name="_Toc53606094"/>
      <w:bookmarkEnd w:id="122"/>
      <w:bookmarkStart w:id="123" w:name="_Toc53606195"/>
      <w:bookmarkEnd w:id="123"/>
      <w:bookmarkStart w:id="124" w:name="_Toc53606103"/>
      <w:bookmarkEnd w:id="124"/>
      <w:bookmarkStart w:id="125" w:name="_Toc53606083"/>
      <w:bookmarkEnd w:id="125"/>
      <w:bookmarkStart w:id="126" w:name="_Toc53606176"/>
      <w:bookmarkEnd w:id="126"/>
      <w:bookmarkStart w:id="127" w:name="_Toc53605862"/>
      <w:bookmarkEnd w:id="127"/>
      <w:bookmarkStart w:id="128" w:name="_Toc53605864"/>
      <w:bookmarkEnd w:id="128"/>
      <w:bookmarkStart w:id="129" w:name="_Toc53606107"/>
      <w:bookmarkEnd w:id="129"/>
      <w:bookmarkStart w:id="130" w:name="_Toc53606124"/>
      <w:bookmarkEnd w:id="130"/>
      <w:bookmarkStart w:id="131" w:name="_Toc53606054"/>
      <w:bookmarkEnd w:id="131"/>
      <w:bookmarkStart w:id="132" w:name="_Toc53605933"/>
      <w:bookmarkEnd w:id="132"/>
      <w:bookmarkStart w:id="133" w:name="_Toc53606127"/>
      <w:bookmarkEnd w:id="133"/>
      <w:bookmarkStart w:id="134" w:name="_Toc53606111"/>
      <w:bookmarkEnd w:id="134"/>
      <w:bookmarkStart w:id="135" w:name="_Toc53606092"/>
      <w:bookmarkEnd w:id="135"/>
      <w:bookmarkStart w:id="136" w:name="_Toc53606177"/>
      <w:bookmarkEnd w:id="136"/>
      <w:bookmarkStart w:id="137" w:name="_Toc53606039"/>
      <w:bookmarkEnd w:id="137"/>
      <w:bookmarkStart w:id="138" w:name="_Toc53606096"/>
      <w:bookmarkEnd w:id="138"/>
      <w:bookmarkStart w:id="139" w:name="_Toc53605886"/>
      <w:bookmarkEnd w:id="139"/>
      <w:bookmarkStart w:id="140" w:name="_Toc53606082"/>
      <w:bookmarkEnd w:id="140"/>
      <w:bookmarkStart w:id="141" w:name="_Toc53606009"/>
      <w:bookmarkEnd w:id="141"/>
      <w:bookmarkStart w:id="142" w:name="_Toc53606081"/>
      <w:bookmarkEnd w:id="142"/>
      <w:bookmarkStart w:id="143" w:name="_Toc53606236"/>
      <w:bookmarkEnd w:id="143"/>
      <w:bookmarkStart w:id="144" w:name="_Toc53606109"/>
      <w:bookmarkEnd w:id="144"/>
      <w:bookmarkStart w:id="145" w:name="_Toc53606173"/>
      <w:bookmarkEnd w:id="145"/>
      <w:bookmarkStart w:id="146" w:name="_Toc53606190"/>
      <w:bookmarkEnd w:id="146"/>
      <w:bookmarkStart w:id="147" w:name="_Toc53606108"/>
      <w:bookmarkEnd w:id="147"/>
      <w:bookmarkStart w:id="148" w:name="_Toc53606098"/>
      <w:bookmarkEnd w:id="148"/>
      <w:bookmarkStart w:id="149" w:name="_Toc53606208"/>
      <w:bookmarkEnd w:id="149"/>
      <w:bookmarkStart w:id="150" w:name="_Toc53606178"/>
      <w:bookmarkEnd w:id="150"/>
      <w:bookmarkStart w:id="151" w:name="_Toc53606135"/>
      <w:bookmarkEnd w:id="151"/>
      <w:bookmarkStart w:id="152" w:name="_Toc53606171"/>
      <w:bookmarkEnd w:id="152"/>
      <w:bookmarkStart w:id="153" w:name="_Toc53606100"/>
      <w:bookmarkEnd w:id="153"/>
      <w:bookmarkStart w:id="154" w:name="_Toc53606102"/>
      <w:bookmarkEnd w:id="154"/>
      <w:bookmarkStart w:id="155" w:name="_Toc53606136"/>
      <w:bookmarkEnd w:id="155"/>
      <w:bookmarkStart w:id="156" w:name="_Toc53606210"/>
      <w:bookmarkEnd w:id="156"/>
      <w:bookmarkStart w:id="157" w:name="_Toc53606122"/>
      <w:bookmarkEnd w:id="157"/>
      <w:bookmarkStart w:id="158" w:name="_Toc53606174"/>
      <w:bookmarkEnd w:id="158"/>
      <w:bookmarkStart w:id="159" w:name="_Toc53606144"/>
      <w:bookmarkEnd w:id="159"/>
      <w:bookmarkStart w:id="160" w:name="_Toc53606118"/>
      <w:bookmarkEnd w:id="160"/>
      <w:bookmarkStart w:id="161" w:name="_Toc53606139"/>
      <w:bookmarkEnd w:id="161"/>
      <w:bookmarkStart w:id="162" w:name="_Toc53606129"/>
      <w:bookmarkEnd w:id="162"/>
      <w:bookmarkStart w:id="163" w:name="_Toc53606116"/>
      <w:bookmarkEnd w:id="163"/>
      <w:bookmarkStart w:id="164" w:name="_Toc53606086"/>
      <w:bookmarkEnd w:id="164"/>
      <w:bookmarkStart w:id="165" w:name="_Toc53606134"/>
      <w:bookmarkEnd w:id="165"/>
      <w:bookmarkStart w:id="166" w:name="_Toc53606126"/>
      <w:bookmarkEnd w:id="166"/>
      <w:bookmarkStart w:id="167" w:name="_Toc53606120"/>
      <w:bookmarkEnd w:id="167"/>
      <w:bookmarkStart w:id="168" w:name="_Toc53606194"/>
      <w:bookmarkEnd w:id="168"/>
      <w:bookmarkStart w:id="169" w:name="_Toc53606117"/>
      <w:bookmarkEnd w:id="169"/>
      <w:bookmarkStart w:id="170" w:name="_Toc53606172"/>
      <w:bookmarkEnd w:id="170"/>
      <w:bookmarkStart w:id="171" w:name="_Toc53606128"/>
      <w:bookmarkEnd w:id="171"/>
      <w:bookmarkStart w:id="172" w:name="_Toc53606198"/>
      <w:bookmarkEnd w:id="172"/>
      <w:bookmarkStart w:id="173" w:name="_Toc53606213"/>
      <w:bookmarkEnd w:id="173"/>
      <w:bookmarkStart w:id="174" w:name="_Toc53606113"/>
      <w:bookmarkEnd w:id="174"/>
      <w:bookmarkStart w:id="175" w:name="_Toc53606141"/>
      <w:bookmarkEnd w:id="175"/>
      <w:bookmarkStart w:id="176" w:name="_Toc53606253"/>
      <w:bookmarkEnd w:id="176"/>
      <w:bookmarkStart w:id="177" w:name="_Toc53606185"/>
      <w:bookmarkEnd w:id="177"/>
      <w:bookmarkStart w:id="178" w:name="_Toc53606228"/>
      <w:bookmarkEnd w:id="178"/>
      <w:bookmarkStart w:id="179" w:name="_Toc53606219"/>
      <w:bookmarkEnd w:id="179"/>
      <w:bookmarkStart w:id="180" w:name="_Toc53606203"/>
      <w:bookmarkEnd w:id="180"/>
      <w:bookmarkStart w:id="181" w:name="_Toc53606222"/>
      <w:bookmarkEnd w:id="181"/>
      <w:bookmarkStart w:id="182" w:name="_Toc53606187"/>
      <w:bookmarkEnd w:id="182"/>
      <w:bookmarkStart w:id="183" w:name="_Toc53606090"/>
      <w:bookmarkEnd w:id="183"/>
      <w:bookmarkStart w:id="184" w:name="_Toc53606101"/>
      <w:bookmarkEnd w:id="184"/>
      <w:bookmarkStart w:id="185" w:name="_Toc53606147"/>
      <w:bookmarkEnd w:id="185"/>
      <w:bookmarkStart w:id="186" w:name="_Toc53606131"/>
      <w:bookmarkEnd w:id="186"/>
      <w:bookmarkStart w:id="187" w:name="_Toc53606115"/>
      <w:bookmarkEnd w:id="187"/>
      <w:bookmarkStart w:id="188" w:name="_Toc53606243"/>
      <w:bookmarkEnd w:id="188"/>
      <w:bookmarkStart w:id="189" w:name="_Toc53606184"/>
      <w:bookmarkEnd w:id="189"/>
      <w:bookmarkStart w:id="190" w:name="t1"/>
      <w:bookmarkEnd w:id="190"/>
      <w:bookmarkStart w:id="191" w:name="_Toc53606097"/>
      <w:bookmarkEnd w:id="191"/>
      <w:bookmarkStart w:id="192" w:name="_Toc53606110"/>
      <w:bookmarkEnd w:id="192"/>
      <w:bookmarkStart w:id="193" w:name="_Toc53606202"/>
      <w:bookmarkEnd w:id="193"/>
      <w:bookmarkStart w:id="194" w:name="_Toc53606209"/>
      <w:bookmarkEnd w:id="194"/>
      <w:bookmarkStart w:id="195" w:name="_Toc53606183"/>
      <w:bookmarkEnd w:id="195"/>
      <w:bookmarkStart w:id="196" w:name="_Toc53606235"/>
      <w:bookmarkEnd w:id="196"/>
      <w:bookmarkStart w:id="197" w:name="_Toc53606148"/>
      <w:bookmarkEnd w:id="197"/>
      <w:bookmarkStart w:id="198" w:name="_Toc53606143"/>
      <w:bookmarkEnd w:id="198"/>
      <w:bookmarkStart w:id="199" w:name="_Toc53606137"/>
      <w:bookmarkEnd w:id="199"/>
      <w:bookmarkStart w:id="200" w:name="_Toc53606125"/>
      <w:bookmarkEnd w:id="200"/>
      <w:bookmarkStart w:id="201" w:name="_Toc53606180"/>
      <w:bookmarkEnd w:id="201"/>
      <w:bookmarkStart w:id="202" w:name="_Toc53606146"/>
      <w:bookmarkEnd w:id="202"/>
      <w:bookmarkStart w:id="203" w:name="_Toc53606175"/>
      <w:bookmarkEnd w:id="203"/>
      <w:bookmarkStart w:id="204" w:name="_Toc53606138"/>
      <w:bookmarkEnd w:id="204"/>
      <w:bookmarkStart w:id="205" w:name="_Toc53606226"/>
      <w:bookmarkEnd w:id="205"/>
      <w:bookmarkStart w:id="206" w:name="_Toc53606201"/>
      <w:bookmarkEnd w:id="206"/>
      <w:bookmarkStart w:id="207" w:name="_Toc53606262"/>
      <w:bookmarkEnd w:id="207"/>
      <w:bookmarkStart w:id="208" w:name="_Toc53606211"/>
      <w:bookmarkEnd w:id="208"/>
      <w:bookmarkStart w:id="209" w:name="_Toc53606205"/>
      <w:bookmarkEnd w:id="209"/>
      <w:bookmarkStart w:id="210" w:name="_Toc53606266"/>
      <w:bookmarkEnd w:id="210"/>
      <w:bookmarkStart w:id="211" w:name="_Toc53606225"/>
      <w:bookmarkEnd w:id="211"/>
      <w:bookmarkStart w:id="212" w:name="_Toc53606192"/>
      <w:bookmarkEnd w:id="212"/>
      <w:bookmarkStart w:id="213" w:name="_Toc53606223"/>
      <w:bookmarkEnd w:id="213"/>
      <w:bookmarkStart w:id="214" w:name="_Toc53606207"/>
      <w:bookmarkEnd w:id="214"/>
      <w:bookmarkStart w:id="215" w:name="_Toc53606272"/>
      <w:bookmarkEnd w:id="215"/>
      <w:bookmarkStart w:id="216" w:name="_Toc53606191"/>
      <w:bookmarkEnd w:id="216"/>
      <w:bookmarkStart w:id="217" w:name="_Toc53606255"/>
      <w:bookmarkEnd w:id="217"/>
      <w:bookmarkStart w:id="218" w:name="_Toc53606282"/>
      <w:bookmarkEnd w:id="218"/>
      <w:bookmarkStart w:id="219" w:name="_Toc53606286"/>
      <w:bookmarkEnd w:id="219"/>
      <w:bookmarkStart w:id="220" w:name="_Toc53606221"/>
      <w:bookmarkEnd w:id="220"/>
      <w:bookmarkStart w:id="221" w:name="_Toc53606268"/>
      <w:bookmarkEnd w:id="221"/>
      <w:bookmarkStart w:id="222" w:name="_Toc53606291"/>
      <w:bookmarkEnd w:id="222"/>
      <w:bookmarkStart w:id="223" w:name="_Toc53606318"/>
      <w:bookmarkEnd w:id="223"/>
      <w:bookmarkStart w:id="224" w:name="_Toc53606234"/>
      <w:bookmarkEnd w:id="224"/>
      <w:bookmarkStart w:id="225" w:name="_Toc53606181"/>
      <w:bookmarkEnd w:id="225"/>
      <w:bookmarkStart w:id="226" w:name="_Toc53606299"/>
      <w:bookmarkEnd w:id="226"/>
      <w:bookmarkStart w:id="227" w:name="_Toc53606182"/>
      <w:bookmarkEnd w:id="227"/>
      <w:bookmarkStart w:id="228" w:name="_Toc53606249"/>
      <w:bookmarkEnd w:id="228"/>
      <w:bookmarkStart w:id="229" w:name="_Toc53606278"/>
      <w:bookmarkEnd w:id="229"/>
      <w:bookmarkStart w:id="230" w:name="_Toc53606245"/>
      <w:bookmarkEnd w:id="230"/>
      <w:bookmarkStart w:id="231" w:name="_Toc53606260"/>
      <w:bookmarkEnd w:id="231"/>
      <w:bookmarkStart w:id="232" w:name="_Toc53606271"/>
      <w:bookmarkEnd w:id="232"/>
      <w:bookmarkStart w:id="233" w:name="_Toc53606247"/>
      <w:bookmarkEnd w:id="233"/>
      <w:bookmarkStart w:id="234" w:name="_Toc53606242"/>
      <w:bookmarkEnd w:id="234"/>
      <w:bookmarkStart w:id="235" w:name="_Toc53606263"/>
      <w:bookmarkEnd w:id="235"/>
      <w:bookmarkStart w:id="236" w:name="_Toc53606258"/>
      <w:bookmarkEnd w:id="236"/>
      <w:bookmarkStart w:id="237" w:name="_Toc53606246"/>
      <w:bookmarkEnd w:id="237"/>
      <w:bookmarkStart w:id="238" w:name="_Toc53606218"/>
      <w:bookmarkEnd w:id="238"/>
      <w:bookmarkStart w:id="239" w:name="_Toc53606293"/>
      <w:bookmarkEnd w:id="239"/>
      <w:bookmarkStart w:id="240" w:name="_Toc53606215"/>
      <w:bookmarkEnd w:id="240"/>
      <w:bookmarkStart w:id="241" w:name="_Toc53605795"/>
      <w:bookmarkEnd w:id="241"/>
      <w:bookmarkStart w:id="242" w:name="_Toc53605813"/>
      <w:bookmarkEnd w:id="242"/>
      <w:bookmarkStart w:id="243" w:name="_Toc53606038"/>
      <w:bookmarkEnd w:id="243"/>
      <w:bookmarkStart w:id="244" w:name="_Toc53605801"/>
      <w:bookmarkEnd w:id="244"/>
      <w:bookmarkStart w:id="245" w:name="_Toc53605788"/>
      <w:bookmarkEnd w:id="245"/>
      <w:bookmarkStart w:id="246" w:name="_Toc53606084"/>
      <w:bookmarkEnd w:id="246"/>
      <w:bookmarkStart w:id="247" w:name="_Toc53605787"/>
      <w:bookmarkEnd w:id="247"/>
      <w:bookmarkStart w:id="248" w:name="_Toc53605837"/>
      <w:bookmarkEnd w:id="248"/>
      <w:bookmarkStart w:id="249" w:name="_Toc53605910"/>
      <w:bookmarkEnd w:id="249"/>
      <w:bookmarkStart w:id="250" w:name="_Toc53605977"/>
      <w:bookmarkEnd w:id="250"/>
      <w:bookmarkStart w:id="251" w:name="_Toc53605887"/>
      <w:bookmarkEnd w:id="251"/>
      <w:bookmarkStart w:id="252" w:name="_Toc53605888"/>
      <w:bookmarkEnd w:id="252"/>
      <w:bookmarkStart w:id="253" w:name="_Toc53605909"/>
      <w:bookmarkEnd w:id="253"/>
      <w:bookmarkStart w:id="254" w:name="_Toc53606056"/>
      <w:bookmarkEnd w:id="254"/>
      <w:bookmarkStart w:id="255" w:name="_Toc53605953"/>
      <w:bookmarkEnd w:id="255"/>
      <w:bookmarkStart w:id="256" w:name="_Toc53605810"/>
      <w:bookmarkEnd w:id="256"/>
      <w:bookmarkStart w:id="257" w:name="_Toc53605978"/>
      <w:bookmarkEnd w:id="257"/>
      <w:bookmarkStart w:id="258" w:name="_Toc53606007"/>
      <w:bookmarkEnd w:id="258"/>
      <w:bookmarkStart w:id="259" w:name="_Toc53606061"/>
      <w:bookmarkEnd w:id="259"/>
      <w:bookmarkStart w:id="260" w:name="_Toc53605839"/>
      <w:bookmarkEnd w:id="260"/>
      <w:bookmarkStart w:id="261" w:name="_Toc53605819"/>
      <w:bookmarkEnd w:id="261"/>
      <w:bookmarkStart w:id="262" w:name="_Toc53605911"/>
      <w:bookmarkEnd w:id="262"/>
      <w:bookmarkStart w:id="263" w:name="_Toc53605816"/>
      <w:bookmarkEnd w:id="263"/>
      <w:bookmarkStart w:id="264" w:name="_Toc53606119"/>
      <w:bookmarkEnd w:id="264"/>
      <w:bookmarkStart w:id="265" w:name="_Toc53606060"/>
      <w:bookmarkEnd w:id="265"/>
      <w:bookmarkStart w:id="266" w:name="_Toc53605785"/>
      <w:bookmarkEnd w:id="266"/>
      <w:bookmarkStart w:id="267" w:name="_Toc53605784"/>
      <w:bookmarkEnd w:id="267"/>
      <w:bookmarkStart w:id="268" w:name="_Toc53606335"/>
      <w:bookmarkEnd w:id="268"/>
      <w:bookmarkStart w:id="269" w:name="_Toc53606259"/>
      <w:bookmarkEnd w:id="269"/>
      <w:bookmarkStart w:id="270" w:name="_Toc53606295"/>
      <w:bookmarkEnd w:id="270"/>
      <w:bookmarkStart w:id="271" w:name="_Toc53606339"/>
      <w:bookmarkEnd w:id="271"/>
      <w:bookmarkStart w:id="272" w:name="_Toc53606279"/>
      <w:bookmarkEnd w:id="272"/>
      <w:bookmarkStart w:id="273" w:name="_Toc53606301"/>
      <w:bookmarkEnd w:id="273"/>
      <w:bookmarkStart w:id="274" w:name="_Toc53606254"/>
      <w:bookmarkEnd w:id="274"/>
      <w:bookmarkStart w:id="275" w:name="_Toc53606287"/>
      <w:bookmarkEnd w:id="275"/>
      <w:bookmarkStart w:id="276" w:name="_Toc53606269"/>
      <w:bookmarkEnd w:id="276"/>
      <w:bookmarkStart w:id="277" w:name="_Toc53606323"/>
      <w:bookmarkEnd w:id="277"/>
      <w:bookmarkStart w:id="278" w:name="_Toc53606244"/>
      <w:bookmarkEnd w:id="278"/>
      <w:bookmarkStart w:id="279" w:name="_Toc53606229"/>
      <w:bookmarkEnd w:id="279"/>
      <w:bookmarkStart w:id="280" w:name="_Toc53606325"/>
      <w:bookmarkEnd w:id="280"/>
      <w:bookmarkStart w:id="281" w:name="_Toc53606274"/>
      <w:bookmarkEnd w:id="281"/>
      <w:bookmarkStart w:id="282" w:name="_Toc53606217"/>
      <w:bookmarkEnd w:id="282"/>
      <w:bookmarkStart w:id="283" w:name="_Toc53606329"/>
      <w:bookmarkEnd w:id="283"/>
      <w:bookmarkStart w:id="284" w:name="_Toc53606252"/>
      <w:bookmarkEnd w:id="284"/>
      <w:bookmarkStart w:id="285" w:name="_Toc53606297"/>
      <w:bookmarkEnd w:id="285"/>
      <w:bookmarkStart w:id="286" w:name="_Toc53606264"/>
      <w:bookmarkEnd w:id="286"/>
      <w:bookmarkStart w:id="287" w:name="_Toc53606232"/>
      <w:bookmarkEnd w:id="287"/>
      <w:bookmarkStart w:id="288" w:name="_Toc53606212"/>
      <w:bookmarkEnd w:id="288"/>
      <w:bookmarkStart w:id="289" w:name="_Toc53606304"/>
      <w:bookmarkEnd w:id="289"/>
      <w:bookmarkStart w:id="290" w:name="_Toc53606315"/>
      <w:bookmarkEnd w:id="290"/>
      <w:bookmarkStart w:id="291" w:name="_Toc53606353"/>
      <w:bookmarkEnd w:id="291"/>
      <w:bookmarkStart w:id="292" w:name="_Toc53606241"/>
      <w:bookmarkEnd w:id="292"/>
      <w:bookmarkStart w:id="293" w:name="_Toc53606364"/>
      <w:bookmarkEnd w:id="293"/>
      <w:bookmarkStart w:id="294" w:name="_Toc53606227"/>
      <w:bookmarkEnd w:id="294"/>
      <w:bookmarkStart w:id="295" w:name="_Toc53606280"/>
      <w:bookmarkEnd w:id="295"/>
      <w:bookmarkStart w:id="296" w:name="_Toc53606284"/>
      <w:bookmarkEnd w:id="296"/>
      <w:bookmarkStart w:id="297" w:name="_Toc53606307"/>
      <w:bookmarkEnd w:id="297"/>
      <w:bookmarkStart w:id="298" w:name="_Toc53606250"/>
      <w:bookmarkEnd w:id="298"/>
      <w:bookmarkStart w:id="299" w:name="_Toc53606320"/>
      <w:bookmarkEnd w:id="299"/>
      <w:bookmarkStart w:id="300" w:name="_Toc53606292"/>
      <w:bookmarkEnd w:id="300"/>
      <w:bookmarkStart w:id="301" w:name="_Toc53606261"/>
      <w:bookmarkEnd w:id="301"/>
      <w:bookmarkStart w:id="302" w:name="_Toc53606357"/>
      <w:bookmarkEnd w:id="302"/>
      <w:bookmarkStart w:id="303" w:name="_Toc53606326"/>
      <w:bookmarkEnd w:id="303"/>
      <w:bookmarkStart w:id="304" w:name="_Toc53606289"/>
      <w:bookmarkEnd w:id="304"/>
      <w:bookmarkStart w:id="305" w:name="_Toc53606256"/>
      <w:bookmarkEnd w:id="305"/>
      <w:bookmarkStart w:id="306" w:name="_Toc53606338"/>
      <w:bookmarkEnd w:id="306"/>
      <w:bookmarkStart w:id="307" w:name="_Toc53606402"/>
      <w:bookmarkEnd w:id="307"/>
      <w:bookmarkStart w:id="308" w:name="_Toc53606308"/>
      <w:bookmarkEnd w:id="308"/>
      <w:bookmarkStart w:id="309" w:name="_Toc53606306"/>
      <w:bookmarkEnd w:id="309"/>
      <w:bookmarkStart w:id="310" w:name="_Toc53606322"/>
      <w:bookmarkEnd w:id="310"/>
      <w:bookmarkStart w:id="311" w:name="_Toc53606350"/>
      <w:bookmarkEnd w:id="311"/>
      <w:bookmarkStart w:id="312" w:name="_Toc53606290"/>
      <w:bookmarkEnd w:id="312"/>
      <w:bookmarkStart w:id="313" w:name="_Toc53606288"/>
      <w:bookmarkEnd w:id="313"/>
      <w:bookmarkStart w:id="314" w:name="_Toc53606347"/>
      <w:bookmarkEnd w:id="314"/>
      <w:bookmarkStart w:id="315" w:name="_Toc53606321"/>
      <w:bookmarkEnd w:id="315"/>
      <w:bookmarkStart w:id="316" w:name="_Toc53606358"/>
      <w:bookmarkEnd w:id="316"/>
      <w:bookmarkStart w:id="317" w:name="_Toc53606356"/>
      <w:bookmarkEnd w:id="317"/>
      <w:bookmarkStart w:id="318" w:name="_Toc53606276"/>
      <w:bookmarkEnd w:id="318"/>
      <w:bookmarkStart w:id="319" w:name="_Toc53606319"/>
      <w:bookmarkEnd w:id="319"/>
      <w:bookmarkStart w:id="320" w:name="_Toc53606330"/>
      <w:bookmarkEnd w:id="320"/>
      <w:bookmarkStart w:id="321" w:name="_Toc53606267"/>
      <w:bookmarkEnd w:id="321"/>
      <w:bookmarkStart w:id="322" w:name="_Toc53606309"/>
      <w:bookmarkEnd w:id="322"/>
      <w:bookmarkStart w:id="323" w:name="_Toc53606337"/>
      <w:bookmarkEnd w:id="323"/>
      <w:bookmarkStart w:id="324" w:name="_Toc53606389"/>
      <w:bookmarkEnd w:id="324"/>
      <w:bookmarkStart w:id="325" w:name="_Toc53606331"/>
      <w:bookmarkEnd w:id="325"/>
      <w:bookmarkStart w:id="326" w:name="_Toc53606342"/>
      <w:bookmarkEnd w:id="326"/>
      <w:bookmarkStart w:id="327" w:name="_Toc53606363"/>
      <w:bookmarkEnd w:id="327"/>
      <w:bookmarkStart w:id="328" w:name="_Toc53606361"/>
      <w:bookmarkEnd w:id="328"/>
      <w:bookmarkStart w:id="329" w:name="_Toc53606370"/>
      <w:bookmarkEnd w:id="329"/>
      <w:bookmarkStart w:id="330" w:name="_Toc53606310"/>
      <w:bookmarkEnd w:id="330"/>
      <w:bookmarkStart w:id="331" w:name="_Toc53606328"/>
      <w:bookmarkEnd w:id="331"/>
      <w:bookmarkStart w:id="332" w:name="_Toc53606360"/>
      <w:bookmarkEnd w:id="332"/>
      <w:bookmarkStart w:id="333" w:name="_Toc53606376"/>
      <w:bookmarkEnd w:id="333"/>
      <w:bookmarkStart w:id="334" w:name="_Toc53606317"/>
      <w:bookmarkEnd w:id="334"/>
      <w:bookmarkStart w:id="335" w:name="_Toc53606414"/>
      <w:bookmarkEnd w:id="335"/>
      <w:bookmarkStart w:id="336" w:name="_Toc53606396"/>
      <w:bookmarkEnd w:id="336"/>
      <w:bookmarkStart w:id="337" w:name="_Toc53606373"/>
      <w:bookmarkEnd w:id="337"/>
      <w:bookmarkStart w:id="338" w:name="_Toc53606285"/>
      <w:bookmarkEnd w:id="338"/>
      <w:bookmarkStart w:id="339" w:name="_Toc53606334"/>
      <w:bookmarkEnd w:id="339"/>
      <w:bookmarkStart w:id="340" w:name="_Toc53606392"/>
      <w:bookmarkEnd w:id="340"/>
      <w:bookmarkStart w:id="341" w:name="_Toc53606359"/>
      <w:bookmarkEnd w:id="341"/>
      <w:bookmarkStart w:id="342" w:name="_Toc53606311"/>
      <w:bookmarkEnd w:id="342"/>
      <w:bookmarkStart w:id="343" w:name="_Toc53606375"/>
      <w:bookmarkEnd w:id="343"/>
      <w:bookmarkStart w:id="344" w:name="_Toc53606294"/>
      <w:bookmarkEnd w:id="344"/>
      <w:bookmarkStart w:id="345" w:name="_Toc53606313"/>
      <w:bookmarkEnd w:id="345"/>
      <w:bookmarkStart w:id="346" w:name="_Toc53606336"/>
      <w:bookmarkEnd w:id="346"/>
      <w:bookmarkStart w:id="347" w:name="_Toc53606371"/>
      <w:bookmarkEnd w:id="347"/>
      <w:bookmarkStart w:id="348" w:name="_Toc53606428"/>
      <w:bookmarkEnd w:id="348"/>
      <w:bookmarkStart w:id="349" w:name="_Toc53606352"/>
      <w:bookmarkEnd w:id="349"/>
      <w:bookmarkStart w:id="350" w:name="_Toc53606410"/>
      <w:bookmarkEnd w:id="350"/>
      <w:bookmarkStart w:id="351" w:name="_Toc53606333"/>
      <w:bookmarkEnd w:id="351"/>
      <w:bookmarkStart w:id="352" w:name="_Toc53606343"/>
      <w:bookmarkEnd w:id="352"/>
      <w:bookmarkStart w:id="353" w:name="_Toc53606327"/>
      <w:bookmarkEnd w:id="353"/>
      <w:bookmarkStart w:id="354" w:name="_Toc53606423"/>
      <w:bookmarkEnd w:id="354"/>
      <w:bookmarkStart w:id="355" w:name="_Toc53606346"/>
      <w:bookmarkEnd w:id="355"/>
      <w:bookmarkStart w:id="356" w:name="_Toc53606302"/>
      <w:bookmarkEnd w:id="356"/>
      <w:bookmarkStart w:id="357" w:name="_Toc53606277"/>
      <w:bookmarkEnd w:id="357"/>
      <w:bookmarkStart w:id="358" w:name="_Toc53606367"/>
      <w:bookmarkEnd w:id="358"/>
      <w:bookmarkStart w:id="359" w:name="_Toc53606374"/>
      <w:bookmarkEnd w:id="359"/>
      <w:bookmarkStart w:id="360" w:name="_Toc53606303"/>
      <w:bookmarkEnd w:id="360"/>
      <w:bookmarkStart w:id="361" w:name="_Toc53606365"/>
      <w:bookmarkEnd w:id="361"/>
      <w:bookmarkStart w:id="362" w:name="_Toc53606366"/>
      <w:bookmarkEnd w:id="362"/>
      <w:bookmarkStart w:id="363" w:name="_Toc53606421"/>
      <w:bookmarkEnd w:id="363"/>
      <w:bookmarkStart w:id="364" w:name="_Toc53606344"/>
      <w:bookmarkEnd w:id="364"/>
      <w:bookmarkStart w:id="365" w:name="_Toc53606385"/>
      <w:bookmarkEnd w:id="365"/>
      <w:bookmarkStart w:id="366" w:name="_Toc53606314"/>
      <w:bookmarkEnd w:id="366"/>
      <w:bookmarkStart w:id="367" w:name="_Toc53606340"/>
      <w:bookmarkEnd w:id="367"/>
      <w:bookmarkStart w:id="368" w:name="_Toc53606383"/>
      <w:bookmarkEnd w:id="368"/>
      <w:bookmarkStart w:id="369" w:name="_Toc53606412"/>
      <w:bookmarkEnd w:id="369"/>
      <w:bookmarkStart w:id="370" w:name="_Toc53606379"/>
      <w:bookmarkEnd w:id="370"/>
      <w:bookmarkStart w:id="371" w:name="_Toc53606351"/>
      <w:bookmarkEnd w:id="371"/>
      <w:bookmarkStart w:id="372" w:name="_Toc53606405"/>
      <w:bookmarkEnd w:id="372"/>
      <w:bookmarkStart w:id="373" w:name="_Toc53606387"/>
      <w:bookmarkEnd w:id="373"/>
      <w:bookmarkStart w:id="374" w:name="_Toc53606378"/>
      <w:bookmarkEnd w:id="374"/>
      <w:bookmarkStart w:id="375" w:name="_Toc53606398"/>
      <w:bookmarkEnd w:id="375"/>
      <w:bookmarkStart w:id="376" w:name="_Toc53606403"/>
      <w:bookmarkEnd w:id="376"/>
      <w:bookmarkStart w:id="377" w:name="_Toc53606368"/>
      <w:bookmarkEnd w:id="377"/>
      <w:bookmarkStart w:id="378" w:name="_Toc53606417"/>
      <w:bookmarkEnd w:id="378"/>
      <w:bookmarkStart w:id="379" w:name="_Toc53606377"/>
      <w:bookmarkEnd w:id="379"/>
      <w:bookmarkStart w:id="380" w:name="_Toc53606462"/>
      <w:bookmarkEnd w:id="380"/>
      <w:bookmarkStart w:id="381" w:name="_Toc53606407"/>
      <w:bookmarkEnd w:id="381"/>
      <w:bookmarkStart w:id="382" w:name="_Toc53606413"/>
      <w:bookmarkEnd w:id="382"/>
      <w:bookmarkStart w:id="383" w:name="_Toc53606362"/>
      <w:bookmarkEnd w:id="383"/>
      <w:bookmarkStart w:id="384" w:name="_Toc53606394"/>
      <w:bookmarkEnd w:id="384"/>
      <w:bookmarkStart w:id="385" w:name="_Toc53606372"/>
      <w:bookmarkEnd w:id="385"/>
      <w:bookmarkStart w:id="386" w:name="_Toc53606420"/>
      <w:bookmarkEnd w:id="386"/>
      <w:bookmarkStart w:id="387" w:name="_Toc53606341"/>
      <w:bookmarkEnd w:id="387"/>
      <w:bookmarkStart w:id="388" w:name="_Toc53606349"/>
      <w:bookmarkEnd w:id="388"/>
      <w:bookmarkStart w:id="389" w:name="_Toc53606354"/>
      <w:bookmarkEnd w:id="389"/>
      <w:bookmarkStart w:id="390" w:name="_Toc53606409"/>
      <w:bookmarkEnd w:id="390"/>
      <w:bookmarkStart w:id="391" w:name="_Toc53606395"/>
      <w:bookmarkEnd w:id="391"/>
      <w:bookmarkStart w:id="392" w:name="_Toc53606348"/>
      <w:bookmarkEnd w:id="392"/>
      <w:bookmarkStart w:id="393" w:name="_Toc53606345"/>
      <w:bookmarkEnd w:id="393"/>
      <w:bookmarkStart w:id="394" w:name="_Toc53606380"/>
      <w:bookmarkEnd w:id="394"/>
      <w:bookmarkStart w:id="395" w:name="_Toc53606384"/>
      <w:bookmarkEnd w:id="395"/>
      <w:bookmarkStart w:id="396" w:name="_Toc53606429"/>
      <w:bookmarkEnd w:id="396"/>
      <w:bookmarkStart w:id="397" w:name="_Toc53606355"/>
      <w:bookmarkEnd w:id="397"/>
      <w:bookmarkStart w:id="398" w:name="_Toc53606381"/>
      <w:bookmarkEnd w:id="398"/>
      <w:bookmarkStart w:id="399" w:name="_Toc53606419"/>
      <w:bookmarkEnd w:id="399"/>
      <w:bookmarkStart w:id="400" w:name="_Toc53606460"/>
      <w:bookmarkEnd w:id="400"/>
      <w:bookmarkStart w:id="401" w:name="_Toc53606443"/>
      <w:bookmarkEnd w:id="401"/>
      <w:bookmarkStart w:id="402" w:name="_Toc53606431"/>
      <w:bookmarkEnd w:id="402"/>
      <w:bookmarkStart w:id="403" w:name="_Toc53606406"/>
      <w:bookmarkEnd w:id="403"/>
      <w:bookmarkStart w:id="404" w:name="_Toc53606466"/>
      <w:bookmarkEnd w:id="404"/>
      <w:bookmarkStart w:id="405" w:name="_Toc53606332"/>
      <w:bookmarkEnd w:id="405"/>
      <w:bookmarkStart w:id="406" w:name="_Toc53606444"/>
      <w:bookmarkEnd w:id="406"/>
      <w:bookmarkStart w:id="407" w:name="_Toc53606415"/>
      <w:bookmarkEnd w:id="407"/>
      <w:bookmarkStart w:id="408" w:name="_Toc53606430"/>
      <w:bookmarkEnd w:id="408"/>
      <w:bookmarkStart w:id="409" w:name="_Toc53606488"/>
      <w:bookmarkEnd w:id="409"/>
      <w:bookmarkStart w:id="410" w:name="_Toc53606386"/>
      <w:bookmarkEnd w:id="410"/>
      <w:bookmarkStart w:id="411" w:name="_Toc53606485"/>
      <w:bookmarkEnd w:id="411"/>
      <w:bookmarkStart w:id="412" w:name="_Toc53606388"/>
      <w:bookmarkEnd w:id="412"/>
      <w:bookmarkStart w:id="413" w:name="_Toc53606400"/>
      <w:bookmarkEnd w:id="413"/>
      <w:bookmarkStart w:id="414" w:name="_Toc53606434"/>
      <w:bookmarkEnd w:id="414"/>
      <w:bookmarkStart w:id="415" w:name="_Toc53606446"/>
      <w:bookmarkEnd w:id="415"/>
      <w:bookmarkStart w:id="416" w:name="_Toc53606438"/>
      <w:bookmarkEnd w:id="416"/>
      <w:bookmarkStart w:id="417" w:name="_Toc53606432"/>
      <w:bookmarkEnd w:id="417"/>
      <w:bookmarkStart w:id="418" w:name="_Toc53606475"/>
      <w:bookmarkEnd w:id="418"/>
      <w:bookmarkStart w:id="419" w:name="_Toc53606427"/>
      <w:bookmarkEnd w:id="419"/>
      <w:bookmarkStart w:id="420" w:name="_Toc53606496"/>
      <w:bookmarkEnd w:id="420"/>
      <w:bookmarkStart w:id="421" w:name="_Toc53606453"/>
      <w:bookmarkEnd w:id="421"/>
      <w:bookmarkStart w:id="422" w:name="_Toc53606411"/>
      <w:bookmarkEnd w:id="422"/>
      <w:bookmarkStart w:id="423" w:name="_Toc53606401"/>
      <w:bookmarkEnd w:id="423"/>
      <w:bookmarkStart w:id="424" w:name="_Toc53606390"/>
      <w:bookmarkEnd w:id="424"/>
      <w:bookmarkStart w:id="425" w:name="_Toc53606416"/>
      <w:bookmarkEnd w:id="425"/>
      <w:bookmarkStart w:id="426" w:name="_Toc53606425"/>
      <w:bookmarkEnd w:id="426"/>
      <w:bookmarkStart w:id="427" w:name="_Toc53606404"/>
      <w:bookmarkEnd w:id="427"/>
      <w:bookmarkStart w:id="428" w:name="_Toc53606504"/>
      <w:bookmarkEnd w:id="428"/>
      <w:bookmarkStart w:id="429" w:name="_Toc53606399"/>
      <w:bookmarkEnd w:id="429"/>
      <w:bookmarkStart w:id="430" w:name="_Toc53606422"/>
      <w:bookmarkEnd w:id="430"/>
      <w:bookmarkStart w:id="431" w:name="_Toc53606393"/>
      <w:bookmarkEnd w:id="431"/>
      <w:bookmarkStart w:id="432" w:name="_Toc53606458"/>
      <w:bookmarkEnd w:id="432"/>
      <w:bookmarkStart w:id="433" w:name="_Toc53606382"/>
      <w:bookmarkEnd w:id="433"/>
      <w:bookmarkStart w:id="434" w:name="_Toc53606449"/>
      <w:bookmarkEnd w:id="434"/>
      <w:bookmarkStart w:id="435" w:name="_Toc53606440"/>
      <w:bookmarkEnd w:id="435"/>
      <w:bookmarkStart w:id="436" w:name="_Toc53606391"/>
      <w:bookmarkEnd w:id="436"/>
      <w:bookmarkStart w:id="437" w:name="_Toc53606480"/>
      <w:bookmarkEnd w:id="437"/>
      <w:bookmarkStart w:id="438" w:name="_Toc53606492"/>
      <w:bookmarkEnd w:id="438"/>
      <w:bookmarkStart w:id="439" w:name="_Toc53606424"/>
      <w:bookmarkEnd w:id="439"/>
      <w:bookmarkStart w:id="440" w:name="_Toc53606436"/>
      <w:bookmarkEnd w:id="440"/>
      <w:bookmarkStart w:id="441" w:name="_Toc53606463"/>
      <w:bookmarkEnd w:id="441"/>
      <w:bookmarkStart w:id="442" w:name="_Toc53606433"/>
      <w:bookmarkEnd w:id="442"/>
      <w:bookmarkStart w:id="443" w:name="_Toc53606518"/>
      <w:bookmarkEnd w:id="443"/>
      <w:bookmarkStart w:id="444" w:name="_Toc53606481"/>
      <w:bookmarkEnd w:id="444"/>
      <w:bookmarkStart w:id="445" w:name="_Toc53606408"/>
      <w:bookmarkEnd w:id="445"/>
      <w:bookmarkStart w:id="446" w:name="_Toc53606510"/>
      <w:bookmarkEnd w:id="446"/>
      <w:bookmarkStart w:id="447" w:name="_Toc53606568"/>
      <w:bookmarkEnd w:id="447"/>
      <w:bookmarkStart w:id="448" w:name="_Toc53606472"/>
      <w:bookmarkEnd w:id="448"/>
      <w:bookmarkStart w:id="449" w:name="_Toc53606511"/>
      <w:bookmarkEnd w:id="449"/>
      <w:bookmarkStart w:id="450" w:name="_Toc53606418"/>
      <w:bookmarkEnd w:id="450"/>
      <w:bookmarkStart w:id="451" w:name="_Toc53606459"/>
      <w:bookmarkEnd w:id="451"/>
      <w:bookmarkStart w:id="452" w:name="_Toc53606435"/>
      <w:bookmarkEnd w:id="452"/>
      <w:bookmarkStart w:id="453" w:name="_Toc53606450"/>
      <w:bookmarkEnd w:id="453"/>
      <w:bookmarkStart w:id="454" w:name="_Toc53606437"/>
      <w:bookmarkEnd w:id="454"/>
      <w:bookmarkStart w:id="455" w:name="_Toc53606439"/>
      <w:bookmarkEnd w:id="455"/>
      <w:bookmarkStart w:id="456" w:name="_Toc53606456"/>
      <w:bookmarkEnd w:id="456"/>
      <w:bookmarkStart w:id="457" w:name="_Toc53606468"/>
      <w:bookmarkEnd w:id="457"/>
      <w:bookmarkStart w:id="458" w:name="_Toc53606464"/>
      <w:bookmarkEnd w:id="458"/>
      <w:bookmarkStart w:id="459" w:name="_Toc53606566"/>
      <w:bookmarkEnd w:id="459"/>
      <w:bookmarkStart w:id="460" w:name="_Toc53606454"/>
      <w:bookmarkEnd w:id="460"/>
      <w:bookmarkStart w:id="461" w:name="_Toc53606471"/>
      <w:bookmarkEnd w:id="461"/>
      <w:bookmarkStart w:id="462" w:name="_Toc53606441"/>
      <w:bookmarkEnd w:id="462"/>
      <w:bookmarkStart w:id="463" w:name="_Toc53606484"/>
      <w:bookmarkEnd w:id="463"/>
      <w:bookmarkStart w:id="464" w:name="_Toc53606567"/>
      <w:bookmarkEnd w:id="464"/>
      <w:bookmarkStart w:id="465" w:name="_Toc53606461"/>
      <w:bookmarkEnd w:id="465"/>
      <w:bookmarkStart w:id="466" w:name="_Toc53606452"/>
      <w:bookmarkEnd w:id="466"/>
      <w:bookmarkStart w:id="467" w:name="_Toc53606442"/>
      <w:bookmarkEnd w:id="467"/>
      <w:bookmarkStart w:id="468" w:name="_Toc53606447"/>
      <w:bookmarkEnd w:id="468"/>
      <w:bookmarkStart w:id="469" w:name="_Toc53606478"/>
      <w:bookmarkEnd w:id="469"/>
      <w:bookmarkStart w:id="470" w:name="_Toc53606426"/>
      <w:bookmarkEnd w:id="470"/>
      <w:bookmarkStart w:id="471" w:name="_Toc53606445"/>
      <w:bookmarkEnd w:id="471"/>
      <w:bookmarkStart w:id="472" w:name="_Toc53606486"/>
      <w:bookmarkEnd w:id="472"/>
      <w:bookmarkStart w:id="473" w:name="_Toc53606509"/>
      <w:bookmarkEnd w:id="473"/>
      <w:bookmarkStart w:id="474" w:name="_Toc53606538"/>
      <w:bookmarkEnd w:id="474"/>
      <w:bookmarkStart w:id="475" w:name="_Toc53606498"/>
      <w:bookmarkEnd w:id="475"/>
      <w:bookmarkStart w:id="476" w:name="_Toc53606473"/>
      <w:bookmarkEnd w:id="476"/>
      <w:bookmarkStart w:id="477" w:name="_Toc53606495"/>
      <w:bookmarkEnd w:id="477"/>
      <w:bookmarkStart w:id="478" w:name="_Toc53606467"/>
      <w:bookmarkEnd w:id="478"/>
      <w:bookmarkStart w:id="479" w:name="_Toc53606558"/>
      <w:bookmarkEnd w:id="479"/>
      <w:bookmarkStart w:id="480" w:name="_Toc53606563"/>
      <w:bookmarkEnd w:id="480"/>
      <w:bookmarkStart w:id="481" w:name="_Toc53606520"/>
      <w:bookmarkEnd w:id="481"/>
      <w:bookmarkStart w:id="482" w:name="_Toc53606397"/>
      <w:bookmarkEnd w:id="482"/>
      <w:bookmarkStart w:id="483" w:name="_Toc53606457"/>
      <w:bookmarkEnd w:id="483"/>
      <w:bookmarkStart w:id="484" w:name="_Toc53606474"/>
      <w:bookmarkEnd w:id="484"/>
      <w:bookmarkStart w:id="485" w:name="_Toc53606517"/>
      <w:bookmarkEnd w:id="485"/>
      <w:bookmarkStart w:id="486" w:name="_Toc53606451"/>
      <w:bookmarkEnd w:id="486"/>
      <w:bookmarkStart w:id="487" w:name="_Toc53606499"/>
      <w:bookmarkEnd w:id="487"/>
      <w:bookmarkStart w:id="488" w:name="_Toc53606455"/>
      <w:bookmarkEnd w:id="488"/>
      <w:bookmarkStart w:id="489" w:name="_Toc53606493"/>
      <w:bookmarkEnd w:id="489"/>
      <w:bookmarkStart w:id="490" w:name="_Toc53606507"/>
      <w:bookmarkEnd w:id="490"/>
      <w:bookmarkStart w:id="491" w:name="_Toc53606502"/>
      <w:bookmarkEnd w:id="491"/>
      <w:bookmarkStart w:id="492" w:name="_Toc53606494"/>
      <w:bookmarkEnd w:id="492"/>
      <w:bookmarkStart w:id="493" w:name="_Toc53606490"/>
      <w:bookmarkEnd w:id="493"/>
      <w:bookmarkStart w:id="494" w:name="_Toc53606565"/>
      <w:bookmarkEnd w:id="494"/>
      <w:bookmarkStart w:id="495" w:name="_Toc53606469"/>
      <w:bookmarkEnd w:id="495"/>
      <w:bookmarkStart w:id="496" w:name="_Toc53606483"/>
      <w:bookmarkEnd w:id="496"/>
      <w:bookmarkStart w:id="497" w:name="_Toc53606186"/>
      <w:bookmarkEnd w:id="497"/>
      <w:bookmarkStart w:id="498" w:name="_Toc53606465"/>
      <w:bookmarkEnd w:id="498"/>
      <w:bookmarkStart w:id="499" w:name="_Toc53606515"/>
      <w:bookmarkEnd w:id="499"/>
      <w:bookmarkStart w:id="500" w:name="_Toc53606491"/>
      <w:bookmarkEnd w:id="500"/>
      <w:bookmarkStart w:id="501" w:name="_Toc53606569"/>
      <w:bookmarkEnd w:id="501"/>
      <w:bookmarkStart w:id="502" w:name="_Toc53606470"/>
      <w:bookmarkEnd w:id="502"/>
      <w:bookmarkStart w:id="503" w:name="_Toc53606591"/>
      <w:bookmarkEnd w:id="503"/>
      <w:bookmarkStart w:id="504" w:name="_Toc53606508"/>
      <w:bookmarkEnd w:id="504"/>
      <w:bookmarkStart w:id="505" w:name="_Toc53606514"/>
      <w:bookmarkEnd w:id="505"/>
      <w:bookmarkStart w:id="506" w:name="_Toc53606487"/>
      <w:bookmarkEnd w:id="506"/>
      <w:bookmarkStart w:id="507" w:name="_Toc53606521"/>
      <w:bookmarkEnd w:id="507"/>
      <w:bookmarkStart w:id="508" w:name="_Toc53606592"/>
      <w:bookmarkEnd w:id="508"/>
      <w:bookmarkStart w:id="509" w:name="_Toc53606448"/>
      <w:bookmarkEnd w:id="509"/>
      <w:bookmarkStart w:id="510" w:name="_Toc53606595"/>
      <w:bookmarkEnd w:id="510"/>
      <w:bookmarkStart w:id="511" w:name="_Toc53606512"/>
      <w:bookmarkEnd w:id="511"/>
      <w:bookmarkStart w:id="512" w:name="_Toc53606257"/>
      <w:bookmarkEnd w:id="512"/>
      <w:bookmarkStart w:id="513" w:name="_Toc53606505"/>
      <w:bookmarkEnd w:id="513"/>
      <w:bookmarkStart w:id="514" w:name="_Toc53606564"/>
      <w:bookmarkEnd w:id="514"/>
      <w:bookmarkStart w:id="515" w:name="_Toc53606516"/>
      <w:bookmarkEnd w:id="515"/>
      <w:bookmarkStart w:id="516" w:name="_Toc53606482"/>
      <w:bookmarkEnd w:id="516"/>
      <w:bookmarkStart w:id="517" w:name="_Toc53606593"/>
      <w:bookmarkEnd w:id="517"/>
      <w:bookmarkStart w:id="518" w:name="_Toc53606506"/>
      <w:bookmarkEnd w:id="518"/>
      <w:bookmarkStart w:id="519" w:name="_Toc53606479"/>
      <w:bookmarkEnd w:id="519"/>
      <w:bookmarkStart w:id="520" w:name="_Toc53606500"/>
      <w:bookmarkEnd w:id="520"/>
      <w:bookmarkStart w:id="521" w:name="_Toc53606501"/>
      <w:bookmarkEnd w:id="521"/>
      <w:bookmarkStart w:id="522" w:name="_Toc53606522"/>
      <w:bookmarkEnd w:id="522"/>
      <w:bookmarkStart w:id="523" w:name="_Toc53606590"/>
      <w:bookmarkEnd w:id="523"/>
      <w:bookmarkStart w:id="524" w:name="_Toc53606204"/>
      <w:bookmarkEnd w:id="524"/>
      <w:bookmarkStart w:id="525" w:name="_Toc53606251"/>
      <w:bookmarkEnd w:id="525"/>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3. 验收标准</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（1）服务期间，次月15日前向采购人提交上个月运维月报，份数：纸质版1份/月，电子版1份/月。</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（2）2026年8月20日前，向采购人提交前3个月项目总结报告和运维记录。项目总结报告份数：纸质版1份，电子版1份；合同期前3个月运维记录份数：电子版1份。</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（3）2026年11月20日前，向采购人提交前6个月项目总结报告和运维记录。项目总结报告份数：纸质版1份，电子版1份；合同期前6个月运维记录份数：电子版1份。</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（4）2027年5月15日前，向采购人提交项目总结报告和剩余全部运维记录。项目总结报告份数：纸质版1份，电子版1份；剩余全部运维档案份数：电子版1份。</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投标人完成全年运维工作并按时提交成果资料后，由采购人进行项目验收。</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4. 其他要求</w:t>
      </w:r>
    </w:p>
    <w:p>
      <w:pPr>
        <w:keepNext/>
        <w:keepLines/>
        <w:adjustRightInd w:val="0"/>
        <w:spacing w:before="280" w:after="290" w:line="376" w:lineRule="atLeast"/>
        <w:textAlignment w:val="baseline"/>
        <w:outlineLvl w:val="3"/>
        <w:rPr>
          <w:b/>
          <w:color w:val="auto"/>
          <w:kern w:val="0"/>
          <w:sz w:val="28"/>
          <w:szCs w:val="20"/>
          <w:highlight w:val="none"/>
        </w:rPr>
      </w:pPr>
      <w:bookmarkStart w:id="526" w:name="_Toc53606640"/>
      <w:bookmarkEnd w:id="526"/>
      <w:bookmarkStart w:id="527" w:name="_Toc53606629"/>
      <w:bookmarkEnd w:id="527"/>
      <w:bookmarkStart w:id="528" w:name="_Toc53606637"/>
      <w:bookmarkEnd w:id="528"/>
      <w:bookmarkStart w:id="529" w:name="_Toc53606615"/>
      <w:bookmarkEnd w:id="529"/>
      <w:bookmarkStart w:id="530" w:name="_Toc53606621"/>
      <w:bookmarkEnd w:id="530"/>
      <w:bookmarkStart w:id="531" w:name="_Toc53606624"/>
      <w:bookmarkEnd w:id="531"/>
      <w:bookmarkStart w:id="532" w:name="_Toc53606619"/>
      <w:bookmarkEnd w:id="532"/>
      <w:bookmarkStart w:id="533" w:name="_Toc53606599"/>
      <w:bookmarkEnd w:id="533"/>
      <w:bookmarkStart w:id="534" w:name="_Toc53606633"/>
      <w:bookmarkEnd w:id="534"/>
      <w:bookmarkStart w:id="535" w:name="_Toc53606628"/>
      <w:bookmarkEnd w:id="535"/>
      <w:bookmarkStart w:id="536" w:name="_Toc53606604"/>
      <w:bookmarkEnd w:id="536"/>
      <w:bookmarkStart w:id="537" w:name="_Toc53069327"/>
      <w:bookmarkEnd w:id="537"/>
      <w:bookmarkStart w:id="538" w:name="_Toc53606620"/>
      <w:bookmarkEnd w:id="538"/>
      <w:bookmarkStart w:id="539" w:name="_Toc53606627"/>
      <w:bookmarkEnd w:id="539"/>
      <w:bookmarkStart w:id="540" w:name="_Toc53606622"/>
      <w:bookmarkEnd w:id="540"/>
      <w:bookmarkStart w:id="541" w:name="_Toc53606618"/>
      <w:bookmarkEnd w:id="541"/>
      <w:bookmarkStart w:id="542" w:name="_Toc53606598"/>
      <w:bookmarkEnd w:id="542"/>
      <w:bookmarkStart w:id="543" w:name="_Toc53606600"/>
      <w:bookmarkEnd w:id="543"/>
      <w:bookmarkStart w:id="544" w:name="_Toc53606602"/>
      <w:bookmarkEnd w:id="544"/>
      <w:bookmarkStart w:id="545" w:name="_Toc53606625"/>
      <w:bookmarkEnd w:id="545"/>
      <w:bookmarkStart w:id="546" w:name="_Toc53606608"/>
      <w:bookmarkEnd w:id="546"/>
      <w:bookmarkStart w:id="547" w:name="_Toc53606603"/>
      <w:bookmarkEnd w:id="547"/>
      <w:bookmarkStart w:id="548" w:name="_Toc53606616"/>
      <w:bookmarkEnd w:id="548"/>
      <w:bookmarkStart w:id="549" w:name="_Toc53606630"/>
      <w:bookmarkEnd w:id="549"/>
      <w:bookmarkStart w:id="550" w:name="_Toc53606610"/>
      <w:bookmarkEnd w:id="550"/>
      <w:bookmarkStart w:id="551" w:name="_Toc53606613"/>
      <w:bookmarkEnd w:id="551"/>
      <w:bookmarkStart w:id="552" w:name="_Toc53606638"/>
      <w:bookmarkEnd w:id="552"/>
      <w:bookmarkStart w:id="553" w:name="_Toc53606612"/>
      <w:bookmarkEnd w:id="553"/>
      <w:bookmarkStart w:id="554" w:name="_Toc53606609"/>
      <w:bookmarkEnd w:id="554"/>
      <w:bookmarkStart w:id="555" w:name="_Toc53606605"/>
      <w:bookmarkEnd w:id="555"/>
      <w:bookmarkStart w:id="556" w:name="_Toc53606632"/>
      <w:bookmarkEnd w:id="556"/>
      <w:bookmarkStart w:id="557" w:name="_Toc53606626"/>
      <w:bookmarkEnd w:id="557"/>
      <w:bookmarkStart w:id="558" w:name="_Toc53606641"/>
      <w:bookmarkEnd w:id="558"/>
      <w:bookmarkStart w:id="559" w:name="_Toc53606607"/>
      <w:bookmarkEnd w:id="559"/>
      <w:bookmarkStart w:id="560" w:name="_Toc53606634"/>
      <w:bookmarkEnd w:id="560"/>
      <w:bookmarkStart w:id="561" w:name="_Toc53606639"/>
      <w:bookmarkEnd w:id="561"/>
      <w:bookmarkStart w:id="562" w:name="_Toc53606636"/>
      <w:bookmarkEnd w:id="562"/>
      <w:bookmarkStart w:id="563" w:name="_Toc53606623"/>
      <w:bookmarkEnd w:id="563"/>
      <w:bookmarkStart w:id="564" w:name="_Toc53606631"/>
      <w:bookmarkEnd w:id="564"/>
      <w:bookmarkStart w:id="565" w:name="_Toc53606601"/>
      <w:bookmarkEnd w:id="565"/>
      <w:bookmarkStart w:id="566" w:name="_Toc53606606"/>
      <w:bookmarkEnd w:id="566"/>
      <w:bookmarkStart w:id="567" w:name="_Toc53606614"/>
      <w:bookmarkEnd w:id="567"/>
      <w:bookmarkStart w:id="568" w:name="_Toc53606635"/>
      <w:bookmarkEnd w:id="568"/>
      <w:bookmarkStart w:id="569" w:name="_Toc53606611"/>
      <w:bookmarkEnd w:id="569"/>
      <w:bookmarkStart w:id="570" w:name="_Toc53606617"/>
      <w:bookmarkEnd w:id="570"/>
      <w:bookmarkStart w:id="571" w:name="_Toc53077731"/>
      <w:bookmarkStart w:id="572" w:name="_Toc53149139"/>
      <w:bookmarkStart w:id="573" w:name="_Toc59115849"/>
      <w:bookmarkStart w:id="574" w:name="_Toc58492206"/>
      <w:bookmarkStart w:id="575" w:name="_Toc52926731"/>
      <w:r>
        <w:rPr>
          <w:b/>
          <w:color w:val="auto"/>
          <w:kern w:val="0"/>
          <w:sz w:val="28"/>
          <w:szCs w:val="20"/>
          <w:highlight w:val="none"/>
        </w:rPr>
        <w:t>4.1资金条件</w:t>
      </w:r>
      <w:bookmarkEnd w:id="571"/>
      <w:bookmarkEnd w:id="572"/>
      <w:bookmarkEnd w:id="573"/>
      <w:bookmarkEnd w:id="574"/>
      <w:bookmarkEnd w:id="575"/>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本项目费用全部由市财政拨付。</w:t>
      </w:r>
      <w:bookmarkStart w:id="576" w:name="_Toc53149140"/>
      <w:bookmarkStart w:id="577" w:name="_Toc52926732"/>
      <w:bookmarkStart w:id="578" w:name="_Toc58492207"/>
      <w:bookmarkStart w:id="579" w:name="_Toc53077732"/>
    </w:p>
    <w:p>
      <w:pPr>
        <w:keepNext/>
        <w:keepLines/>
        <w:adjustRightInd w:val="0"/>
        <w:spacing w:before="280" w:after="290" w:line="376" w:lineRule="atLeast"/>
        <w:textAlignment w:val="baseline"/>
        <w:outlineLvl w:val="3"/>
        <w:rPr>
          <w:b/>
          <w:color w:val="auto"/>
          <w:kern w:val="0"/>
          <w:sz w:val="28"/>
          <w:szCs w:val="20"/>
          <w:highlight w:val="none"/>
        </w:rPr>
      </w:pPr>
      <w:bookmarkStart w:id="580" w:name="_Toc59115850"/>
      <w:r>
        <w:rPr>
          <w:b/>
          <w:color w:val="auto"/>
          <w:kern w:val="0"/>
          <w:sz w:val="28"/>
          <w:szCs w:val="20"/>
          <w:highlight w:val="none"/>
        </w:rPr>
        <w:t>4.2基础条件</w:t>
      </w:r>
      <w:bookmarkEnd w:id="576"/>
      <w:bookmarkEnd w:id="577"/>
      <w:bookmarkEnd w:id="578"/>
      <w:bookmarkEnd w:id="579"/>
      <w:bookmarkEnd w:id="580"/>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市公共资源交易平台信息系统设备部署于市级政务云平台。</w:t>
      </w:r>
    </w:p>
    <w:p>
      <w:pPr>
        <w:keepNext/>
        <w:keepLines/>
        <w:adjustRightInd w:val="0"/>
        <w:spacing w:before="280" w:after="290" w:line="376" w:lineRule="atLeast"/>
        <w:textAlignment w:val="baseline"/>
        <w:outlineLvl w:val="3"/>
        <w:rPr>
          <w:b/>
          <w:color w:val="auto"/>
          <w:kern w:val="0"/>
          <w:sz w:val="28"/>
          <w:szCs w:val="20"/>
          <w:highlight w:val="none"/>
        </w:rPr>
      </w:pPr>
      <w:bookmarkStart w:id="581" w:name="_Toc59115851"/>
      <w:r>
        <w:rPr>
          <w:b/>
          <w:color w:val="auto"/>
          <w:kern w:val="0"/>
          <w:sz w:val="28"/>
          <w:szCs w:val="20"/>
          <w:highlight w:val="none"/>
        </w:rPr>
        <w:t>4.3服务期限</w:t>
      </w:r>
      <w:bookmarkEnd w:id="581"/>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本项目服务期限为2026年5月1日至2027年4月30日。</w:t>
      </w:r>
      <w:bookmarkStart w:id="582" w:name="_Toc53606645"/>
      <w:bookmarkEnd w:id="582"/>
    </w:p>
    <w:p>
      <w:pPr>
        <w:keepNext/>
        <w:keepLines/>
        <w:adjustRightInd w:val="0"/>
        <w:spacing w:before="280" w:after="290" w:line="376" w:lineRule="atLeast"/>
        <w:textAlignment w:val="baseline"/>
        <w:outlineLvl w:val="3"/>
        <w:rPr>
          <w:b/>
          <w:color w:val="auto"/>
          <w:kern w:val="0"/>
          <w:sz w:val="28"/>
          <w:szCs w:val="20"/>
          <w:highlight w:val="none"/>
        </w:rPr>
      </w:pPr>
      <w:r>
        <w:rPr>
          <w:b/>
          <w:color w:val="auto"/>
          <w:kern w:val="0"/>
          <w:sz w:val="28"/>
          <w:szCs w:val="20"/>
          <w:highlight w:val="none"/>
        </w:rPr>
        <w:t>4.4执行标准</w:t>
      </w:r>
    </w:p>
    <w:p>
      <w:pPr>
        <w:widowControl/>
        <w:adjustRightInd w:val="0"/>
        <w:snapToGrid w:val="0"/>
        <w:spacing w:line="360" w:lineRule="auto"/>
        <w:ind w:firstLine="480" w:firstLineChars="200"/>
        <w:rPr>
          <w:color w:val="auto"/>
          <w:kern w:val="0"/>
          <w:sz w:val="24"/>
          <w:highlight w:val="none"/>
        </w:rPr>
      </w:pPr>
      <w:r>
        <w:rPr>
          <w:color w:val="auto"/>
          <w:kern w:val="0"/>
          <w:sz w:val="24"/>
          <w:highlight w:val="none"/>
        </w:rPr>
        <w:t>按国家相关标准、行业标准、地方标准、规范执行。</w:t>
      </w:r>
    </w:p>
    <w:p>
      <w:pPr>
        <w:pStyle w:val="3"/>
        <w:rPr>
          <w:rFonts w:ascii="Times New Roman"/>
          <w:color w:val="auto"/>
          <w:kern w:val="0"/>
          <w:highlight w:val="none"/>
        </w:rPr>
      </w:pPr>
    </w:p>
    <w:p>
      <w:pPr>
        <w:rPr>
          <w:color w:val="auto"/>
          <w:kern w:val="0"/>
          <w:sz w:val="24"/>
          <w:highlight w:val="none"/>
        </w:rPr>
      </w:pPr>
    </w:p>
    <w:p>
      <w:pPr>
        <w:pStyle w:val="3"/>
        <w:rPr>
          <w:rFonts w:ascii="Times New Roman"/>
          <w:color w:val="auto"/>
          <w:kern w:val="0"/>
          <w:highlight w:val="none"/>
        </w:rPr>
      </w:pPr>
    </w:p>
    <w:p>
      <w:pPr>
        <w:rPr>
          <w:color w:val="auto"/>
          <w:kern w:val="0"/>
          <w:sz w:val="24"/>
          <w:highlight w:val="none"/>
        </w:rPr>
      </w:pPr>
    </w:p>
    <w:p>
      <w:pPr>
        <w:pStyle w:val="3"/>
        <w:rPr>
          <w:rFonts w:ascii="Times New Roman"/>
          <w:color w:val="auto"/>
          <w:kern w:val="0"/>
          <w:highlight w:val="none"/>
        </w:rPr>
      </w:pPr>
    </w:p>
    <w:p>
      <w:pPr>
        <w:rPr>
          <w:color w:val="auto"/>
          <w:kern w:val="0"/>
          <w:sz w:val="24"/>
          <w:highlight w:val="none"/>
        </w:rPr>
      </w:pPr>
    </w:p>
    <w:p>
      <w:pPr>
        <w:pStyle w:val="3"/>
        <w:rPr>
          <w:rFonts w:ascii="Times New Roman"/>
          <w:color w:val="auto"/>
          <w:kern w:val="0"/>
          <w:highlight w:val="none"/>
        </w:rPr>
      </w:pPr>
    </w:p>
    <w:p>
      <w:pPr>
        <w:rPr>
          <w:color w:val="auto"/>
          <w:kern w:val="0"/>
          <w:sz w:val="24"/>
          <w:highlight w:val="none"/>
        </w:rPr>
      </w:pPr>
    </w:p>
    <w:p>
      <w:pPr>
        <w:pStyle w:val="3"/>
        <w:rPr>
          <w:rFonts w:ascii="Times New Roman"/>
          <w:color w:val="auto"/>
          <w:kern w:val="0"/>
          <w:highlight w:val="none"/>
        </w:rPr>
      </w:pPr>
    </w:p>
    <w:p>
      <w:pPr>
        <w:rPr>
          <w:color w:val="auto"/>
          <w:kern w:val="0"/>
          <w:sz w:val="24"/>
          <w:highlight w:val="none"/>
        </w:rPr>
      </w:pPr>
    </w:p>
    <w:p>
      <w:pPr>
        <w:pStyle w:val="3"/>
        <w:rPr>
          <w:rFonts w:ascii="Times New Roman"/>
          <w:color w:val="auto"/>
          <w:kern w:val="0"/>
          <w:highlight w:val="none"/>
        </w:rPr>
      </w:pPr>
    </w:p>
    <w:p>
      <w:pPr>
        <w:rPr>
          <w:color w:val="auto"/>
          <w:kern w:val="0"/>
          <w:sz w:val="24"/>
          <w:highlight w:val="none"/>
        </w:rPr>
      </w:pPr>
    </w:p>
    <w:p>
      <w:pPr>
        <w:pStyle w:val="3"/>
        <w:rPr>
          <w:rFonts w:ascii="Times New Roman"/>
          <w:color w:val="auto"/>
          <w:kern w:val="0"/>
          <w:highlight w:val="none"/>
        </w:rPr>
      </w:pPr>
    </w:p>
    <w:p>
      <w:pPr>
        <w:rPr>
          <w:color w:val="auto"/>
          <w:highlight w:val="none"/>
        </w:rPr>
      </w:pPr>
    </w:p>
    <w:p>
      <w:pPr>
        <w:rPr>
          <w:color w:val="auto"/>
          <w:highlight w:val="none"/>
        </w:rPr>
      </w:pPr>
    </w:p>
    <w:p>
      <w:pPr>
        <w:spacing w:line="360" w:lineRule="auto"/>
        <w:jc w:val="center"/>
        <w:outlineLvl w:val="0"/>
        <w:rPr>
          <w:b/>
          <w:color w:val="auto"/>
          <w:sz w:val="36"/>
          <w:szCs w:val="36"/>
          <w:highlight w:val="none"/>
        </w:rPr>
      </w:pPr>
      <w:bookmarkStart w:id="583" w:name="_Toc97371945"/>
      <w:r>
        <w:rPr>
          <w:b/>
          <w:color w:val="auto"/>
          <w:sz w:val="36"/>
          <w:szCs w:val="36"/>
          <w:highlight w:val="none"/>
        </w:rPr>
        <w:br w:type="page"/>
      </w:r>
      <w:r>
        <w:rPr>
          <w:b/>
          <w:color w:val="auto"/>
          <w:sz w:val="36"/>
          <w:szCs w:val="36"/>
          <w:highlight w:val="none"/>
        </w:rPr>
        <w:t>第2包</w:t>
      </w:r>
      <w:bookmarkEnd w:id="583"/>
      <w:r>
        <w:rPr>
          <w:b/>
          <w:color w:val="auto"/>
          <w:sz w:val="36"/>
          <w:szCs w:val="36"/>
          <w:highlight w:val="none"/>
        </w:rPr>
        <w:t>北京市公共资源交易平台信息系统信息化运维-政务云网络、服务器、数据库系统维护(2026年度)</w:t>
      </w:r>
    </w:p>
    <w:p>
      <w:pPr>
        <w:numPr>
          <w:ilvl w:val="0"/>
          <w:numId w:val="11"/>
        </w:numPr>
        <w:spacing w:line="360" w:lineRule="auto"/>
        <w:contextualSpacing/>
        <w:outlineLvl w:val="1"/>
        <w:rPr>
          <w:b/>
          <w:color w:val="auto"/>
          <w:sz w:val="28"/>
          <w:szCs w:val="28"/>
          <w:highlight w:val="none"/>
        </w:rPr>
      </w:pPr>
      <w:r>
        <w:rPr>
          <w:b/>
          <w:color w:val="auto"/>
          <w:sz w:val="28"/>
          <w:szCs w:val="28"/>
          <w:highlight w:val="none"/>
        </w:rPr>
        <w:t>采购标的</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1. 采购标的</w:t>
      </w:r>
    </w:p>
    <w:p>
      <w:pPr>
        <w:spacing w:line="360" w:lineRule="auto"/>
        <w:ind w:firstLine="482"/>
        <w:contextualSpacing/>
        <w:jc w:val="left"/>
        <w:rPr>
          <w:color w:val="auto"/>
          <w:sz w:val="24"/>
          <w:highlight w:val="none"/>
        </w:rPr>
      </w:pPr>
      <w:r>
        <w:rPr>
          <w:color w:val="auto"/>
          <w:sz w:val="24"/>
          <w:highlight w:val="none"/>
        </w:rPr>
        <w:t>第</w:t>
      </w:r>
      <w:r>
        <w:rPr>
          <w:rFonts w:hint="eastAsia"/>
          <w:color w:val="auto"/>
          <w:sz w:val="24"/>
          <w:highlight w:val="none"/>
        </w:rPr>
        <w:t>2</w:t>
      </w:r>
      <w:r>
        <w:rPr>
          <w:color w:val="auto"/>
          <w:sz w:val="24"/>
          <w:highlight w:val="none"/>
        </w:rPr>
        <w:t>包北京市公共资源交易平台信息系统信息化运维-政务云网络、服务器、数据库系统维护(2026年度)</w:t>
      </w:r>
    </w:p>
    <w:p>
      <w:pPr>
        <w:spacing w:line="360" w:lineRule="auto"/>
        <w:ind w:firstLine="482"/>
        <w:contextualSpacing/>
        <w:jc w:val="left"/>
        <w:rPr>
          <w:color w:val="auto"/>
          <w:sz w:val="24"/>
          <w:highlight w:val="none"/>
        </w:rPr>
      </w:pPr>
      <w:r>
        <w:rPr>
          <w:color w:val="auto"/>
          <w:sz w:val="24"/>
          <w:highlight w:val="none"/>
        </w:rPr>
        <w:t>对系统所涉及的网络、服务器、操作系统、数据库的日常巡检、基础维护、功能维护、应急处置等，需要委托第三方服务团队，专门负责运行维护工作，保障北京市公共资源交易平台信息系统的安全可靠运行。</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2. 项目背景/项目概述</w:t>
      </w:r>
    </w:p>
    <w:p>
      <w:pPr>
        <w:spacing w:line="360" w:lineRule="auto"/>
        <w:ind w:firstLine="482"/>
        <w:contextualSpacing/>
        <w:rPr>
          <w:color w:val="auto"/>
          <w:sz w:val="24"/>
          <w:highlight w:val="none"/>
        </w:rPr>
      </w:pPr>
      <w:r>
        <w:rPr>
          <w:color w:val="auto"/>
          <w:sz w:val="24"/>
          <w:highlight w:val="none"/>
        </w:rPr>
        <w:t>为了贯彻落实《国务院办公厅关于印发整合建立统一的公共资源交易平台工作方案的通知》（国办发〔2015〕63号）和《北京市人民政府办公厅关于印发&lt;北京市整合建立统一规范的公共资源交易平台实施方案&gt;的通知》（京政办发〔2016〕9号）的要求，北京市经济信息中心根据《北京市发展和改革委员会关于北京市公共资源交易平台信息系统项目建议书（代可行性研究报告）的批复》（京发改（审）[2016]366号），建设了北京市公共资源交易平台信息系统。</w:t>
      </w:r>
    </w:p>
    <w:p>
      <w:pPr>
        <w:spacing w:line="360" w:lineRule="auto"/>
        <w:ind w:firstLine="482"/>
        <w:contextualSpacing/>
        <w:rPr>
          <w:color w:val="auto"/>
          <w:sz w:val="24"/>
          <w:highlight w:val="none"/>
        </w:rPr>
      </w:pPr>
      <w:r>
        <w:rPr>
          <w:color w:val="auto"/>
          <w:sz w:val="24"/>
          <w:highlight w:val="none"/>
        </w:rPr>
        <w:t>根据《北京市人民政府关于对〈北京市公共资源交易监督管理办法（试行）〉的批复》（京政字〔2017〕11号）文件精神，北京市公共资源交易中心负责北京市公共资源交易公共服务系统、公共资源综合交易系统和公共资源交易监管系统的开发建设、运行维护、安全保障服务工作。</w:t>
      </w:r>
    </w:p>
    <w:p>
      <w:pPr>
        <w:spacing w:line="360" w:lineRule="auto"/>
        <w:ind w:firstLine="482"/>
        <w:contextualSpacing/>
        <w:rPr>
          <w:color w:val="auto"/>
          <w:sz w:val="24"/>
          <w:highlight w:val="none"/>
        </w:rPr>
      </w:pPr>
      <w:r>
        <w:rPr>
          <w:color w:val="auto"/>
          <w:sz w:val="24"/>
          <w:highlight w:val="none"/>
        </w:rPr>
        <w:t>北京市公共资源交易平台信息系统由北京市公共资源交易公共服务平台、北京市公共资源交易监管平台、北京市公共资源综合交易系统、运行维护系统、应用支撑平台构成，覆盖全市所有的行政区域，服务全市的工程建设招投标、政府采购、土地使用权和矿业权出让、国有产权交易等公共资源交易和在线监管。</w:t>
      </w:r>
    </w:p>
    <w:p>
      <w:pPr>
        <w:numPr>
          <w:ilvl w:val="0"/>
          <w:numId w:val="11"/>
        </w:numPr>
        <w:spacing w:line="360" w:lineRule="auto"/>
        <w:ind w:left="499" w:hanging="499"/>
        <w:contextualSpacing/>
        <w:outlineLvl w:val="1"/>
        <w:rPr>
          <w:b/>
          <w:color w:val="auto"/>
          <w:sz w:val="28"/>
          <w:szCs w:val="28"/>
          <w:highlight w:val="none"/>
        </w:rPr>
      </w:pPr>
      <w:r>
        <w:rPr>
          <w:b/>
          <w:color w:val="auto"/>
          <w:sz w:val="28"/>
          <w:szCs w:val="28"/>
          <w:highlight w:val="none"/>
        </w:rPr>
        <w:t>商务要求</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1. 交付（实施）的时间（期限）和地点（范围）</w:t>
      </w:r>
    </w:p>
    <w:p>
      <w:pPr>
        <w:autoSpaceDE w:val="0"/>
        <w:autoSpaceDN w:val="0"/>
        <w:adjustRightInd w:val="0"/>
        <w:spacing w:line="360" w:lineRule="auto"/>
        <w:ind w:firstLine="420"/>
        <w:jc w:val="left"/>
        <w:rPr>
          <w:color w:val="auto"/>
          <w:sz w:val="24"/>
          <w:highlight w:val="none"/>
        </w:rPr>
      </w:pPr>
      <w:r>
        <w:rPr>
          <w:color w:val="auto"/>
          <w:sz w:val="24"/>
          <w:highlight w:val="none"/>
        </w:rPr>
        <w:t>本项目运维周期为：2026年5月1日至2027年4月30日</w:t>
      </w:r>
    </w:p>
    <w:p>
      <w:pPr>
        <w:autoSpaceDE w:val="0"/>
        <w:autoSpaceDN w:val="0"/>
        <w:adjustRightInd w:val="0"/>
        <w:spacing w:line="360" w:lineRule="auto"/>
        <w:ind w:firstLine="420"/>
        <w:jc w:val="left"/>
        <w:rPr>
          <w:color w:val="auto"/>
          <w:sz w:val="24"/>
          <w:highlight w:val="none"/>
        </w:rPr>
      </w:pPr>
      <w:r>
        <w:rPr>
          <w:color w:val="auto"/>
          <w:sz w:val="24"/>
          <w:highlight w:val="none"/>
        </w:rPr>
        <w:t>本项目实施地点：采购人指定地点</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2. 付款条件（进度和方式）</w:t>
      </w:r>
    </w:p>
    <w:p>
      <w:pPr>
        <w:autoSpaceDE w:val="0"/>
        <w:autoSpaceDN w:val="0"/>
        <w:adjustRightInd w:val="0"/>
        <w:spacing w:line="360" w:lineRule="auto"/>
        <w:ind w:firstLine="420"/>
        <w:jc w:val="left"/>
        <w:rPr>
          <w:color w:val="auto"/>
          <w:sz w:val="24"/>
          <w:highlight w:val="none"/>
        </w:rPr>
      </w:pPr>
      <w:r>
        <w:rPr>
          <w:color w:val="auto"/>
          <w:sz w:val="24"/>
          <w:highlight w:val="none"/>
        </w:rPr>
        <w:t>（1）本合同签署生效且财政资金拨付到位后，于2026年6月30日前，采购人向中标人支付本合同首款，为合同总价格的50%，计人民币（大写）：     （￥       元）；</w:t>
      </w:r>
    </w:p>
    <w:p>
      <w:pPr>
        <w:autoSpaceDE w:val="0"/>
        <w:autoSpaceDN w:val="0"/>
        <w:adjustRightInd w:val="0"/>
        <w:spacing w:line="360" w:lineRule="auto"/>
        <w:ind w:firstLine="420"/>
        <w:jc w:val="left"/>
        <w:rPr>
          <w:color w:val="auto"/>
          <w:sz w:val="24"/>
          <w:highlight w:val="none"/>
        </w:rPr>
      </w:pPr>
      <w:r>
        <w:rPr>
          <w:color w:val="auto"/>
          <w:sz w:val="24"/>
          <w:highlight w:val="none"/>
        </w:rPr>
        <w:t>（2）中标人按合同要求完成相应工作并经采购人阶段性验收通过后，于2026年12月30日前，采购人向乙方支付本合同中期款，为合同总价格的16.67%，计人民币（大写）：    元（￥    元）；</w:t>
      </w:r>
    </w:p>
    <w:p>
      <w:pPr>
        <w:autoSpaceDE w:val="0"/>
        <w:autoSpaceDN w:val="0"/>
        <w:adjustRightInd w:val="0"/>
        <w:spacing w:line="360" w:lineRule="auto"/>
        <w:ind w:firstLine="420"/>
        <w:jc w:val="left"/>
        <w:rPr>
          <w:color w:val="auto"/>
          <w:sz w:val="24"/>
          <w:highlight w:val="none"/>
        </w:rPr>
      </w:pPr>
      <w:r>
        <w:rPr>
          <w:color w:val="auto"/>
          <w:sz w:val="24"/>
          <w:highlight w:val="none"/>
        </w:rPr>
        <w:t>（3）中标人按合同要求完成全部工作并经采购人验收通过，且2027年财政资金拨付到位后，于2027年6月30日前，采购人向乙方支付本合同尾款，本合同总价格的33.33%，计人民币（大写）：    元（￥    元）。</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3. 类似业绩</w:t>
      </w:r>
    </w:p>
    <w:p>
      <w:pPr>
        <w:autoSpaceDE w:val="0"/>
        <w:autoSpaceDN w:val="0"/>
        <w:adjustRightInd w:val="0"/>
        <w:spacing w:line="360" w:lineRule="auto"/>
        <w:ind w:firstLine="420"/>
        <w:jc w:val="left"/>
        <w:rPr>
          <w:color w:val="auto"/>
          <w:sz w:val="24"/>
          <w:highlight w:val="none"/>
        </w:rPr>
      </w:pPr>
      <w:r>
        <w:rPr>
          <w:color w:val="auto"/>
          <w:sz w:val="24"/>
          <w:highlight w:val="none"/>
        </w:rPr>
        <w:t>投标人近三年内（2023年4月1日起至投标文件递交截止时间，以合同签订日期为准）承担过类似信息化建设项目或运维项目证明材料，以提供的合同复印件为准，要求必须提供项目名称页、主要内容页、金额所在页、签字盖章页复印件作为证明。</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4.资质能力要求</w:t>
      </w:r>
    </w:p>
    <w:p>
      <w:pPr>
        <w:pStyle w:val="6"/>
        <w:spacing w:line="360" w:lineRule="auto"/>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投标人具有有效的质量管理体系认证证书、信息安全管理体系认证证书、信息技术服务管理体系认证证书。</w:t>
      </w:r>
    </w:p>
    <w:p>
      <w:pPr>
        <w:pStyle w:val="6"/>
        <w:spacing w:line="360" w:lineRule="auto"/>
        <w:ind w:firstLine="566" w:firstLineChars="236"/>
        <w:rPr>
          <w:rFonts w:ascii="Times New Roman" w:hAnsi="Times New Roman"/>
          <w:color w:val="auto"/>
          <w:highlight w:val="none"/>
        </w:rPr>
      </w:pPr>
      <w:r>
        <w:rPr>
          <w:rFonts w:ascii="Times New Roman" w:hAnsi="Times New Roman"/>
          <w:color w:val="auto"/>
          <w:sz w:val="24"/>
          <w:szCs w:val="24"/>
          <w:highlight w:val="none"/>
        </w:rPr>
        <w:t>注：须提供证书及一年内监督审核证明复印件或扫描件(新办证书不用提供年度监督审核证明) ，（或提供全国认证认可公共服务平台查询结果为“有效”信息，提供截图）。</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5.人员要求</w:t>
      </w:r>
    </w:p>
    <w:p>
      <w:pPr>
        <w:autoSpaceDE w:val="0"/>
        <w:autoSpaceDN w:val="0"/>
        <w:adjustRightInd w:val="0"/>
        <w:spacing w:line="360" w:lineRule="auto"/>
        <w:ind w:firstLine="420"/>
        <w:jc w:val="left"/>
        <w:rPr>
          <w:color w:val="auto"/>
          <w:sz w:val="24"/>
          <w:highlight w:val="none"/>
        </w:rPr>
      </w:pPr>
      <w:r>
        <w:rPr>
          <w:color w:val="auto"/>
          <w:sz w:val="24"/>
          <w:highlight w:val="none"/>
        </w:rPr>
        <w:t>本项目由北京市公共资源交易中心主导组建运维团队，统一组织协调系统运行中的日常事务，牵头制订系统运维的各项规章制度。</w:t>
      </w:r>
    </w:p>
    <w:p>
      <w:pPr>
        <w:autoSpaceDE w:val="0"/>
        <w:autoSpaceDN w:val="0"/>
        <w:adjustRightInd w:val="0"/>
        <w:spacing w:line="360" w:lineRule="auto"/>
        <w:ind w:firstLine="420"/>
        <w:jc w:val="left"/>
        <w:rPr>
          <w:color w:val="auto"/>
          <w:sz w:val="24"/>
          <w:highlight w:val="none"/>
        </w:rPr>
      </w:pPr>
      <w:r>
        <w:rPr>
          <w:color w:val="auto"/>
          <w:sz w:val="24"/>
          <w:highlight w:val="none"/>
        </w:rPr>
        <w:t>运维团队按照各项规章制度执行运维工作，负责运维管理工作，开展日常巡检和基础维护、功能维护和应急处置，做好重点时期保障工作。</w:t>
      </w:r>
    </w:p>
    <w:p>
      <w:pPr>
        <w:autoSpaceDE w:val="0"/>
        <w:autoSpaceDN w:val="0"/>
        <w:adjustRightInd w:val="0"/>
        <w:spacing w:line="360" w:lineRule="auto"/>
        <w:ind w:firstLine="420"/>
        <w:jc w:val="left"/>
        <w:rPr>
          <w:color w:val="auto"/>
          <w:sz w:val="24"/>
          <w:highlight w:val="none"/>
        </w:rPr>
      </w:pPr>
      <w:r>
        <w:rPr>
          <w:rFonts w:hint="eastAsia" w:ascii="宋体" w:hAnsi="宋体" w:eastAsia="宋体" w:cs="宋体"/>
          <w:color w:val="auto"/>
          <w:sz w:val="24"/>
          <w:highlight w:val="none"/>
        </w:rPr>
        <w:t>①</w:t>
      </w:r>
      <w:r>
        <w:rPr>
          <w:color w:val="auto"/>
          <w:sz w:val="24"/>
          <w:highlight w:val="none"/>
        </w:rPr>
        <w:t>项目经理需具备信息系统项目管理师证书；</w:t>
      </w:r>
    </w:p>
    <w:p>
      <w:pPr>
        <w:autoSpaceDE w:val="0"/>
        <w:autoSpaceDN w:val="0"/>
        <w:adjustRightInd w:val="0"/>
        <w:spacing w:line="360" w:lineRule="auto"/>
        <w:ind w:firstLine="420"/>
        <w:jc w:val="left"/>
        <w:rPr>
          <w:color w:val="auto"/>
          <w:sz w:val="24"/>
          <w:highlight w:val="none"/>
        </w:rPr>
      </w:pPr>
      <w:r>
        <w:rPr>
          <w:rFonts w:hint="eastAsia" w:ascii="宋体" w:hAnsi="宋体" w:eastAsia="宋体" w:cs="宋体"/>
          <w:color w:val="auto"/>
          <w:sz w:val="24"/>
          <w:highlight w:val="none"/>
        </w:rPr>
        <w:t>②</w:t>
      </w:r>
      <w:r>
        <w:rPr>
          <w:color w:val="auto"/>
          <w:sz w:val="24"/>
          <w:highlight w:val="none"/>
        </w:rPr>
        <w:t>技术负责人需同时具备系统集成项目管理工程师</w:t>
      </w:r>
      <w:r>
        <w:rPr>
          <w:rFonts w:hint="eastAsia"/>
          <w:color w:val="auto"/>
          <w:sz w:val="24"/>
          <w:highlight w:val="none"/>
        </w:rPr>
        <w:t>、</w:t>
      </w:r>
      <w:r>
        <w:rPr>
          <w:color w:val="auto"/>
          <w:sz w:val="24"/>
          <w:highlight w:val="none"/>
        </w:rPr>
        <w:t>系统分析师证书、注册信息安全专业人员CISP证书；</w:t>
      </w:r>
    </w:p>
    <w:p>
      <w:pPr>
        <w:autoSpaceDE w:val="0"/>
        <w:autoSpaceDN w:val="0"/>
        <w:adjustRightInd w:val="0"/>
        <w:spacing w:line="360" w:lineRule="auto"/>
        <w:ind w:firstLine="420"/>
        <w:jc w:val="left"/>
        <w:rPr>
          <w:color w:val="auto"/>
          <w:sz w:val="24"/>
          <w:highlight w:val="none"/>
        </w:rPr>
      </w:pPr>
      <w:r>
        <w:rPr>
          <w:rFonts w:hint="eastAsia" w:ascii="宋体" w:hAnsi="宋体" w:eastAsia="宋体" w:cs="宋体"/>
          <w:color w:val="auto"/>
          <w:sz w:val="24"/>
          <w:highlight w:val="none"/>
        </w:rPr>
        <w:t>③</w:t>
      </w:r>
      <w:r>
        <w:rPr>
          <w:color w:val="auto"/>
          <w:sz w:val="24"/>
          <w:highlight w:val="none"/>
        </w:rPr>
        <w:t>其余拟派团队人员中，需具有计算机类专业技术资格</w:t>
      </w:r>
      <w:r>
        <w:rPr>
          <w:rFonts w:hint="eastAsia"/>
          <w:color w:val="auto"/>
          <w:sz w:val="24"/>
          <w:highlight w:val="none"/>
        </w:rPr>
        <w:t>中、高</w:t>
      </w:r>
      <w:r>
        <w:rPr>
          <w:color w:val="auto"/>
          <w:sz w:val="24"/>
          <w:highlight w:val="none"/>
        </w:rPr>
        <w:t>证书。</w:t>
      </w:r>
    </w:p>
    <w:p>
      <w:pPr>
        <w:ind w:left="-10"/>
        <w:rPr>
          <w:color w:val="auto"/>
          <w:sz w:val="24"/>
          <w:highlight w:val="none"/>
        </w:rPr>
      </w:pPr>
      <w:r>
        <w:rPr>
          <w:color w:val="auto"/>
          <w:sz w:val="24"/>
          <w:highlight w:val="none"/>
        </w:rPr>
        <w:t>注：需提供个人在职证明（加盖投标人公章的合同或承诺函）、证书复印件。</w:t>
      </w:r>
    </w:p>
    <w:p>
      <w:pPr>
        <w:numPr>
          <w:ilvl w:val="0"/>
          <w:numId w:val="11"/>
        </w:numPr>
        <w:spacing w:line="360" w:lineRule="auto"/>
        <w:ind w:left="499" w:hanging="499"/>
        <w:contextualSpacing/>
        <w:outlineLvl w:val="1"/>
        <w:rPr>
          <w:b/>
          <w:color w:val="auto"/>
          <w:sz w:val="28"/>
          <w:szCs w:val="28"/>
          <w:highlight w:val="none"/>
        </w:rPr>
      </w:pPr>
      <w:r>
        <w:rPr>
          <w:b/>
          <w:color w:val="auto"/>
          <w:sz w:val="28"/>
          <w:szCs w:val="28"/>
          <w:highlight w:val="none"/>
        </w:rPr>
        <w:t>技术要求</w:t>
      </w:r>
    </w:p>
    <w:p>
      <w:pPr>
        <w:pStyle w:val="3"/>
        <w:spacing w:line="360" w:lineRule="auto"/>
        <w:ind w:firstLine="480" w:firstLineChars="200"/>
        <w:jc w:val="both"/>
        <w:rPr>
          <w:rFonts w:ascii="Times New Roman"/>
          <w:color w:val="auto"/>
          <w:highlight w:val="none"/>
        </w:rPr>
      </w:pPr>
      <w:r>
        <w:rPr>
          <w:rFonts w:ascii="Times New Roman"/>
          <w:color w:val="auto"/>
          <w:highlight w:val="none"/>
        </w:rPr>
        <w:t>北京市公共资源交易平台信息系统技术运维项目（网络、云主机和数据库部分）工作内容包括：对系统所涉及的政务云网络策略、云服务器（操作系统、数据库）的日常巡检、基础维护、功能维护、应急处置、重点时期保障。为此，需要组建由现场运维、后台支撑技术人员组成的专业队伍，专门负责运维工作。</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1.运维范围</w:t>
      </w:r>
    </w:p>
    <w:p>
      <w:pPr>
        <w:pStyle w:val="3"/>
        <w:spacing w:line="360" w:lineRule="auto"/>
        <w:ind w:firstLine="480" w:firstLineChars="200"/>
        <w:jc w:val="both"/>
        <w:rPr>
          <w:rFonts w:ascii="Times New Roman"/>
          <w:color w:val="auto"/>
          <w:highlight w:val="none"/>
        </w:rPr>
      </w:pPr>
      <w:r>
        <w:rPr>
          <w:rFonts w:ascii="Times New Roman"/>
          <w:color w:val="auto"/>
          <w:highlight w:val="none"/>
        </w:rPr>
        <w:t>本项目部署在市级政务云，以租用云服务商服务方式解决网络基础设施、服务器计算和存储资源，以及网络安全防护、主机防病毒服务需求。</w:t>
      </w:r>
    </w:p>
    <w:p>
      <w:pPr>
        <w:pStyle w:val="3"/>
        <w:spacing w:line="360" w:lineRule="auto"/>
        <w:ind w:firstLine="480" w:firstLineChars="200"/>
        <w:jc w:val="both"/>
        <w:rPr>
          <w:rFonts w:ascii="Times New Roman"/>
          <w:color w:val="auto"/>
          <w:highlight w:val="none"/>
        </w:rPr>
      </w:pPr>
      <w:r>
        <w:rPr>
          <w:rFonts w:ascii="Times New Roman"/>
          <w:color w:val="auto"/>
          <w:highlight w:val="none"/>
        </w:rPr>
        <w:t>本项目运维单位运维范围包括：网络子域策略、云服务器（操作系统、数据库）。</w:t>
      </w:r>
    </w:p>
    <w:p>
      <w:pPr>
        <w:pStyle w:val="3"/>
        <w:spacing w:line="360" w:lineRule="auto"/>
        <w:ind w:firstLine="480" w:firstLineChars="200"/>
        <w:jc w:val="both"/>
        <w:rPr>
          <w:rFonts w:ascii="Times New Roman"/>
          <w:color w:val="auto"/>
          <w:highlight w:val="none"/>
        </w:rPr>
      </w:pPr>
      <w:r>
        <w:rPr>
          <w:rFonts w:ascii="Times New Roman"/>
          <w:color w:val="auto"/>
          <w:highlight w:val="none"/>
        </w:rPr>
        <w:t>1.1网络域及策略</w:t>
      </w:r>
    </w:p>
    <w:p>
      <w:pPr>
        <w:pStyle w:val="3"/>
        <w:spacing w:line="360" w:lineRule="auto"/>
        <w:ind w:firstLine="480" w:firstLineChars="200"/>
        <w:jc w:val="both"/>
        <w:rPr>
          <w:rFonts w:ascii="Times New Roman"/>
          <w:color w:val="auto"/>
          <w:highlight w:val="none"/>
        </w:rPr>
      </w:pPr>
      <w:r>
        <w:rPr>
          <w:rFonts w:ascii="Times New Roman"/>
          <w:color w:val="auto"/>
          <w:highlight w:val="none"/>
        </w:rPr>
        <w:t>北京市市公共资源交易平台信息系统网络主要涉及互联网区和政务外网区。</w:t>
      </w:r>
    </w:p>
    <w:p>
      <w:pPr>
        <w:pStyle w:val="3"/>
        <w:spacing w:line="360" w:lineRule="auto"/>
        <w:ind w:firstLine="480" w:firstLineChars="200"/>
        <w:jc w:val="both"/>
        <w:rPr>
          <w:rFonts w:ascii="Times New Roman"/>
          <w:color w:val="auto"/>
          <w:highlight w:val="none"/>
        </w:rPr>
      </w:pPr>
      <w:r>
        <w:rPr>
          <w:rFonts w:ascii="Times New Roman"/>
          <w:color w:val="auto"/>
          <w:highlight w:val="none"/>
        </w:rPr>
        <w:t>互联网区：公共服务平台子域、综合交易系统子域、短信平台子域、金融服务平台子域、公共资源交易测试系统子域等5个子域。涉及220余个外部访问策略和500余个内部访问策略；</w:t>
      </w:r>
      <w:r>
        <w:rPr>
          <w:rFonts w:ascii="Times New Roman"/>
          <w:color w:val="auto"/>
          <w:highlight w:val="none"/>
        </w:rPr>
        <w:tab/>
      </w:r>
    </w:p>
    <w:p>
      <w:pPr>
        <w:pStyle w:val="3"/>
        <w:spacing w:line="360" w:lineRule="auto"/>
        <w:ind w:firstLine="480" w:firstLineChars="200"/>
        <w:jc w:val="both"/>
        <w:rPr>
          <w:rFonts w:ascii="Times New Roman"/>
          <w:color w:val="auto"/>
          <w:highlight w:val="none"/>
        </w:rPr>
      </w:pPr>
      <w:r>
        <w:rPr>
          <w:rFonts w:ascii="Times New Roman"/>
          <w:color w:val="auto"/>
          <w:highlight w:val="none"/>
        </w:rPr>
        <w:t>政务外网区：公共服务平台子域、监管平台子域、运维平台子域、综合交易系统子域、国发前置机子域、公共资源交易测试系统子域等6个子域。涉及70余个外部访问策略和450余个内部访问策略。</w:t>
      </w:r>
    </w:p>
    <w:p>
      <w:pPr>
        <w:ind w:firstLine="420"/>
        <w:rPr>
          <w:color w:val="auto"/>
          <w:highlight w:val="none"/>
        </w:rPr>
      </w:pPr>
      <w:r>
        <w:rPr>
          <w:color w:val="auto"/>
          <w:highlight w:val="none"/>
        </w:rPr>
        <w:t>涉及的主机维护VPN帐号10个、业务运维SSLVPN帐号29个、互联网堡垒机账号10个、政务外网堡垒机账号10个；</w:t>
      </w:r>
    </w:p>
    <w:p>
      <w:pPr>
        <w:ind w:firstLine="420"/>
        <w:rPr>
          <w:color w:val="auto"/>
          <w:highlight w:val="none"/>
        </w:rPr>
      </w:pPr>
    </w:p>
    <w:p>
      <w:pPr>
        <w:ind w:firstLine="420"/>
        <w:rPr>
          <w:color w:val="auto"/>
          <w:highlight w:val="none"/>
        </w:rPr>
      </w:pPr>
      <w:r>
        <w:rPr>
          <w:color w:val="auto"/>
          <w:sz w:val="24"/>
          <w:highlight w:val="none"/>
        </w:rPr>
        <w:t>国土系统互联网区：共1个子域，暂未开放内部和外部策略；</w:t>
      </w:r>
      <w:r>
        <w:rPr>
          <w:color w:val="auto"/>
          <w:sz w:val="24"/>
          <w:highlight w:val="none"/>
        </w:rPr>
        <w:tab/>
      </w:r>
    </w:p>
    <w:p>
      <w:pPr>
        <w:rPr>
          <w:color w:val="auto"/>
          <w:highlight w:val="none"/>
        </w:rPr>
      </w:pPr>
      <w:r>
        <w:rPr>
          <w:color w:val="auto"/>
          <w:szCs w:val="21"/>
          <w:highlight w:val="none"/>
        </w:rPr>
        <w:t xml:space="preserve"> </w:t>
      </w:r>
      <w:r>
        <w:rPr>
          <w:color w:val="auto"/>
          <w:szCs w:val="21"/>
          <w:highlight w:val="none"/>
        </w:rPr>
        <w:tab/>
      </w:r>
      <w:r>
        <w:rPr>
          <w:color w:val="auto"/>
          <w:sz w:val="24"/>
          <w:highlight w:val="none"/>
        </w:rPr>
        <w:t>国土系统政务外网区：共1个子域，涉及66个内部访问策略；</w:t>
      </w:r>
    </w:p>
    <w:p>
      <w:pPr>
        <w:rPr>
          <w:color w:val="auto"/>
          <w:highlight w:val="none"/>
        </w:rPr>
      </w:pPr>
      <w:r>
        <w:rPr>
          <w:color w:val="auto"/>
          <w:highlight w:val="none"/>
        </w:rPr>
        <w:tab/>
      </w:r>
      <w:r>
        <w:rPr>
          <w:color w:val="auto"/>
          <w:sz w:val="24"/>
          <w:highlight w:val="none"/>
        </w:rPr>
        <w:t>国土系统涉及的主机维护VPN帐号2个、互联网堡垒机账号2个、政务外网堡垒机账号2个；</w:t>
      </w:r>
    </w:p>
    <w:p>
      <w:pPr>
        <w:pStyle w:val="3"/>
        <w:spacing w:line="360" w:lineRule="auto"/>
        <w:ind w:firstLine="480" w:firstLineChars="200"/>
        <w:jc w:val="both"/>
        <w:rPr>
          <w:rFonts w:ascii="Times New Roman"/>
          <w:color w:val="auto"/>
          <w:highlight w:val="none"/>
        </w:rPr>
      </w:pPr>
      <w:r>
        <w:rPr>
          <w:rFonts w:ascii="Times New Roman"/>
          <w:color w:val="auto"/>
          <w:highlight w:val="none"/>
        </w:rPr>
        <w:t>本项目的互联网链路带宽350M；涉及的主机链路负载均衡1套、网页防篡改服务1套。</w:t>
      </w:r>
    </w:p>
    <w:p>
      <w:pPr>
        <w:rPr>
          <w:color w:val="auto"/>
          <w:highlight w:val="none"/>
        </w:rPr>
      </w:pPr>
      <w:r>
        <w:rPr>
          <w:color w:val="auto"/>
          <w:highlight w:val="none"/>
        </w:rPr>
        <w:tab/>
      </w:r>
      <w:r>
        <w:rPr>
          <w:color w:val="auto"/>
          <w:sz w:val="24"/>
          <w:highlight w:val="none"/>
        </w:rPr>
        <w:t>国土系统根据业务需求，不直接面向互联网，需要通过SSL VPN 来访问，暂无具体带宽。</w:t>
      </w:r>
    </w:p>
    <w:p>
      <w:pPr>
        <w:pStyle w:val="3"/>
        <w:spacing w:line="360" w:lineRule="auto"/>
        <w:ind w:firstLine="480" w:firstLineChars="200"/>
        <w:jc w:val="both"/>
        <w:rPr>
          <w:rFonts w:ascii="Times New Roman"/>
          <w:color w:val="auto"/>
          <w:highlight w:val="none"/>
        </w:rPr>
      </w:pPr>
      <w:r>
        <w:rPr>
          <w:rFonts w:ascii="Times New Roman"/>
          <w:color w:val="auto"/>
          <w:highlight w:val="none"/>
        </w:rPr>
        <w:t>1.2服务器</w:t>
      </w:r>
    </w:p>
    <w:p>
      <w:pPr>
        <w:pStyle w:val="3"/>
        <w:spacing w:line="360" w:lineRule="auto"/>
        <w:ind w:firstLine="480" w:firstLineChars="200"/>
        <w:jc w:val="both"/>
        <w:rPr>
          <w:rFonts w:ascii="Times New Roman"/>
          <w:color w:val="auto"/>
          <w:highlight w:val="none"/>
        </w:rPr>
      </w:pPr>
      <w:r>
        <w:rPr>
          <w:rFonts w:ascii="Times New Roman"/>
          <w:color w:val="auto"/>
          <w:highlight w:val="none"/>
        </w:rPr>
        <w:t>互联网区：共部署了36台云服务器，用于支撑公共服务平台的对外数据共享、业务协同、短信服务、门户网站的运行，金融服务平台和综合交易系统的在线招投标服务、土地使用权交易服务。</w:t>
      </w:r>
    </w:p>
    <w:p>
      <w:pPr>
        <w:pStyle w:val="3"/>
        <w:spacing w:line="360" w:lineRule="auto"/>
        <w:ind w:firstLine="480" w:firstLineChars="200"/>
        <w:jc w:val="both"/>
        <w:rPr>
          <w:rFonts w:ascii="Times New Roman"/>
          <w:color w:val="auto"/>
          <w:highlight w:val="none"/>
        </w:rPr>
      </w:pPr>
      <w:r>
        <w:rPr>
          <w:rFonts w:ascii="Times New Roman"/>
          <w:color w:val="auto"/>
          <w:highlight w:val="none"/>
        </w:rPr>
        <w:t>政务外网区：共部署了31台云服务器，用于支撑公共服务平台数据收集、共享服务、业务协同服务，监管平台的过程监督、过程管理、投诉举报处理，大数据分析和综合交易系统的开评标服务。</w:t>
      </w:r>
    </w:p>
    <w:p>
      <w:pPr>
        <w:pStyle w:val="3"/>
        <w:rPr>
          <w:rFonts w:ascii="Times New Roman"/>
          <w:color w:val="auto"/>
          <w:highlight w:val="none"/>
        </w:rPr>
      </w:pPr>
      <w:r>
        <w:rPr>
          <w:rFonts w:ascii="Times New Roman"/>
          <w:color w:val="auto"/>
          <w:highlight w:val="none"/>
        </w:rPr>
        <w:t>国土系统互联网区：共部署了1台云服务器，用于支撑土地网上交易系统的在线招投标服务、土地使用权交易服务。</w:t>
      </w:r>
    </w:p>
    <w:p>
      <w:pPr>
        <w:pStyle w:val="3"/>
        <w:rPr>
          <w:rFonts w:ascii="Times New Roman"/>
          <w:color w:val="auto"/>
          <w:highlight w:val="none"/>
        </w:rPr>
      </w:pPr>
      <w:r>
        <w:rPr>
          <w:rFonts w:ascii="Times New Roman"/>
          <w:color w:val="auto"/>
          <w:highlight w:val="none"/>
        </w:rPr>
        <w:t>国土系统政务外网区：共部署了11台云服务器，用于支撑土地网上交易系统的在线招投标服务、土地使用权交易服务。</w:t>
      </w:r>
    </w:p>
    <w:p>
      <w:pPr>
        <w:pStyle w:val="3"/>
        <w:spacing w:line="360" w:lineRule="auto"/>
        <w:ind w:firstLine="480" w:firstLineChars="200"/>
        <w:jc w:val="both"/>
        <w:rPr>
          <w:rFonts w:ascii="Times New Roman"/>
          <w:color w:val="auto"/>
          <w:highlight w:val="none"/>
        </w:rPr>
      </w:pPr>
      <w:r>
        <w:rPr>
          <w:rFonts w:ascii="Times New Roman"/>
          <w:color w:val="auto"/>
          <w:highlight w:val="none"/>
        </w:rPr>
        <w:t>本项目的服务器运维范围为79台云服务器；NAS静态存储使用4块，涉及18台服务器。</w:t>
      </w:r>
    </w:p>
    <w:p>
      <w:pPr>
        <w:pStyle w:val="3"/>
        <w:spacing w:line="360" w:lineRule="auto"/>
        <w:ind w:firstLine="480" w:firstLineChars="200"/>
        <w:jc w:val="both"/>
        <w:rPr>
          <w:rFonts w:ascii="Times New Roman"/>
          <w:color w:val="auto"/>
          <w:highlight w:val="none"/>
        </w:rPr>
      </w:pPr>
      <w:r>
        <w:rPr>
          <w:rFonts w:ascii="Times New Roman"/>
          <w:color w:val="auto"/>
          <w:highlight w:val="none"/>
        </w:rPr>
        <w:t>1.3操作系统</w:t>
      </w:r>
    </w:p>
    <w:p>
      <w:pPr>
        <w:pStyle w:val="3"/>
        <w:spacing w:line="360" w:lineRule="auto"/>
        <w:ind w:firstLine="480" w:firstLineChars="200"/>
        <w:jc w:val="both"/>
        <w:rPr>
          <w:rFonts w:ascii="Times New Roman"/>
          <w:color w:val="auto"/>
          <w:highlight w:val="none"/>
        </w:rPr>
      </w:pPr>
      <w:r>
        <w:rPr>
          <w:rFonts w:ascii="Times New Roman"/>
          <w:color w:val="auto"/>
          <w:highlight w:val="none"/>
        </w:rPr>
        <w:t>本项目的操作系统运维范围为79台云服务器（61套Linux操作系统和3套Windows Server操作系统,3套麒麟操作系统），其中64台linux操作系统部署了主机日志收集审计服务。</w:t>
      </w:r>
    </w:p>
    <w:p>
      <w:pPr>
        <w:rPr>
          <w:color w:val="auto"/>
          <w:highlight w:val="none"/>
        </w:rPr>
      </w:pPr>
      <w:r>
        <w:rPr>
          <w:color w:val="auto"/>
          <w:highlight w:val="none"/>
        </w:rPr>
        <w:tab/>
      </w:r>
      <w:r>
        <w:rPr>
          <w:color w:val="auto"/>
          <w:sz w:val="24"/>
          <w:highlight w:val="none"/>
        </w:rPr>
        <w:t xml:space="preserve">国土系统运维范围为共计12台云服务器，均为Linux操作系统，并部署了主机日志收集审计服务。 </w:t>
      </w:r>
    </w:p>
    <w:p>
      <w:pPr>
        <w:pStyle w:val="3"/>
        <w:spacing w:line="360" w:lineRule="auto"/>
        <w:ind w:firstLine="480" w:firstLineChars="200"/>
        <w:jc w:val="both"/>
        <w:rPr>
          <w:rFonts w:ascii="Times New Roman"/>
          <w:color w:val="auto"/>
          <w:highlight w:val="none"/>
        </w:rPr>
      </w:pPr>
      <w:r>
        <w:rPr>
          <w:rFonts w:ascii="Times New Roman"/>
          <w:color w:val="auto"/>
          <w:highlight w:val="none"/>
        </w:rPr>
        <w:t>1.4数据库</w:t>
      </w:r>
    </w:p>
    <w:p>
      <w:pPr>
        <w:pStyle w:val="3"/>
        <w:spacing w:line="360" w:lineRule="auto"/>
        <w:ind w:firstLine="480" w:firstLineChars="200"/>
        <w:jc w:val="both"/>
        <w:rPr>
          <w:rFonts w:ascii="Times New Roman"/>
          <w:color w:val="auto"/>
          <w:highlight w:val="none"/>
        </w:rPr>
      </w:pPr>
      <w:r>
        <w:rPr>
          <w:rFonts w:ascii="Times New Roman"/>
          <w:color w:val="auto"/>
          <w:highlight w:val="none"/>
        </w:rPr>
        <w:t>本项目的数据库运维范围为29套MySQL数据库。其中MySQL主从结构数据库6套；29套mysql数据库部署了数据库日志收集审计服务。</w:t>
      </w:r>
    </w:p>
    <w:p>
      <w:pPr>
        <w:rPr>
          <w:color w:val="auto"/>
          <w:highlight w:val="none"/>
        </w:rPr>
      </w:pPr>
      <w:r>
        <w:rPr>
          <w:color w:val="auto"/>
          <w:highlight w:val="none"/>
        </w:rPr>
        <w:tab/>
      </w:r>
      <w:r>
        <w:rPr>
          <w:color w:val="auto"/>
          <w:sz w:val="24"/>
          <w:highlight w:val="none"/>
        </w:rPr>
        <w:t>国土系统数据库运维范围为3套MySQL数据库，其中MySQL主从结构数据库1套；均已部署了数据库日志收集审计服务。</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2.运维管理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工作内容包括：系统信息化资产管理、版本管理和运维工作计划及总结编制等。</w:t>
      </w:r>
    </w:p>
    <w:p>
      <w:pPr>
        <w:pStyle w:val="3"/>
        <w:spacing w:line="360" w:lineRule="auto"/>
        <w:ind w:firstLine="480" w:firstLineChars="200"/>
        <w:jc w:val="both"/>
        <w:rPr>
          <w:rFonts w:ascii="Times New Roman"/>
          <w:color w:val="auto"/>
          <w:highlight w:val="none"/>
        </w:rPr>
      </w:pPr>
      <w:r>
        <w:rPr>
          <w:rFonts w:ascii="Times New Roman"/>
          <w:color w:val="auto"/>
          <w:highlight w:val="none"/>
        </w:rPr>
        <w:t>2.1资产管理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对北京市公共资源交易平台信息系统所涉及的信息资产进行分类登记和管理，更好的提供系统的运行维护工作。</w:t>
      </w:r>
    </w:p>
    <w:p>
      <w:pPr>
        <w:pStyle w:val="3"/>
        <w:spacing w:line="360" w:lineRule="auto"/>
        <w:ind w:firstLine="480" w:firstLineChars="200"/>
        <w:jc w:val="both"/>
        <w:rPr>
          <w:rFonts w:ascii="Times New Roman"/>
          <w:color w:val="auto"/>
          <w:highlight w:val="none"/>
        </w:rPr>
      </w:pPr>
      <w:r>
        <w:rPr>
          <w:rFonts w:ascii="Times New Roman"/>
          <w:color w:val="auto"/>
          <w:highlight w:val="none"/>
        </w:rPr>
        <w:t>内容包括：</w:t>
      </w:r>
    </w:p>
    <w:p>
      <w:pPr>
        <w:pStyle w:val="3"/>
        <w:spacing w:line="360" w:lineRule="auto"/>
        <w:ind w:firstLine="480" w:firstLineChars="200"/>
        <w:jc w:val="both"/>
        <w:rPr>
          <w:rFonts w:ascii="Times New Roman"/>
          <w:color w:val="auto"/>
          <w:highlight w:val="none"/>
        </w:rPr>
      </w:pPr>
      <w:r>
        <w:rPr>
          <w:rFonts w:ascii="Times New Roman"/>
          <w:color w:val="auto"/>
          <w:highlight w:val="none"/>
        </w:rPr>
        <w:t>对云服务器配置、数量等信息的统计登记和管理；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对操作系统和数据库软件产品型号、版本和补丁等信息的统计登记和管理；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对网络结构、网络路由、网络IP地址的统计登记和管理；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信息资产的日常管理，对运维的基础软件资产进行管理登记，更新资产清单，设施变更管理，完成资产报表，确保操作系统和数据库软件资产信息完整。</w:t>
      </w:r>
    </w:p>
    <w:p>
      <w:pPr>
        <w:pStyle w:val="3"/>
        <w:spacing w:line="360" w:lineRule="auto"/>
        <w:ind w:firstLine="480" w:firstLineChars="200"/>
        <w:jc w:val="both"/>
        <w:rPr>
          <w:rFonts w:ascii="Times New Roman"/>
          <w:color w:val="auto"/>
          <w:highlight w:val="none"/>
        </w:rPr>
      </w:pPr>
      <w:r>
        <w:rPr>
          <w:rFonts w:ascii="Times New Roman"/>
          <w:color w:val="auto"/>
          <w:highlight w:val="none"/>
        </w:rPr>
        <w:t>2.2版本管理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对操作系统、数据库进行版本记录与管理。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按照每月定期对操作系统、数据库的版本进行更新查询，发现更新版本后，对更新版本进行分析，并整理提交版本更新方案。</w:t>
      </w:r>
    </w:p>
    <w:p>
      <w:pPr>
        <w:pStyle w:val="3"/>
        <w:spacing w:line="360" w:lineRule="auto"/>
        <w:ind w:firstLine="480" w:firstLineChars="200"/>
        <w:jc w:val="both"/>
        <w:rPr>
          <w:rFonts w:ascii="Times New Roman"/>
          <w:color w:val="auto"/>
          <w:highlight w:val="none"/>
        </w:rPr>
      </w:pPr>
      <w:r>
        <w:rPr>
          <w:rFonts w:ascii="Times New Roman"/>
          <w:color w:val="auto"/>
          <w:highlight w:val="none"/>
        </w:rPr>
        <w:t>2.3运维工作计划及总结</w:t>
      </w:r>
    </w:p>
    <w:p>
      <w:pPr>
        <w:pStyle w:val="3"/>
        <w:spacing w:line="360" w:lineRule="auto"/>
        <w:ind w:firstLine="480" w:firstLineChars="200"/>
        <w:jc w:val="both"/>
        <w:rPr>
          <w:rFonts w:ascii="Times New Roman"/>
          <w:color w:val="auto"/>
          <w:highlight w:val="none"/>
        </w:rPr>
      </w:pPr>
      <w:r>
        <w:rPr>
          <w:rFonts w:ascii="Times New Roman"/>
          <w:color w:val="auto"/>
          <w:highlight w:val="none"/>
        </w:rPr>
        <w:t>1、年度运维</w:t>
      </w:r>
    </w:p>
    <w:p>
      <w:pPr>
        <w:pStyle w:val="3"/>
        <w:spacing w:line="360" w:lineRule="auto"/>
        <w:ind w:firstLine="480" w:firstLineChars="200"/>
        <w:jc w:val="both"/>
        <w:rPr>
          <w:rFonts w:ascii="Times New Roman"/>
          <w:color w:val="auto"/>
          <w:highlight w:val="none"/>
        </w:rPr>
      </w:pPr>
      <w:r>
        <w:rPr>
          <w:rFonts w:ascii="Times New Roman"/>
          <w:color w:val="auto"/>
          <w:highlight w:val="none"/>
        </w:rPr>
        <w:t>制定年度运维工作计划，编写年度运维工作总结。</w:t>
      </w:r>
    </w:p>
    <w:p>
      <w:pPr>
        <w:pStyle w:val="3"/>
        <w:spacing w:line="360" w:lineRule="auto"/>
        <w:ind w:firstLine="480" w:firstLineChars="200"/>
        <w:jc w:val="both"/>
        <w:rPr>
          <w:rFonts w:ascii="Times New Roman"/>
          <w:color w:val="auto"/>
          <w:highlight w:val="none"/>
        </w:rPr>
      </w:pPr>
      <w:r>
        <w:rPr>
          <w:rFonts w:ascii="Times New Roman"/>
          <w:color w:val="auto"/>
          <w:highlight w:val="none"/>
        </w:rPr>
        <w:t>2、专项运维</w:t>
      </w:r>
    </w:p>
    <w:p>
      <w:pPr>
        <w:pStyle w:val="3"/>
        <w:spacing w:line="360" w:lineRule="auto"/>
        <w:ind w:firstLine="480" w:firstLineChars="200"/>
        <w:jc w:val="both"/>
        <w:rPr>
          <w:rFonts w:ascii="Times New Roman"/>
          <w:color w:val="auto"/>
          <w:highlight w:val="none"/>
        </w:rPr>
      </w:pPr>
      <w:r>
        <w:rPr>
          <w:rFonts w:ascii="Times New Roman"/>
          <w:color w:val="auto"/>
          <w:highlight w:val="none"/>
        </w:rPr>
        <w:t>针对每年常规的两次漏洞扫描和一次等保测评的测评结果，制定专项运维工作计划、编写专项运维工作总结。</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3.日常巡检</w:t>
      </w:r>
    </w:p>
    <w:p>
      <w:pPr>
        <w:pStyle w:val="3"/>
        <w:spacing w:line="360" w:lineRule="auto"/>
        <w:ind w:firstLine="480" w:firstLineChars="200"/>
        <w:jc w:val="both"/>
        <w:rPr>
          <w:rFonts w:ascii="Times New Roman"/>
          <w:color w:val="auto"/>
          <w:highlight w:val="none"/>
        </w:rPr>
      </w:pPr>
      <w:r>
        <w:rPr>
          <w:rFonts w:ascii="Times New Roman"/>
          <w:color w:val="auto"/>
          <w:highlight w:val="none"/>
        </w:rPr>
        <w:t>工作内容包括：运行监控、可用性检查等。</w:t>
      </w:r>
    </w:p>
    <w:p>
      <w:pPr>
        <w:pStyle w:val="3"/>
        <w:spacing w:line="360" w:lineRule="auto"/>
        <w:ind w:firstLine="480" w:firstLineChars="200"/>
        <w:jc w:val="both"/>
        <w:rPr>
          <w:rFonts w:ascii="Times New Roman"/>
          <w:color w:val="auto"/>
          <w:highlight w:val="none"/>
        </w:rPr>
      </w:pPr>
      <w:r>
        <w:rPr>
          <w:rFonts w:ascii="Times New Roman"/>
          <w:color w:val="auto"/>
          <w:highlight w:val="none"/>
        </w:rPr>
        <w:t>3.1运行监控</w:t>
      </w:r>
    </w:p>
    <w:p>
      <w:pPr>
        <w:pStyle w:val="3"/>
        <w:spacing w:line="360" w:lineRule="auto"/>
        <w:ind w:firstLine="480" w:firstLineChars="200"/>
        <w:jc w:val="both"/>
        <w:rPr>
          <w:rFonts w:ascii="Times New Roman"/>
          <w:color w:val="auto"/>
          <w:highlight w:val="none"/>
        </w:rPr>
      </w:pPr>
      <w:r>
        <w:rPr>
          <w:rFonts w:ascii="Times New Roman"/>
          <w:color w:val="auto"/>
          <w:highlight w:val="none"/>
        </w:rPr>
        <w:t>包括对网络、主机、数据库运行状态进行监控。</w:t>
      </w:r>
    </w:p>
    <w:p>
      <w:pPr>
        <w:pStyle w:val="3"/>
        <w:spacing w:line="360" w:lineRule="auto"/>
        <w:ind w:firstLine="480" w:firstLineChars="200"/>
        <w:jc w:val="both"/>
        <w:rPr>
          <w:rFonts w:ascii="Times New Roman"/>
          <w:color w:val="auto"/>
          <w:highlight w:val="none"/>
        </w:rPr>
      </w:pPr>
      <w:r>
        <w:rPr>
          <w:rFonts w:ascii="Times New Roman"/>
          <w:color w:val="auto"/>
          <w:highlight w:val="none"/>
        </w:rPr>
        <w:t>1、网络监控：每工作日分2次，监控本招标项目运维范围内网络区域的网络策略是否正常，监控对外开放的网络服务是否正常，监控与对接的系统间的网络连通是否正常，检查网络流量、响应速度是否正常，记录监控日志，如发现异常及时上报处置。</w:t>
      </w:r>
    </w:p>
    <w:p>
      <w:pPr>
        <w:pStyle w:val="3"/>
        <w:spacing w:line="360" w:lineRule="auto"/>
        <w:ind w:firstLine="480" w:firstLineChars="200"/>
        <w:jc w:val="both"/>
        <w:rPr>
          <w:rFonts w:ascii="Times New Roman"/>
          <w:color w:val="auto"/>
          <w:highlight w:val="none"/>
        </w:rPr>
      </w:pPr>
      <w:r>
        <w:rPr>
          <w:rFonts w:ascii="Times New Roman"/>
          <w:color w:val="auto"/>
          <w:highlight w:val="none"/>
        </w:rPr>
        <w:t>2、主机监控：每工作日监控本招标项目运维范围内服务器的运行状态，包括：系统日志、CPU使用率、内存使用率、磁盘使用率，记录监控日志，如发现异常及时上报处置。</w:t>
      </w:r>
    </w:p>
    <w:p>
      <w:pPr>
        <w:pStyle w:val="3"/>
        <w:spacing w:line="360" w:lineRule="auto"/>
        <w:ind w:firstLine="480" w:firstLineChars="200"/>
        <w:jc w:val="both"/>
        <w:rPr>
          <w:rFonts w:ascii="Times New Roman"/>
          <w:color w:val="auto"/>
          <w:highlight w:val="none"/>
        </w:rPr>
      </w:pPr>
      <w:r>
        <w:rPr>
          <w:rFonts w:ascii="Times New Roman"/>
          <w:color w:val="auto"/>
          <w:highlight w:val="none"/>
        </w:rPr>
        <w:t>3、数据库监控：每工作日监控本招标项目运维范围内数据库系统的运行状态，包括：数据库日志、连通状态、数据库连接数、查询效率、磁盘I/O读写速度，记录监控日志，如发现异常及时上报处置。</w:t>
      </w:r>
    </w:p>
    <w:p>
      <w:pPr>
        <w:pStyle w:val="3"/>
        <w:spacing w:line="360" w:lineRule="auto"/>
        <w:ind w:firstLineChars="175"/>
        <w:jc w:val="both"/>
        <w:rPr>
          <w:rFonts w:ascii="Times New Roman"/>
          <w:color w:val="auto"/>
          <w:highlight w:val="none"/>
        </w:rPr>
      </w:pPr>
      <w:r>
        <w:rPr>
          <w:rFonts w:ascii="Times New Roman"/>
          <w:color w:val="auto"/>
          <w:highlight w:val="none"/>
        </w:rPr>
        <w:t>3.2可用性检查</w:t>
      </w:r>
    </w:p>
    <w:p>
      <w:pPr>
        <w:pStyle w:val="3"/>
        <w:spacing w:line="360" w:lineRule="auto"/>
        <w:ind w:firstLine="480" w:firstLineChars="200"/>
        <w:jc w:val="both"/>
        <w:rPr>
          <w:rFonts w:ascii="Times New Roman"/>
          <w:color w:val="auto"/>
          <w:highlight w:val="none"/>
        </w:rPr>
      </w:pPr>
      <w:r>
        <w:rPr>
          <w:rFonts w:ascii="Times New Roman"/>
          <w:color w:val="auto"/>
          <w:highlight w:val="none"/>
        </w:rPr>
        <w:t>包括各个云服务器主要对外服务接口的服务器端口进行可用性检查。</w:t>
      </w:r>
    </w:p>
    <w:p>
      <w:pPr>
        <w:pStyle w:val="3"/>
        <w:spacing w:line="360" w:lineRule="auto"/>
        <w:ind w:firstLine="480" w:firstLineChars="200"/>
        <w:jc w:val="both"/>
        <w:rPr>
          <w:rFonts w:ascii="Times New Roman"/>
          <w:color w:val="auto"/>
          <w:highlight w:val="none"/>
        </w:rPr>
      </w:pPr>
      <w:r>
        <w:rPr>
          <w:rFonts w:ascii="Times New Roman"/>
          <w:color w:val="auto"/>
          <w:highlight w:val="none"/>
        </w:rPr>
        <w:t>需要检查的接口包括：公共服务平台的8个业务协同接口和7个数据共享接口服务，综合交易系统的13个业务协同接口和5个数据共享接口服务，大数据分析系统的1个协同接口服务，金融服务平台的7个业务协同接口服务等。</w:t>
      </w:r>
    </w:p>
    <w:p>
      <w:pPr>
        <w:pStyle w:val="3"/>
        <w:spacing w:line="360" w:lineRule="auto"/>
        <w:ind w:firstLine="480" w:firstLineChars="200"/>
        <w:jc w:val="both"/>
        <w:rPr>
          <w:rFonts w:ascii="Times New Roman"/>
          <w:color w:val="auto"/>
          <w:highlight w:val="none"/>
        </w:rPr>
      </w:pPr>
      <w:r>
        <w:rPr>
          <w:rFonts w:ascii="Times New Roman"/>
          <w:color w:val="auto"/>
          <w:highlight w:val="none"/>
        </w:rPr>
        <w:t>每工作日分4次检查各数据服务接口的服务器端口能否正常通讯。</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4.基础维护</w:t>
      </w:r>
    </w:p>
    <w:p>
      <w:pPr>
        <w:pStyle w:val="3"/>
        <w:spacing w:line="360" w:lineRule="auto"/>
        <w:ind w:firstLine="480" w:firstLineChars="200"/>
        <w:jc w:val="both"/>
        <w:rPr>
          <w:rFonts w:ascii="Times New Roman"/>
          <w:color w:val="auto"/>
          <w:highlight w:val="none"/>
        </w:rPr>
      </w:pPr>
      <w:r>
        <w:rPr>
          <w:rFonts w:ascii="Times New Roman"/>
          <w:color w:val="auto"/>
          <w:highlight w:val="none"/>
        </w:rPr>
        <w:t>工作内容包括：补丁安装、账户及权限管理、策略及配置管理、云服务器资源变更等。</w:t>
      </w:r>
    </w:p>
    <w:p>
      <w:pPr>
        <w:pStyle w:val="3"/>
        <w:spacing w:line="360" w:lineRule="auto"/>
        <w:ind w:firstLine="480" w:firstLineChars="200"/>
        <w:jc w:val="both"/>
        <w:rPr>
          <w:rFonts w:ascii="Times New Roman"/>
          <w:color w:val="auto"/>
          <w:highlight w:val="none"/>
        </w:rPr>
      </w:pPr>
      <w:r>
        <w:rPr>
          <w:rFonts w:ascii="Times New Roman"/>
          <w:color w:val="auto"/>
          <w:highlight w:val="none"/>
        </w:rPr>
        <w:t>4.1补丁安装</w:t>
      </w:r>
    </w:p>
    <w:p>
      <w:pPr>
        <w:pStyle w:val="3"/>
        <w:spacing w:line="360" w:lineRule="auto"/>
        <w:ind w:firstLine="480" w:firstLineChars="200"/>
        <w:jc w:val="both"/>
        <w:rPr>
          <w:rFonts w:ascii="Times New Roman"/>
          <w:color w:val="auto"/>
          <w:highlight w:val="none"/>
        </w:rPr>
      </w:pPr>
      <w:r>
        <w:rPr>
          <w:rFonts w:ascii="Times New Roman"/>
          <w:color w:val="auto"/>
          <w:highlight w:val="none"/>
        </w:rPr>
        <w:t>每季度安装操作系统、数据库的补丁，并根据上级安全部门的警示通知及时安装相关补丁。</w:t>
      </w:r>
    </w:p>
    <w:p>
      <w:pPr>
        <w:pStyle w:val="3"/>
        <w:spacing w:line="360" w:lineRule="auto"/>
        <w:ind w:firstLine="480" w:firstLineChars="200"/>
        <w:jc w:val="both"/>
        <w:rPr>
          <w:rFonts w:ascii="Times New Roman"/>
          <w:color w:val="auto"/>
          <w:highlight w:val="none"/>
        </w:rPr>
      </w:pPr>
      <w:r>
        <w:rPr>
          <w:rFonts w:ascii="Times New Roman"/>
          <w:color w:val="auto"/>
          <w:highlight w:val="none"/>
        </w:rPr>
        <w:t>1、操作系统补丁安装</w:t>
      </w:r>
    </w:p>
    <w:p>
      <w:pPr>
        <w:pStyle w:val="3"/>
        <w:spacing w:line="360" w:lineRule="auto"/>
        <w:ind w:firstLine="480" w:firstLineChars="200"/>
        <w:jc w:val="both"/>
        <w:rPr>
          <w:rFonts w:ascii="Times New Roman"/>
          <w:color w:val="auto"/>
          <w:highlight w:val="none"/>
        </w:rPr>
      </w:pPr>
      <w:r>
        <w:rPr>
          <w:rFonts w:ascii="Times New Roman"/>
          <w:color w:val="auto"/>
          <w:highlight w:val="none"/>
        </w:rPr>
        <w:t>根据本项目运维范围内操作系统安全检查结果，制定详细的补丁加固计划与方案，对补丁进行兼容性测试，并对操作系统进行安全补丁加固，确保操作系统安全稳定运行。</w:t>
      </w:r>
    </w:p>
    <w:p>
      <w:pPr>
        <w:pStyle w:val="3"/>
        <w:spacing w:line="360" w:lineRule="auto"/>
        <w:ind w:firstLine="480" w:firstLineChars="200"/>
        <w:jc w:val="both"/>
        <w:rPr>
          <w:rFonts w:ascii="Times New Roman"/>
          <w:color w:val="auto"/>
          <w:highlight w:val="none"/>
        </w:rPr>
      </w:pPr>
      <w:r>
        <w:rPr>
          <w:rFonts w:ascii="Times New Roman"/>
          <w:color w:val="auto"/>
          <w:highlight w:val="none"/>
        </w:rPr>
        <w:t>2、数据库补丁安装</w:t>
      </w:r>
    </w:p>
    <w:p>
      <w:pPr>
        <w:pStyle w:val="3"/>
        <w:spacing w:line="360" w:lineRule="auto"/>
        <w:ind w:firstLine="480" w:firstLineChars="200"/>
        <w:jc w:val="both"/>
        <w:rPr>
          <w:rFonts w:ascii="Times New Roman"/>
          <w:color w:val="auto"/>
          <w:highlight w:val="none"/>
        </w:rPr>
      </w:pPr>
      <w:r>
        <w:rPr>
          <w:rFonts w:ascii="Times New Roman"/>
          <w:color w:val="auto"/>
          <w:highlight w:val="none"/>
        </w:rPr>
        <w:t>根据本项目运维范围内数据库安全检查结果，制定详细的补丁加固计划与方案，对补丁进行兼容性测试，并对数据库进行安全补丁加固，确保数据库安全稳定运行。</w:t>
      </w:r>
    </w:p>
    <w:p>
      <w:pPr>
        <w:pStyle w:val="3"/>
        <w:spacing w:line="360" w:lineRule="auto"/>
        <w:ind w:firstLine="480" w:firstLineChars="200"/>
        <w:jc w:val="both"/>
        <w:rPr>
          <w:rFonts w:ascii="Times New Roman"/>
          <w:color w:val="auto"/>
          <w:highlight w:val="none"/>
        </w:rPr>
      </w:pPr>
      <w:r>
        <w:rPr>
          <w:rFonts w:ascii="Times New Roman"/>
          <w:color w:val="auto"/>
          <w:highlight w:val="none"/>
        </w:rPr>
        <w:t>4.2账户及权限管理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对本项目运维范围内操作系统、数据库进行账户维护及权限管理。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1、操作系统账户及权限管理，包括系统管理员账户、一般维护人员账户的创建和授权，定期更改系统账户口令。</w:t>
      </w:r>
    </w:p>
    <w:p>
      <w:pPr>
        <w:pStyle w:val="3"/>
        <w:spacing w:line="360" w:lineRule="auto"/>
        <w:ind w:firstLine="480" w:firstLineChars="200"/>
        <w:jc w:val="both"/>
        <w:rPr>
          <w:rFonts w:ascii="Times New Roman"/>
          <w:color w:val="auto"/>
          <w:highlight w:val="none"/>
        </w:rPr>
      </w:pPr>
      <w:r>
        <w:rPr>
          <w:rFonts w:ascii="Times New Roman"/>
          <w:color w:val="auto"/>
          <w:highlight w:val="none"/>
        </w:rPr>
        <w:t>2、数据库账户及权限管理，包括数据库管理员账户、一般数据库账户的创建和授权，定期更改数据库管理员账户口令。</w:t>
      </w:r>
    </w:p>
    <w:p>
      <w:pPr>
        <w:pStyle w:val="3"/>
        <w:spacing w:line="360" w:lineRule="auto"/>
        <w:ind w:firstLine="480" w:firstLineChars="200"/>
        <w:jc w:val="both"/>
        <w:rPr>
          <w:rFonts w:ascii="Times New Roman"/>
          <w:color w:val="auto"/>
          <w:highlight w:val="none"/>
        </w:rPr>
      </w:pPr>
      <w:r>
        <w:rPr>
          <w:rFonts w:ascii="Times New Roman"/>
          <w:color w:val="auto"/>
          <w:highlight w:val="none"/>
        </w:rPr>
        <w:t>4.3策略及配置管理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对本项目运维范围内操作系统、数据库进行策略及配置管理。</w:t>
      </w:r>
    </w:p>
    <w:p>
      <w:pPr>
        <w:pStyle w:val="3"/>
        <w:spacing w:line="360" w:lineRule="auto"/>
        <w:ind w:firstLine="480" w:firstLineChars="200"/>
        <w:jc w:val="both"/>
        <w:rPr>
          <w:rFonts w:ascii="Times New Roman"/>
          <w:color w:val="auto"/>
          <w:highlight w:val="none"/>
        </w:rPr>
      </w:pPr>
      <w:r>
        <w:rPr>
          <w:rFonts w:ascii="Times New Roman"/>
          <w:color w:val="auto"/>
          <w:highlight w:val="none"/>
        </w:rPr>
        <w:t>1、操作系统策略及配置管理，包括主机防火墙、重要系统策略的配置、变更等。</w:t>
      </w:r>
    </w:p>
    <w:p>
      <w:pPr>
        <w:pStyle w:val="3"/>
        <w:spacing w:line="360" w:lineRule="auto"/>
        <w:ind w:firstLine="480" w:firstLineChars="200"/>
        <w:jc w:val="both"/>
        <w:rPr>
          <w:rFonts w:ascii="Times New Roman"/>
          <w:color w:val="auto"/>
          <w:highlight w:val="none"/>
        </w:rPr>
      </w:pPr>
      <w:r>
        <w:rPr>
          <w:rFonts w:ascii="Times New Roman"/>
          <w:color w:val="auto"/>
          <w:highlight w:val="none"/>
        </w:rPr>
        <w:t>2、数据库策略及配置管理，包括数据实例、索引创建优化、相关授权配置、数据库主从结构的配置和调整等。</w:t>
      </w:r>
    </w:p>
    <w:p>
      <w:pPr>
        <w:pStyle w:val="3"/>
        <w:spacing w:line="360" w:lineRule="auto"/>
        <w:ind w:firstLine="480" w:firstLineChars="200"/>
        <w:jc w:val="both"/>
        <w:rPr>
          <w:rFonts w:ascii="Times New Roman"/>
          <w:color w:val="auto"/>
          <w:highlight w:val="none"/>
        </w:rPr>
      </w:pPr>
      <w:r>
        <w:rPr>
          <w:rFonts w:ascii="Times New Roman"/>
          <w:color w:val="auto"/>
          <w:highlight w:val="none"/>
        </w:rPr>
        <w:t>4.4资源变更</w:t>
      </w:r>
    </w:p>
    <w:p>
      <w:pPr>
        <w:pStyle w:val="3"/>
        <w:spacing w:line="360" w:lineRule="auto"/>
        <w:ind w:firstLine="480" w:firstLineChars="200"/>
        <w:jc w:val="both"/>
        <w:rPr>
          <w:rFonts w:ascii="Times New Roman"/>
          <w:color w:val="auto"/>
          <w:highlight w:val="none"/>
        </w:rPr>
      </w:pPr>
      <w:r>
        <w:rPr>
          <w:rFonts w:ascii="Times New Roman"/>
          <w:color w:val="auto"/>
          <w:highlight w:val="none"/>
        </w:rPr>
        <w:t>对网络、云主机、数据库性能检查结果进行分析，对网络带宽、CPU、内存、磁盘空间进行合理化配置，制定政务云资源变更计划及实施方案，提交资源变更申请，并跟踪资源变更情况。</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5.应急处置</w:t>
      </w:r>
    </w:p>
    <w:p>
      <w:pPr>
        <w:pStyle w:val="3"/>
        <w:spacing w:line="360" w:lineRule="auto"/>
        <w:ind w:firstLine="480" w:firstLineChars="200"/>
        <w:jc w:val="both"/>
        <w:rPr>
          <w:rFonts w:ascii="Times New Roman"/>
          <w:color w:val="auto"/>
          <w:highlight w:val="none"/>
        </w:rPr>
      </w:pPr>
      <w:r>
        <w:rPr>
          <w:rFonts w:ascii="Times New Roman"/>
          <w:color w:val="auto"/>
          <w:highlight w:val="none"/>
        </w:rPr>
        <w:t>5.1应急预案的制定和修订</w:t>
      </w:r>
    </w:p>
    <w:p>
      <w:pPr>
        <w:pStyle w:val="3"/>
        <w:spacing w:line="360" w:lineRule="auto"/>
        <w:ind w:firstLine="480" w:firstLineChars="200"/>
        <w:jc w:val="both"/>
        <w:rPr>
          <w:rFonts w:ascii="Times New Roman"/>
          <w:color w:val="auto"/>
          <w:highlight w:val="none"/>
        </w:rPr>
      </w:pPr>
      <w:r>
        <w:rPr>
          <w:rFonts w:ascii="Times New Roman"/>
          <w:color w:val="auto"/>
          <w:highlight w:val="none"/>
        </w:rPr>
        <w:t>1、参与系统级应急预案制定和修订</w:t>
      </w:r>
    </w:p>
    <w:p>
      <w:pPr>
        <w:pStyle w:val="3"/>
        <w:spacing w:line="360" w:lineRule="auto"/>
        <w:ind w:firstLine="480" w:firstLineChars="200"/>
        <w:jc w:val="both"/>
        <w:rPr>
          <w:rFonts w:ascii="Times New Roman"/>
          <w:color w:val="auto"/>
          <w:highlight w:val="none"/>
        </w:rPr>
      </w:pPr>
      <w:r>
        <w:rPr>
          <w:rFonts w:ascii="Times New Roman"/>
          <w:color w:val="auto"/>
          <w:highlight w:val="none"/>
        </w:rPr>
        <w:t>根据系统运维类别的特点，每年需分别对北京市公共资源交易服务平台、北京市公共资源交易监管平台、北京市公共资源交易综合交易系统、北京市公共资源交易运维系统制定相对独立的应急预案并做相关修订，配备相关应急资源，针对突发紧急情况，启动技术专家现场服务，必要时联合多方面专家进行联合分析诊断、事件定位与紧急处理，持续跟进直到问题完全解决。</w:t>
      </w:r>
    </w:p>
    <w:p>
      <w:pPr>
        <w:pStyle w:val="3"/>
        <w:spacing w:line="360" w:lineRule="auto"/>
        <w:ind w:firstLine="480" w:firstLineChars="200"/>
        <w:jc w:val="both"/>
        <w:rPr>
          <w:rFonts w:ascii="Times New Roman"/>
          <w:color w:val="auto"/>
          <w:highlight w:val="none"/>
        </w:rPr>
      </w:pPr>
      <w:r>
        <w:rPr>
          <w:rFonts w:ascii="Times New Roman"/>
          <w:color w:val="auto"/>
          <w:highlight w:val="none"/>
        </w:rPr>
        <w:t>制定标准化的应急响应服务流程，建立分级故障响应机制，明确组织结构及职责划分，按照应急预案开展应急演练。</w:t>
      </w:r>
    </w:p>
    <w:p>
      <w:pPr>
        <w:pStyle w:val="3"/>
        <w:spacing w:line="360" w:lineRule="auto"/>
        <w:ind w:firstLine="480" w:firstLineChars="200"/>
        <w:jc w:val="both"/>
        <w:rPr>
          <w:rFonts w:ascii="Times New Roman"/>
          <w:color w:val="auto"/>
          <w:highlight w:val="none"/>
        </w:rPr>
      </w:pPr>
      <w:r>
        <w:rPr>
          <w:rFonts w:ascii="Times New Roman"/>
          <w:color w:val="auto"/>
          <w:highlight w:val="none"/>
        </w:rPr>
        <w:t>2、参与重点业务应急预案制定和修订</w:t>
      </w:r>
    </w:p>
    <w:p>
      <w:pPr>
        <w:pStyle w:val="3"/>
        <w:spacing w:line="360" w:lineRule="auto"/>
        <w:ind w:firstLine="480" w:firstLineChars="200"/>
        <w:jc w:val="both"/>
        <w:rPr>
          <w:rFonts w:ascii="Times New Roman"/>
          <w:color w:val="auto"/>
          <w:highlight w:val="none"/>
        </w:rPr>
      </w:pPr>
      <w:r>
        <w:rPr>
          <w:rFonts w:ascii="Times New Roman"/>
          <w:color w:val="auto"/>
          <w:highlight w:val="none"/>
        </w:rPr>
        <w:t>根据重点业务运维保障的特点，需要分别对北京市公共资源交易服务平台门户网站、统一赋码、统一认证、立项信息共享、机构基础信息共享，综合交易系统开标、评标子系统制定相对独立的应急预案并做相关修订，配备相关应急资源，针对突发紧急情况，启动技术专家现场服务，必要时联合多方面专家进行联合分析诊断、事件定位与紧急处理，持续跟进直到问题完全解决。</w:t>
      </w:r>
    </w:p>
    <w:p>
      <w:pPr>
        <w:pStyle w:val="3"/>
        <w:spacing w:line="360" w:lineRule="auto"/>
        <w:ind w:firstLine="480" w:firstLineChars="200"/>
        <w:jc w:val="both"/>
        <w:rPr>
          <w:rFonts w:ascii="Times New Roman"/>
          <w:color w:val="auto"/>
          <w:highlight w:val="none"/>
        </w:rPr>
      </w:pPr>
      <w:r>
        <w:rPr>
          <w:rFonts w:ascii="Times New Roman"/>
          <w:color w:val="auto"/>
          <w:highlight w:val="none"/>
        </w:rPr>
        <w:t>制定标准化的应急响应服务流程，建立分级故障响应机制，明确组织结构及职责划分，按照应急预案开展应急演练。</w:t>
      </w:r>
    </w:p>
    <w:p>
      <w:pPr>
        <w:pStyle w:val="3"/>
        <w:spacing w:line="360" w:lineRule="auto"/>
        <w:ind w:firstLine="480" w:firstLineChars="200"/>
        <w:jc w:val="both"/>
        <w:rPr>
          <w:rFonts w:ascii="Times New Roman"/>
          <w:color w:val="auto"/>
          <w:highlight w:val="none"/>
        </w:rPr>
      </w:pPr>
      <w:r>
        <w:rPr>
          <w:rFonts w:ascii="Times New Roman"/>
          <w:color w:val="auto"/>
          <w:highlight w:val="none"/>
        </w:rPr>
        <w:t>5.2应急演练</w:t>
      </w:r>
    </w:p>
    <w:p>
      <w:pPr>
        <w:pStyle w:val="3"/>
        <w:spacing w:line="360" w:lineRule="auto"/>
        <w:ind w:firstLine="480" w:firstLineChars="200"/>
        <w:jc w:val="both"/>
        <w:rPr>
          <w:rFonts w:ascii="Times New Roman"/>
          <w:color w:val="auto"/>
          <w:highlight w:val="none"/>
        </w:rPr>
      </w:pPr>
      <w:r>
        <w:rPr>
          <w:rFonts w:ascii="Times New Roman"/>
          <w:color w:val="auto"/>
          <w:highlight w:val="none"/>
        </w:rPr>
        <w:t>每年至少对北京市公共资源交易服务平台门户网站、统一赋码服务、统一认证服务，综合交易系统招投标、开标、评标子系统的主要业务功能和各业务系统数据备份与恢复组织两次应急演练，制定详细的演练方案和演练计划，演练过程中记录具体演练流程，在演练结束后及时完成演练总结报告。</w:t>
      </w:r>
    </w:p>
    <w:p>
      <w:pPr>
        <w:pStyle w:val="3"/>
        <w:spacing w:line="360" w:lineRule="auto"/>
        <w:ind w:firstLine="480" w:firstLineChars="200"/>
        <w:jc w:val="both"/>
        <w:rPr>
          <w:rFonts w:ascii="Times New Roman"/>
          <w:color w:val="auto"/>
          <w:highlight w:val="none"/>
        </w:rPr>
      </w:pPr>
      <w:r>
        <w:rPr>
          <w:rFonts w:ascii="Times New Roman"/>
          <w:color w:val="auto"/>
          <w:highlight w:val="none"/>
        </w:rPr>
        <w:t>安排维护人员参与甲方组织的应急演练。</w:t>
      </w:r>
    </w:p>
    <w:p>
      <w:pPr>
        <w:pStyle w:val="3"/>
        <w:spacing w:line="360" w:lineRule="auto"/>
        <w:ind w:firstLine="480" w:firstLineChars="200"/>
        <w:jc w:val="both"/>
        <w:rPr>
          <w:rFonts w:ascii="Times New Roman"/>
          <w:color w:val="auto"/>
          <w:highlight w:val="none"/>
        </w:rPr>
      </w:pPr>
      <w:r>
        <w:rPr>
          <w:rFonts w:ascii="Times New Roman"/>
          <w:color w:val="auto"/>
          <w:highlight w:val="none"/>
        </w:rPr>
        <w:t>5.3应急处置流程</w:t>
      </w:r>
    </w:p>
    <w:p>
      <w:pPr>
        <w:pStyle w:val="3"/>
        <w:spacing w:line="360" w:lineRule="auto"/>
        <w:ind w:firstLine="480" w:firstLineChars="200"/>
        <w:jc w:val="both"/>
        <w:rPr>
          <w:rFonts w:ascii="Times New Roman"/>
          <w:color w:val="auto"/>
          <w:highlight w:val="none"/>
        </w:rPr>
      </w:pPr>
      <w:r>
        <w:rPr>
          <w:rFonts w:ascii="Times New Roman"/>
          <w:color w:val="auto"/>
          <w:highlight w:val="none"/>
        </w:rPr>
        <w:t>安排维护人员参与应急处置流程，配合甲方、应用系统维护方、云服务方、云环境运维方进行以下应急处置。</w:t>
      </w:r>
    </w:p>
    <w:p>
      <w:pPr>
        <w:pStyle w:val="3"/>
        <w:spacing w:line="360" w:lineRule="auto"/>
        <w:ind w:firstLine="480" w:firstLineChars="200"/>
        <w:jc w:val="both"/>
        <w:rPr>
          <w:rFonts w:ascii="Times New Roman"/>
          <w:color w:val="auto"/>
          <w:highlight w:val="none"/>
        </w:rPr>
      </w:pPr>
      <w:r>
        <w:rPr>
          <w:rFonts w:ascii="Times New Roman"/>
          <w:color w:val="auto"/>
          <w:highlight w:val="none"/>
        </w:rPr>
        <w:t>1、一般性事件应急处置</w:t>
      </w:r>
    </w:p>
    <w:p>
      <w:pPr>
        <w:pStyle w:val="3"/>
        <w:spacing w:line="360" w:lineRule="auto"/>
        <w:ind w:firstLine="480" w:firstLineChars="200"/>
        <w:jc w:val="both"/>
        <w:rPr>
          <w:rFonts w:ascii="Times New Roman"/>
          <w:color w:val="auto"/>
          <w:highlight w:val="none"/>
        </w:rPr>
      </w:pPr>
      <w:r>
        <w:rPr>
          <w:rFonts w:ascii="Times New Roman"/>
          <w:color w:val="auto"/>
          <w:highlight w:val="none"/>
        </w:rPr>
        <w:t>一般性事件定义：现有系统的操作性能严重降低，或由于网络性能失常或安全事件严重影响数据中心业务运作，持续小于4小时，造成一定范围的不良影响的事件。持续时间超过4小时则升级到重大事件。包括一般网站事件、严重网络事件、严重应用事件和基础设施故障等安全事件。</w:t>
      </w:r>
    </w:p>
    <w:p>
      <w:pPr>
        <w:pStyle w:val="3"/>
        <w:spacing w:line="360" w:lineRule="auto"/>
        <w:ind w:firstLine="480" w:firstLineChars="200"/>
        <w:jc w:val="both"/>
        <w:rPr>
          <w:rFonts w:ascii="Times New Roman"/>
          <w:color w:val="auto"/>
          <w:highlight w:val="none"/>
        </w:rPr>
      </w:pPr>
      <w:r>
        <w:rPr>
          <w:rFonts w:ascii="Times New Roman"/>
          <w:color w:val="auto"/>
          <w:highlight w:val="none"/>
        </w:rPr>
        <w:t>一般性事件服务响应：工作时间1小时之内启动应急响应，非工作时间2小时之内启动应急响应。</w:t>
      </w:r>
    </w:p>
    <w:p>
      <w:pPr>
        <w:pStyle w:val="3"/>
        <w:spacing w:line="360" w:lineRule="auto"/>
        <w:ind w:firstLine="480" w:firstLineChars="200"/>
        <w:jc w:val="both"/>
        <w:rPr>
          <w:rFonts w:ascii="Times New Roman"/>
          <w:color w:val="auto"/>
          <w:highlight w:val="none"/>
        </w:rPr>
      </w:pPr>
      <w:r>
        <w:rPr>
          <w:rFonts w:ascii="Times New Roman"/>
          <w:color w:val="auto"/>
          <w:highlight w:val="none"/>
        </w:rPr>
        <w:t>一般性事件处置：一般性事件需在4小时之内完成业务恢复、备机启用。</w:t>
      </w:r>
    </w:p>
    <w:p>
      <w:pPr>
        <w:pStyle w:val="3"/>
        <w:spacing w:line="360" w:lineRule="auto"/>
        <w:ind w:firstLine="480" w:firstLineChars="200"/>
        <w:jc w:val="both"/>
        <w:rPr>
          <w:rFonts w:ascii="Times New Roman"/>
          <w:color w:val="auto"/>
          <w:highlight w:val="none"/>
        </w:rPr>
      </w:pPr>
      <w:r>
        <w:rPr>
          <w:rFonts w:ascii="Times New Roman"/>
          <w:color w:val="auto"/>
          <w:highlight w:val="none"/>
        </w:rPr>
        <w:t>2、重大事件应急处置</w:t>
      </w:r>
    </w:p>
    <w:p>
      <w:pPr>
        <w:pStyle w:val="3"/>
        <w:spacing w:line="360" w:lineRule="auto"/>
        <w:ind w:firstLine="480" w:firstLineChars="200"/>
        <w:jc w:val="both"/>
        <w:rPr>
          <w:rFonts w:ascii="Times New Roman"/>
          <w:color w:val="auto"/>
          <w:highlight w:val="none"/>
        </w:rPr>
      </w:pPr>
      <w:r>
        <w:rPr>
          <w:rFonts w:ascii="Times New Roman"/>
          <w:color w:val="auto"/>
          <w:highlight w:val="none"/>
        </w:rPr>
        <w:t>重大事件定义：现有的系统宕机，或遭到严重攻击、入侵等行为，使业务系统无法正常提供服务、信息系统的正常业务运作产生重大影响，或严重影响到业务提供服务的服务质量的，造成大范围不良影响的重大事件。包括重大网络事件、网站事件、应用事件和严重的基础设施故障等安全事件。</w:t>
      </w:r>
    </w:p>
    <w:p>
      <w:pPr>
        <w:pStyle w:val="3"/>
        <w:spacing w:line="360" w:lineRule="auto"/>
        <w:ind w:firstLine="480" w:firstLineChars="200"/>
        <w:jc w:val="both"/>
        <w:rPr>
          <w:rFonts w:ascii="Times New Roman"/>
          <w:color w:val="auto"/>
          <w:highlight w:val="none"/>
        </w:rPr>
      </w:pPr>
      <w:r>
        <w:rPr>
          <w:rFonts w:ascii="Times New Roman"/>
          <w:color w:val="auto"/>
          <w:highlight w:val="none"/>
        </w:rPr>
        <w:t>重大事件服务响应：工作时间10分钟之内启动应急响应，非工作时间20分钟之内启动应急响应。</w:t>
      </w:r>
    </w:p>
    <w:p>
      <w:pPr>
        <w:pStyle w:val="3"/>
        <w:spacing w:line="360" w:lineRule="auto"/>
        <w:ind w:firstLine="480" w:firstLineChars="200"/>
        <w:jc w:val="both"/>
        <w:rPr>
          <w:rFonts w:ascii="Times New Roman"/>
          <w:color w:val="auto"/>
          <w:highlight w:val="none"/>
        </w:rPr>
      </w:pPr>
      <w:r>
        <w:rPr>
          <w:rFonts w:ascii="Times New Roman"/>
          <w:color w:val="auto"/>
          <w:highlight w:val="none"/>
        </w:rPr>
        <w:t>重大事件处置：重大事件需在30分钟之内完成业务恢复、备机启用。</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6.重点时期保障</w:t>
      </w:r>
    </w:p>
    <w:p>
      <w:pPr>
        <w:pStyle w:val="3"/>
        <w:spacing w:line="360" w:lineRule="auto"/>
        <w:ind w:firstLine="480" w:firstLineChars="200"/>
        <w:jc w:val="both"/>
        <w:rPr>
          <w:rFonts w:ascii="Times New Roman"/>
          <w:color w:val="auto"/>
          <w:highlight w:val="none"/>
        </w:rPr>
      </w:pPr>
      <w:r>
        <w:rPr>
          <w:rFonts w:ascii="Times New Roman"/>
          <w:color w:val="auto"/>
          <w:highlight w:val="none"/>
        </w:rPr>
        <w:t>6.1重点时期</w:t>
      </w:r>
    </w:p>
    <w:p>
      <w:pPr>
        <w:pStyle w:val="3"/>
        <w:spacing w:line="360" w:lineRule="auto"/>
        <w:ind w:firstLine="480" w:firstLineChars="200"/>
        <w:jc w:val="both"/>
        <w:rPr>
          <w:rFonts w:ascii="Times New Roman"/>
          <w:color w:val="auto"/>
          <w:highlight w:val="none"/>
        </w:rPr>
      </w:pPr>
      <w:r>
        <w:rPr>
          <w:rFonts w:ascii="Times New Roman"/>
          <w:color w:val="auto"/>
          <w:highlight w:val="none"/>
        </w:rPr>
        <w:t>考虑到系统在本市公共资源交易中的重要作用，需要在春节、全国两会、国庆等重点时期安排专人全天24小时值守，保障系统的正常运转。</w:t>
      </w:r>
    </w:p>
    <w:p>
      <w:pPr>
        <w:pStyle w:val="3"/>
        <w:spacing w:line="360" w:lineRule="auto"/>
        <w:ind w:firstLine="480" w:firstLineChars="200"/>
        <w:jc w:val="both"/>
        <w:rPr>
          <w:rFonts w:ascii="Times New Roman"/>
          <w:color w:val="auto"/>
          <w:highlight w:val="none"/>
        </w:rPr>
      </w:pPr>
      <w:r>
        <w:rPr>
          <w:rFonts w:ascii="Times New Roman"/>
          <w:color w:val="auto"/>
          <w:highlight w:val="none"/>
        </w:rPr>
        <w:t>2026年5月～2027年4月重点值守时期包括：</w:t>
      </w:r>
    </w:p>
    <w:p>
      <w:pPr>
        <w:pStyle w:val="3"/>
        <w:spacing w:line="360" w:lineRule="auto"/>
        <w:ind w:firstLine="480" w:firstLineChars="200"/>
        <w:jc w:val="both"/>
        <w:rPr>
          <w:rFonts w:ascii="Times New Roman"/>
          <w:color w:val="auto"/>
          <w:highlight w:val="none"/>
        </w:rPr>
      </w:pPr>
      <w:r>
        <w:rPr>
          <w:rFonts w:ascii="Times New Roman"/>
          <w:color w:val="auto"/>
          <w:highlight w:val="none"/>
        </w:rPr>
        <w:t>重点时期</w:t>
      </w:r>
      <w:r>
        <w:rPr>
          <w:rFonts w:ascii="Times New Roman"/>
          <w:color w:val="auto"/>
          <w:highlight w:val="none"/>
        </w:rPr>
        <w:tab/>
      </w:r>
      <w:r>
        <w:rPr>
          <w:rFonts w:ascii="Times New Roman"/>
          <w:color w:val="auto"/>
          <w:highlight w:val="none"/>
        </w:rPr>
        <w:t>值守天数</w:t>
      </w:r>
    </w:p>
    <w:p>
      <w:pPr>
        <w:pStyle w:val="3"/>
        <w:spacing w:line="360" w:lineRule="auto"/>
        <w:ind w:firstLine="480" w:firstLineChars="200"/>
        <w:jc w:val="both"/>
        <w:rPr>
          <w:rFonts w:ascii="Times New Roman"/>
          <w:color w:val="auto"/>
          <w:highlight w:val="none"/>
        </w:rPr>
      </w:pPr>
      <w:r>
        <w:rPr>
          <w:rFonts w:ascii="Times New Roman"/>
          <w:color w:val="auto"/>
          <w:highlight w:val="none"/>
        </w:rPr>
        <w:t>2026年国庆</w:t>
      </w:r>
      <w:r>
        <w:rPr>
          <w:rFonts w:ascii="Times New Roman"/>
          <w:color w:val="auto"/>
          <w:highlight w:val="none"/>
        </w:rPr>
        <w:tab/>
      </w:r>
      <w:r>
        <w:rPr>
          <w:rFonts w:ascii="Times New Roman"/>
          <w:color w:val="auto"/>
          <w:highlight w:val="none"/>
        </w:rPr>
        <w:t>10天</w:t>
      </w:r>
    </w:p>
    <w:p>
      <w:pPr>
        <w:pStyle w:val="3"/>
        <w:spacing w:line="360" w:lineRule="auto"/>
        <w:ind w:firstLine="480" w:firstLineChars="200"/>
        <w:jc w:val="both"/>
        <w:rPr>
          <w:rFonts w:ascii="Times New Roman"/>
          <w:color w:val="auto"/>
          <w:highlight w:val="none"/>
        </w:rPr>
      </w:pPr>
      <w:r>
        <w:rPr>
          <w:rFonts w:ascii="Times New Roman"/>
          <w:color w:val="auto"/>
          <w:highlight w:val="none"/>
        </w:rPr>
        <w:t>2027年春节</w:t>
      </w:r>
      <w:r>
        <w:rPr>
          <w:rFonts w:ascii="Times New Roman"/>
          <w:color w:val="auto"/>
          <w:highlight w:val="none"/>
        </w:rPr>
        <w:tab/>
      </w:r>
      <w:r>
        <w:rPr>
          <w:rFonts w:ascii="Times New Roman"/>
          <w:color w:val="auto"/>
          <w:highlight w:val="none"/>
        </w:rPr>
        <w:t>10天</w:t>
      </w:r>
    </w:p>
    <w:p>
      <w:pPr>
        <w:pStyle w:val="3"/>
        <w:spacing w:line="360" w:lineRule="auto"/>
        <w:ind w:firstLine="480" w:firstLineChars="200"/>
        <w:jc w:val="both"/>
        <w:rPr>
          <w:rFonts w:ascii="Times New Roman"/>
          <w:color w:val="auto"/>
          <w:highlight w:val="none"/>
        </w:rPr>
      </w:pPr>
      <w:r>
        <w:rPr>
          <w:rFonts w:ascii="Times New Roman"/>
          <w:color w:val="auto"/>
          <w:highlight w:val="none"/>
        </w:rPr>
        <w:t>2027年全国两会</w:t>
      </w:r>
      <w:r>
        <w:rPr>
          <w:rFonts w:ascii="Times New Roman"/>
          <w:color w:val="auto"/>
          <w:highlight w:val="none"/>
        </w:rPr>
        <w:tab/>
      </w:r>
      <w:r>
        <w:rPr>
          <w:rFonts w:ascii="Times New Roman"/>
          <w:color w:val="auto"/>
          <w:highlight w:val="none"/>
        </w:rPr>
        <w:t>10天</w:t>
      </w:r>
    </w:p>
    <w:p>
      <w:pPr>
        <w:pStyle w:val="3"/>
        <w:spacing w:line="360" w:lineRule="auto"/>
        <w:ind w:firstLine="480" w:firstLineChars="200"/>
        <w:jc w:val="both"/>
        <w:rPr>
          <w:rFonts w:ascii="Times New Roman"/>
          <w:color w:val="auto"/>
          <w:highlight w:val="none"/>
        </w:rPr>
      </w:pPr>
      <w:r>
        <w:rPr>
          <w:rFonts w:ascii="Times New Roman"/>
          <w:color w:val="auto"/>
          <w:highlight w:val="none"/>
        </w:rPr>
        <w:t>2027年市两会</w:t>
      </w:r>
      <w:r>
        <w:rPr>
          <w:rFonts w:ascii="Times New Roman"/>
          <w:color w:val="auto"/>
          <w:highlight w:val="none"/>
        </w:rPr>
        <w:tab/>
      </w:r>
      <w:r>
        <w:rPr>
          <w:rFonts w:ascii="Times New Roman"/>
          <w:color w:val="auto"/>
          <w:highlight w:val="none"/>
        </w:rPr>
        <w:t>7天</w:t>
      </w:r>
    </w:p>
    <w:p>
      <w:pPr>
        <w:pStyle w:val="3"/>
        <w:spacing w:line="360" w:lineRule="auto"/>
        <w:ind w:firstLine="480" w:firstLineChars="200"/>
        <w:jc w:val="both"/>
        <w:rPr>
          <w:rFonts w:ascii="Times New Roman"/>
          <w:color w:val="auto"/>
          <w:highlight w:val="none"/>
        </w:rPr>
      </w:pPr>
      <w:r>
        <w:rPr>
          <w:rFonts w:ascii="Times New Roman"/>
          <w:color w:val="auto"/>
          <w:highlight w:val="none"/>
        </w:rPr>
        <w:t>6.2监控和保障范围</w:t>
      </w:r>
    </w:p>
    <w:p>
      <w:pPr>
        <w:pStyle w:val="3"/>
        <w:spacing w:line="360" w:lineRule="auto"/>
        <w:ind w:firstLine="480" w:firstLineChars="200"/>
        <w:jc w:val="both"/>
        <w:rPr>
          <w:rFonts w:ascii="Times New Roman"/>
          <w:color w:val="auto"/>
          <w:highlight w:val="none"/>
        </w:rPr>
      </w:pPr>
      <w:r>
        <w:rPr>
          <w:rFonts w:ascii="Times New Roman"/>
          <w:color w:val="auto"/>
          <w:highlight w:val="none"/>
        </w:rPr>
        <w:t>为确保重要时期北京市公共平台各信息系统重点业务的正常运行，要求提高业务系统24小时人机巡检频次，同时安排人员进行每日2次（10时、22时）读网值守工作，值守人员需按值守时间要求对各业务系统重点业务功能与访问链接是否正常进行巡检，并及时汇报巡检结果。如发现问题，值守人员应及时汇报，并按照应急预案要求进行处理。</w:t>
      </w:r>
    </w:p>
    <w:p>
      <w:pPr>
        <w:pStyle w:val="3"/>
        <w:spacing w:line="360" w:lineRule="auto"/>
        <w:ind w:firstLine="480" w:firstLineChars="200"/>
        <w:jc w:val="both"/>
        <w:rPr>
          <w:rFonts w:ascii="Times New Roman"/>
          <w:color w:val="auto"/>
          <w:highlight w:val="none"/>
        </w:rPr>
      </w:pPr>
      <w:r>
        <w:rPr>
          <w:rFonts w:ascii="Times New Roman"/>
          <w:color w:val="auto"/>
          <w:highlight w:val="none"/>
        </w:rPr>
        <w:t>需要安排运维人员全天24小时，对运维范围内的云服务器和数据库系统巡检。</w:t>
      </w:r>
    </w:p>
    <w:p>
      <w:pPr>
        <w:pStyle w:val="3"/>
        <w:spacing w:line="360" w:lineRule="auto"/>
        <w:ind w:firstLine="480" w:firstLineChars="200"/>
        <w:jc w:val="both"/>
        <w:rPr>
          <w:rFonts w:ascii="Times New Roman"/>
          <w:color w:val="auto"/>
          <w:highlight w:val="none"/>
        </w:rPr>
      </w:pPr>
      <w:r>
        <w:rPr>
          <w:rFonts w:ascii="Times New Roman"/>
          <w:color w:val="auto"/>
          <w:highlight w:val="none"/>
        </w:rPr>
        <w:t>6.3人员安排</w:t>
      </w:r>
    </w:p>
    <w:p>
      <w:pPr>
        <w:pStyle w:val="3"/>
        <w:spacing w:line="360" w:lineRule="auto"/>
        <w:ind w:firstLine="480" w:firstLineChars="200"/>
        <w:jc w:val="both"/>
        <w:rPr>
          <w:rFonts w:ascii="Times New Roman"/>
          <w:color w:val="auto"/>
          <w:highlight w:val="none"/>
        </w:rPr>
      </w:pPr>
      <w:r>
        <w:rPr>
          <w:rFonts w:ascii="Times New Roman"/>
          <w:color w:val="auto"/>
          <w:highlight w:val="none"/>
        </w:rPr>
        <w:t>重点时期的值守服务应当明确具体人员安排，人员安排需要到人到天到班，形成《重点时期值守人员安排表》和《重点时期应急人员电话表》。</w:t>
      </w:r>
    </w:p>
    <w:p>
      <w:pPr>
        <w:pStyle w:val="3"/>
        <w:spacing w:line="360" w:lineRule="auto"/>
        <w:ind w:firstLine="480" w:firstLineChars="200"/>
        <w:jc w:val="both"/>
        <w:rPr>
          <w:rFonts w:ascii="Times New Roman"/>
          <w:color w:val="auto"/>
          <w:highlight w:val="none"/>
        </w:rPr>
      </w:pPr>
      <w:r>
        <w:rPr>
          <w:rFonts w:ascii="Times New Roman"/>
          <w:color w:val="auto"/>
          <w:highlight w:val="none"/>
        </w:rPr>
        <w:t>6.4重点时期专项应急预案制定</w:t>
      </w:r>
    </w:p>
    <w:p>
      <w:pPr>
        <w:pStyle w:val="3"/>
        <w:spacing w:line="360" w:lineRule="auto"/>
        <w:ind w:firstLine="480" w:firstLineChars="200"/>
        <w:jc w:val="both"/>
        <w:rPr>
          <w:rFonts w:ascii="Times New Roman"/>
          <w:color w:val="auto"/>
          <w:highlight w:val="none"/>
        </w:rPr>
      </w:pPr>
      <w:r>
        <w:rPr>
          <w:rFonts w:ascii="Times New Roman"/>
          <w:color w:val="auto"/>
          <w:highlight w:val="none"/>
        </w:rPr>
        <w:t>根据重点时期运维保障的特点，制定相应的应急预案，配备相关应急资源，针对突发紧急情况，启动技术专家现场服务，必要时联合多方面专家进行联合分析诊断、事件定位与紧急处理，持续跟进直到问题完全解决。</w:t>
      </w:r>
    </w:p>
    <w:p>
      <w:pPr>
        <w:pStyle w:val="3"/>
        <w:spacing w:line="360" w:lineRule="auto"/>
        <w:ind w:firstLine="480" w:firstLineChars="200"/>
        <w:jc w:val="both"/>
        <w:rPr>
          <w:rFonts w:ascii="Times New Roman"/>
          <w:color w:val="auto"/>
          <w:highlight w:val="none"/>
        </w:rPr>
      </w:pPr>
      <w:r>
        <w:rPr>
          <w:rFonts w:ascii="Times New Roman"/>
          <w:color w:val="auto"/>
          <w:highlight w:val="none"/>
        </w:rPr>
        <w:t>参与制定标准化的应急响应服务流程，建立分级故障响应机制，明确组织结构及职责划分。</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7.项目交接准备</w:t>
      </w:r>
    </w:p>
    <w:p>
      <w:pPr>
        <w:pStyle w:val="3"/>
        <w:spacing w:line="360" w:lineRule="auto"/>
        <w:ind w:firstLine="480" w:firstLineChars="200"/>
        <w:jc w:val="both"/>
        <w:rPr>
          <w:rFonts w:ascii="Times New Roman"/>
          <w:color w:val="auto"/>
          <w:highlight w:val="none"/>
        </w:rPr>
      </w:pPr>
      <w:r>
        <w:rPr>
          <w:rFonts w:ascii="Times New Roman"/>
          <w:color w:val="auto"/>
          <w:highlight w:val="none"/>
        </w:rPr>
        <w:t>运维单位要充分考虑本项目运维范围的重要性，保证能在5个工作日内完成项目所有交接内容，并承诺不限定次数和人数，如无法满足项目交接要求，采购人有权终止项目合同，废除中选供应商的项目服务资格。</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8.验收标准</w:t>
      </w:r>
    </w:p>
    <w:p>
      <w:pPr>
        <w:widowControl/>
        <w:spacing w:line="360" w:lineRule="auto"/>
        <w:ind w:firstLine="480"/>
        <w:rPr>
          <w:color w:val="auto"/>
          <w:sz w:val="24"/>
          <w:highlight w:val="none"/>
        </w:rPr>
      </w:pPr>
      <w:r>
        <w:rPr>
          <w:color w:val="auto"/>
          <w:sz w:val="24"/>
          <w:highlight w:val="none"/>
        </w:rPr>
        <w:t>1、中标人按照合同约定能够按时、保质完成阶段性服务工作。</w:t>
      </w:r>
    </w:p>
    <w:p>
      <w:pPr>
        <w:widowControl/>
        <w:spacing w:line="360" w:lineRule="auto"/>
        <w:ind w:firstLine="480"/>
        <w:rPr>
          <w:color w:val="auto"/>
          <w:sz w:val="24"/>
          <w:highlight w:val="none"/>
        </w:rPr>
      </w:pPr>
      <w:r>
        <w:rPr>
          <w:color w:val="auto"/>
          <w:sz w:val="24"/>
          <w:highlight w:val="none"/>
        </w:rPr>
        <w:t>2、按时提交阶段性服务报告，内容较完整。</w:t>
      </w:r>
    </w:p>
    <w:p>
      <w:pPr>
        <w:widowControl/>
        <w:spacing w:line="360" w:lineRule="auto"/>
        <w:ind w:firstLine="480"/>
        <w:rPr>
          <w:color w:val="auto"/>
          <w:sz w:val="24"/>
          <w:highlight w:val="none"/>
        </w:rPr>
      </w:pPr>
      <w:r>
        <w:rPr>
          <w:color w:val="auto"/>
          <w:sz w:val="24"/>
          <w:highlight w:val="none"/>
        </w:rPr>
        <w:t>3、应对突发事件及时妥当。</w:t>
      </w:r>
    </w:p>
    <w:p>
      <w:pPr>
        <w:widowControl/>
        <w:spacing w:line="360" w:lineRule="auto"/>
        <w:ind w:firstLine="480"/>
        <w:rPr>
          <w:color w:val="auto"/>
          <w:sz w:val="24"/>
          <w:highlight w:val="none"/>
        </w:rPr>
      </w:pPr>
      <w:r>
        <w:rPr>
          <w:color w:val="auto"/>
          <w:sz w:val="24"/>
          <w:highlight w:val="none"/>
        </w:rPr>
        <w:t>4、不存在人为原因造成业务运行中断或错误情况。</w:t>
      </w:r>
    </w:p>
    <w:p>
      <w:pPr>
        <w:pStyle w:val="3"/>
        <w:rPr>
          <w:rFonts w:ascii="Times New Roman"/>
          <w:b/>
          <w:color w:val="auto"/>
          <w:sz w:val="36"/>
          <w:szCs w:val="36"/>
          <w:highlight w:val="none"/>
        </w:rPr>
      </w:pPr>
      <w:r>
        <w:rPr>
          <w:rFonts w:ascii="Times New Roman"/>
          <w:color w:val="auto"/>
          <w:highlight w:val="none"/>
        </w:rPr>
        <w:t>5、未收到相关投诉或举报。</w:t>
      </w:r>
    </w:p>
    <w:p>
      <w:pPr>
        <w:keepNext/>
        <w:keepLines/>
        <w:autoSpaceDE w:val="0"/>
        <w:autoSpaceDN w:val="0"/>
        <w:adjustRightInd w:val="0"/>
        <w:spacing w:before="360" w:after="120"/>
        <w:jc w:val="left"/>
        <w:outlineLvl w:val="2"/>
        <w:rPr>
          <w:b/>
          <w:color w:val="auto"/>
          <w:kern w:val="0"/>
          <w:sz w:val="28"/>
          <w:szCs w:val="20"/>
          <w:highlight w:val="none"/>
        </w:rPr>
      </w:pPr>
      <w:r>
        <w:rPr>
          <w:b/>
          <w:color w:val="auto"/>
          <w:kern w:val="0"/>
          <w:sz w:val="28"/>
          <w:szCs w:val="20"/>
          <w:highlight w:val="none"/>
        </w:rPr>
        <w:t>9.其他要求</w:t>
      </w:r>
    </w:p>
    <w:p>
      <w:pPr>
        <w:spacing w:line="360" w:lineRule="auto"/>
        <w:ind w:firstLine="480" w:firstLineChars="200"/>
        <w:rPr>
          <w:color w:val="auto"/>
          <w:sz w:val="24"/>
          <w:szCs w:val="32"/>
          <w:highlight w:val="none"/>
        </w:rPr>
      </w:pPr>
      <w:r>
        <w:rPr>
          <w:color w:val="auto"/>
          <w:sz w:val="24"/>
          <w:szCs w:val="32"/>
          <w:highlight w:val="none"/>
        </w:rPr>
        <w:t>执行标准：按国家相关标准、行业标准、地方标准、规范执行</w:t>
      </w:r>
    </w:p>
    <w:p>
      <w:pPr>
        <w:pStyle w:val="3"/>
        <w:rPr>
          <w:rFonts w:ascii="Times New Roman"/>
          <w:b/>
          <w:color w:val="auto"/>
          <w:sz w:val="36"/>
          <w:szCs w:val="36"/>
          <w:highlight w:val="none"/>
        </w:rPr>
      </w:pPr>
    </w:p>
    <w:p>
      <w:pPr>
        <w:rPr>
          <w:b/>
          <w:color w:val="auto"/>
          <w:sz w:val="36"/>
          <w:szCs w:val="36"/>
          <w:highlight w:val="none"/>
        </w:rPr>
      </w:pPr>
    </w:p>
    <w:p>
      <w:pPr>
        <w:pStyle w:val="3"/>
        <w:rPr>
          <w:rFonts w:ascii="Times New Roman"/>
          <w:b/>
          <w:color w:val="auto"/>
          <w:sz w:val="36"/>
          <w:szCs w:val="36"/>
          <w:highlight w:val="none"/>
        </w:rPr>
      </w:pPr>
    </w:p>
    <w:p>
      <w:pPr>
        <w:rPr>
          <w:b/>
          <w:color w:val="auto"/>
          <w:sz w:val="36"/>
          <w:szCs w:val="36"/>
          <w:highlight w:val="none"/>
        </w:rPr>
      </w:pPr>
    </w:p>
    <w:p>
      <w:pPr>
        <w:pStyle w:val="2"/>
        <w:ind w:left="0" w:leftChars="0"/>
        <w:rPr>
          <w:rFonts w:ascii="Times New Roman" w:hAnsi="Times New Roman"/>
          <w:color w:val="auto"/>
          <w:highlight w:val="none"/>
        </w:rPr>
      </w:pPr>
    </w:p>
    <w:p>
      <w:pPr>
        <w:rPr>
          <w:color w:val="auto"/>
          <w:highlight w:val="none"/>
        </w:rPr>
      </w:pPr>
    </w:p>
    <w:p>
      <w:pPr>
        <w:spacing w:line="360" w:lineRule="auto"/>
        <w:contextualSpacing/>
        <w:jc w:val="center"/>
        <w:outlineLvl w:val="0"/>
        <w:rPr>
          <w:color w:val="auto"/>
          <w:highlight w:val="none"/>
        </w:rPr>
      </w:pPr>
      <w:r>
        <w:rPr>
          <w:b/>
          <w:color w:val="auto"/>
          <w:sz w:val="36"/>
          <w:szCs w:val="36"/>
          <w:highlight w:val="none"/>
        </w:rPr>
        <w:br w:type="page"/>
      </w:r>
      <w:r>
        <w:rPr>
          <w:b/>
          <w:color w:val="auto"/>
          <w:sz w:val="36"/>
          <w:szCs w:val="36"/>
          <w:highlight w:val="none"/>
        </w:rPr>
        <w:t>第3包北京市公共资源综合交易系统技术运维服务(2026年度)</w:t>
      </w:r>
    </w:p>
    <w:p>
      <w:pPr>
        <w:numPr>
          <w:ilvl w:val="0"/>
          <w:numId w:val="12"/>
        </w:numPr>
        <w:spacing w:line="360" w:lineRule="auto"/>
        <w:contextualSpacing/>
        <w:outlineLvl w:val="1"/>
        <w:rPr>
          <w:color w:val="auto"/>
          <w:highlight w:val="none"/>
        </w:rPr>
      </w:pPr>
      <w:r>
        <w:rPr>
          <w:b/>
          <w:color w:val="auto"/>
          <w:sz w:val="24"/>
          <w:highlight w:val="none"/>
        </w:rPr>
        <w:t>采购标的</w:t>
      </w:r>
    </w:p>
    <w:p>
      <w:pPr>
        <w:pStyle w:val="3"/>
        <w:spacing w:line="360" w:lineRule="auto"/>
        <w:ind w:firstLine="480" w:firstLineChars="200"/>
        <w:jc w:val="both"/>
        <w:rPr>
          <w:rFonts w:ascii="Times New Roman"/>
          <w:color w:val="auto"/>
          <w:highlight w:val="none"/>
        </w:rPr>
      </w:pPr>
      <w:r>
        <w:rPr>
          <w:rFonts w:ascii="Times New Roman"/>
          <w:color w:val="auto"/>
          <w:highlight w:val="none"/>
        </w:rPr>
        <w:t>第</w:t>
      </w:r>
      <w:r>
        <w:rPr>
          <w:rFonts w:hint="eastAsia" w:ascii="Times New Roman"/>
          <w:color w:val="auto"/>
          <w:highlight w:val="none"/>
        </w:rPr>
        <w:t>3</w:t>
      </w:r>
      <w:r>
        <w:rPr>
          <w:rFonts w:ascii="Times New Roman"/>
          <w:color w:val="auto"/>
          <w:highlight w:val="none"/>
        </w:rPr>
        <w:t>包北京市公共资源综合交易系统技术运维服务(2026年度)</w:t>
      </w:r>
    </w:p>
    <w:p>
      <w:pPr>
        <w:pStyle w:val="3"/>
        <w:spacing w:line="360" w:lineRule="auto"/>
        <w:ind w:firstLine="480" w:firstLineChars="200"/>
        <w:jc w:val="both"/>
        <w:rPr>
          <w:rFonts w:ascii="Times New Roman"/>
          <w:b/>
          <w:color w:val="auto"/>
          <w:highlight w:val="none"/>
        </w:rPr>
      </w:pPr>
      <w:r>
        <w:rPr>
          <w:rFonts w:ascii="Times New Roman"/>
          <w:color w:val="auto"/>
          <w:highlight w:val="none"/>
        </w:rPr>
        <w:t>确保北京市公共资源综合交易系统的稳定运行，保障各方主体能够安全、高效的利用综合交易系统完成各行业的网上交易、电子开评标工作，实现综合交易系统的全过程电子化交易，开展北京市公共资源综合交易系统的运行和维护工作。</w:t>
      </w:r>
    </w:p>
    <w:p>
      <w:pPr>
        <w:spacing w:line="360" w:lineRule="auto"/>
        <w:contextualSpacing/>
        <w:outlineLvl w:val="1"/>
        <w:rPr>
          <w:b/>
          <w:color w:val="auto"/>
          <w:sz w:val="24"/>
          <w:highlight w:val="none"/>
        </w:rPr>
      </w:pPr>
      <w:r>
        <w:rPr>
          <w:b/>
          <w:color w:val="auto"/>
          <w:sz w:val="24"/>
          <w:highlight w:val="none"/>
        </w:rPr>
        <w:t>二、商务要求</w:t>
      </w:r>
    </w:p>
    <w:p>
      <w:pPr>
        <w:spacing w:line="360" w:lineRule="auto"/>
        <w:ind w:firstLine="480" w:firstLineChars="200"/>
        <w:contextualSpacing/>
        <w:rPr>
          <w:i/>
          <w:color w:val="auto"/>
          <w:sz w:val="24"/>
          <w:highlight w:val="none"/>
        </w:rPr>
      </w:pPr>
      <w:r>
        <w:rPr>
          <w:color w:val="auto"/>
          <w:sz w:val="24"/>
          <w:highlight w:val="none"/>
        </w:rPr>
        <w:t>1. 实施的时间和地点</w:t>
      </w:r>
    </w:p>
    <w:p>
      <w:pPr>
        <w:spacing w:line="360" w:lineRule="auto"/>
        <w:ind w:firstLine="480" w:firstLineChars="200"/>
        <w:contextualSpacing/>
        <w:rPr>
          <w:color w:val="auto"/>
          <w:sz w:val="24"/>
          <w:highlight w:val="none"/>
        </w:rPr>
      </w:pPr>
      <w:r>
        <w:rPr>
          <w:color w:val="auto"/>
          <w:sz w:val="24"/>
          <w:highlight w:val="none"/>
        </w:rPr>
        <w:t>服务期限：2026年5月1日至2027年4月30日</w:t>
      </w:r>
    </w:p>
    <w:p>
      <w:pPr>
        <w:spacing w:line="360" w:lineRule="auto"/>
        <w:ind w:firstLine="480" w:firstLineChars="200"/>
        <w:contextualSpacing/>
        <w:rPr>
          <w:i/>
          <w:color w:val="auto"/>
          <w:sz w:val="24"/>
          <w:highlight w:val="none"/>
        </w:rPr>
      </w:pPr>
      <w:r>
        <w:rPr>
          <w:color w:val="auto"/>
          <w:sz w:val="24"/>
          <w:highlight w:val="none"/>
        </w:rPr>
        <w:t>确保2026年5月1日至2027年4月30日期间，北京市公共资源综合交易系统的稳定运行，保障各方主体能够安全、高效的利用综合交易系统完成各行业的网上交易、电子开评标工作，实现综合交易系统的全过程电子化交易。完成已与北京市公共资源综合交易系统对接的区级交易场所的数据对接监控工作，保障系统各项数据信息交互顺畅</w:t>
      </w:r>
    </w:p>
    <w:p>
      <w:pPr>
        <w:spacing w:line="360" w:lineRule="auto"/>
        <w:ind w:firstLine="480" w:firstLineChars="200"/>
        <w:contextualSpacing/>
        <w:rPr>
          <w:color w:val="auto"/>
          <w:sz w:val="24"/>
          <w:highlight w:val="none"/>
        </w:rPr>
      </w:pPr>
      <w:r>
        <w:rPr>
          <w:color w:val="auto"/>
          <w:sz w:val="24"/>
          <w:highlight w:val="none"/>
        </w:rPr>
        <w:t>2. 付款条件</w:t>
      </w:r>
    </w:p>
    <w:p>
      <w:pPr>
        <w:adjustRightInd w:val="0"/>
        <w:snapToGrid w:val="0"/>
        <w:spacing w:line="360" w:lineRule="auto"/>
        <w:ind w:firstLine="480" w:firstLineChars="200"/>
        <w:rPr>
          <w:color w:val="auto"/>
          <w:sz w:val="24"/>
          <w:highlight w:val="none"/>
        </w:rPr>
      </w:pPr>
      <w:r>
        <w:rPr>
          <w:color w:val="auto"/>
          <w:sz w:val="24"/>
          <w:highlight w:val="none"/>
        </w:rPr>
        <w:t>（1）本合同签署生效且财政资金拨付到位后，于2026年6月30日前，采购人向中标人支付本合同首款，为合同总价格的50%，计人民币（大写）：     （￥       元）；</w:t>
      </w:r>
    </w:p>
    <w:p>
      <w:pPr>
        <w:adjustRightInd w:val="0"/>
        <w:snapToGrid w:val="0"/>
        <w:spacing w:line="360" w:lineRule="auto"/>
        <w:ind w:firstLine="480" w:firstLineChars="200"/>
        <w:rPr>
          <w:color w:val="auto"/>
          <w:sz w:val="24"/>
          <w:highlight w:val="none"/>
        </w:rPr>
      </w:pPr>
      <w:r>
        <w:rPr>
          <w:color w:val="auto"/>
          <w:sz w:val="24"/>
          <w:highlight w:val="none"/>
        </w:rPr>
        <w:t>（2）中标人按合同要求完成相应工作并经采购人阶段性验收通过后，于2026年12月30日前，采购人向乙方支付本合同中期款，为合同总价格的16.67%，计人民币（大写）：    元（￥    元）；</w:t>
      </w:r>
    </w:p>
    <w:p>
      <w:pPr>
        <w:adjustRightInd w:val="0"/>
        <w:snapToGrid w:val="0"/>
        <w:spacing w:line="360" w:lineRule="auto"/>
        <w:ind w:firstLine="480" w:firstLineChars="200"/>
        <w:rPr>
          <w:color w:val="auto"/>
          <w:sz w:val="24"/>
          <w:highlight w:val="none"/>
        </w:rPr>
      </w:pPr>
      <w:r>
        <w:rPr>
          <w:color w:val="auto"/>
          <w:sz w:val="24"/>
          <w:highlight w:val="none"/>
        </w:rPr>
        <w:t>（3）中标人按合同要求完成全部工作并经采购人验收通过，且2027年财政资金拨付到位后，于2027年6月30日前，采购人向乙方支付本合同尾款，本合同总价格的33.33%，计人民币（大写）：    元（￥    元）。</w:t>
      </w:r>
    </w:p>
    <w:p>
      <w:pPr>
        <w:spacing w:line="360" w:lineRule="auto"/>
        <w:ind w:firstLine="480" w:firstLineChars="200"/>
        <w:contextualSpacing/>
        <w:rPr>
          <w:color w:val="auto"/>
          <w:sz w:val="24"/>
          <w:highlight w:val="none"/>
        </w:rPr>
      </w:pPr>
      <w:r>
        <w:rPr>
          <w:color w:val="auto"/>
          <w:sz w:val="24"/>
          <w:highlight w:val="none"/>
        </w:rPr>
        <w:t>3. 类似业绩</w:t>
      </w:r>
    </w:p>
    <w:p>
      <w:pPr>
        <w:spacing w:line="360" w:lineRule="auto"/>
        <w:ind w:firstLine="480" w:firstLineChars="200"/>
        <w:contextualSpacing/>
        <w:rPr>
          <w:color w:val="auto"/>
          <w:sz w:val="24"/>
          <w:highlight w:val="none"/>
        </w:rPr>
      </w:pPr>
      <w:r>
        <w:rPr>
          <w:rFonts w:hint="eastAsia"/>
          <w:color w:val="auto"/>
          <w:sz w:val="24"/>
          <w:highlight w:val="none"/>
        </w:rPr>
        <w:t>投标人</w:t>
      </w:r>
      <w:r>
        <w:rPr>
          <w:color w:val="auto"/>
          <w:sz w:val="24"/>
          <w:highlight w:val="none"/>
        </w:rPr>
        <w:t>具有近3年相关信息化建设项目或运维项目业绩。近3年为2023年4月1日至投标文件递交截止时间。以合同签订时间为准。业绩证明需提供合同复印件加盖供应商单位公章，合同复印件至少包含合同双方信息、项目名称、签署时间及合同盖章页。</w:t>
      </w:r>
    </w:p>
    <w:p>
      <w:pPr>
        <w:spacing w:line="360" w:lineRule="auto"/>
        <w:ind w:firstLine="480" w:firstLineChars="200"/>
        <w:contextualSpacing/>
        <w:outlineLvl w:val="2"/>
        <w:rPr>
          <w:color w:val="auto"/>
          <w:sz w:val="24"/>
          <w:highlight w:val="none"/>
        </w:rPr>
      </w:pPr>
      <w:r>
        <w:rPr>
          <w:color w:val="auto"/>
          <w:sz w:val="24"/>
          <w:highlight w:val="none"/>
        </w:rPr>
        <w:t>4.</w:t>
      </w:r>
      <w:r>
        <w:rPr>
          <w:rFonts w:hint="eastAsia"/>
          <w:color w:val="auto"/>
          <w:sz w:val="24"/>
          <w:highlight w:val="none"/>
        </w:rPr>
        <w:t>企业</w:t>
      </w:r>
      <w:r>
        <w:rPr>
          <w:color w:val="auto"/>
          <w:sz w:val="24"/>
          <w:highlight w:val="none"/>
        </w:rPr>
        <w:t>能力要求</w:t>
      </w:r>
    </w:p>
    <w:p>
      <w:pPr>
        <w:pStyle w:val="6"/>
        <w:spacing w:line="360" w:lineRule="auto"/>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投标人具有有效的质量管理体系认证证书、信息安全管理体系认证证书、信息技术服务管理体系认证证书。</w:t>
      </w:r>
    </w:p>
    <w:p>
      <w:pPr>
        <w:pStyle w:val="6"/>
        <w:spacing w:line="360" w:lineRule="auto"/>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注：须提供证书及一年内监督审核证明复印件或扫描件(新办证书不用提供年度监督审核证明) ，（或提供全国认证认可公共服务平台查询结果为“有效”信息，提供截图）。</w:t>
      </w:r>
    </w:p>
    <w:p>
      <w:pPr>
        <w:pStyle w:val="2"/>
        <w:ind w:left="5250"/>
        <w:contextualSpacing/>
        <w:rPr>
          <w:rFonts w:ascii="Times New Roman" w:hAnsi="Times New Roman"/>
          <w:color w:val="auto"/>
          <w:highlight w:val="none"/>
        </w:rPr>
      </w:pPr>
    </w:p>
    <w:p>
      <w:pPr>
        <w:spacing w:line="360" w:lineRule="auto"/>
        <w:ind w:firstLine="480" w:firstLineChars="200"/>
        <w:contextualSpacing/>
        <w:rPr>
          <w:sz w:val="24"/>
        </w:rPr>
      </w:pPr>
      <w:r>
        <w:rPr>
          <w:sz w:val="24"/>
        </w:rPr>
        <w:t>5. 人员要求</w:t>
      </w:r>
    </w:p>
    <w:p>
      <w:pPr>
        <w:spacing w:line="360" w:lineRule="auto"/>
        <w:ind w:firstLine="426"/>
        <w:rPr>
          <w:sz w:val="24"/>
        </w:rPr>
      </w:pPr>
      <w:r>
        <w:rPr>
          <w:sz w:val="24"/>
        </w:rPr>
        <w:t>5.1</w:t>
      </w:r>
      <w:r>
        <w:rPr>
          <w:rFonts w:hint="eastAsia"/>
          <w:sz w:val="24"/>
        </w:rPr>
        <w:t>北京市公共资源综合交易系统运维</w:t>
      </w:r>
    </w:p>
    <w:p>
      <w:pPr>
        <w:spacing w:line="360" w:lineRule="auto"/>
        <w:ind w:firstLine="426"/>
        <w:rPr>
          <w:sz w:val="24"/>
        </w:rPr>
      </w:pPr>
      <w:r>
        <w:rPr>
          <w:sz w:val="24"/>
        </w:rPr>
        <w:t>组建政治素质可靠，精神风貌良好，符合招投标和开评标运维服务要求且熟悉公共资源交易政策及实务的运维服务团队，确保充足的专业人员保质保量完成运维工作。</w:t>
      </w:r>
    </w:p>
    <w:p>
      <w:pPr>
        <w:spacing w:line="360" w:lineRule="auto"/>
        <w:ind w:firstLine="480" w:firstLineChars="200"/>
        <w:contextualSpacing/>
        <w:rPr>
          <w:sz w:val="24"/>
          <w:highlight w:val="none"/>
        </w:rPr>
      </w:pPr>
      <w:r>
        <w:rPr>
          <w:sz w:val="24"/>
        </w:rPr>
        <w:t>根据北京市公</w:t>
      </w:r>
      <w:r>
        <w:rPr>
          <w:sz w:val="24"/>
          <w:highlight w:val="none"/>
        </w:rPr>
        <w:t>共资源综合交易系统技术运维要求组建项目运维团队，由运维服务经理负责分为招投标组、开评标组、对接数据维护组，长期驻场服务人员6人。</w:t>
      </w:r>
    </w:p>
    <w:p>
      <w:pPr>
        <w:pStyle w:val="6"/>
        <w:spacing w:line="360" w:lineRule="auto"/>
        <w:ind w:firstLine="566" w:firstLineChars="236"/>
        <w:rPr>
          <w:rFonts w:ascii="Times New Roman" w:hAnsi="Times New Roman"/>
          <w:sz w:val="24"/>
          <w:szCs w:val="24"/>
          <w:highlight w:val="none"/>
        </w:rPr>
      </w:pPr>
      <w:r>
        <w:rPr>
          <w:rFonts w:ascii="Times New Roman" w:hAnsi="Times New Roman"/>
          <w:sz w:val="24"/>
          <w:szCs w:val="24"/>
          <w:highlight w:val="none"/>
        </w:rPr>
        <w:t>拟派项目团队需明确项目经理：</w:t>
      </w:r>
    </w:p>
    <w:p>
      <w:pPr>
        <w:pStyle w:val="6"/>
        <w:spacing w:line="360" w:lineRule="auto"/>
        <w:ind w:firstLine="566" w:firstLineChars="236"/>
        <w:rPr>
          <w:rFonts w:ascii="Times New Roman" w:hAnsi="Times New Roman"/>
          <w:sz w:val="24"/>
          <w:szCs w:val="24"/>
          <w:highlight w:val="none"/>
        </w:rPr>
      </w:pPr>
      <w:r>
        <w:rPr>
          <w:rFonts w:ascii="Times New Roman" w:hAnsi="Times New Roman"/>
          <w:sz w:val="24"/>
          <w:szCs w:val="24"/>
          <w:highlight w:val="none"/>
        </w:rPr>
        <w:t>（1）项目经理需具备信息系统项目管理师证书；</w:t>
      </w:r>
    </w:p>
    <w:p>
      <w:pPr>
        <w:pStyle w:val="6"/>
        <w:spacing w:line="360" w:lineRule="auto"/>
        <w:ind w:firstLine="566" w:firstLineChars="236"/>
        <w:rPr>
          <w:rFonts w:ascii="Times New Roman" w:hAnsi="Times New Roman"/>
          <w:sz w:val="24"/>
          <w:szCs w:val="24"/>
        </w:rPr>
      </w:pPr>
      <w:r>
        <w:rPr>
          <w:rFonts w:ascii="Times New Roman" w:hAnsi="Times New Roman"/>
          <w:sz w:val="24"/>
          <w:szCs w:val="24"/>
        </w:rPr>
        <w:t>（2）其余拟派团队人具有计算机类专业技术资格</w:t>
      </w:r>
      <w:r>
        <w:rPr>
          <w:rFonts w:hint="eastAsia"/>
          <w:color w:val="FF0000"/>
          <w:sz w:val="24"/>
        </w:rPr>
        <w:t>中、高</w:t>
      </w:r>
      <w:r>
        <w:rPr>
          <w:rFonts w:ascii="Times New Roman" w:hAnsi="Times New Roman"/>
          <w:sz w:val="24"/>
          <w:szCs w:val="24"/>
        </w:rPr>
        <w:t>证书。</w:t>
      </w:r>
    </w:p>
    <w:p>
      <w:pPr>
        <w:pStyle w:val="6"/>
        <w:spacing w:line="360" w:lineRule="auto"/>
        <w:ind w:firstLine="566" w:firstLineChars="236"/>
        <w:rPr>
          <w:rFonts w:ascii="Times New Roman" w:hAnsi="Times New Roman"/>
          <w:sz w:val="24"/>
        </w:rPr>
      </w:pPr>
      <w:r>
        <w:rPr>
          <w:rFonts w:ascii="Times New Roman" w:hAnsi="Times New Roman"/>
          <w:sz w:val="24"/>
          <w:szCs w:val="24"/>
        </w:rPr>
        <w:t>团队人员需提供个人在职证明（加盖投标人公章的合同或承诺函）、证书复印件。</w:t>
      </w:r>
      <w:r>
        <w:rPr>
          <w:rFonts w:hint="eastAsia" w:ascii="Times New Roman" w:hAnsi="Times New Roman"/>
          <w:sz w:val="24"/>
          <w:szCs w:val="24"/>
        </w:rPr>
        <w:t>需提供个人在职证明（加盖投标人公章的合同或承诺函）、证书复印件。</w:t>
      </w:r>
    </w:p>
    <w:p>
      <w:pPr>
        <w:spacing w:line="360" w:lineRule="auto"/>
        <w:ind w:firstLine="426"/>
        <w:rPr>
          <w:sz w:val="24"/>
        </w:rPr>
      </w:pPr>
      <w:r>
        <w:rPr>
          <w:sz w:val="24"/>
        </w:rPr>
        <w:t>运维服务团队的岗位与人员要求：</w:t>
      </w:r>
    </w:p>
    <w:p>
      <w:pPr>
        <w:spacing w:line="360" w:lineRule="auto"/>
        <w:ind w:firstLine="426"/>
        <w:rPr>
          <w:sz w:val="24"/>
        </w:rPr>
      </w:pPr>
      <w:r>
        <w:rPr>
          <w:sz w:val="24"/>
        </w:rPr>
        <w:t>（1）运维服务经理</w:t>
      </w:r>
    </w:p>
    <w:p>
      <w:pPr>
        <w:numPr>
          <w:ilvl w:val="0"/>
          <w:numId w:val="13"/>
        </w:numPr>
        <w:spacing w:line="360" w:lineRule="auto"/>
        <w:rPr>
          <w:sz w:val="24"/>
        </w:rPr>
      </w:pPr>
      <w:r>
        <w:rPr>
          <w:sz w:val="24"/>
        </w:rPr>
        <w:t>负责运维的相关管理工作</w:t>
      </w:r>
    </w:p>
    <w:p>
      <w:pPr>
        <w:numPr>
          <w:ilvl w:val="0"/>
          <w:numId w:val="13"/>
        </w:numPr>
        <w:spacing w:line="360" w:lineRule="auto"/>
        <w:rPr>
          <w:sz w:val="24"/>
        </w:rPr>
      </w:pPr>
      <w:r>
        <w:rPr>
          <w:sz w:val="24"/>
        </w:rPr>
        <w:t>制定维护工作的流程，并根据实际工作情况完善运维工作的流程；</w:t>
      </w:r>
    </w:p>
    <w:p>
      <w:pPr>
        <w:numPr>
          <w:ilvl w:val="0"/>
          <w:numId w:val="13"/>
        </w:numPr>
        <w:spacing w:line="360" w:lineRule="auto"/>
        <w:rPr>
          <w:sz w:val="24"/>
        </w:rPr>
      </w:pPr>
      <w:r>
        <w:rPr>
          <w:sz w:val="24"/>
        </w:rPr>
        <w:t>对运维人员的日常工作进行指导和考核；</w:t>
      </w:r>
    </w:p>
    <w:p>
      <w:pPr>
        <w:numPr>
          <w:ilvl w:val="0"/>
          <w:numId w:val="13"/>
        </w:numPr>
        <w:spacing w:line="360" w:lineRule="auto"/>
        <w:rPr>
          <w:sz w:val="24"/>
        </w:rPr>
      </w:pPr>
      <w:r>
        <w:rPr>
          <w:sz w:val="24"/>
        </w:rPr>
        <w:t>指导运维人员建立和维护知识库。</w:t>
      </w:r>
    </w:p>
    <w:p>
      <w:pPr>
        <w:spacing w:line="360" w:lineRule="auto"/>
        <w:ind w:firstLine="426"/>
        <w:rPr>
          <w:sz w:val="24"/>
        </w:rPr>
      </w:pPr>
      <w:r>
        <w:rPr>
          <w:sz w:val="24"/>
        </w:rPr>
        <w:t>（2）现场服务人员</w:t>
      </w:r>
    </w:p>
    <w:p>
      <w:pPr>
        <w:numPr>
          <w:ilvl w:val="0"/>
          <w:numId w:val="14"/>
        </w:numPr>
        <w:spacing w:line="360" w:lineRule="auto"/>
        <w:rPr>
          <w:sz w:val="24"/>
        </w:rPr>
      </w:pPr>
      <w:r>
        <w:rPr>
          <w:sz w:val="24"/>
        </w:rPr>
        <w:t>负责招投标现场指导、现场问题解答工作，并收集招投标现场问题及用户反馈；</w:t>
      </w:r>
    </w:p>
    <w:p>
      <w:pPr>
        <w:numPr>
          <w:ilvl w:val="0"/>
          <w:numId w:val="14"/>
        </w:numPr>
        <w:spacing w:line="360" w:lineRule="auto"/>
        <w:rPr>
          <w:sz w:val="24"/>
        </w:rPr>
      </w:pPr>
      <w:r>
        <w:rPr>
          <w:sz w:val="24"/>
        </w:rPr>
        <w:t>开发培训课件，编制培训教材、教案，完成招投标业务、系统、政策落地的培训，并对各阶段培训工作的效果的评估和总结分析。</w:t>
      </w:r>
    </w:p>
    <w:p>
      <w:pPr>
        <w:spacing w:line="360" w:lineRule="auto"/>
        <w:ind w:firstLine="426"/>
        <w:rPr>
          <w:sz w:val="24"/>
        </w:rPr>
      </w:pPr>
      <w:r>
        <w:rPr>
          <w:sz w:val="24"/>
        </w:rPr>
        <w:t>（3）招投标电话与网络服务人员</w:t>
      </w:r>
    </w:p>
    <w:p>
      <w:pPr>
        <w:numPr>
          <w:ilvl w:val="0"/>
          <w:numId w:val="15"/>
        </w:numPr>
        <w:spacing w:line="360" w:lineRule="auto"/>
        <w:rPr>
          <w:sz w:val="24"/>
        </w:rPr>
      </w:pPr>
      <w:r>
        <w:rPr>
          <w:sz w:val="24"/>
        </w:rPr>
        <w:t>及时接听市场主体来电并注意电话礼仪； </w:t>
      </w:r>
    </w:p>
    <w:p>
      <w:pPr>
        <w:numPr>
          <w:ilvl w:val="0"/>
          <w:numId w:val="15"/>
        </w:numPr>
        <w:spacing w:line="360" w:lineRule="auto"/>
        <w:rPr>
          <w:sz w:val="24"/>
        </w:rPr>
      </w:pPr>
      <w:r>
        <w:rPr>
          <w:sz w:val="24"/>
        </w:rPr>
        <w:t>认真聆听市场主体的咨询并耐心地为客户解释清楚，仔细处理客户的问题，采用规范用语解答问题，受理完毕后做好业务受理记录；</w:t>
      </w:r>
    </w:p>
    <w:p>
      <w:pPr>
        <w:numPr>
          <w:ilvl w:val="0"/>
          <w:numId w:val="15"/>
        </w:numPr>
        <w:spacing w:line="360" w:lineRule="auto"/>
        <w:rPr>
          <w:sz w:val="24"/>
        </w:rPr>
      </w:pPr>
      <w:r>
        <w:rPr>
          <w:sz w:val="24"/>
        </w:rPr>
        <w:t>每日制作工作总结，将未完成及待完成的咨询事项做好记录并于下一班次同事进行交接；</w:t>
      </w:r>
    </w:p>
    <w:p>
      <w:pPr>
        <w:numPr>
          <w:ilvl w:val="0"/>
          <w:numId w:val="15"/>
        </w:numPr>
        <w:spacing w:line="360" w:lineRule="auto"/>
        <w:rPr>
          <w:sz w:val="24"/>
        </w:rPr>
      </w:pPr>
      <w:r>
        <w:rPr>
          <w:sz w:val="24"/>
        </w:rPr>
        <w:t>每周制作周工作报告。</w:t>
      </w:r>
    </w:p>
    <w:p>
      <w:pPr>
        <w:spacing w:line="360" w:lineRule="auto"/>
        <w:ind w:left="426"/>
        <w:rPr>
          <w:sz w:val="24"/>
        </w:rPr>
      </w:pPr>
      <w:r>
        <w:rPr>
          <w:sz w:val="24"/>
        </w:rPr>
        <w:t xml:space="preserve">（4）咨询设计人员 </w:t>
      </w:r>
    </w:p>
    <w:p>
      <w:pPr>
        <w:numPr>
          <w:ilvl w:val="0"/>
          <w:numId w:val="15"/>
        </w:numPr>
        <w:spacing w:line="360" w:lineRule="auto"/>
        <w:rPr>
          <w:sz w:val="24"/>
        </w:rPr>
      </w:pPr>
      <w:r>
        <w:rPr>
          <w:sz w:val="24"/>
        </w:rPr>
        <w:t>根据相关政策调整要求，结合市场主体意见和建议反馈，对招投标、开评标优化内容进行审核，确保招投标符合政策发展，提高公共资源配置效率，提升公共资源交易服务质量；</w:t>
      </w:r>
    </w:p>
    <w:p>
      <w:pPr>
        <w:spacing w:line="360" w:lineRule="auto"/>
        <w:ind w:firstLine="480" w:firstLineChars="200"/>
        <w:contextualSpacing/>
        <w:rPr>
          <w:sz w:val="24"/>
        </w:rPr>
      </w:pPr>
      <w:r>
        <w:rPr>
          <w:sz w:val="24"/>
        </w:rPr>
        <w:t>对综合交易系统在各区公共资源交易分平台落地使用提出建议与方案。</w:t>
      </w:r>
    </w:p>
    <w:p>
      <w:pPr>
        <w:spacing w:line="360" w:lineRule="auto"/>
        <w:ind w:firstLine="480" w:firstLineChars="200"/>
        <w:contextualSpacing/>
        <w:rPr>
          <w:sz w:val="24"/>
        </w:rPr>
      </w:pPr>
      <w:r>
        <w:rPr>
          <w:sz w:val="24"/>
        </w:rPr>
        <w:t>5.2</w:t>
      </w:r>
      <w:r>
        <w:rPr>
          <w:rFonts w:hint="eastAsia"/>
          <w:sz w:val="24"/>
        </w:rPr>
        <w:t>北京市公共资源交易担保金融服务平台运维</w:t>
      </w:r>
    </w:p>
    <w:p>
      <w:pPr>
        <w:spacing w:line="360" w:lineRule="auto"/>
        <w:ind w:firstLine="480" w:firstLineChars="200"/>
        <w:contextualSpacing/>
        <w:rPr>
          <w:sz w:val="24"/>
        </w:rPr>
      </w:pPr>
      <w:r>
        <w:rPr>
          <w:sz w:val="24"/>
        </w:rPr>
        <w:t>北京市公共资源交易担保金融服务平台日常业务运维人员，</w:t>
      </w:r>
      <w:r>
        <w:rPr>
          <w:rFonts w:hint="eastAsia"/>
          <w:sz w:val="24"/>
        </w:rPr>
        <w:t>承诺为本项目组建专属固定业务支撑团队（含运维服务经理在内不少于3人，驻场不少于2人），团队成员需具备良好的服务意识、沟通协调能力与问题处置能力，严格遵守数据安全、信息保密等各项制度。</w:t>
      </w:r>
    </w:p>
    <w:p>
      <w:pPr>
        <w:spacing w:line="360" w:lineRule="auto"/>
        <w:ind w:firstLine="480" w:firstLineChars="200"/>
        <w:contextualSpacing/>
        <w:rPr>
          <w:sz w:val="24"/>
        </w:rPr>
      </w:pPr>
      <w:r>
        <w:rPr>
          <w:rFonts w:hint="eastAsia"/>
          <w:sz w:val="24"/>
        </w:rPr>
        <w:t>团队组成人员应具备担保相关工作经验及金融服务基础认知，承担过类似服务支撑或配套服务项目，熟悉业务运行逻辑、业务流程及管理规范，了解公共资源交易政策、招投标业务规则、监管要求、交易流程、平台服务场景及投标担保相关金融产品逻辑，与各金融机构有沟通协调对接相关经验，熟悉金融机构合作流程与监管要求，可支撑金融服务拓展、政银合作对接、数据统计分析等相关工作开展，能精准对接交易中心、市场主体、合作金融机构的需求，高效完成业务对接、流程梳理、咨询答复及问题闭环处理。</w:t>
      </w:r>
    </w:p>
    <w:p>
      <w:pPr>
        <w:spacing w:line="360" w:lineRule="auto"/>
        <w:contextualSpacing/>
        <w:outlineLvl w:val="1"/>
        <w:rPr>
          <w:b/>
          <w:sz w:val="24"/>
        </w:rPr>
      </w:pPr>
      <w:r>
        <w:rPr>
          <w:b/>
          <w:sz w:val="24"/>
        </w:rPr>
        <w:t>三、技术要求</w:t>
      </w:r>
    </w:p>
    <w:p>
      <w:pPr>
        <w:spacing w:line="360" w:lineRule="auto"/>
        <w:ind w:firstLine="480" w:firstLineChars="200"/>
        <w:rPr>
          <w:sz w:val="24"/>
        </w:rPr>
      </w:pPr>
      <w:r>
        <w:rPr>
          <w:sz w:val="24"/>
        </w:rPr>
        <w:t>（一）提供项目运维实施方案，要求包括运维服务体系和服务质量管理等内容。</w:t>
      </w:r>
    </w:p>
    <w:p>
      <w:pPr>
        <w:spacing w:line="360" w:lineRule="auto"/>
        <w:ind w:firstLine="483" w:firstLineChars="201"/>
        <w:rPr>
          <w:b/>
          <w:sz w:val="24"/>
        </w:rPr>
      </w:pPr>
      <w:r>
        <w:rPr>
          <w:b/>
          <w:sz w:val="24"/>
        </w:rPr>
        <w:t>（二）招投标</w:t>
      </w:r>
      <w:r>
        <w:rPr>
          <w:rFonts w:hint="eastAsia"/>
          <w:b/>
          <w:sz w:val="24"/>
        </w:rPr>
        <w:t>运行</w:t>
      </w:r>
      <w:r>
        <w:rPr>
          <w:b/>
          <w:sz w:val="24"/>
        </w:rPr>
        <w:t>维护</w:t>
      </w:r>
    </w:p>
    <w:p>
      <w:pPr>
        <w:spacing w:line="360" w:lineRule="auto"/>
        <w:ind w:firstLine="480" w:firstLineChars="200"/>
        <w:rPr>
          <w:sz w:val="24"/>
        </w:rPr>
      </w:pPr>
      <w:r>
        <w:rPr>
          <w:sz w:val="24"/>
        </w:rPr>
        <w:t>按照招投标日常运行的要求，针对各类市场主体（招标人、招标代理和投标人）进行包括交易系统和电子标书制作的使用培训，及时处理市场主体在系统使用过程中产生的各类问题，完成新需求梳理、调整与优化，以保障招投标的日常顺利运行。招投标业务维护工作具体要求如下：</w:t>
      </w:r>
    </w:p>
    <w:p>
      <w:pPr>
        <w:spacing w:line="360" w:lineRule="auto"/>
        <w:ind w:firstLine="426"/>
        <w:rPr>
          <w:sz w:val="24"/>
        </w:rPr>
      </w:pPr>
      <w:r>
        <w:rPr>
          <w:b/>
          <w:sz w:val="24"/>
        </w:rPr>
        <w:t>市场主体培训：</w:t>
      </w:r>
      <w:r>
        <w:rPr>
          <w:sz w:val="24"/>
        </w:rPr>
        <w:t>为各类市场主体提供多种形式的有效培训，以确保不同的市场主体可以熟练使用综合交易系统顺利完成电子招投标相关业务的线上交易。培训内容按照不同的市场主体提供差异化的培训内容，即：按照交通工程、水务工程、勘察设计招投标进行区分，为各市场主体提供以上三个行业的电子交易系统使用培训；根据系统反馈调整情况，为招标代理、投标人及各行业监督部门人员提供系统变更部分的专题培训；按照全流程电子化要求，为市场主体提供电子招标文件制作、电子投标文件制作的培训工作，为招标代理提供多个行业的电子开标系统的使用培训工作。</w:t>
      </w:r>
    </w:p>
    <w:p>
      <w:pPr>
        <w:spacing w:line="360" w:lineRule="auto"/>
        <w:ind w:firstLine="426"/>
        <w:rPr>
          <w:sz w:val="24"/>
        </w:rPr>
      </w:pPr>
      <w:r>
        <w:rPr>
          <w:b/>
          <w:sz w:val="24"/>
        </w:rPr>
        <w:t>咨询服务</w:t>
      </w:r>
      <w:r>
        <w:rPr>
          <w:sz w:val="24"/>
        </w:rPr>
        <w:t>：为各类市场主体提供多种渠道（含：QQ群、咨询电话）的咨询服务，确保及时解决市场主体在使用综合交易系统开展各项招投标业务中产生的问题，提高系统使用效率，为招投标业务正常开展提供服务。根据咨询内容进行分类，将咨询服务分为系统使用、操作失误、信息咨询与其他类别，针对不同类别的咨询服务，安排不同岗位的人员通过远程协助、上门服务多种方式及时解答各类市场主体的疑问，解决系统使用中产生的各类阻碍，并建立咨询服务记录；对各区综合交易系统落地情况与区场地信息化落地情况实施跟踪与指导。</w:t>
      </w:r>
    </w:p>
    <w:p>
      <w:pPr>
        <w:spacing w:line="360" w:lineRule="auto"/>
        <w:ind w:firstLine="426"/>
        <w:rPr>
          <w:sz w:val="24"/>
        </w:rPr>
      </w:pPr>
      <w:r>
        <w:rPr>
          <w:b/>
          <w:sz w:val="24"/>
        </w:rPr>
        <w:t>招投标业务优化</w:t>
      </w:r>
      <w:r>
        <w:rPr>
          <w:sz w:val="24"/>
        </w:rPr>
        <w:t>：根据相关政策调整要求，结合市场主体意见和建议反馈，优化招投标业务，确保招投标业务符合政策发展，提高公共资源配置效率，提升公共资源交易服务质量。业务优化内容包括：整理公共资源交易领域相关法律法规，分析监督、监管、备案法律依据；分析用户权限管理体系及管理流程，优化业务办事流程；协助北京市公共资源交易中心其他业务规划分析。</w:t>
      </w:r>
    </w:p>
    <w:p>
      <w:pPr>
        <w:spacing w:line="360" w:lineRule="auto"/>
        <w:ind w:firstLine="483" w:firstLineChars="201"/>
        <w:rPr>
          <w:b/>
          <w:sz w:val="24"/>
        </w:rPr>
      </w:pPr>
      <w:r>
        <w:rPr>
          <w:b/>
          <w:sz w:val="24"/>
        </w:rPr>
        <w:t>（三）开评标</w:t>
      </w:r>
      <w:r>
        <w:rPr>
          <w:rFonts w:hint="eastAsia"/>
          <w:b/>
          <w:sz w:val="24"/>
        </w:rPr>
        <w:t>运行</w:t>
      </w:r>
      <w:r>
        <w:rPr>
          <w:b/>
          <w:sz w:val="24"/>
        </w:rPr>
        <w:t>维护</w:t>
      </w:r>
    </w:p>
    <w:p>
      <w:pPr>
        <w:spacing w:line="360" w:lineRule="auto"/>
        <w:ind w:firstLine="480" w:firstLineChars="200"/>
        <w:rPr>
          <w:sz w:val="24"/>
        </w:rPr>
      </w:pPr>
      <w:r>
        <w:rPr>
          <w:sz w:val="24"/>
        </w:rPr>
        <w:t>为保障开评标顺利进行，按照开评标日常运行的要求，针对不同类型专家进行综合交易系统电子开评标使用培训，即时处理电子开评标过程中的各类问题，完成新业务需求梳理、调整与优化。开评标维护工作具体要求如下：</w:t>
      </w:r>
    </w:p>
    <w:p>
      <w:pPr>
        <w:spacing w:line="360" w:lineRule="auto"/>
        <w:ind w:firstLine="426"/>
        <w:rPr>
          <w:sz w:val="24"/>
        </w:rPr>
      </w:pPr>
      <w:r>
        <w:rPr>
          <w:b/>
          <w:sz w:val="24"/>
        </w:rPr>
        <w:t>专家培训</w:t>
      </w:r>
      <w:r>
        <w:rPr>
          <w:sz w:val="24"/>
        </w:rPr>
        <w:t>：为专家提供差别化的有效培训，以确保评标专家能够熟练使用综合交易系统完成电子评标工作。按照全流程电子化要求，为评标专家提供交通工程、水务工程、勘察设计招投标多个行业的电子评标系统培训，根据不同的评标流程和评标办法，如交通工程双信封评标、水务工程资格后审评标不同的评标流程，制定多套课件的内容，为评标专家提供分批次的培训工作，提升全流程电子化业务中评标环节电子化使用效果。</w:t>
      </w:r>
    </w:p>
    <w:p>
      <w:pPr>
        <w:spacing w:line="360" w:lineRule="auto"/>
        <w:ind w:firstLine="426"/>
        <w:rPr>
          <w:sz w:val="24"/>
        </w:rPr>
      </w:pPr>
      <w:r>
        <w:rPr>
          <w:b/>
          <w:sz w:val="24"/>
        </w:rPr>
        <w:t>开评标现场服务：</w:t>
      </w:r>
      <w:r>
        <w:rPr>
          <w:sz w:val="24"/>
        </w:rPr>
        <w:t>及时处理开评标现场各类</w:t>
      </w:r>
      <w:r>
        <w:rPr>
          <w:rFonts w:hint="eastAsia"/>
          <w:sz w:val="24"/>
        </w:rPr>
        <w:t>技术</w:t>
      </w:r>
      <w:r>
        <w:rPr>
          <w:sz w:val="24"/>
        </w:rPr>
        <w:t>问题，保障在各公共资源交易分平台开展的开评标活动顺利进行。现场服务内容包括：开标现场反馈处理、评标现场反馈处理、应急事项处理。</w:t>
      </w:r>
    </w:p>
    <w:p>
      <w:pPr>
        <w:spacing w:line="360" w:lineRule="auto"/>
        <w:ind w:firstLine="426"/>
        <w:rPr>
          <w:sz w:val="24"/>
        </w:rPr>
      </w:pPr>
      <w:r>
        <w:rPr>
          <w:b/>
          <w:sz w:val="24"/>
        </w:rPr>
        <w:t>问题管理：</w:t>
      </w:r>
      <w:r>
        <w:rPr>
          <w:sz w:val="24"/>
        </w:rPr>
        <w:t>每天对各种途径采集的系统问题信息进行记录和管理。</w:t>
      </w:r>
    </w:p>
    <w:p>
      <w:pPr>
        <w:spacing w:line="360" w:lineRule="auto"/>
        <w:ind w:firstLine="426"/>
        <w:rPr>
          <w:b/>
          <w:sz w:val="24"/>
        </w:rPr>
      </w:pPr>
      <w:r>
        <w:rPr>
          <w:b/>
          <w:sz w:val="24"/>
        </w:rPr>
        <w:t>（四）对接数据维护</w:t>
      </w:r>
    </w:p>
    <w:p>
      <w:pPr>
        <w:spacing w:line="360" w:lineRule="auto"/>
        <w:ind w:firstLine="426"/>
        <w:rPr>
          <w:sz w:val="24"/>
        </w:rPr>
      </w:pPr>
      <w:r>
        <w:rPr>
          <w:sz w:val="24"/>
        </w:rPr>
        <w:t>1.数据监控服务</w:t>
      </w:r>
    </w:p>
    <w:p>
      <w:pPr>
        <w:spacing w:line="360" w:lineRule="auto"/>
        <w:ind w:firstLine="426"/>
        <w:rPr>
          <w:sz w:val="24"/>
        </w:rPr>
      </w:pPr>
      <w:r>
        <w:rPr>
          <w:sz w:val="24"/>
        </w:rPr>
        <w:t>（1）对接数据监控处置服务</w:t>
      </w:r>
    </w:p>
    <w:p>
      <w:pPr>
        <w:spacing w:line="360" w:lineRule="auto"/>
        <w:ind w:firstLine="426"/>
        <w:rPr>
          <w:sz w:val="24"/>
        </w:rPr>
      </w:pPr>
      <w:r>
        <w:rPr>
          <w:sz w:val="24"/>
        </w:rPr>
        <w:t>提供北京市公共资源综合交易系统的对接数据监控处置服务。每日对17个区级交易场所的场地预约功能进行监控，保障区级交易场所的场地信息与综合交易系统场地信息交互顺畅，根据监控情况，汇总对接过程中出现的各类问题，及时处置并反馈。</w:t>
      </w:r>
    </w:p>
    <w:p>
      <w:pPr>
        <w:spacing w:line="360" w:lineRule="auto"/>
        <w:ind w:firstLine="426"/>
        <w:rPr>
          <w:sz w:val="24"/>
        </w:rPr>
      </w:pPr>
      <w:r>
        <w:rPr>
          <w:sz w:val="24"/>
        </w:rPr>
        <w:t>（2）视音频对接数据监控</w:t>
      </w:r>
    </w:p>
    <w:p>
      <w:pPr>
        <w:spacing w:line="360" w:lineRule="auto"/>
        <w:ind w:firstLine="426"/>
        <w:rPr>
          <w:sz w:val="24"/>
        </w:rPr>
      </w:pPr>
      <w:r>
        <w:rPr>
          <w:sz w:val="24"/>
        </w:rPr>
        <w:t>每日对北京市公共资源综合交易系统及已对接的区级交易场所产生的视音频对接数据进行监控。视音频对接数据是指由各交易场所推送的开、评标视音频。需每日对视音频推送情况、下载情况、解压情况及其解压后的MP4格式视音频文件进行巡检，汇总巡检过程中出现的各类问题，及时处置并反馈。</w:t>
      </w:r>
    </w:p>
    <w:p>
      <w:pPr>
        <w:spacing w:line="360" w:lineRule="auto"/>
        <w:ind w:firstLine="426"/>
        <w:rPr>
          <w:sz w:val="24"/>
        </w:rPr>
      </w:pPr>
      <w:r>
        <w:rPr>
          <w:sz w:val="24"/>
        </w:rPr>
        <w:t>2.数据监控报告</w:t>
      </w:r>
    </w:p>
    <w:p>
      <w:pPr>
        <w:spacing w:line="360" w:lineRule="auto"/>
        <w:ind w:firstLine="426"/>
        <w:rPr>
          <w:sz w:val="24"/>
        </w:rPr>
      </w:pPr>
      <w:r>
        <w:rPr>
          <w:sz w:val="24"/>
        </w:rPr>
        <w:t>于每月5日前提交上月综合交易系统对接数据（监控处置）监控报告。</w:t>
      </w:r>
    </w:p>
    <w:p>
      <w:pPr>
        <w:spacing w:line="360" w:lineRule="auto"/>
        <w:ind w:firstLine="426"/>
        <w:rPr>
          <w:b/>
          <w:sz w:val="24"/>
        </w:rPr>
      </w:pPr>
      <w:r>
        <w:rPr>
          <w:b/>
          <w:sz w:val="24"/>
        </w:rPr>
        <w:t>（四）金融服务平台运维</w:t>
      </w:r>
    </w:p>
    <w:p>
      <w:pPr>
        <w:spacing w:line="360" w:lineRule="auto"/>
        <w:ind w:firstLine="426"/>
        <w:rPr>
          <w:sz w:val="24"/>
        </w:rPr>
      </w:pPr>
      <w:r>
        <w:rPr>
          <w:rFonts w:hint="eastAsia"/>
          <w:sz w:val="24"/>
        </w:rPr>
        <w:t>在金融服务平台运维工作中，供应商需要承担辅助工作、保服务拓展、数据分析、政银合作与数据共享、平台服务信息库等综合保障任务，具体需求如下：</w:t>
      </w:r>
    </w:p>
    <w:p>
      <w:pPr>
        <w:spacing w:line="360" w:lineRule="auto"/>
        <w:ind w:firstLine="426"/>
        <w:rPr>
          <w:rFonts w:hint="eastAsia"/>
          <w:sz w:val="24"/>
        </w:rPr>
      </w:pPr>
      <w:r>
        <w:rPr>
          <w:sz w:val="24"/>
        </w:rPr>
        <w:t>1</w:t>
      </w:r>
      <w:r>
        <w:rPr>
          <w:rFonts w:hint="eastAsia"/>
          <w:sz w:val="24"/>
        </w:rPr>
        <w:t>、辅助工作</w:t>
      </w:r>
    </w:p>
    <w:p>
      <w:pPr>
        <w:spacing w:line="360" w:lineRule="auto"/>
        <w:ind w:firstLine="426"/>
        <w:rPr>
          <w:rFonts w:hint="eastAsia"/>
          <w:sz w:val="24"/>
        </w:rPr>
      </w:pPr>
      <w:r>
        <w:rPr>
          <w:rFonts w:hint="eastAsia"/>
          <w:sz w:val="24"/>
        </w:rPr>
        <w:t>辅助中心与金融机构进行对接，做好咨询解答工作，对金融机构日常运行情况进行检测，并组织开展培训。</w:t>
      </w:r>
    </w:p>
    <w:p>
      <w:pPr>
        <w:spacing w:line="360" w:lineRule="auto"/>
        <w:ind w:firstLine="426"/>
        <w:rPr>
          <w:rFonts w:hint="eastAsia"/>
          <w:sz w:val="24"/>
        </w:rPr>
      </w:pPr>
      <w:r>
        <w:rPr>
          <w:rFonts w:hint="eastAsia"/>
          <w:sz w:val="24"/>
        </w:rPr>
        <w:t>2、担保服务拓展</w:t>
      </w:r>
    </w:p>
    <w:p>
      <w:pPr>
        <w:spacing w:line="360" w:lineRule="auto"/>
        <w:ind w:firstLine="426"/>
        <w:rPr>
          <w:rFonts w:hint="eastAsia"/>
          <w:sz w:val="24"/>
        </w:rPr>
      </w:pPr>
      <w:r>
        <w:rPr>
          <w:rFonts w:hint="eastAsia"/>
          <w:sz w:val="24"/>
        </w:rPr>
        <w:t>全面收集、梳理、汇总各金融机构优质金融产品信息，提供金融产品政策解读，持续丰富平台金融服务供给。</w:t>
      </w:r>
    </w:p>
    <w:p>
      <w:pPr>
        <w:spacing w:line="360" w:lineRule="auto"/>
        <w:ind w:firstLine="426"/>
        <w:rPr>
          <w:rFonts w:hint="eastAsia"/>
          <w:sz w:val="24"/>
        </w:rPr>
      </w:pPr>
      <w:r>
        <w:rPr>
          <w:sz w:val="24"/>
        </w:rPr>
        <w:t>3</w:t>
      </w:r>
      <w:r>
        <w:rPr>
          <w:rFonts w:hint="eastAsia"/>
          <w:sz w:val="24"/>
        </w:rPr>
        <w:t>、数据分析</w:t>
      </w:r>
    </w:p>
    <w:p>
      <w:pPr>
        <w:spacing w:line="360" w:lineRule="auto"/>
        <w:ind w:firstLine="426"/>
        <w:rPr>
          <w:rFonts w:hint="eastAsia"/>
          <w:sz w:val="24"/>
        </w:rPr>
      </w:pPr>
      <w:r>
        <w:rPr>
          <w:rFonts w:hint="eastAsia"/>
          <w:sz w:val="24"/>
        </w:rPr>
        <w:t>分析平台运行及担保数据变动原因，研判市场主体需求与使用特征，为平台运营、服务优化及业务创新提供数据支撑，按季度出具业务分析报告。</w:t>
      </w:r>
    </w:p>
    <w:p>
      <w:pPr>
        <w:spacing w:line="360" w:lineRule="auto"/>
        <w:ind w:firstLine="426"/>
        <w:rPr>
          <w:rFonts w:hint="eastAsia"/>
          <w:sz w:val="24"/>
        </w:rPr>
      </w:pPr>
      <w:r>
        <w:rPr>
          <w:rFonts w:hint="eastAsia"/>
          <w:sz w:val="24"/>
        </w:rPr>
        <w:t>4、政银合作与数据共享</w:t>
      </w:r>
    </w:p>
    <w:p>
      <w:pPr>
        <w:spacing w:line="360" w:lineRule="auto"/>
        <w:ind w:firstLine="426"/>
        <w:rPr>
          <w:rFonts w:hint="eastAsia"/>
          <w:sz w:val="24"/>
        </w:rPr>
      </w:pPr>
      <w:r>
        <w:rPr>
          <w:rFonts w:hint="eastAsia"/>
          <w:sz w:val="24"/>
        </w:rPr>
        <w:t>筛选、梳理筛选平台交易主体信息、交易数据及公共资源交易计划，持续提升金融服务平台的数据支撑与信息服务能力。为深化政银合作、拓展合作领域明确发展方向，推动政银企三方协同高效联动，凝聚发展合力，共同履行社会责任。</w:t>
      </w:r>
    </w:p>
    <w:p>
      <w:pPr>
        <w:spacing w:line="360" w:lineRule="auto"/>
        <w:ind w:firstLine="426"/>
        <w:rPr>
          <w:sz w:val="24"/>
        </w:rPr>
      </w:pPr>
      <w:r>
        <w:rPr>
          <w:sz w:val="24"/>
        </w:rPr>
        <w:t>5</w:t>
      </w:r>
      <w:r>
        <w:rPr>
          <w:rFonts w:hint="eastAsia"/>
          <w:sz w:val="24"/>
        </w:rPr>
        <w:t>、平台服务信息库</w:t>
      </w:r>
    </w:p>
    <w:p>
      <w:pPr>
        <w:spacing w:line="360" w:lineRule="auto"/>
        <w:ind w:firstLine="426"/>
        <w:rPr>
          <w:sz w:val="24"/>
        </w:rPr>
      </w:pPr>
      <w:r>
        <w:rPr>
          <w:rFonts w:hint="eastAsia"/>
          <w:sz w:val="24"/>
        </w:rPr>
        <w:t>构建平台服务信息库框架体系并持续优化平台服务信息库的标准化、规范化水平，常态化梳理编制高频咨询问答、业务办理流程及操作指引等内容，完善长期动态更新与常态化维护机制，保障信息准确、及时、有效；依托平台官方渠道持续定向推送相关知识内容，为各类市场主体提供高效、便捷、清晰的线上查询服务。</w:t>
      </w:r>
    </w:p>
    <w:p>
      <w:pPr>
        <w:spacing w:line="360" w:lineRule="auto"/>
        <w:contextualSpacing/>
        <w:outlineLvl w:val="1"/>
        <w:rPr>
          <w:b/>
          <w:sz w:val="24"/>
        </w:rPr>
      </w:pPr>
      <w:r>
        <w:rPr>
          <w:b/>
          <w:sz w:val="24"/>
        </w:rPr>
        <w:t>四、应急措施预案</w:t>
      </w:r>
    </w:p>
    <w:p>
      <w:pPr>
        <w:spacing w:line="360" w:lineRule="auto"/>
        <w:ind w:firstLine="426"/>
        <w:rPr>
          <w:sz w:val="24"/>
        </w:rPr>
      </w:pPr>
      <w:r>
        <w:rPr>
          <w:sz w:val="24"/>
        </w:rPr>
        <w:t>工作内容包括：应急预案的制定和修订、应急演练、应急处置。</w:t>
      </w:r>
    </w:p>
    <w:p>
      <w:pPr>
        <w:spacing w:line="360" w:lineRule="auto"/>
        <w:ind w:firstLine="426"/>
        <w:rPr>
          <w:sz w:val="24"/>
        </w:rPr>
      </w:pPr>
      <w:r>
        <w:rPr>
          <w:sz w:val="24"/>
        </w:rPr>
        <w:t>1. 应急预案的制定和修订</w:t>
      </w:r>
    </w:p>
    <w:p>
      <w:pPr>
        <w:spacing w:line="360" w:lineRule="auto"/>
        <w:ind w:firstLine="426"/>
        <w:rPr>
          <w:sz w:val="24"/>
        </w:rPr>
      </w:pPr>
      <w:r>
        <w:rPr>
          <w:sz w:val="24"/>
        </w:rPr>
        <w:t>对北京市公共资源综合交易系统招投标、开评标业务制定应急预案并做相关修订，配备相关应急资源，针对突发紧急情况，启动技术专家现场服务，必要时联合多方面专家进行联合分析诊断、事件定位与紧急处理，持续跟进直到问题完全解决。</w:t>
      </w:r>
    </w:p>
    <w:p>
      <w:pPr>
        <w:spacing w:line="360" w:lineRule="auto"/>
        <w:ind w:firstLine="426"/>
        <w:rPr>
          <w:sz w:val="24"/>
        </w:rPr>
      </w:pPr>
      <w:r>
        <w:rPr>
          <w:sz w:val="24"/>
        </w:rPr>
        <w:t>应急预案主要包括：</w:t>
      </w:r>
    </w:p>
    <w:p>
      <w:pPr>
        <w:spacing w:line="360" w:lineRule="auto"/>
        <w:ind w:firstLine="426"/>
        <w:rPr>
          <w:sz w:val="24"/>
        </w:rPr>
      </w:pPr>
      <w:r>
        <w:rPr>
          <w:sz w:val="24"/>
        </w:rPr>
        <w:t>《北京市公共资源综合交易系统招投标、开评标业务运维服务应急预案》</w:t>
      </w:r>
    </w:p>
    <w:p>
      <w:pPr>
        <w:spacing w:line="360" w:lineRule="auto"/>
        <w:ind w:firstLine="426"/>
        <w:rPr>
          <w:sz w:val="24"/>
        </w:rPr>
      </w:pPr>
      <w:r>
        <w:rPr>
          <w:sz w:val="24"/>
        </w:rPr>
        <w:t>2. 应急演练</w:t>
      </w:r>
    </w:p>
    <w:p>
      <w:pPr>
        <w:spacing w:line="360" w:lineRule="auto"/>
        <w:ind w:firstLine="426"/>
        <w:rPr>
          <w:sz w:val="24"/>
        </w:rPr>
      </w:pPr>
      <w:r>
        <w:rPr>
          <w:sz w:val="24"/>
        </w:rPr>
        <w:t>每年至少对北京市公共资源综合交易系统招投标、开评标业务进行一次应急演练，制定详细的演练方案和演练计划，演练过程中记录具体演练流程，在演练结束后及时完成演练总结报告。</w:t>
      </w:r>
    </w:p>
    <w:p>
      <w:pPr>
        <w:spacing w:line="360" w:lineRule="auto"/>
        <w:ind w:firstLine="426"/>
        <w:rPr>
          <w:sz w:val="24"/>
        </w:rPr>
      </w:pPr>
      <w:r>
        <w:rPr>
          <w:sz w:val="24"/>
        </w:rPr>
        <w:t>3. 应急处置</w:t>
      </w:r>
    </w:p>
    <w:p>
      <w:pPr>
        <w:spacing w:line="360" w:lineRule="auto"/>
        <w:ind w:firstLine="426"/>
        <w:rPr>
          <w:sz w:val="24"/>
        </w:rPr>
      </w:pPr>
      <w:r>
        <w:rPr>
          <w:sz w:val="24"/>
        </w:rPr>
        <w:t>制定标准化的应急响应服务流程，建立分级故障响应机制，</w:t>
      </w:r>
      <w:r>
        <w:t>根据突发事件或网络设备出现问题可造成影响程度确定故障等级，并按对应响应时间进行处置。</w:t>
      </w:r>
    </w:p>
    <w:p>
      <w:pPr>
        <w:spacing w:line="360" w:lineRule="auto"/>
        <w:contextualSpacing/>
        <w:outlineLvl w:val="1"/>
        <w:rPr>
          <w:b/>
          <w:sz w:val="24"/>
        </w:rPr>
      </w:pPr>
      <w:r>
        <w:rPr>
          <w:b/>
          <w:sz w:val="24"/>
        </w:rPr>
        <w:t>五、验收标准</w:t>
      </w:r>
    </w:p>
    <w:p>
      <w:pPr>
        <w:widowControl/>
        <w:spacing w:after="5" w:line="520" w:lineRule="exact"/>
        <w:ind w:firstLine="480"/>
        <w:rPr>
          <w:sz w:val="24"/>
          <w:szCs w:val="22"/>
        </w:rPr>
      </w:pPr>
      <w:r>
        <w:rPr>
          <w:sz w:val="24"/>
          <w:szCs w:val="22"/>
        </w:rPr>
        <w:t>1.中标人按照合同约定能够按时、保质完成阶段性服务工作。</w:t>
      </w:r>
    </w:p>
    <w:p>
      <w:pPr>
        <w:widowControl/>
        <w:spacing w:after="5" w:line="520" w:lineRule="exact"/>
        <w:ind w:firstLine="480"/>
        <w:rPr>
          <w:sz w:val="24"/>
          <w:szCs w:val="22"/>
        </w:rPr>
      </w:pPr>
      <w:r>
        <w:rPr>
          <w:sz w:val="24"/>
          <w:szCs w:val="22"/>
        </w:rPr>
        <w:t>2.按时提交阶段性服务报告，内容较完整。</w:t>
      </w:r>
    </w:p>
    <w:p>
      <w:pPr>
        <w:widowControl/>
        <w:spacing w:after="5" w:line="520" w:lineRule="exact"/>
        <w:ind w:firstLine="480"/>
        <w:rPr>
          <w:sz w:val="24"/>
          <w:szCs w:val="22"/>
        </w:rPr>
      </w:pPr>
      <w:r>
        <w:rPr>
          <w:sz w:val="24"/>
          <w:szCs w:val="22"/>
        </w:rPr>
        <w:t>3.应对突发事件及时妥当。</w:t>
      </w:r>
    </w:p>
    <w:p>
      <w:pPr>
        <w:widowControl/>
        <w:spacing w:after="5" w:line="520" w:lineRule="exact"/>
        <w:ind w:firstLine="480"/>
        <w:rPr>
          <w:sz w:val="24"/>
          <w:szCs w:val="22"/>
        </w:rPr>
      </w:pPr>
      <w:r>
        <w:rPr>
          <w:sz w:val="24"/>
          <w:szCs w:val="22"/>
        </w:rPr>
        <w:t>4.不存在人为原因造成业务运行中断或错误情况。</w:t>
      </w:r>
    </w:p>
    <w:p>
      <w:pPr>
        <w:widowControl/>
        <w:spacing w:after="5" w:line="520" w:lineRule="exact"/>
        <w:ind w:firstLine="480"/>
        <w:rPr>
          <w:sz w:val="24"/>
        </w:rPr>
      </w:pPr>
      <w:r>
        <w:rPr>
          <w:sz w:val="24"/>
          <w:szCs w:val="22"/>
        </w:rPr>
        <w:t>5.未收到相关投诉或举报。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scadia Mono SemiBold">
    <w:altName w:val="Courier New"/>
    <w:panose1 w:val="020B0609020000020004"/>
    <w:charset w:val="00"/>
    <w:family w:val="modern"/>
    <w:pitch w:val="default"/>
    <w:sig w:usb0="00000000" w:usb1="00000000" w:usb2="00040020" w:usb3="00000000" w:csb0="000001FF" w:csb1="00000000"/>
  </w:font>
  <w:font w:name="PMingLiU">
    <w:panose1 w:val="02020500000000000000"/>
    <w:charset w:val="88"/>
    <w:family w:val="auto"/>
    <w:pitch w:val="default"/>
    <w:sig w:usb0="A00002FF" w:usb1="28CFFCFA" w:usb2="00000016" w:usb3="00000000" w:csb0="00100001" w:csb1="00000000"/>
  </w:font>
  <w:font w:name="MicrosoftYaHei">
    <w:altName w:val="Segoe Print"/>
    <w:panose1 w:val="00000000000000000000"/>
    <w:charset w:val="00"/>
    <w:family w:val="auto"/>
    <w:pitch w:val="default"/>
    <w:sig w:usb0="00000000" w:usb1="00000000" w:usb2="00000000" w:usb3="00000000" w:csb0="00000000" w:csb1="00000000"/>
  </w:font>
  <w:font w:name="SegoeUI-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E55180"/>
    <w:multiLevelType w:val="multilevel"/>
    <w:tmpl w:val="14E5518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051A50"/>
    <w:multiLevelType w:val="multilevel"/>
    <w:tmpl w:val="18051A5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60493E"/>
    <w:multiLevelType w:val="multilevel"/>
    <w:tmpl w:val="1C60493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73371F"/>
    <w:multiLevelType w:val="multilevel"/>
    <w:tmpl w:val="1F73371F"/>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5">
    <w:nsid w:val="21A85C8B"/>
    <w:multiLevelType w:val="multilevel"/>
    <w:tmpl w:val="21A85C8B"/>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6">
    <w:nsid w:val="2B563259"/>
    <w:multiLevelType w:val="multilevel"/>
    <w:tmpl w:val="2B563259"/>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6E78C9"/>
    <w:multiLevelType w:val="multilevel"/>
    <w:tmpl w:val="396E78C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023299"/>
    <w:multiLevelType w:val="multilevel"/>
    <w:tmpl w:val="4402329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123CE0"/>
    <w:multiLevelType w:val="multilevel"/>
    <w:tmpl w:val="4B123CE0"/>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0">
    <w:nsid w:val="5A5776B2"/>
    <w:multiLevelType w:val="multilevel"/>
    <w:tmpl w:val="5A5776B2"/>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1">
    <w:nsid w:val="6D31430E"/>
    <w:multiLevelType w:val="multilevel"/>
    <w:tmpl w:val="6D31430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2">
    <w:nsid w:val="78565845"/>
    <w:multiLevelType w:val="multilevel"/>
    <w:tmpl w:val="7856584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B6D57A4"/>
    <w:multiLevelType w:val="multilevel"/>
    <w:tmpl w:val="7B6D57A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B7B924F"/>
    <w:multiLevelType w:val="singleLevel"/>
    <w:tmpl w:val="7B7B924F"/>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7"/>
  </w:num>
  <w:num w:numId="6">
    <w:abstractNumId w:val="13"/>
  </w:num>
  <w:num w:numId="7">
    <w:abstractNumId w:val="8"/>
  </w:num>
  <w:num w:numId="8">
    <w:abstractNumId w:val="12"/>
  </w:num>
  <w:num w:numId="9">
    <w:abstractNumId w:val="4"/>
  </w:num>
  <w:num w:numId="10">
    <w:abstractNumId w:val="11"/>
  </w:num>
  <w:num w:numId="11">
    <w:abstractNumId w:val="6"/>
  </w:num>
  <w:num w:numId="12">
    <w:abstractNumId w:val="14"/>
  </w:num>
  <w:num w:numId="13">
    <w:abstractNumId w:val="9"/>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5516C"/>
    <w:rsid w:val="4C063813"/>
    <w:rsid w:val="71610E5A"/>
    <w:rsid w:val="742A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黑体" w:hAnsi="Symbol" w:eastAsia="黑体"/>
      <w:color w:val="000000"/>
      <w:sz w:val="24"/>
    </w:rPr>
  </w:style>
  <w:style w:type="paragraph" w:styleId="3">
    <w:name w:val="Normal Indent"/>
    <w:basedOn w:val="1"/>
    <w:next w:val="1"/>
    <w:qFormat/>
    <w:uiPriority w:val="0"/>
    <w:pPr>
      <w:autoSpaceDE w:val="0"/>
      <w:autoSpaceDN w:val="0"/>
      <w:adjustRightInd w:val="0"/>
      <w:ind w:firstLine="420"/>
      <w:jc w:val="left"/>
    </w:pPr>
    <w:rPr>
      <w:rFonts w:ascii="Symbol"/>
      <w:sz w:val="24"/>
    </w:rPr>
  </w:style>
  <w:style w:type="paragraph" w:styleId="6">
    <w:name w:val="List Paragraph"/>
    <w:basedOn w:val="1"/>
    <w:qFormat/>
    <w:uiPriority w:val="34"/>
    <w:pPr>
      <w:ind w:firstLine="420" w:firstLineChars="200"/>
    </w:pPr>
    <w:rPr>
      <w:rFonts w:ascii="Cascadia Mono SemiBold" w:hAnsi="Cascadia Mono SemiBold"/>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align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align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rgbClr val="FFFFFF"/>
    </dgm:linClrLst>
    <dgm:effectClrLst/>
    <dgm:txLinClrLst/>
    <dgm:txFillClrLst/>
    <dgm:txEffectClrLst/>
  </dgm:styleLbl>
  <dgm:styleLbl name="asst1">
    <dgm:fillClrLst meth="repeat">
      <a:srgbClr val="4F81BD"/>
    </dgm:fillClrLst>
    <dgm:linClrLst meth="repeat">
      <a:srgbClr val="FFFFFF"/>
    </dgm:linClrLst>
    <dgm:effectClrLst/>
    <dgm:txLinClrLst/>
    <dgm:txFillClrLst/>
    <dgm:txEffectClrLst/>
  </dgm:styleLbl>
  <dgm:styleLbl name="asst2">
    <dgm:fillClrLst meth="repeat">
      <a:srgbClr val="4F81BD"/>
    </dgm:fillClrLst>
    <dgm:linClrLst meth="repeat">
      <a:srgbClr val="FFFFFF"/>
    </dgm:linClrLst>
    <dgm:effectClrLst/>
    <dgm:txLinClrLst/>
    <dgm:txFillClrLst/>
    <dgm:txEffectClrLst/>
  </dgm:styleLbl>
  <dgm:styleLbl name="asst3">
    <dgm:fillClrLst meth="repeat">
      <a:srgbClr val="4F81BD"/>
    </dgm:fillClrLst>
    <dgm:linClrLst meth="repeat">
      <a:srgbClr val="FFFFFF"/>
    </dgm:linClrLst>
    <dgm:effectClrLst/>
    <dgm:txLinClrLst/>
    <dgm:txFillClrLst/>
    <dgm:txEffectClrLst/>
  </dgm:styleLbl>
  <dgm:styleLbl name="asst4">
    <dgm:fillClrLst meth="repeat">
      <a:srgbClr val="4F81BD"/>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b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b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bgShp">
    <dgm:fillClrLst meth="repeat">
      <a:srgbClr val="D0D8E8">
        <a:tint val="40000"/>
      </a:srgbClr>
    </dgm:fillClrLst>
    <dgm:linClrLst meth="repeat">
      <a:srgbClr val="4F81BD"/>
    </dgm:linClrLst>
    <dgm:effectClrLst/>
    <dgm:txLinClrLst/>
    <dgm:txFillClrLst meth="repeat">
      <a:srgbClr val="000000"/>
    </dgm:txFillClrLst>
    <dgm:txEffectClrLst/>
  </dgm:styleLbl>
  <dgm:styleLbl name="bgSibTrans2D1">
    <dgm:fillClrLst meth="repeat">
      <a:srgbClr val="B2C1DB">
        <a:tint val="60000"/>
      </a:srgbClr>
    </dgm:fillClrLst>
    <dgm:linClrLst meth="repeat">
      <a:srgbClr val="B2C1DB">
        <a:tint val="60000"/>
      </a:srgbClr>
    </dgm:linClrLst>
    <dgm:effectClrLst/>
    <dgm:txLinClrLst/>
    <dgm:txFillClrLst/>
    <dgm:txEffectClrLst/>
  </dgm:styleLbl>
  <dgm:styleLbl name="callout">
    <dgm:fillClrLst meth="repeat">
      <a:srgbClr val="4F81BD"/>
    </dgm:fillClrLst>
    <dgm:linClrLst meth="repeat">
      <a:srgbClr val="C2CDE1">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dkBgShp">
    <dgm:fillClrLst meth="repeat">
      <a:srgbClr val="4774AB">
        <a:shade val="80000"/>
      </a:srgbClr>
    </dgm:fillClrLst>
    <dgm:linClrLst meth="repeat">
      <a:srgbClr val="4F81BD"/>
    </dgm:linClrLst>
    <dgm:effectClrLst/>
    <dgm:txLinClrLst/>
    <dgm:txFillClrLst meth="repeat">
      <a:srgbClr val="FFFFFF"/>
    </dgm:txFillClrLst>
    <dgm:txEffectClrLst/>
  </dgm:styleLbl>
  <dgm:styleLbl name="fgAcc0">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2">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3">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4">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f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fgShp">
    <dgm:fillClrLst meth="repeat">
      <a:srgbClr val="B2C1DB">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2C1DB">
        <a:tint val="60000"/>
      </a:srgbClr>
    </dgm:fillClrLst>
    <dgm:linClrLst meth="repeat">
      <a:srgbClr val="B2C1DB">
        <a:tint val="60000"/>
      </a:srgbClr>
    </dgm:linClrLst>
    <dgm:effectClrLst/>
    <dgm:txLinClrLst/>
    <dgm:txFillClrLst/>
    <dgm:txEffectClrLst/>
  </dgm:styleLbl>
  <dgm:styleLbl name="lnNode1">
    <dgm:fillClrLst meth="repeat">
      <a:srgbClr val="4F81BD"/>
    </dgm:fillClrLst>
    <dgm:linClrLst meth="repeat">
      <a:srgbClr val="FFFFFF"/>
    </dgm:linClrLst>
    <dgm:effectClrLst/>
    <dgm:txLinClrLst/>
    <dgm:txFillClrLst/>
    <dgm:txEffectClrLst/>
  </dgm:styleLbl>
  <dgm:styleLbl name="node0">
    <dgm:fillClrLst meth="repeat">
      <a:srgbClr val="4F81BD"/>
    </dgm:fillClrLst>
    <dgm:linClrLst meth="repeat">
      <a:srgbClr val="FFFFFF"/>
    </dgm:linClrLst>
    <dgm:effectClrLst/>
    <dgm:txLinClrLst/>
    <dgm:txFillClrLst/>
    <dgm:txEffectClrLst/>
  </dgm:styleLbl>
  <dgm:styleLbl name="node1">
    <dgm:fillClrLst meth="repeat">
      <a:srgbClr val="4F81BD"/>
    </dgm:fillClrLst>
    <dgm:linClrLst meth="repeat">
      <a:srgbClr val="FFFFFF"/>
    </dgm:linClrLst>
    <dgm:effectClrLst/>
    <dgm:txLinClrLst/>
    <dgm:txFillClrLst/>
    <dgm:txEffectClrLst/>
  </dgm:styleLbl>
  <dgm:styleLbl name="node2">
    <dgm:fillClrLst meth="repeat">
      <a:srgbClr val="4F81BD"/>
    </dgm:fillClrLst>
    <dgm:linClrLst meth="repeat">
      <a:srgbClr val="FFFFFF"/>
    </dgm:linClrLst>
    <dgm:effectClrLst/>
    <dgm:txLinClrLst/>
    <dgm:txFillClrLst/>
    <dgm:txEffectClrLst/>
  </dgm:styleLbl>
  <dgm:styleLbl name="node3">
    <dgm:fillClrLst meth="repeat">
      <a:srgbClr val="4F81BD"/>
    </dgm:fillClrLst>
    <dgm:linClrLst meth="repeat">
      <a:srgbClr val="FFFFFF"/>
    </dgm:linClrLst>
    <dgm:effectClrLst/>
    <dgm:txLinClrLst/>
    <dgm:txFillClrLst/>
    <dgm:txEffectClrLst/>
  </dgm:styleLbl>
  <dgm:styleLbl name="node4">
    <dgm:fillClrLst meth="repeat">
      <a:srgbClr val="4F81BD"/>
    </dgm:fillClrLst>
    <dgm:linClrLst meth="repeat">
      <a:srgbClr val="FFFFFF"/>
    </dgm:linClrLst>
    <dgm:effectClrLst/>
    <dgm:txLinClrLst/>
    <dgm:txFillClrLst/>
    <dgm:txEffectClrLst/>
  </dgm:styleLbl>
  <dgm:styleLbl name="parChTrans1D1">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2">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3">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1D4">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2D1">
    <dgm:fillClrLst meth="repeat">
      <a:srgbClr val="B2C1DB">
        <a:tint val="60000"/>
      </a:srgbClr>
    </dgm:fillClrLst>
    <dgm:linClrLst meth="repeat">
      <a:srgbClr val="B2C1DB">
        <a:tint val="60000"/>
      </a:srgbClr>
    </dgm:linClrLst>
    <dgm:effectClrLst/>
    <dgm:txLinClrLst/>
    <dgm:txFillClrLst meth="repeat">
      <a:srgbClr val="FFFFFF"/>
    </dgm:txFillClrLst>
    <dgm:txEffectClrLst/>
  </dgm:styleLbl>
  <dgm:styleLbl name="parChTrans2D2">
    <dgm:fillClrLst meth="repeat">
      <a:srgbClr val="4F81BD"/>
    </dgm:fillClrLst>
    <dgm:linClrLst meth="repeat">
      <a:srgbClr val="4F81BD"/>
    </dgm:linClrLst>
    <dgm:effectClrLst/>
    <dgm:txLinClrLst/>
    <dgm:txFillClrLst meth="repeat">
      <a:srgbClr val="FFFFFF"/>
    </dgm:txFillClrLst>
    <dgm:txEffectClrLst/>
  </dgm:styleLbl>
  <dgm:styleLbl name="parChTrans2D3">
    <dgm:fillClrLst meth="repeat">
      <a:srgbClr val="4F81BD"/>
    </dgm:fillClrLst>
    <dgm:linClrLst meth="repeat">
      <a:srgbClr val="4F81BD"/>
    </dgm:linClrLst>
    <dgm:effectClrLst/>
    <dgm:txLinClrLst/>
    <dgm:txFillClrLst meth="repeat">
      <a:srgbClr val="FFFFFF"/>
    </dgm:txFillClrLst>
    <dgm:txEffectClrLst/>
  </dgm:styleLbl>
  <dgm:styleLbl name="parChTrans2D4">
    <dgm:fillClrLst meth="repeat">
      <a:srgbClr val="4F81BD"/>
    </dgm:fillClrLst>
    <dgm:linClrLst meth="repeat">
      <a:srgbClr val="4F81BD"/>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4F81BD"/>
    </dgm:fillClrLst>
    <dgm:linClrLst meth="repeat">
      <a:srgbClr val="4F81BD"/>
    </dgm:linClrLst>
    <dgm:effectClrLst/>
    <dgm:txLinClrLst/>
    <dgm:txFillClrLst meth="repeat">
      <a:srgbClr val="000000"/>
    </dgm:txFillClrLst>
    <dgm:txEffectClrLst/>
  </dgm:styleLbl>
  <dgm:styleLbl name="sibTrans2D1">
    <dgm:fillClrLst meth="repeat">
      <a:srgbClr val="B2C1DB">
        <a:tint val="60000"/>
      </a:srgbClr>
    </dgm:fillClrLst>
    <dgm:linClrLst meth="repeat">
      <a:srgbClr val="B2C1DB">
        <a:tint val="60000"/>
      </a:srgbClr>
    </dgm:linClrLst>
    <dgm:effectClrLst/>
    <dgm:txLinClrLst/>
    <dgm:txFillClrLst/>
    <dgm:txEffectClrLst/>
  </dgm:styleLbl>
  <dgm:styleLbl name="solidAlignAcc1">
    <dgm:fillClrLst meth="repeat">
      <a:srgbClr val="FFFFFF"/>
    </dgm:fillClrLst>
    <dgm:linClrLst meth="repeat">
      <a:srgbClr val="4F81BD"/>
    </dgm:linClrLst>
    <dgm:effectClrLst/>
    <dgm:txLinClrLst/>
    <dgm:txFillClrLst meth="repeat">
      <a:srgbClr val="000000"/>
    </dgm:txFillClrLst>
    <dgm:txEffectClrLst/>
  </dgm:styleLbl>
  <dgm:styleLbl name="solidBgAcc1">
    <dgm:fillClrLst meth="repeat">
      <a:srgbClr val="FFFFFF"/>
    </dgm:fillClrLst>
    <dgm:linClrLst meth="repeat">
      <a:srgbClr val="4F81BD"/>
    </dgm:linClrLst>
    <dgm:effectClrLst/>
    <dgm:txLinClrLst/>
    <dgm:txFillClrLst meth="repeat">
      <a:srgbClr val="000000"/>
    </dgm:txFillClrLst>
    <dgm:txEffectClrLst/>
  </dgm:styleLbl>
  <dgm:styleLbl name="solidFgAcc1">
    <dgm:fillClrLst meth="repeat">
      <a:srgbClr val="FFFFFF"/>
    </dgm:fillClrLst>
    <dgm:linClrLst meth="repeat">
      <a:srgbClr val="4F81BD"/>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4F81BD"/>
    </dgm:linClrLst>
    <dgm:effectClrLst/>
    <dgm:txLinClrLst/>
    <dgm:txFillClrLst meth="repeat">
      <a:srgbClr val="000000"/>
    </dgm:txFillClrLst>
    <dgm:txEffectClrLst/>
  </dgm:styleLbl>
  <dgm:styleLbl name="trBgShp">
    <dgm:fillClrLst meth="repeat">
      <a:srgbClr val="C2CDE1">
        <a:tint val="50000"/>
        <a:alpha val="40000"/>
      </a:srgbClr>
    </dgm:fillClrLst>
    <dgm:linClrLst meth="repeat">
      <a:srgbClr val="4F81BD"/>
    </dgm:linClrLst>
    <dgm:effectClrLst/>
    <dgm:txLinClrLst/>
    <dgm:txFillClrLst meth="repeat">
      <a:srgbClr val="FFFFFF"/>
    </dgm:txFillClrLst>
    <dgm:txEffectClrLst/>
  </dgm:styleLbl>
  <dgm:styleLbl name="vennNode1">
    <dgm:fillClrLst meth="repeat">
      <a:srgbClr val="4F81BD">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20CB324-0D84-41CE-9C2B-F44079ECDA3D}" type="doc">
      <dgm:prSet loTypeId="urn:microsoft.com/office/officeart/2005/8/layout/orgChart1#2" loCatId="hierarchy" qsTypeId="urn:microsoft.com/office/officeart/2005/8/quickstyle/simple1#2" qsCatId="simple" csTypeId="urn:microsoft.com/office/officeart/2005/8/colors/accent1_2#2" csCatId="accent1" phldr="1"/>
      <dgm:spPr/>
    </dgm:pt>
    <dgm:pt modelId="{65153DEC-DE25-43F9-8058-7FE0CE1417EF}">
      <dgm:prSet custT="1"/>
      <dgm:spPr>
        <a:xfrm>
          <a:off x="1587903" y="137081"/>
          <a:ext cx="1356187" cy="48890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b="0" i="0" u="none" strike="noStrike" kern="100" baseline="0">
              <a:solidFill>
                <a:sysClr val="window" lastClr="FFFFFF"/>
              </a:solidFill>
              <a:latin typeface="黑体" panose="02010609060101010101" charset="-122"/>
              <a:ea typeface="黑体" panose="02010609060101010101" charset="-122"/>
              <a:cs typeface="+mn-cs"/>
            </a:rPr>
            <a:t>运维管理组</a:t>
          </a:r>
          <a:endParaRPr lang="zh-CN" altLang="en-US" sz="1200">
            <a:solidFill>
              <a:sysClr val="window" lastClr="FFFFFF"/>
            </a:solidFill>
            <a:latin typeface="等线" panose="02010600030101010101" charset="-122"/>
            <a:ea typeface="等线" panose="02010600030101010101" charset="-122"/>
            <a:cs typeface="+mn-cs"/>
          </a:endParaRPr>
        </a:p>
      </dgm:t>
    </dgm:pt>
    <dgm:pt modelId="{B52089D7-F406-418A-B408-A3E51D0E9C80}" cxnId="{3418A653-E46D-487D-B844-118767B8295A}" type="parTrans">
      <dgm:prSet/>
      <dgm:spPr/>
      <dgm:t>
        <a:bodyPr/>
        <a:p>
          <a:endParaRPr lang="zh-CN" altLang="en-US"/>
        </a:p>
      </dgm:t>
    </dgm:pt>
    <dgm:pt modelId="{6605DDEA-2F48-4AA7-A6F9-CB77B083943B}" cxnId="{3418A653-E46D-487D-B844-118767B8295A}" type="sibTrans">
      <dgm:prSet/>
      <dgm:spPr/>
      <dgm:t>
        <a:bodyPr/>
        <a:p>
          <a:endParaRPr lang="zh-CN" altLang="en-US"/>
        </a:p>
      </dgm:t>
    </dgm:pt>
    <dgm:pt modelId="{83725E77-69AF-415A-A136-3560AB674035}">
      <dgm:prSet custT="1"/>
      <dgm:spPr>
        <a:xfrm>
          <a:off x="2344" y="831333"/>
          <a:ext cx="977819" cy="48890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b="0" i="0" u="none" strike="noStrike" kern="100" baseline="0">
              <a:solidFill>
                <a:sysClr val="window" lastClr="FFFFFF"/>
              </a:solidFill>
              <a:latin typeface="黑体" panose="02010609060101010101" charset="-122"/>
              <a:ea typeface="黑体" panose="02010609060101010101" charset="-122"/>
              <a:cs typeface="+mn-cs"/>
            </a:rPr>
            <a:t>巡检服务组</a:t>
          </a:r>
          <a:endParaRPr lang="zh-CN" altLang="en-US" sz="1200">
            <a:solidFill>
              <a:sysClr val="window" lastClr="FFFFFF"/>
            </a:solidFill>
            <a:latin typeface="等线" panose="02010600030101010101" charset="-122"/>
            <a:ea typeface="等线" panose="02010600030101010101" charset="-122"/>
            <a:cs typeface="+mn-cs"/>
          </a:endParaRPr>
        </a:p>
      </dgm:t>
    </dgm:pt>
    <dgm:pt modelId="{41B18322-0361-47BB-9FA8-22F42159E999}" cxnId="{FA68D4BF-13AD-4679-A4A2-84C4E549E89C}" type="parTrans">
      <dgm:prSet/>
      <dgm:spPr>
        <a:xfrm>
          <a:off x="491254" y="625991"/>
          <a:ext cx="1774743" cy="205342"/>
        </a:xfrm>
        <a:custGeom>
          <a:avLst/>
          <a:gdLst/>
          <a:ahLst/>
          <a:cxnLst/>
          <a:rect l="0" t="0" r="0" b="0"/>
          <a:pathLst>
            <a:path>
              <a:moveTo>
                <a:pt x="1776483" y="0"/>
              </a:moveTo>
              <a:lnTo>
                <a:pt x="1776483" y="102771"/>
              </a:lnTo>
              <a:lnTo>
                <a:pt x="0" y="102771"/>
              </a:lnTo>
              <a:lnTo>
                <a:pt x="0" y="205543"/>
              </a:lnTo>
            </a:path>
          </a:pathLst>
        </a:custGeom>
        <a:noFill/>
        <a:ln w="12700" cap="flat" cmpd="sng" algn="ctr">
          <a:solidFill>
            <a:srgbClr val="5B9BD5">
              <a:shade val="60000"/>
              <a:hueOff val="0"/>
              <a:satOff val="0"/>
              <a:lumOff val="0"/>
              <a:alphaOff val="0"/>
            </a:srgbClr>
          </a:solidFill>
          <a:prstDash val="solid"/>
          <a:miter lim="800000"/>
        </a:ln>
        <a:effectLst/>
      </dgm:spPr>
      <dgm:t>
        <a:bodyPr/>
        <a:p>
          <a:endParaRPr lang="zh-CN" altLang="en-US"/>
        </a:p>
      </dgm:t>
    </dgm:pt>
    <dgm:pt modelId="{20EF9BD0-6A78-4145-89F1-10FC31E1F009}" cxnId="{FA68D4BF-13AD-4679-A4A2-84C4E549E89C}" type="sibTrans">
      <dgm:prSet/>
      <dgm:spPr/>
      <dgm:t>
        <a:bodyPr/>
        <a:p>
          <a:endParaRPr lang="zh-CN" altLang="en-US"/>
        </a:p>
      </dgm:t>
    </dgm:pt>
    <dgm:pt modelId="{F7EE432E-41B6-4AC0-B19B-A5B5B0407EE7}">
      <dgm:prSet custT="1"/>
      <dgm:spPr>
        <a:xfrm>
          <a:off x="1185506" y="831333"/>
          <a:ext cx="977819" cy="48890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b="0" i="0" u="none" strike="noStrike" kern="100" baseline="0">
              <a:solidFill>
                <a:sysClr val="window" lastClr="FFFFFF"/>
              </a:solidFill>
              <a:latin typeface="黑体" panose="02010609060101010101" charset="-122"/>
              <a:ea typeface="黑体" panose="02010609060101010101" charset="-122"/>
              <a:cs typeface="+mn-cs"/>
            </a:rPr>
            <a:t>日常维护组</a:t>
          </a:r>
          <a:endParaRPr lang="zh-CN" altLang="en-US" sz="1200">
            <a:solidFill>
              <a:sysClr val="window" lastClr="FFFFFF"/>
            </a:solidFill>
            <a:latin typeface="等线" panose="02010600030101010101" charset="-122"/>
            <a:ea typeface="等线" panose="02010600030101010101" charset="-122"/>
            <a:cs typeface="+mn-cs"/>
          </a:endParaRPr>
        </a:p>
      </dgm:t>
    </dgm:pt>
    <dgm:pt modelId="{55338F9E-687F-46CC-98FB-D7176E325851}" cxnId="{375C1E88-8EF7-409D-BAC8-D2613DE52B8A}" type="parTrans">
      <dgm:prSet/>
      <dgm:spPr>
        <a:xfrm>
          <a:off x="1674416" y="625991"/>
          <a:ext cx="591581" cy="205342"/>
        </a:xfrm>
        <a:custGeom>
          <a:avLst/>
          <a:gdLst/>
          <a:ahLst/>
          <a:cxnLst/>
          <a:rect l="0" t="0" r="0" b="0"/>
          <a:pathLst>
            <a:path>
              <a:moveTo>
                <a:pt x="592161" y="0"/>
              </a:moveTo>
              <a:lnTo>
                <a:pt x="592161" y="102771"/>
              </a:lnTo>
              <a:lnTo>
                <a:pt x="0" y="102771"/>
              </a:lnTo>
              <a:lnTo>
                <a:pt x="0" y="205543"/>
              </a:lnTo>
            </a:path>
          </a:pathLst>
        </a:custGeom>
        <a:noFill/>
        <a:ln w="12700" cap="flat" cmpd="sng" algn="ctr">
          <a:solidFill>
            <a:srgbClr val="5B9BD5">
              <a:shade val="60000"/>
              <a:hueOff val="0"/>
              <a:satOff val="0"/>
              <a:lumOff val="0"/>
              <a:alphaOff val="0"/>
            </a:srgbClr>
          </a:solidFill>
          <a:prstDash val="solid"/>
          <a:miter lim="800000"/>
        </a:ln>
        <a:effectLst/>
      </dgm:spPr>
      <dgm:t>
        <a:bodyPr/>
        <a:p>
          <a:endParaRPr lang="zh-CN" altLang="en-US"/>
        </a:p>
      </dgm:t>
    </dgm:pt>
    <dgm:pt modelId="{0AA63ABD-7DF5-4A5A-B44B-892114E6B491}" cxnId="{375C1E88-8EF7-409D-BAC8-D2613DE52B8A}" type="sibTrans">
      <dgm:prSet/>
      <dgm:spPr/>
      <dgm:t>
        <a:bodyPr/>
        <a:p>
          <a:endParaRPr lang="zh-CN" altLang="en-US"/>
        </a:p>
      </dgm:t>
    </dgm:pt>
    <dgm:pt modelId="{0DB4C027-526F-4570-AAF1-9D80C79C47AA}">
      <dgm:prSet custT="1"/>
      <dgm:spPr>
        <a:xfrm>
          <a:off x="2368668" y="831333"/>
          <a:ext cx="977819" cy="48890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b="0" i="0" u="none" strike="noStrike" kern="100" baseline="0">
              <a:solidFill>
                <a:sysClr val="window" lastClr="FFFFFF"/>
              </a:solidFill>
              <a:latin typeface="黑体" panose="02010609060101010101" charset="-122"/>
              <a:ea typeface="黑体" panose="02010609060101010101" charset="-122"/>
              <a:cs typeface="+mn-cs"/>
            </a:rPr>
            <a:t>应急支持组</a:t>
          </a:r>
          <a:endParaRPr lang="zh-CN" altLang="en-US" sz="1200">
            <a:solidFill>
              <a:sysClr val="window" lastClr="FFFFFF"/>
            </a:solidFill>
            <a:latin typeface="等线" panose="02010600030101010101" charset="-122"/>
            <a:ea typeface="等线" panose="02010600030101010101" charset="-122"/>
            <a:cs typeface="+mn-cs"/>
          </a:endParaRPr>
        </a:p>
      </dgm:t>
    </dgm:pt>
    <dgm:pt modelId="{E73C4AE0-DDE7-40DB-AB70-5FBFE514D811}" cxnId="{CAF759C0-300F-4109-948E-F2C247EBA65E}" type="sibTrans">
      <dgm:prSet/>
      <dgm:spPr/>
      <dgm:t>
        <a:bodyPr/>
        <a:p>
          <a:endParaRPr lang="zh-CN" altLang="en-US"/>
        </a:p>
      </dgm:t>
    </dgm:pt>
    <dgm:pt modelId="{1B360BB7-D578-433A-847B-8431E4CE9485}" cxnId="{CAF759C0-300F-4109-948E-F2C247EBA65E}" type="parTrans">
      <dgm:prSet/>
      <dgm:spPr>
        <a:xfrm>
          <a:off x="2265997" y="625991"/>
          <a:ext cx="591581" cy="205342"/>
        </a:xfrm>
        <a:custGeom>
          <a:avLst/>
          <a:gdLst/>
          <a:ahLst/>
          <a:cxnLst/>
          <a:rect l="0" t="0" r="0" b="0"/>
          <a:pathLst>
            <a:path>
              <a:moveTo>
                <a:pt x="0" y="0"/>
              </a:moveTo>
              <a:lnTo>
                <a:pt x="0" y="102771"/>
              </a:lnTo>
              <a:lnTo>
                <a:pt x="592161" y="102771"/>
              </a:lnTo>
              <a:lnTo>
                <a:pt x="592161" y="205543"/>
              </a:lnTo>
            </a:path>
          </a:pathLst>
        </a:custGeom>
        <a:noFill/>
        <a:ln w="12700" cap="flat" cmpd="sng" algn="ctr">
          <a:solidFill>
            <a:srgbClr val="5B9BD5">
              <a:shade val="60000"/>
              <a:hueOff val="0"/>
              <a:satOff val="0"/>
              <a:lumOff val="0"/>
              <a:alphaOff val="0"/>
            </a:srgbClr>
          </a:solidFill>
          <a:prstDash val="solid"/>
          <a:miter lim="800000"/>
        </a:ln>
        <a:effectLst/>
      </dgm:spPr>
      <dgm:t>
        <a:bodyPr/>
        <a:p>
          <a:endParaRPr lang="zh-CN" altLang="en-US"/>
        </a:p>
      </dgm:t>
    </dgm:pt>
    <dgm:pt modelId="{6CF8EA22-6D96-46AE-B6C0-E744B2F8735F}">
      <dgm:prSet custT="1"/>
      <dgm:spPr>
        <a:xfrm>
          <a:off x="3551830" y="831333"/>
          <a:ext cx="977819" cy="48890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p>
          <a:pPr marR="0" algn="ctr" rtl="0"/>
          <a:r>
            <a:rPr lang="zh-CN" altLang="en-US" sz="1200" b="0">
              <a:solidFill>
                <a:sysClr val="window" lastClr="FFFFFF"/>
              </a:solidFill>
              <a:latin typeface="等线" panose="02010600030101010101" charset="-122"/>
              <a:ea typeface="等线" panose="02010600030101010101" charset="-122"/>
              <a:cs typeface="+mn-cs"/>
            </a:rPr>
            <a:t>技术支持组</a:t>
          </a:r>
        </a:p>
      </dgm:t>
    </dgm:pt>
    <dgm:pt modelId="{A623F0FA-F0EC-4744-AAF1-AA4149673B13}" cxnId="{9D571396-A693-4A69-8AA0-4AF8AE2CC792}" type="sibTrans">
      <dgm:prSet/>
      <dgm:spPr/>
      <dgm:t>
        <a:bodyPr/>
        <a:p>
          <a:endParaRPr lang="zh-CN" altLang="en-US"/>
        </a:p>
      </dgm:t>
    </dgm:pt>
    <dgm:pt modelId="{F67F349B-8424-4CC9-A316-BA9B9B0C03EA}" cxnId="{9D571396-A693-4A69-8AA0-4AF8AE2CC792}" type="parTrans">
      <dgm:prSet/>
      <dgm:spPr>
        <a:xfrm>
          <a:off x="2265997" y="625991"/>
          <a:ext cx="1774743" cy="205342"/>
        </a:xfrm>
        <a:custGeom>
          <a:avLst/>
          <a:gdLst/>
          <a:ahLst/>
          <a:cxnLst/>
          <a:rect l="0" t="0" r="0" b="0"/>
          <a:pathLst>
            <a:path>
              <a:moveTo>
                <a:pt x="0" y="0"/>
              </a:moveTo>
              <a:lnTo>
                <a:pt x="0" y="102771"/>
              </a:lnTo>
              <a:lnTo>
                <a:pt x="1776483" y="102771"/>
              </a:lnTo>
              <a:lnTo>
                <a:pt x="1776483" y="205543"/>
              </a:lnTo>
            </a:path>
          </a:pathLst>
        </a:custGeom>
        <a:noFill/>
        <a:ln w="12700" cap="flat" cmpd="sng" algn="ctr">
          <a:solidFill>
            <a:srgbClr val="5B9BD5">
              <a:shade val="60000"/>
              <a:hueOff val="0"/>
              <a:satOff val="0"/>
              <a:lumOff val="0"/>
              <a:alphaOff val="0"/>
            </a:srgbClr>
          </a:solidFill>
          <a:prstDash val="solid"/>
          <a:miter lim="800000"/>
        </a:ln>
        <a:effectLst/>
      </dgm:spPr>
      <dgm:t>
        <a:bodyPr/>
        <a:p>
          <a:endParaRPr lang="zh-CN" altLang="en-US"/>
        </a:p>
      </dgm:t>
    </dgm:pt>
    <dgm:pt modelId="{19FE3257-3E65-4101-9D97-E939B462FB8D}" type="pres">
      <dgm:prSet presAssocID="{C20CB324-0D84-41CE-9C2B-F44079ECDA3D}" presName="hierChild1" presStyleCnt="0">
        <dgm:presLayoutVars>
          <dgm:orgChart val="1"/>
          <dgm:chPref val="1"/>
          <dgm:dir/>
          <dgm:animOne val="branch"/>
          <dgm:animLvl val="lvl"/>
          <dgm:resizeHandles/>
        </dgm:presLayoutVars>
      </dgm:prSet>
      <dgm:spPr/>
    </dgm:pt>
    <dgm:pt modelId="{06090407-CE10-48F5-89DA-A5BF26C74763}" type="pres">
      <dgm:prSet presAssocID="{65153DEC-DE25-43F9-8058-7FE0CE1417EF}" presName="hierRoot1" presStyleCnt="0">
        <dgm:presLayoutVars>
          <dgm:hierBranch/>
        </dgm:presLayoutVars>
      </dgm:prSet>
      <dgm:spPr/>
    </dgm:pt>
    <dgm:pt modelId="{E4D9EF64-C250-40CF-8881-48ED2EF4BCF9}" type="pres">
      <dgm:prSet presAssocID="{65153DEC-DE25-43F9-8058-7FE0CE1417EF}" presName="rootComposite1" presStyleCnt="0"/>
      <dgm:spPr/>
    </dgm:pt>
    <dgm:pt modelId="{F94924E0-F955-4720-8AE8-592107696FDF}" type="pres">
      <dgm:prSet presAssocID="{65153DEC-DE25-43F9-8058-7FE0CE1417EF}" presName="rootText1" presStyleLbl="node0" presStyleIdx="0" presStyleCnt="1" custScaleX="138695">
        <dgm:presLayoutVars>
          <dgm:chPref val="3"/>
        </dgm:presLayoutVars>
      </dgm:prSet>
      <dgm:spPr>
        <a:prstGeom prst="rect">
          <a:avLst/>
        </a:prstGeom>
      </dgm:spPr>
      <dgm:t>
        <a:bodyPr/>
        <a:p>
          <a:endParaRPr lang="zh-CN" altLang="en-US"/>
        </a:p>
      </dgm:t>
    </dgm:pt>
    <dgm:pt modelId="{3F09AB92-8DA0-4843-BBA3-2F4D9774C1D1}" type="pres">
      <dgm:prSet presAssocID="{65153DEC-DE25-43F9-8058-7FE0CE1417EF}" presName="rootConnector1" presStyleLbl="node1" presStyleIdx="0" presStyleCnt="0"/>
      <dgm:spPr/>
      <dgm:t>
        <a:bodyPr/>
        <a:p>
          <a:endParaRPr lang="zh-CN" altLang="en-US"/>
        </a:p>
      </dgm:t>
    </dgm:pt>
    <dgm:pt modelId="{1C497B09-261D-4013-A6E1-753B49D3EFD6}" type="pres">
      <dgm:prSet presAssocID="{65153DEC-DE25-43F9-8058-7FE0CE1417EF}" presName="hierChild2" presStyleCnt="0"/>
      <dgm:spPr/>
    </dgm:pt>
    <dgm:pt modelId="{DF05090B-1DF8-4E3E-898D-F2BC95BA6645}" type="pres">
      <dgm:prSet presAssocID="{41B18322-0361-47BB-9FA8-22F42159E999}" presName="Name35" presStyleLbl="parChTrans1D2" presStyleIdx="0" presStyleCnt="4"/>
      <dgm:spPr>
        <a:custGeom>
          <a:avLst/>
          <a:gdLst/>
          <a:ahLst/>
          <a:cxnLst/>
          <a:rect l="0" t="0" r="0" b="0"/>
          <a:pathLst>
            <a:path>
              <a:moveTo>
                <a:pt x="1776483" y="0"/>
              </a:moveTo>
              <a:lnTo>
                <a:pt x="1776483" y="102771"/>
              </a:lnTo>
              <a:lnTo>
                <a:pt x="0" y="102771"/>
              </a:lnTo>
              <a:lnTo>
                <a:pt x="0" y="205543"/>
              </a:lnTo>
            </a:path>
          </a:pathLst>
        </a:custGeom>
      </dgm:spPr>
      <dgm:t>
        <a:bodyPr/>
        <a:p>
          <a:endParaRPr lang="zh-CN" altLang="en-US"/>
        </a:p>
      </dgm:t>
    </dgm:pt>
    <dgm:pt modelId="{9AD8EC19-E407-46C5-AF7D-477B50B02C7F}" type="pres">
      <dgm:prSet presAssocID="{83725E77-69AF-415A-A136-3560AB674035}" presName="hierRoot2" presStyleCnt="0">
        <dgm:presLayoutVars>
          <dgm:hierBranch/>
        </dgm:presLayoutVars>
      </dgm:prSet>
      <dgm:spPr/>
    </dgm:pt>
    <dgm:pt modelId="{0B6C0C74-5AB5-400D-B330-75ECB2A9BD2E}" type="pres">
      <dgm:prSet presAssocID="{83725E77-69AF-415A-A136-3560AB674035}" presName="rootComposite" presStyleCnt="0"/>
      <dgm:spPr/>
    </dgm:pt>
    <dgm:pt modelId="{5AAAD774-C3A7-46A5-B54D-7740FF67B6F7}" type="pres">
      <dgm:prSet presAssocID="{83725E77-69AF-415A-A136-3560AB674035}" presName="rootText" presStyleLbl="node2" presStyleIdx="0" presStyleCnt="4">
        <dgm:presLayoutVars>
          <dgm:chPref val="3"/>
        </dgm:presLayoutVars>
      </dgm:prSet>
      <dgm:spPr>
        <a:prstGeom prst="rect">
          <a:avLst/>
        </a:prstGeom>
      </dgm:spPr>
      <dgm:t>
        <a:bodyPr/>
        <a:p>
          <a:endParaRPr lang="zh-CN" altLang="en-US"/>
        </a:p>
      </dgm:t>
    </dgm:pt>
    <dgm:pt modelId="{CF9E0EE9-026F-460C-B777-6DDA918CC50F}" type="pres">
      <dgm:prSet presAssocID="{83725E77-69AF-415A-A136-3560AB674035}" presName="rootConnector" presStyleLbl="node2" presStyleIdx="0" presStyleCnt="4"/>
      <dgm:spPr/>
      <dgm:t>
        <a:bodyPr/>
        <a:p>
          <a:endParaRPr lang="zh-CN" altLang="en-US"/>
        </a:p>
      </dgm:t>
    </dgm:pt>
    <dgm:pt modelId="{BCFF546C-2DBB-49E9-B976-19D152FD32F6}" type="pres">
      <dgm:prSet presAssocID="{83725E77-69AF-415A-A136-3560AB674035}" presName="hierChild4" presStyleCnt="0"/>
      <dgm:spPr/>
    </dgm:pt>
    <dgm:pt modelId="{DC9A0ABF-83A4-45C0-B8DE-D98095F51F0C}" type="pres">
      <dgm:prSet presAssocID="{83725E77-69AF-415A-A136-3560AB674035}" presName="hierChild5" presStyleCnt="0"/>
      <dgm:spPr/>
    </dgm:pt>
    <dgm:pt modelId="{0EAA360A-5522-4293-8848-3D32C2A1BCF3}" type="pres">
      <dgm:prSet presAssocID="{55338F9E-687F-46CC-98FB-D7176E325851}" presName="Name35" presStyleLbl="parChTrans1D2" presStyleIdx="1" presStyleCnt="4"/>
      <dgm:spPr>
        <a:custGeom>
          <a:avLst/>
          <a:gdLst/>
          <a:ahLst/>
          <a:cxnLst/>
          <a:rect l="0" t="0" r="0" b="0"/>
          <a:pathLst>
            <a:path>
              <a:moveTo>
                <a:pt x="592161" y="0"/>
              </a:moveTo>
              <a:lnTo>
                <a:pt x="592161" y="102771"/>
              </a:lnTo>
              <a:lnTo>
                <a:pt x="0" y="102771"/>
              </a:lnTo>
              <a:lnTo>
                <a:pt x="0" y="205543"/>
              </a:lnTo>
            </a:path>
          </a:pathLst>
        </a:custGeom>
      </dgm:spPr>
      <dgm:t>
        <a:bodyPr/>
        <a:p>
          <a:endParaRPr lang="zh-CN" altLang="en-US"/>
        </a:p>
      </dgm:t>
    </dgm:pt>
    <dgm:pt modelId="{E29ECE9D-59A1-480F-A2EF-4436CED20B9C}" type="pres">
      <dgm:prSet presAssocID="{F7EE432E-41B6-4AC0-B19B-A5B5B0407EE7}" presName="hierRoot2" presStyleCnt="0">
        <dgm:presLayoutVars>
          <dgm:hierBranch/>
        </dgm:presLayoutVars>
      </dgm:prSet>
      <dgm:spPr/>
    </dgm:pt>
    <dgm:pt modelId="{FB14312F-351E-416D-B3B8-3973416C0828}" type="pres">
      <dgm:prSet presAssocID="{F7EE432E-41B6-4AC0-B19B-A5B5B0407EE7}" presName="rootComposite" presStyleCnt="0"/>
      <dgm:spPr/>
    </dgm:pt>
    <dgm:pt modelId="{3A6F261C-45DD-42EE-8193-A340AAE4F607}" type="pres">
      <dgm:prSet presAssocID="{F7EE432E-41B6-4AC0-B19B-A5B5B0407EE7}" presName="rootText" presStyleLbl="node2" presStyleIdx="1" presStyleCnt="4">
        <dgm:presLayoutVars>
          <dgm:chPref val="3"/>
        </dgm:presLayoutVars>
      </dgm:prSet>
      <dgm:spPr>
        <a:prstGeom prst="rect">
          <a:avLst/>
        </a:prstGeom>
      </dgm:spPr>
      <dgm:t>
        <a:bodyPr/>
        <a:p>
          <a:endParaRPr lang="zh-CN" altLang="en-US"/>
        </a:p>
      </dgm:t>
    </dgm:pt>
    <dgm:pt modelId="{C9F7805B-EA0A-4C24-B3E1-8C2AB5EAC4BC}" type="pres">
      <dgm:prSet presAssocID="{F7EE432E-41B6-4AC0-B19B-A5B5B0407EE7}" presName="rootConnector" presStyleLbl="node2" presStyleIdx="1" presStyleCnt="4"/>
      <dgm:spPr/>
      <dgm:t>
        <a:bodyPr/>
        <a:p>
          <a:endParaRPr lang="zh-CN" altLang="en-US"/>
        </a:p>
      </dgm:t>
    </dgm:pt>
    <dgm:pt modelId="{77C5C759-2CD0-4926-9130-FBC730EE8602}" type="pres">
      <dgm:prSet presAssocID="{F7EE432E-41B6-4AC0-B19B-A5B5B0407EE7}" presName="hierChild4" presStyleCnt="0"/>
      <dgm:spPr/>
    </dgm:pt>
    <dgm:pt modelId="{601AE3EE-DC2B-4A6F-AEC0-53A2B86D2FC0}" type="pres">
      <dgm:prSet presAssocID="{F7EE432E-41B6-4AC0-B19B-A5B5B0407EE7}" presName="hierChild5" presStyleCnt="0"/>
      <dgm:spPr/>
    </dgm:pt>
    <dgm:pt modelId="{EF606350-97B1-4F35-ABAD-F1BCF27C31C4}" type="pres">
      <dgm:prSet presAssocID="{1B360BB7-D578-433A-847B-8431E4CE9485}" presName="Name35" presStyleLbl="parChTrans1D2" presStyleIdx="2" presStyleCnt="4"/>
      <dgm:spPr>
        <a:custGeom>
          <a:avLst/>
          <a:gdLst/>
          <a:ahLst/>
          <a:cxnLst/>
          <a:rect l="0" t="0" r="0" b="0"/>
          <a:pathLst>
            <a:path>
              <a:moveTo>
                <a:pt x="0" y="0"/>
              </a:moveTo>
              <a:lnTo>
                <a:pt x="0" y="102771"/>
              </a:lnTo>
              <a:lnTo>
                <a:pt x="592161" y="102771"/>
              </a:lnTo>
              <a:lnTo>
                <a:pt x="592161" y="205543"/>
              </a:lnTo>
            </a:path>
          </a:pathLst>
        </a:custGeom>
      </dgm:spPr>
      <dgm:t>
        <a:bodyPr/>
        <a:p>
          <a:endParaRPr lang="zh-CN" altLang="en-US"/>
        </a:p>
      </dgm:t>
    </dgm:pt>
    <dgm:pt modelId="{6316F31B-8074-4FE9-A81C-9DD159E505A0}" type="pres">
      <dgm:prSet presAssocID="{0DB4C027-526F-4570-AAF1-9D80C79C47AA}" presName="hierRoot2" presStyleCnt="0">
        <dgm:presLayoutVars>
          <dgm:hierBranch/>
        </dgm:presLayoutVars>
      </dgm:prSet>
      <dgm:spPr/>
    </dgm:pt>
    <dgm:pt modelId="{C219D5B9-F221-4185-ABFB-120775673705}" type="pres">
      <dgm:prSet presAssocID="{0DB4C027-526F-4570-AAF1-9D80C79C47AA}" presName="rootComposite" presStyleCnt="0"/>
      <dgm:spPr/>
    </dgm:pt>
    <dgm:pt modelId="{D0636782-34EE-4353-9964-08C0B9FE8460}" type="pres">
      <dgm:prSet presAssocID="{0DB4C027-526F-4570-AAF1-9D80C79C47AA}" presName="rootText" presStyleLbl="node2" presStyleIdx="2" presStyleCnt="4">
        <dgm:presLayoutVars>
          <dgm:chPref val="3"/>
        </dgm:presLayoutVars>
      </dgm:prSet>
      <dgm:spPr>
        <a:prstGeom prst="rect">
          <a:avLst/>
        </a:prstGeom>
      </dgm:spPr>
      <dgm:t>
        <a:bodyPr/>
        <a:p>
          <a:endParaRPr lang="zh-CN" altLang="en-US"/>
        </a:p>
      </dgm:t>
    </dgm:pt>
    <dgm:pt modelId="{FBC0AA59-BF47-4CD2-BC48-5CCDCE9EAD82}" type="pres">
      <dgm:prSet presAssocID="{0DB4C027-526F-4570-AAF1-9D80C79C47AA}" presName="rootConnector" presStyleLbl="node2" presStyleIdx="2" presStyleCnt="4"/>
      <dgm:spPr/>
      <dgm:t>
        <a:bodyPr/>
        <a:p>
          <a:endParaRPr lang="zh-CN" altLang="en-US"/>
        </a:p>
      </dgm:t>
    </dgm:pt>
    <dgm:pt modelId="{3CB481C2-1DE9-4372-96CA-056C5296E42C}" type="pres">
      <dgm:prSet presAssocID="{0DB4C027-526F-4570-AAF1-9D80C79C47AA}" presName="hierChild4" presStyleCnt="0"/>
      <dgm:spPr/>
    </dgm:pt>
    <dgm:pt modelId="{CF42206C-79EA-4594-90BF-95F097B83AA2}" type="pres">
      <dgm:prSet presAssocID="{0DB4C027-526F-4570-AAF1-9D80C79C47AA}" presName="hierChild5" presStyleCnt="0"/>
      <dgm:spPr/>
    </dgm:pt>
    <dgm:pt modelId="{71A3E2B2-B792-4FE7-92FE-76C9F2F9142B}" type="pres">
      <dgm:prSet presAssocID="{F67F349B-8424-4CC9-A316-BA9B9B0C03EA}" presName="Name35" presStyleLbl="parChTrans1D2" presStyleIdx="3" presStyleCnt="4"/>
      <dgm:spPr>
        <a:custGeom>
          <a:avLst/>
          <a:gdLst/>
          <a:ahLst/>
          <a:cxnLst/>
          <a:rect l="0" t="0" r="0" b="0"/>
          <a:pathLst>
            <a:path>
              <a:moveTo>
                <a:pt x="0" y="0"/>
              </a:moveTo>
              <a:lnTo>
                <a:pt x="0" y="102771"/>
              </a:lnTo>
              <a:lnTo>
                <a:pt x="1776483" y="102771"/>
              </a:lnTo>
              <a:lnTo>
                <a:pt x="1776483" y="205543"/>
              </a:lnTo>
            </a:path>
          </a:pathLst>
        </a:custGeom>
      </dgm:spPr>
      <dgm:t>
        <a:bodyPr/>
        <a:p>
          <a:endParaRPr lang="zh-CN" altLang="en-US"/>
        </a:p>
      </dgm:t>
    </dgm:pt>
    <dgm:pt modelId="{2CA246B6-6187-4A70-B6BA-A410D74D2BBF}" type="pres">
      <dgm:prSet presAssocID="{6CF8EA22-6D96-46AE-B6C0-E744B2F8735F}" presName="hierRoot2" presStyleCnt="0">
        <dgm:presLayoutVars>
          <dgm:hierBranch val="init"/>
        </dgm:presLayoutVars>
      </dgm:prSet>
      <dgm:spPr/>
    </dgm:pt>
    <dgm:pt modelId="{8100A81F-4DA5-40C1-B419-E7C74F71166C}" type="pres">
      <dgm:prSet presAssocID="{6CF8EA22-6D96-46AE-B6C0-E744B2F8735F}" presName="rootComposite" presStyleCnt="0"/>
      <dgm:spPr/>
    </dgm:pt>
    <dgm:pt modelId="{687CC27F-6CE1-4709-AD5F-C6761E0A4B71}" type="pres">
      <dgm:prSet presAssocID="{6CF8EA22-6D96-46AE-B6C0-E744B2F8735F}" presName="rootText" presStyleLbl="node2" presStyleIdx="3" presStyleCnt="4">
        <dgm:presLayoutVars>
          <dgm:chPref val="3"/>
        </dgm:presLayoutVars>
      </dgm:prSet>
      <dgm:spPr>
        <a:prstGeom prst="rect">
          <a:avLst/>
        </a:prstGeom>
      </dgm:spPr>
      <dgm:t>
        <a:bodyPr/>
        <a:p>
          <a:endParaRPr lang="zh-CN" altLang="en-US"/>
        </a:p>
      </dgm:t>
    </dgm:pt>
    <dgm:pt modelId="{DC7C9D6E-4F4E-4C1C-A9FD-238CE3E48D39}" type="pres">
      <dgm:prSet presAssocID="{6CF8EA22-6D96-46AE-B6C0-E744B2F8735F}" presName="rootConnector" presStyleLbl="node2" presStyleIdx="3" presStyleCnt="4"/>
      <dgm:spPr/>
      <dgm:t>
        <a:bodyPr/>
        <a:p>
          <a:endParaRPr lang="zh-CN" altLang="en-US"/>
        </a:p>
      </dgm:t>
    </dgm:pt>
    <dgm:pt modelId="{32E0BE07-1262-4A8C-833D-C141C61AF10F}" type="pres">
      <dgm:prSet presAssocID="{6CF8EA22-6D96-46AE-B6C0-E744B2F8735F}" presName="hierChild4" presStyleCnt="0"/>
      <dgm:spPr/>
    </dgm:pt>
    <dgm:pt modelId="{DA0495DD-C2E9-404F-92DD-53923A53B6D2}" type="pres">
      <dgm:prSet presAssocID="{6CF8EA22-6D96-46AE-B6C0-E744B2F8735F}" presName="hierChild5" presStyleCnt="0"/>
      <dgm:spPr/>
    </dgm:pt>
    <dgm:pt modelId="{146FBC47-6608-4A3D-8D31-9DD52DA7CF99}" type="pres">
      <dgm:prSet presAssocID="{65153DEC-DE25-43F9-8058-7FE0CE1417EF}" presName="hierChild3" presStyleCnt="0"/>
      <dgm:spPr/>
    </dgm:pt>
  </dgm:ptLst>
  <dgm:cxnLst>
    <dgm:cxn modelId="{019424E1-E4FA-406D-808B-E4360ACBD741}" type="presOf" srcId="{83725E77-69AF-415A-A136-3560AB674035}" destId="{5AAAD774-C3A7-46A5-B54D-7740FF67B6F7}" srcOrd="0" destOrd="0" presId="urn:microsoft.com/office/officeart/2005/8/layout/orgChart1#2"/>
    <dgm:cxn modelId="{CAF759C0-300F-4109-948E-F2C247EBA65E}" srcId="{65153DEC-DE25-43F9-8058-7FE0CE1417EF}" destId="{0DB4C027-526F-4570-AAF1-9D80C79C47AA}" srcOrd="2" destOrd="0" parTransId="{1B360BB7-D578-433A-847B-8431E4CE9485}" sibTransId="{E73C4AE0-DDE7-40DB-AB70-5FBFE514D811}"/>
    <dgm:cxn modelId="{984DD7B0-16A1-4DDC-BAA0-CEDD2FD607A6}" type="presOf" srcId="{55338F9E-687F-46CC-98FB-D7176E325851}" destId="{0EAA360A-5522-4293-8848-3D32C2A1BCF3}" srcOrd="0" destOrd="0" presId="urn:microsoft.com/office/officeart/2005/8/layout/orgChart1#2"/>
    <dgm:cxn modelId="{F88E51B0-F1E1-4ED5-8527-E8E33F229E3B}" type="presOf" srcId="{65153DEC-DE25-43F9-8058-7FE0CE1417EF}" destId="{F94924E0-F955-4720-8AE8-592107696FDF}" srcOrd="0" destOrd="0" presId="urn:microsoft.com/office/officeart/2005/8/layout/orgChart1#2"/>
    <dgm:cxn modelId="{3418A653-E46D-487D-B844-118767B8295A}" srcId="{C20CB324-0D84-41CE-9C2B-F44079ECDA3D}" destId="{65153DEC-DE25-43F9-8058-7FE0CE1417EF}" srcOrd="0" destOrd="0" parTransId="{B52089D7-F406-418A-B408-A3E51D0E9C80}" sibTransId="{6605DDEA-2F48-4AA7-A6F9-CB77B083943B}"/>
    <dgm:cxn modelId="{706688D8-CCD3-458E-8642-542A907CF229}" type="presOf" srcId="{F7EE432E-41B6-4AC0-B19B-A5B5B0407EE7}" destId="{C9F7805B-EA0A-4C24-B3E1-8C2AB5EAC4BC}" srcOrd="1" destOrd="0" presId="urn:microsoft.com/office/officeart/2005/8/layout/orgChart1#2"/>
    <dgm:cxn modelId="{4B761676-9C67-46BD-A8C7-05943D341622}" type="presOf" srcId="{0DB4C027-526F-4570-AAF1-9D80C79C47AA}" destId="{D0636782-34EE-4353-9964-08C0B9FE8460}" srcOrd="0" destOrd="0" presId="urn:microsoft.com/office/officeart/2005/8/layout/orgChart1#2"/>
    <dgm:cxn modelId="{22C2DDAE-5499-40D5-B8C8-24A31C037EEE}" type="presOf" srcId="{C20CB324-0D84-41CE-9C2B-F44079ECDA3D}" destId="{19FE3257-3E65-4101-9D97-E939B462FB8D}" srcOrd="0" destOrd="0" presId="urn:microsoft.com/office/officeart/2005/8/layout/orgChart1#2"/>
    <dgm:cxn modelId="{FE92E096-A888-4AFB-9E88-C24D93AA7DAA}" type="presOf" srcId="{41B18322-0361-47BB-9FA8-22F42159E999}" destId="{DF05090B-1DF8-4E3E-898D-F2BC95BA6645}" srcOrd="0" destOrd="0" presId="urn:microsoft.com/office/officeart/2005/8/layout/orgChart1#2"/>
    <dgm:cxn modelId="{2628C9D5-F663-4074-B70E-D8D83B33E978}" type="presOf" srcId="{83725E77-69AF-415A-A136-3560AB674035}" destId="{CF9E0EE9-026F-460C-B777-6DDA918CC50F}" srcOrd="1" destOrd="0" presId="urn:microsoft.com/office/officeart/2005/8/layout/orgChart1#2"/>
    <dgm:cxn modelId="{FDBF6074-2ACA-4444-9342-FE9F13E283DE}" type="presOf" srcId="{6CF8EA22-6D96-46AE-B6C0-E744B2F8735F}" destId="{DC7C9D6E-4F4E-4C1C-A9FD-238CE3E48D39}" srcOrd="1" destOrd="0" presId="urn:microsoft.com/office/officeart/2005/8/layout/orgChart1#2"/>
    <dgm:cxn modelId="{9D571396-A693-4A69-8AA0-4AF8AE2CC792}" srcId="{65153DEC-DE25-43F9-8058-7FE0CE1417EF}" destId="{6CF8EA22-6D96-46AE-B6C0-E744B2F8735F}" srcOrd="3" destOrd="0" parTransId="{F67F349B-8424-4CC9-A316-BA9B9B0C03EA}" sibTransId="{A623F0FA-F0EC-4744-AAF1-AA4149673B13}"/>
    <dgm:cxn modelId="{EFC13AE0-70D6-464A-A8AC-1D8073B75FAD}" type="presOf" srcId="{0DB4C027-526F-4570-AAF1-9D80C79C47AA}" destId="{FBC0AA59-BF47-4CD2-BC48-5CCDCE9EAD82}" srcOrd="1" destOrd="0" presId="urn:microsoft.com/office/officeart/2005/8/layout/orgChart1#2"/>
    <dgm:cxn modelId="{FA68D4BF-13AD-4679-A4A2-84C4E549E89C}" srcId="{65153DEC-DE25-43F9-8058-7FE0CE1417EF}" destId="{83725E77-69AF-415A-A136-3560AB674035}" srcOrd="0" destOrd="0" parTransId="{41B18322-0361-47BB-9FA8-22F42159E999}" sibTransId="{20EF9BD0-6A78-4145-89F1-10FC31E1F009}"/>
    <dgm:cxn modelId="{30EF6A56-EFB3-4276-B8C3-05DE8DEAE516}" type="presOf" srcId="{65153DEC-DE25-43F9-8058-7FE0CE1417EF}" destId="{3F09AB92-8DA0-4843-BBA3-2F4D9774C1D1}" srcOrd="1" destOrd="0" presId="urn:microsoft.com/office/officeart/2005/8/layout/orgChart1#2"/>
    <dgm:cxn modelId="{1D59954B-2194-498A-B96F-16BD1E7454D8}" type="presOf" srcId="{F67F349B-8424-4CC9-A316-BA9B9B0C03EA}" destId="{71A3E2B2-B792-4FE7-92FE-76C9F2F9142B}" srcOrd="0" destOrd="0" presId="urn:microsoft.com/office/officeart/2005/8/layout/orgChart1#2"/>
    <dgm:cxn modelId="{375C1E88-8EF7-409D-BAC8-D2613DE52B8A}" srcId="{65153DEC-DE25-43F9-8058-7FE0CE1417EF}" destId="{F7EE432E-41B6-4AC0-B19B-A5B5B0407EE7}" srcOrd="1" destOrd="0" parTransId="{55338F9E-687F-46CC-98FB-D7176E325851}" sibTransId="{0AA63ABD-7DF5-4A5A-B44B-892114E6B491}"/>
    <dgm:cxn modelId="{8D762FE9-272D-4B2E-A0A1-283C4BFB3F3E}" type="presOf" srcId="{F7EE432E-41B6-4AC0-B19B-A5B5B0407EE7}" destId="{3A6F261C-45DD-42EE-8193-A340AAE4F607}" srcOrd="0" destOrd="0" presId="urn:microsoft.com/office/officeart/2005/8/layout/orgChart1#2"/>
    <dgm:cxn modelId="{70A0DFBC-6922-4458-88B9-FF7648D76371}" type="presOf" srcId="{6CF8EA22-6D96-46AE-B6C0-E744B2F8735F}" destId="{687CC27F-6CE1-4709-AD5F-C6761E0A4B71}" srcOrd="0" destOrd="0" presId="urn:microsoft.com/office/officeart/2005/8/layout/orgChart1#2"/>
    <dgm:cxn modelId="{581DD849-1E07-4831-A278-6872345953F5}" type="presOf" srcId="{1B360BB7-D578-433A-847B-8431E4CE9485}" destId="{EF606350-97B1-4F35-ABAD-F1BCF27C31C4}" srcOrd="0" destOrd="0" presId="urn:microsoft.com/office/officeart/2005/8/layout/orgChart1#2"/>
    <dgm:cxn modelId="{A2A474B8-2825-40A0-BAFA-63DFD5F8FACA}" type="presParOf" srcId="{19FE3257-3E65-4101-9D97-E939B462FB8D}" destId="{06090407-CE10-48F5-89DA-A5BF26C74763}" srcOrd="0" destOrd="0" presId="urn:microsoft.com/office/officeart/2005/8/layout/orgChart1#2"/>
    <dgm:cxn modelId="{90B363DE-5071-45A2-BD88-1220845AE017}" type="presParOf" srcId="{06090407-CE10-48F5-89DA-A5BF26C74763}" destId="{E4D9EF64-C250-40CF-8881-48ED2EF4BCF9}" srcOrd="0" destOrd="0" presId="urn:microsoft.com/office/officeart/2005/8/layout/orgChart1#2"/>
    <dgm:cxn modelId="{AB17D023-7974-4895-A707-6333379B3E0B}" type="presParOf" srcId="{E4D9EF64-C250-40CF-8881-48ED2EF4BCF9}" destId="{F94924E0-F955-4720-8AE8-592107696FDF}" srcOrd="0" destOrd="0" presId="urn:microsoft.com/office/officeart/2005/8/layout/orgChart1#2"/>
    <dgm:cxn modelId="{AA7C1490-6410-491C-A824-6F6AE80D1F06}" type="presParOf" srcId="{E4D9EF64-C250-40CF-8881-48ED2EF4BCF9}" destId="{3F09AB92-8DA0-4843-BBA3-2F4D9774C1D1}" srcOrd="1" destOrd="0" presId="urn:microsoft.com/office/officeart/2005/8/layout/orgChart1#2"/>
    <dgm:cxn modelId="{9E540DE1-7398-4963-A951-029A7D0129BD}" type="presParOf" srcId="{06090407-CE10-48F5-89DA-A5BF26C74763}" destId="{1C497B09-261D-4013-A6E1-753B49D3EFD6}" srcOrd="1" destOrd="0" presId="urn:microsoft.com/office/officeart/2005/8/layout/orgChart1#2"/>
    <dgm:cxn modelId="{71501EC7-529B-4F71-9252-FD5AB73BC1DE}" type="presParOf" srcId="{1C497B09-261D-4013-A6E1-753B49D3EFD6}" destId="{DF05090B-1DF8-4E3E-898D-F2BC95BA6645}" srcOrd="0" destOrd="0" presId="urn:microsoft.com/office/officeart/2005/8/layout/orgChart1#2"/>
    <dgm:cxn modelId="{F2564EE8-66B8-454D-A32A-49054CAD8CCB}" type="presParOf" srcId="{1C497B09-261D-4013-A6E1-753B49D3EFD6}" destId="{9AD8EC19-E407-46C5-AF7D-477B50B02C7F}" srcOrd="1" destOrd="0" presId="urn:microsoft.com/office/officeart/2005/8/layout/orgChart1#2"/>
    <dgm:cxn modelId="{9FA479EF-AEC6-494A-9E20-B29BEF474DAD}" type="presParOf" srcId="{9AD8EC19-E407-46C5-AF7D-477B50B02C7F}" destId="{0B6C0C74-5AB5-400D-B330-75ECB2A9BD2E}" srcOrd="0" destOrd="0" presId="urn:microsoft.com/office/officeart/2005/8/layout/orgChart1#2"/>
    <dgm:cxn modelId="{43DEA87D-7E55-4D57-BDB6-8E7930E34C29}" type="presParOf" srcId="{0B6C0C74-5AB5-400D-B330-75ECB2A9BD2E}" destId="{5AAAD774-C3A7-46A5-B54D-7740FF67B6F7}" srcOrd="0" destOrd="0" presId="urn:microsoft.com/office/officeart/2005/8/layout/orgChart1#2"/>
    <dgm:cxn modelId="{D6E6F4EC-4994-4EDD-95C8-01F12A829336}" type="presParOf" srcId="{0B6C0C74-5AB5-400D-B330-75ECB2A9BD2E}" destId="{CF9E0EE9-026F-460C-B777-6DDA918CC50F}" srcOrd="1" destOrd="0" presId="urn:microsoft.com/office/officeart/2005/8/layout/orgChart1#2"/>
    <dgm:cxn modelId="{5832864E-7B42-46B2-848D-A250C1540A32}" type="presParOf" srcId="{9AD8EC19-E407-46C5-AF7D-477B50B02C7F}" destId="{BCFF546C-2DBB-49E9-B976-19D152FD32F6}" srcOrd="1" destOrd="0" presId="urn:microsoft.com/office/officeart/2005/8/layout/orgChart1#2"/>
    <dgm:cxn modelId="{F7802322-8982-4877-B847-C9F250D2DC36}" type="presParOf" srcId="{9AD8EC19-E407-46C5-AF7D-477B50B02C7F}" destId="{DC9A0ABF-83A4-45C0-B8DE-D98095F51F0C}" srcOrd="2" destOrd="0" presId="urn:microsoft.com/office/officeart/2005/8/layout/orgChart1#2"/>
    <dgm:cxn modelId="{C272A433-027C-4576-84A9-6ECD9B186619}" type="presParOf" srcId="{1C497B09-261D-4013-A6E1-753B49D3EFD6}" destId="{0EAA360A-5522-4293-8848-3D32C2A1BCF3}" srcOrd="2" destOrd="0" presId="urn:microsoft.com/office/officeart/2005/8/layout/orgChart1#2"/>
    <dgm:cxn modelId="{3A9962AC-5C01-464E-A3F0-7A5894CBD59A}" type="presParOf" srcId="{1C497B09-261D-4013-A6E1-753B49D3EFD6}" destId="{E29ECE9D-59A1-480F-A2EF-4436CED20B9C}" srcOrd="3" destOrd="0" presId="urn:microsoft.com/office/officeart/2005/8/layout/orgChart1#2"/>
    <dgm:cxn modelId="{0FE98255-97BF-4F0D-BD1F-A135077C3255}" type="presParOf" srcId="{E29ECE9D-59A1-480F-A2EF-4436CED20B9C}" destId="{FB14312F-351E-416D-B3B8-3973416C0828}" srcOrd="0" destOrd="0" presId="urn:microsoft.com/office/officeart/2005/8/layout/orgChart1#2"/>
    <dgm:cxn modelId="{38C02B4B-8641-42DB-8C7D-91567D22568B}" type="presParOf" srcId="{FB14312F-351E-416D-B3B8-3973416C0828}" destId="{3A6F261C-45DD-42EE-8193-A340AAE4F607}" srcOrd="0" destOrd="0" presId="urn:microsoft.com/office/officeart/2005/8/layout/orgChart1#2"/>
    <dgm:cxn modelId="{56A89064-1930-44BC-BDFE-2DBEA88B679F}" type="presParOf" srcId="{FB14312F-351E-416D-B3B8-3973416C0828}" destId="{C9F7805B-EA0A-4C24-B3E1-8C2AB5EAC4BC}" srcOrd="1" destOrd="0" presId="urn:microsoft.com/office/officeart/2005/8/layout/orgChart1#2"/>
    <dgm:cxn modelId="{E93F0B05-DCA2-45FA-8D46-9557C28616E8}" type="presParOf" srcId="{E29ECE9D-59A1-480F-A2EF-4436CED20B9C}" destId="{77C5C759-2CD0-4926-9130-FBC730EE8602}" srcOrd="1" destOrd="0" presId="urn:microsoft.com/office/officeart/2005/8/layout/orgChart1#2"/>
    <dgm:cxn modelId="{DBBF6B31-4D57-4510-B2A0-98A5FAA8EAFA}" type="presParOf" srcId="{E29ECE9D-59A1-480F-A2EF-4436CED20B9C}" destId="{601AE3EE-DC2B-4A6F-AEC0-53A2B86D2FC0}" srcOrd="2" destOrd="0" presId="urn:microsoft.com/office/officeart/2005/8/layout/orgChart1#2"/>
    <dgm:cxn modelId="{8EB7BCA5-35C9-4C59-A446-FFC552984EBE}" type="presParOf" srcId="{1C497B09-261D-4013-A6E1-753B49D3EFD6}" destId="{EF606350-97B1-4F35-ABAD-F1BCF27C31C4}" srcOrd="4" destOrd="0" presId="urn:microsoft.com/office/officeart/2005/8/layout/orgChart1#2"/>
    <dgm:cxn modelId="{32847935-0C45-4EA2-86B4-34673C0BE4B3}" type="presParOf" srcId="{1C497B09-261D-4013-A6E1-753B49D3EFD6}" destId="{6316F31B-8074-4FE9-A81C-9DD159E505A0}" srcOrd="5" destOrd="0" presId="urn:microsoft.com/office/officeart/2005/8/layout/orgChart1#2"/>
    <dgm:cxn modelId="{39D469E7-E24E-4836-B17D-2358F90BC2E8}" type="presParOf" srcId="{6316F31B-8074-4FE9-A81C-9DD159E505A0}" destId="{C219D5B9-F221-4185-ABFB-120775673705}" srcOrd="0" destOrd="0" presId="urn:microsoft.com/office/officeart/2005/8/layout/orgChart1#2"/>
    <dgm:cxn modelId="{B7E1A3EE-1C5C-4910-A3D3-41800CBD0FA1}" type="presParOf" srcId="{C219D5B9-F221-4185-ABFB-120775673705}" destId="{D0636782-34EE-4353-9964-08C0B9FE8460}" srcOrd="0" destOrd="0" presId="urn:microsoft.com/office/officeart/2005/8/layout/orgChart1#2"/>
    <dgm:cxn modelId="{E5539C82-861A-4DFF-8000-B564B8C51B54}" type="presParOf" srcId="{C219D5B9-F221-4185-ABFB-120775673705}" destId="{FBC0AA59-BF47-4CD2-BC48-5CCDCE9EAD82}" srcOrd="1" destOrd="0" presId="urn:microsoft.com/office/officeart/2005/8/layout/orgChart1#2"/>
    <dgm:cxn modelId="{95693935-F8F0-49E4-8BAB-CEF0D45C51E8}" type="presParOf" srcId="{6316F31B-8074-4FE9-A81C-9DD159E505A0}" destId="{3CB481C2-1DE9-4372-96CA-056C5296E42C}" srcOrd="1" destOrd="0" presId="urn:microsoft.com/office/officeart/2005/8/layout/orgChart1#2"/>
    <dgm:cxn modelId="{6700D910-D02D-4C1C-8B5E-6484C184DDF5}" type="presParOf" srcId="{6316F31B-8074-4FE9-A81C-9DD159E505A0}" destId="{CF42206C-79EA-4594-90BF-95F097B83AA2}" srcOrd="2" destOrd="0" presId="urn:microsoft.com/office/officeart/2005/8/layout/orgChart1#2"/>
    <dgm:cxn modelId="{B22BFCB0-C475-4C84-9CC2-3F311B2E3337}" type="presParOf" srcId="{1C497B09-261D-4013-A6E1-753B49D3EFD6}" destId="{71A3E2B2-B792-4FE7-92FE-76C9F2F9142B}" srcOrd="6" destOrd="0" presId="urn:microsoft.com/office/officeart/2005/8/layout/orgChart1#2"/>
    <dgm:cxn modelId="{9AD281A5-54E0-44C0-9EC1-71DB52D22019}" type="presParOf" srcId="{1C497B09-261D-4013-A6E1-753B49D3EFD6}" destId="{2CA246B6-6187-4A70-B6BA-A410D74D2BBF}" srcOrd="7" destOrd="0" presId="urn:microsoft.com/office/officeart/2005/8/layout/orgChart1#2"/>
    <dgm:cxn modelId="{1669BD83-2EDA-43A0-9422-C2A42B0F5F6F}" type="presParOf" srcId="{2CA246B6-6187-4A70-B6BA-A410D74D2BBF}" destId="{8100A81F-4DA5-40C1-B419-E7C74F71166C}" srcOrd="0" destOrd="0" presId="urn:microsoft.com/office/officeart/2005/8/layout/orgChart1#2"/>
    <dgm:cxn modelId="{C1E24F43-6937-4EF9-9EC1-E5E376739048}" type="presParOf" srcId="{8100A81F-4DA5-40C1-B419-E7C74F71166C}" destId="{687CC27F-6CE1-4709-AD5F-C6761E0A4B71}" srcOrd="0" destOrd="0" presId="urn:microsoft.com/office/officeart/2005/8/layout/orgChart1#2"/>
    <dgm:cxn modelId="{A7078DD4-7B14-466F-B4AB-EAB27BAC6B0C}" type="presParOf" srcId="{8100A81F-4DA5-40C1-B419-E7C74F71166C}" destId="{DC7C9D6E-4F4E-4C1C-A9FD-238CE3E48D39}" srcOrd="1" destOrd="0" presId="urn:microsoft.com/office/officeart/2005/8/layout/orgChart1#2"/>
    <dgm:cxn modelId="{D4DC0CB2-322B-4C50-9946-5620145F4924}" type="presParOf" srcId="{2CA246B6-6187-4A70-B6BA-A410D74D2BBF}" destId="{32E0BE07-1262-4A8C-833D-C141C61AF10F}" srcOrd="1" destOrd="0" presId="urn:microsoft.com/office/officeart/2005/8/layout/orgChart1#2"/>
    <dgm:cxn modelId="{F4BA4BC0-51EA-4F1D-8514-BA9CE180CBE1}" type="presParOf" srcId="{2CA246B6-6187-4A70-B6BA-A410D74D2BBF}" destId="{DA0495DD-C2E9-404F-92DD-53923A53B6D2}" srcOrd="2" destOrd="0" presId="urn:microsoft.com/office/officeart/2005/8/layout/orgChart1#2"/>
    <dgm:cxn modelId="{BBE51C4A-E892-4810-A4E3-BB1A16829A82}" type="presParOf" srcId="{06090407-CE10-48F5-89DA-A5BF26C74763}" destId="{146FBC47-6608-4A3D-8D31-9DD52DA7CF99}" srcOrd="2" destOrd="0" presId="urn:microsoft.com/office/officeart/2005/8/layout/orgChart1#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A3E2B2-B792-4FE7-92FE-76C9F2F9142B}">
      <dsp:nvSpPr>
        <dsp:cNvPr id="0" name=""/>
        <dsp:cNvSpPr/>
      </dsp:nvSpPr>
      <dsp:spPr>
        <a:xfrm>
          <a:off x="2268854" y="628719"/>
          <a:ext cx="1776981" cy="205601"/>
        </a:xfrm>
        <a:custGeom>
          <a:avLst/>
          <a:gdLst/>
          <a:ahLst/>
          <a:cxnLst/>
          <a:rect l="0" t="0" r="0" b="0"/>
          <a:pathLst>
            <a:path>
              <a:moveTo>
                <a:pt x="0" y="0"/>
              </a:moveTo>
              <a:lnTo>
                <a:pt x="0" y="102771"/>
              </a:lnTo>
              <a:lnTo>
                <a:pt x="1776483" y="102771"/>
              </a:lnTo>
              <a:lnTo>
                <a:pt x="1776483" y="20554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606350-97B1-4F35-ABAD-F1BCF27C31C4}">
      <dsp:nvSpPr>
        <dsp:cNvPr id="0" name=""/>
        <dsp:cNvSpPr/>
      </dsp:nvSpPr>
      <dsp:spPr>
        <a:xfrm>
          <a:off x="2268854" y="628719"/>
          <a:ext cx="592327" cy="205601"/>
        </a:xfrm>
        <a:custGeom>
          <a:avLst/>
          <a:gdLst/>
          <a:ahLst/>
          <a:cxnLst/>
          <a:rect l="0" t="0" r="0" b="0"/>
          <a:pathLst>
            <a:path>
              <a:moveTo>
                <a:pt x="0" y="0"/>
              </a:moveTo>
              <a:lnTo>
                <a:pt x="0" y="102771"/>
              </a:lnTo>
              <a:lnTo>
                <a:pt x="592161" y="102771"/>
              </a:lnTo>
              <a:lnTo>
                <a:pt x="592161" y="20554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AA360A-5522-4293-8848-3D32C2A1BCF3}">
      <dsp:nvSpPr>
        <dsp:cNvPr id="0" name=""/>
        <dsp:cNvSpPr/>
      </dsp:nvSpPr>
      <dsp:spPr>
        <a:xfrm>
          <a:off x="1676527" y="628719"/>
          <a:ext cx="592327" cy="205601"/>
        </a:xfrm>
        <a:custGeom>
          <a:avLst/>
          <a:gdLst/>
          <a:ahLst/>
          <a:cxnLst/>
          <a:rect l="0" t="0" r="0" b="0"/>
          <a:pathLst>
            <a:path>
              <a:moveTo>
                <a:pt x="592161" y="0"/>
              </a:moveTo>
              <a:lnTo>
                <a:pt x="592161" y="102771"/>
              </a:lnTo>
              <a:lnTo>
                <a:pt x="0" y="102771"/>
              </a:lnTo>
              <a:lnTo>
                <a:pt x="0" y="20554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F05090B-1DF8-4E3E-898D-F2BC95BA6645}">
      <dsp:nvSpPr>
        <dsp:cNvPr id="0" name=""/>
        <dsp:cNvSpPr/>
      </dsp:nvSpPr>
      <dsp:spPr>
        <a:xfrm>
          <a:off x="491873" y="628719"/>
          <a:ext cx="1776981" cy="205601"/>
        </a:xfrm>
        <a:custGeom>
          <a:avLst/>
          <a:gdLst/>
          <a:ahLst/>
          <a:cxnLst/>
          <a:rect l="0" t="0" r="0" b="0"/>
          <a:pathLst>
            <a:path>
              <a:moveTo>
                <a:pt x="1776483" y="0"/>
              </a:moveTo>
              <a:lnTo>
                <a:pt x="1776483" y="102771"/>
              </a:lnTo>
              <a:lnTo>
                <a:pt x="0" y="102771"/>
              </a:lnTo>
              <a:lnTo>
                <a:pt x="0" y="20554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94924E0-F955-4720-8AE8-592107696FDF}">
      <dsp:nvSpPr>
        <dsp:cNvPr id="0" name=""/>
        <dsp:cNvSpPr/>
      </dsp:nvSpPr>
      <dsp:spPr>
        <a:xfrm>
          <a:off x="1589906" y="139192"/>
          <a:ext cx="1357897" cy="48952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zh-CN" altLang="en-US" sz="1200" b="0" i="0" u="none" strike="noStrike" kern="100" baseline="0">
              <a:solidFill>
                <a:sysClr val="window" lastClr="FFFFFF"/>
              </a:solidFill>
              <a:latin typeface="黑体" panose="02010609060101010101" charset="-122"/>
              <a:ea typeface="黑体" panose="02010609060101010101" charset="-122"/>
              <a:cs typeface="+mn-cs"/>
            </a:rPr>
            <a:t>运维管理组</a:t>
          </a:r>
          <a:endParaRPr lang="zh-CN" altLang="en-US" sz="1200">
            <a:solidFill>
              <a:sysClr val="window" lastClr="FFFFFF"/>
            </a:solidFill>
            <a:latin typeface="等线" panose="02010600030101010101" charset="-122"/>
            <a:ea typeface="等线" panose="02010600030101010101" charset="-122"/>
            <a:cs typeface="+mn-cs"/>
          </a:endParaRPr>
        </a:p>
      </dsp:txBody>
      <dsp:txXfrm>
        <a:off x="1589906" y="139192"/>
        <a:ext cx="1357897" cy="489526"/>
      </dsp:txXfrm>
    </dsp:sp>
    <dsp:sp modelId="{5AAAD774-C3A7-46A5-B54D-7740FF67B6F7}">
      <dsp:nvSpPr>
        <dsp:cNvPr id="0" name=""/>
        <dsp:cNvSpPr/>
      </dsp:nvSpPr>
      <dsp:spPr>
        <a:xfrm>
          <a:off x="2347" y="834320"/>
          <a:ext cx="979053" cy="48952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zh-CN" altLang="en-US" sz="1200" b="0" i="0" u="none" strike="noStrike" kern="100" baseline="0">
              <a:solidFill>
                <a:sysClr val="window" lastClr="FFFFFF"/>
              </a:solidFill>
              <a:latin typeface="黑体" panose="02010609060101010101" charset="-122"/>
              <a:ea typeface="黑体" panose="02010609060101010101" charset="-122"/>
              <a:cs typeface="+mn-cs"/>
            </a:rPr>
            <a:t>巡检服务组</a:t>
          </a:r>
          <a:endParaRPr lang="zh-CN" altLang="en-US" sz="1200">
            <a:solidFill>
              <a:sysClr val="window" lastClr="FFFFFF"/>
            </a:solidFill>
            <a:latin typeface="等线" panose="02010600030101010101" charset="-122"/>
            <a:ea typeface="等线" panose="02010600030101010101" charset="-122"/>
            <a:cs typeface="+mn-cs"/>
          </a:endParaRPr>
        </a:p>
      </dsp:txBody>
      <dsp:txXfrm>
        <a:off x="2347" y="834320"/>
        <a:ext cx="979053" cy="489526"/>
      </dsp:txXfrm>
    </dsp:sp>
    <dsp:sp modelId="{3A6F261C-45DD-42EE-8193-A340AAE4F607}">
      <dsp:nvSpPr>
        <dsp:cNvPr id="0" name=""/>
        <dsp:cNvSpPr/>
      </dsp:nvSpPr>
      <dsp:spPr>
        <a:xfrm>
          <a:off x="1187001" y="834320"/>
          <a:ext cx="979053" cy="48952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zh-CN" altLang="en-US" sz="1200" b="0" i="0" u="none" strike="noStrike" kern="100" baseline="0">
              <a:solidFill>
                <a:sysClr val="window" lastClr="FFFFFF"/>
              </a:solidFill>
              <a:latin typeface="黑体" panose="02010609060101010101" charset="-122"/>
              <a:ea typeface="黑体" panose="02010609060101010101" charset="-122"/>
              <a:cs typeface="+mn-cs"/>
            </a:rPr>
            <a:t>日常维护组</a:t>
          </a:r>
          <a:endParaRPr lang="zh-CN" altLang="en-US" sz="1200">
            <a:solidFill>
              <a:sysClr val="window" lastClr="FFFFFF"/>
            </a:solidFill>
            <a:latin typeface="等线" panose="02010600030101010101" charset="-122"/>
            <a:ea typeface="等线" panose="02010600030101010101" charset="-122"/>
            <a:cs typeface="+mn-cs"/>
          </a:endParaRPr>
        </a:p>
      </dsp:txBody>
      <dsp:txXfrm>
        <a:off x="1187001" y="834320"/>
        <a:ext cx="979053" cy="489526"/>
      </dsp:txXfrm>
    </dsp:sp>
    <dsp:sp modelId="{D0636782-34EE-4353-9964-08C0B9FE8460}">
      <dsp:nvSpPr>
        <dsp:cNvPr id="0" name=""/>
        <dsp:cNvSpPr/>
      </dsp:nvSpPr>
      <dsp:spPr>
        <a:xfrm>
          <a:off x="2371655" y="834320"/>
          <a:ext cx="979053" cy="48952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zh-CN" altLang="en-US" sz="1200" b="0" i="0" u="none" strike="noStrike" kern="100" baseline="0">
              <a:solidFill>
                <a:sysClr val="window" lastClr="FFFFFF"/>
              </a:solidFill>
              <a:latin typeface="黑体" panose="02010609060101010101" charset="-122"/>
              <a:ea typeface="黑体" panose="02010609060101010101" charset="-122"/>
              <a:cs typeface="+mn-cs"/>
            </a:rPr>
            <a:t>应急支持组</a:t>
          </a:r>
          <a:endParaRPr lang="zh-CN" altLang="en-US" sz="1200">
            <a:solidFill>
              <a:sysClr val="window" lastClr="FFFFFF"/>
            </a:solidFill>
            <a:latin typeface="等线" panose="02010600030101010101" charset="-122"/>
            <a:ea typeface="等线" panose="02010600030101010101" charset="-122"/>
            <a:cs typeface="+mn-cs"/>
          </a:endParaRPr>
        </a:p>
      </dsp:txBody>
      <dsp:txXfrm>
        <a:off x="2371655" y="834320"/>
        <a:ext cx="979053" cy="489526"/>
      </dsp:txXfrm>
    </dsp:sp>
    <dsp:sp modelId="{687CC27F-6CE1-4709-AD5F-C6761E0A4B71}">
      <dsp:nvSpPr>
        <dsp:cNvPr id="0" name=""/>
        <dsp:cNvSpPr/>
      </dsp:nvSpPr>
      <dsp:spPr>
        <a:xfrm>
          <a:off x="3556309" y="834320"/>
          <a:ext cx="979053" cy="48952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zh-CN" altLang="en-US" sz="1200" b="0" kern="1200">
              <a:solidFill>
                <a:sysClr val="window" lastClr="FFFFFF"/>
              </a:solidFill>
              <a:latin typeface="等线" panose="02010600030101010101" charset="-122"/>
              <a:ea typeface="等线" panose="02010600030101010101" charset="-122"/>
              <a:cs typeface="+mn-cs"/>
            </a:rPr>
            <a:t>技术支持组</a:t>
          </a:r>
        </a:p>
      </dsp:txBody>
      <dsp:txXfrm>
        <a:off x="3556309" y="834320"/>
        <a:ext cx="979053" cy="4895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2026-04-02T08:14:00Z</dcterms:created>
  <dc:creator>user</dc:creator>
  <cp:lastModifiedBy>11</cp:lastModifiedBy>
  <dcterms:modified xsi:type="dcterms:W3CDTF">2026-04-02T08:37:27Z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