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092D">
      <w:pPr>
        <w:pStyle w:val="2"/>
        <w:tabs>
          <w:tab w:val="left" w:pos="1630"/>
        </w:tabs>
        <w:spacing w:line="460" w:lineRule="exact"/>
        <w:ind w:left="8"/>
        <w:jc w:val="center"/>
        <w:rPr>
          <w:rFonts w:hint="eastAsia"/>
          <w:b/>
          <w:bCs/>
          <w:lang w:eastAsia="zh-CN"/>
        </w:rPr>
      </w:pPr>
      <w:bookmarkStart w:id="13" w:name="_GoBack"/>
      <w:bookmarkEnd w:id="13"/>
      <w:r>
        <w:rPr>
          <w:rFonts w:hint="eastAsia"/>
          <w:b/>
          <w:bCs/>
          <w:lang w:eastAsia="zh-CN"/>
        </w:rPr>
        <w:t>采购需求</w:t>
      </w:r>
    </w:p>
    <w:p w14:paraId="131BCA9C">
      <w:pPr>
        <w:rPr>
          <w:rFonts w:hint="eastAsia"/>
          <w:lang w:eastAsia="zh-CN"/>
        </w:rPr>
      </w:pPr>
    </w:p>
    <w:p w14:paraId="2C386C2F">
      <w:pPr>
        <w:pStyle w:val="5"/>
        <w:spacing w:before="1"/>
        <w:ind w:left="121"/>
        <w:rPr>
          <w:rFonts w:hint="eastAsia"/>
          <w:b/>
          <w:bCs/>
          <w:lang w:eastAsia="zh-CN"/>
        </w:rPr>
      </w:pPr>
      <w:r>
        <w:rPr>
          <w:rFonts w:hint="eastAsia"/>
          <w:b/>
          <w:bCs/>
          <w:lang w:eastAsia="zh-CN"/>
        </w:rPr>
        <w:t>一、采购标的</w:t>
      </w:r>
    </w:p>
    <w:p w14:paraId="0B9B12AE">
      <w:pPr>
        <w:pStyle w:val="12"/>
        <w:tabs>
          <w:tab w:val="left" w:pos="470"/>
          <w:tab w:val="left" w:pos="7040"/>
        </w:tabs>
        <w:spacing w:before="154" w:line="360" w:lineRule="auto"/>
        <w:ind w:left="121" w:right="1830" w:firstLine="269" w:firstLineChars="100"/>
        <w:rPr>
          <w:rFonts w:hint="eastAsia"/>
          <w:sz w:val="24"/>
          <w:lang w:eastAsia="zh-CN"/>
        </w:rPr>
      </w:pPr>
      <w:r>
        <w:rPr>
          <w:rFonts w:hint="eastAsia"/>
          <w:spacing w:val="-2"/>
          <w:w w:val="114"/>
          <w:sz w:val="24"/>
          <w:szCs w:val="24"/>
          <w:lang w:eastAsia="zh-CN"/>
        </w:rPr>
        <w:t>1.</w:t>
      </w:r>
      <w:r>
        <w:rPr>
          <w:rFonts w:hint="eastAsia"/>
          <w:sz w:val="24"/>
          <w:lang w:eastAsia="zh-CN"/>
        </w:rPr>
        <w:t>采购标的（货物需求一览表）</w:t>
      </w:r>
    </w:p>
    <w:tbl>
      <w:tblPr>
        <w:tblStyle w:val="9"/>
        <w:tblW w:w="44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15"/>
        <w:gridCol w:w="2679"/>
        <w:gridCol w:w="1999"/>
        <w:gridCol w:w="1670"/>
      </w:tblGrid>
      <w:tr w14:paraId="50C7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blHeader/>
          <w:jc w:val="center"/>
        </w:trPr>
        <w:tc>
          <w:tcPr>
            <w:tcW w:w="747" w:type="pct"/>
            <w:tcBorders>
              <w:top w:val="single" w:color="000000" w:sz="4" w:space="0"/>
              <w:left w:val="single" w:color="000000" w:sz="4" w:space="0"/>
              <w:bottom w:val="single" w:color="000000" w:sz="4" w:space="0"/>
              <w:right w:val="single" w:color="000000" w:sz="4" w:space="0"/>
            </w:tcBorders>
            <w:vAlign w:val="center"/>
          </w:tcPr>
          <w:p w14:paraId="57285B40">
            <w:pPr>
              <w:pStyle w:val="13"/>
              <w:jc w:val="center"/>
              <w:rPr>
                <w:rFonts w:hint="eastAsia"/>
                <w:b/>
                <w:bCs/>
                <w:sz w:val="24"/>
                <w:szCs w:val="24"/>
                <w:lang w:eastAsia="zh-CN"/>
              </w:rPr>
            </w:pPr>
            <w:bookmarkStart w:id="0" w:name="RANGE!J9"/>
            <w:r>
              <w:rPr>
                <w:rFonts w:hint="eastAsia"/>
                <w:b/>
                <w:bCs/>
                <w:sz w:val="24"/>
                <w:szCs w:val="24"/>
                <w:lang w:eastAsia="zh-CN"/>
              </w:rPr>
              <w:t>包号</w:t>
            </w:r>
            <w:bookmarkEnd w:id="0"/>
          </w:p>
        </w:tc>
        <w:tc>
          <w:tcPr>
            <w:tcW w:w="1794" w:type="pct"/>
            <w:tcBorders>
              <w:top w:val="single" w:color="000000" w:sz="4" w:space="0"/>
              <w:left w:val="single" w:color="000000" w:sz="4" w:space="0"/>
              <w:bottom w:val="single" w:color="000000" w:sz="4" w:space="0"/>
              <w:right w:val="single" w:color="000000" w:sz="4" w:space="0"/>
            </w:tcBorders>
            <w:vAlign w:val="center"/>
          </w:tcPr>
          <w:p w14:paraId="682629A5">
            <w:pPr>
              <w:pStyle w:val="13"/>
              <w:jc w:val="center"/>
              <w:rPr>
                <w:rFonts w:hint="eastAsia"/>
                <w:b/>
                <w:bCs/>
                <w:sz w:val="24"/>
                <w:szCs w:val="24"/>
                <w:lang w:eastAsia="zh-CN"/>
              </w:rPr>
            </w:pPr>
            <w:r>
              <w:rPr>
                <w:rFonts w:hint="eastAsia"/>
                <w:b/>
                <w:bCs/>
                <w:sz w:val="24"/>
                <w:szCs w:val="24"/>
                <w:lang w:eastAsia="zh-CN"/>
              </w:rPr>
              <w:t>标的名称</w:t>
            </w:r>
          </w:p>
        </w:tc>
        <w:tc>
          <w:tcPr>
            <w:tcW w:w="1339" w:type="pct"/>
            <w:tcBorders>
              <w:top w:val="single" w:color="000000" w:sz="4" w:space="0"/>
              <w:left w:val="single" w:color="000000" w:sz="4" w:space="0"/>
              <w:bottom w:val="single" w:color="000000" w:sz="4" w:space="0"/>
              <w:right w:val="single" w:color="000000" w:sz="4" w:space="0"/>
            </w:tcBorders>
            <w:vAlign w:val="center"/>
          </w:tcPr>
          <w:p w14:paraId="154B9D6B">
            <w:pPr>
              <w:pStyle w:val="13"/>
              <w:jc w:val="center"/>
              <w:rPr>
                <w:rFonts w:hint="eastAsia"/>
                <w:b/>
                <w:bCs/>
                <w:sz w:val="24"/>
                <w:szCs w:val="24"/>
              </w:rPr>
            </w:pPr>
            <w:r>
              <w:rPr>
                <w:rFonts w:hint="eastAsia"/>
                <w:b/>
                <w:bCs/>
                <w:sz w:val="24"/>
                <w:szCs w:val="24"/>
              </w:rPr>
              <w:t>数量</w:t>
            </w:r>
          </w:p>
        </w:tc>
        <w:tc>
          <w:tcPr>
            <w:tcW w:w="1118" w:type="pct"/>
            <w:tcBorders>
              <w:top w:val="single" w:color="000000" w:sz="4" w:space="0"/>
              <w:left w:val="single" w:color="000000" w:sz="4" w:space="0"/>
              <w:bottom w:val="single" w:color="000000" w:sz="4" w:space="0"/>
              <w:right w:val="single" w:color="000000" w:sz="4" w:space="0"/>
            </w:tcBorders>
            <w:vAlign w:val="center"/>
          </w:tcPr>
          <w:p w14:paraId="10E2C1C1">
            <w:pPr>
              <w:pStyle w:val="13"/>
              <w:jc w:val="center"/>
              <w:rPr>
                <w:rFonts w:hint="eastAsia"/>
                <w:b/>
                <w:bCs/>
                <w:sz w:val="24"/>
                <w:szCs w:val="24"/>
                <w:lang w:eastAsia="zh-CN"/>
              </w:rPr>
            </w:pPr>
            <w:r>
              <w:rPr>
                <w:rFonts w:hint="eastAsia"/>
                <w:b/>
                <w:bCs/>
                <w:sz w:val="24"/>
                <w:szCs w:val="24"/>
                <w:lang w:eastAsia="zh-CN"/>
              </w:rPr>
              <w:t>是否允许采购进口产品</w:t>
            </w:r>
          </w:p>
        </w:tc>
      </w:tr>
      <w:tr w14:paraId="2762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47" w:type="pct"/>
            <w:tcBorders>
              <w:top w:val="single" w:color="000000" w:sz="4" w:space="0"/>
              <w:left w:val="single" w:color="000000" w:sz="4" w:space="0"/>
              <w:bottom w:val="single" w:color="000000" w:sz="4" w:space="0"/>
              <w:right w:val="single" w:color="000000" w:sz="4" w:space="0"/>
            </w:tcBorders>
            <w:vAlign w:val="center"/>
          </w:tcPr>
          <w:p w14:paraId="0AD4949C">
            <w:pPr>
              <w:ind w:left="1226" w:leftChars="0" w:hanging="1226" w:firstLineChars="0"/>
              <w:jc w:val="center"/>
              <w:rPr>
                <w:rFonts w:hint="eastAsia" w:ascii="宋体" w:hAnsi="宋体" w:eastAsia="宋体" w:cs="宋体"/>
                <w:sz w:val="24"/>
                <w:szCs w:val="24"/>
                <w:lang w:eastAsia="zh-CN"/>
              </w:rPr>
            </w:pPr>
            <w:r>
              <w:rPr>
                <w:rFonts w:hint="eastAsia" w:ascii="宋体" w:hAnsi="宋体" w:eastAsia="宋体" w:cs="宋体"/>
                <w:sz w:val="24"/>
                <w:szCs w:val="24"/>
              </w:rPr>
              <w:t>01</w:t>
            </w:r>
          </w:p>
        </w:tc>
        <w:tc>
          <w:tcPr>
            <w:tcW w:w="1794" w:type="pct"/>
            <w:tcBorders>
              <w:top w:val="single" w:color="000000" w:sz="4" w:space="0"/>
              <w:left w:val="single" w:color="000000" w:sz="4" w:space="0"/>
              <w:bottom w:val="single" w:color="000000" w:sz="4" w:space="0"/>
              <w:right w:val="single" w:color="000000" w:sz="4" w:space="0"/>
            </w:tcBorders>
            <w:vAlign w:val="center"/>
          </w:tcPr>
          <w:p w14:paraId="308B78E4">
            <w:pPr>
              <w:jc w:val="center"/>
              <w:rPr>
                <w:rFonts w:hint="eastAsia" w:ascii="宋体" w:hAnsi="宋体" w:eastAsia="宋体" w:cs="宋体"/>
                <w:sz w:val="24"/>
                <w:szCs w:val="24"/>
                <w:lang w:eastAsia="zh-CN"/>
              </w:rPr>
            </w:pPr>
            <w:r>
              <w:rPr>
                <w:rFonts w:hint="eastAsia" w:ascii="宋体" w:hAnsi="宋体" w:eastAsia="宋体" w:cs="宋体"/>
                <w:sz w:val="24"/>
                <w:szCs w:val="24"/>
              </w:rPr>
              <w:t>备份存储一体机</w:t>
            </w:r>
          </w:p>
        </w:tc>
        <w:tc>
          <w:tcPr>
            <w:tcW w:w="1339" w:type="pct"/>
            <w:tcBorders>
              <w:top w:val="single" w:color="000000" w:sz="4" w:space="0"/>
              <w:left w:val="single" w:color="000000" w:sz="4" w:space="0"/>
              <w:bottom w:val="single" w:color="000000" w:sz="4" w:space="0"/>
              <w:right w:val="single" w:color="000000" w:sz="4" w:space="0"/>
            </w:tcBorders>
            <w:vAlign w:val="center"/>
          </w:tcPr>
          <w:p w14:paraId="71A99685">
            <w:pPr>
              <w:widowControl/>
              <w:jc w:val="center"/>
              <w:textAlignment w:val="center"/>
              <w:rPr>
                <w:rFonts w:hint="default"/>
                <w:sz w:val="24"/>
                <w:szCs w:val="24"/>
                <w:lang w:val="en-US"/>
              </w:rPr>
            </w:pPr>
            <w:r>
              <w:rPr>
                <w:rFonts w:hint="eastAsia" w:ascii="宋体" w:hAnsi="宋体" w:cs="等线"/>
                <w:color w:val="000000"/>
                <w:kern w:val="0"/>
                <w:sz w:val="24"/>
                <w:lang w:bidi="ar"/>
              </w:rPr>
              <w:t>1套</w:t>
            </w:r>
          </w:p>
        </w:tc>
        <w:tc>
          <w:tcPr>
            <w:tcW w:w="1118" w:type="pct"/>
            <w:tcBorders>
              <w:top w:val="single" w:color="000000" w:sz="4" w:space="0"/>
              <w:left w:val="single" w:color="000000" w:sz="4" w:space="0"/>
              <w:bottom w:val="single" w:color="000000" w:sz="4" w:space="0"/>
              <w:right w:val="single" w:color="000000" w:sz="4" w:space="0"/>
            </w:tcBorders>
            <w:vAlign w:val="center"/>
          </w:tcPr>
          <w:p w14:paraId="12006867">
            <w:pPr>
              <w:widowControl/>
              <w:jc w:val="center"/>
              <w:rPr>
                <w:rFonts w:hint="eastAsia"/>
                <w:sz w:val="24"/>
                <w:szCs w:val="24"/>
                <w:lang w:eastAsia="zh-CN"/>
              </w:rPr>
            </w:pPr>
            <w:r>
              <w:rPr>
                <w:rFonts w:hint="eastAsia"/>
                <w:sz w:val="24"/>
                <w:szCs w:val="24"/>
                <w:lang w:eastAsia="zh-CN"/>
              </w:rPr>
              <w:t>否</w:t>
            </w:r>
          </w:p>
        </w:tc>
      </w:tr>
      <w:tr w14:paraId="03372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47" w:type="pct"/>
            <w:tcBorders>
              <w:top w:val="single" w:color="000000" w:sz="4" w:space="0"/>
              <w:left w:val="single" w:color="000000" w:sz="4" w:space="0"/>
              <w:bottom w:val="single" w:color="000000" w:sz="4" w:space="0"/>
              <w:right w:val="single" w:color="000000" w:sz="4" w:space="0"/>
            </w:tcBorders>
            <w:vAlign w:val="center"/>
          </w:tcPr>
          <w:p w14:paraId="336A15CB">
            <w:pPr>
              <w:ind w:left="1226" w:leftChars="0" w:hanging="1226" w:firstLineChars="0"/>
              <w:jc w:val="center"/>
              <w:rPr>
                <w:rFonts w:hint="eastAsia" w:ascii="宋体" w:hAnsi="宋体" w:eastAsia="宋体" w:cs="宋体"/>
                <w:sz w:val="24"/>
                <w:szCs w:val="24"/>
                <w:lang w:eastAsia="zh-CN"/>
              </w:rPr>
            </w:pPr>
            <w:r>
              <w:rPr>
                <w:rFonts w:hint="eastAsia" w:ascii="宋体" w:hAnsi="宋体" w:eastAsia="宋体" w:cs="宋体"/>
                <w:sz w:val="24"/>
                <w:szCs w:val="24"/>
              </w:rPr>
              <w:t>02</w:t>
            </w:r>
          </w:p>
        </w:tc>
        <w:tc>
          <w:tcPr>
            <w:tcW w:w="1794" w:type="pct"/>
            <w:tcBorders>
              <w:top w:val="single" w:color="000000" w:sz="4" w:space="0"/>
              <w:left w:val="single" w:color="000000" w:sz="4" w:space="0"/>
              <w:bottom w:val="single" w:color="000000" w:sz="4" w:space="0"/>
              <w:right w:val="single" w:color="000000" w:sz="4" w:space="0"/>
            </w:tcBorders>
            <w:vAlign w:val="center"/>
          </w:tcPr>
          <w:p w14:paraId="46C9044B">
            <w:pPr>
              <w:jc w:val="center"/>
              <w:rPr>
                <w:rFonts w:hint="eastAsia" w:ascii="宋体" w:hAnsi="宋体" w:eastAsia="宋体" w:cs="宋体"/>
                <w:sz w:val="24"/>
                <w:szCs w:val="24"/>
              </w:rPr>
            </w:pPr>
            <w:r>
              <w:rPr>
                <w:rFonts w:hint="eastAsia" w:ascii="宋体" w:hAnsi="宋体" w:eastAsia="宋体" w:cs="宋体"/>
                <w:sz w:val="24"/>
                <w:szCs w:val="24"/>
              </w:rPr>
              <w:t>业务性能监测管理平台</w:t>
            </w:r>
          </w:p>
        </w:tc>
        <w:tc>
          <w:tcPr>
            <w:tcW w:w="1339" w:type="pct"/>
            <w:tcBorders>
              <w:top w:val="single" w:color="000000" w:sz="4" w:space="0"/>
              <w:left w:val="single" w:color="000000" w:sz="4" w:space="0"/>
              <w:bottom w:val="single" w:color="000000" w:sz="4" w:space="0"/>
              <w:right w:val="single" w:color="000000" w:sz="4" w:space="0"/>
            </w:tcBorders>
            <w:vAlign w:val="center"/>
          </w:tcPr>
          <w:p w14:paraId="6783D0C2">
            <w:pPr>
              <w:widowControl/>
              <w:jc w:val="center"/>
              <w:textAlignment w:val="center"/>
              <w:rPr>
                <w:rFonts w:hint="eastAsia"/>
                <w:color w:val="000000"/>
                <w:sz w:val="24"/>
                <w:szCs w:val="24"/>
                <w:lang w:val="en-US" w:eastAsia="zh-CN" w:bidi="ar"/>
              </w:rPr>
            </w:pPr>
            <w:r>
              <w:rPr>
                <w:rFonts w:hint="eastAsia" w:ascii="宋体" w:hAnsi="宋体" w:cs="等线"/>
                <w:color w:val="000000"/>
                <w:kern w:val="0"/>
                <w:sz w:val="24"/>
                <w:lang w:bidi="ar"/>
              </w:rPr>
              <w:t>1套</w:t>
            </w:r>
          </w:p>
        </w:tc>
        <w:tc>
          <w:tcPr>
            <w:tcW w:w="1118" w:type="pct"/>
            <w:tcBorders>
              <w:top w:val="single" w:color="000000" w:sz="4" w:space="0"/>
              <w:left w:val="single" w:color="000000" w:sz="4" w:space="0"/>
              <w:bottom w:val="single" w:color="000000" w:sz="4" w:space="0"/>
              <w:right w:val="single" w:color="000000" w:sz="4" w:space="0"/>
            </w:tcBorders>
            <w:vAlign w:val="center"/>
          </w:tcPr>
          <w:p w14:paraId="33CE9FCD">
            <w:pPr>
              <w:widowControl/>
              <w:jc w:val="center"/>
              <w:rPr>
                <w:rFonts w:hint="eastAsia"/>
                <w:sz w:val="24"/>
                <w:szCs w:val="24"/>
                <w:lang w:eastAsia="zh-CN"/>
              </w:rPr>
            </w:pPr>
            <w:r>
              <w:rPr>
                <w:rFonts w:hint="eastAsia"/>
                <w:sz w:val="24"/>
                <w:szCs w:val="24"/>
                <w:lang w:eastAsia="zh-CN"/>
              </w:rPr>
              <w:t>否</w:t>
            </w:r>
          </w:p>
        </w:tc>
      </w:tr>
      <w:tr w14:paraId="5C261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47" w:type="pct"/>
            <w:tcBorders>
              <w:top w:val="single" w:color="000000" w:sz="4" w:space="0"/>
              <w:left w:val="single" w:color="000000" w:sz="4" w:space="0"/>
              <w:bottom w:val="single" w:color="000000" w:sz="4" w:space="0"/>
              <w:right w:val="single" w:color="000000" w:sz="4" w:space="0"/>
            </w:tcBorders>
            <w:vAlign w:val="center"/>
          </w:tcPr>
          <w:p w14:paraId="17F3B106">
            <w:pPr>
              <w:ind w:left="1226" w:leftChars="0" w:hanging="1226" w:firstLineChars="0"/>
              <w:jc w:val="center"/>
              <w:rPr>
                <w:rFonts w:hint="eastAsia" w:ascii="宋体" w:hAnsi="宋体" w:eastAsia="宋体" w:cs="宋体"/>
                <w:sz w:val="24"/>
                <w:szCs w:val="24"/>
                <w:lang w:eastAsia="zh-CN"/>
              </w:rPr>
            </w:pPr>
            <w:r>
              <w:rPr>
                <w:rFonts w:hint="eastAsia" w:ascii="宋体" w:hAnsi="宋体" w:eastAsia="宋体" w:cs="宋体"/>
                <w:sz w:val="24"/>
                <w:szCs w:val="24"/>
              </w:rPr>
              <w:t>03</w:t>
            </w:r>
          </w:p>
        </w:tc>
        <w:tc>
          <w:tcPr>
            <w:tcW w:w="1794" w:type="pct"/>
            <w:tcBorders>
              <w:top w:val="single" w:color="000000" w:sz="4" w:space="0"/>
              <w:left w:val="single" w:color="000000" w:sz="4" w:space="0"/>
              <w:bottom w:val="single" w:color="000000" w:sz="4" w:space="0"/>
              <w:right w:val="single" w:color="000000" w:sz="4" w:space="0"/>
            </w:tcBorders>
            <w:vAlign w:val="center"/>
          </w:tcPr>
          <w:p w14:paraId="048B0B29">
            <w:pPr>
              <w:jc w:val="center"/>
              <w:rPr>
                <w:rFonts w:hint="eastAsia" w:ascii="宋体" w:hAnsi="宋体" w:eastAsia="宋体" w:cs="宋体"/>
                <w:sz w:val="24"/>
                <w:szCs w:val="24"/>
              </w:rPr>
            </w:pPr>
            <w:r>
              <w:rPr>
                <w:rFonts w:hint="eastAsia" w:ascii="宋体" w:hAnsi="宋体" w:eastAsia="宋体" w:cs="宋体"/>
                <w:sz w:val="24"/>
                <w:szCs w:val="24"/>
              </w:rPr>
              <w:t>医疗数据交互平台</w:t>
            </w:r>
          </w:p>
        </w:tc>
        <w:tc>
          <w:tcPr>
            <w:tcW w:w="1339" w:type="pct"/>
            <w:tcBorders>
              <w:top w:val="single" w:color="000000" w:sz="4" w:space="0"/>
              <w:left w:val="single" w:color="000000" w:sz="4" w:space="0"/>
              <w:bottom w:val="single" w:color="000000" w:sz="4" w:space="0"/>
              <w:right w:val="single" w:color="000000" w:sz="4" w:space="0"/>
            </w:tcBorders>
            <w:vAlign w:val="center"/>
          </w:tcPr>
          <w:p w14:paraId="2D3D56CD">
            <w:pPr>
              <w:widowControl/>
              <w:jc w:val="center"/>
              <w:textAlignment w:val="center"/>
              <w:rPr>
                <w:rFonts w:hint="eastAsia"/>
                <w:color w:val="000000"/>
                <w:sz w:val="24"/>
                <w:szCs w:val="24"/>
                <w:lang w:val="en-US" w:eastAsia="zh-CN" w:bidi="ar"/>
              </w:rPr>
            </w:pPr>
            <w:r>
              <w:rPr>
                <w:rFonts w:hint="eastAsia" w:ascii="宋体" w:hAnsi="宋体" w:cs="等线"/>
                <w:color w:val="000000"/>
                <w:kern w:val="0"/>
                <w:sz w:val="24"/>
                <w:lang w:bidi="ar"/>
              </w:rPr>
              <w:t>1套</w:t>
            </w:r>
          </w:p>
        </w:tc>
        <w:tc>
          <w:tcPr>
            <w:tcW w:w="1118" w:type="pct"/>
            <w:tcBorders>
              <w:top w:val="single" w:color="000000" w:sz="4" w:space="0"/>
              <w:left w:val="single" w:color="000000" w:sz="4" w:space="0"/>
              <w:bottom w:val="single" w:color="000000" w:sz="4" w:space="0"/>
              <w:right w:val="single" w:color="000000" w:sz="4" w:space="0"/>
            </w:tcBorders>
            <w:vAlign w:val="center"/>
          </w:tcPr>
          <w:p w14:paraId="4EB1D59E">
            <w:pPr>
              <w:widowControl/>
              <w:jc w:val="center"/>
              <w:rPr>
                <w:rFonts w:hint="eastAsia"/>
                <w:sz w:val="24"/>
                <w:szCs w:val="24"/>
                <w:lang w:eastAsia="zh-CN"/>
              </w:rPr>
            </w:pPr>
            <w:r>
              <w:rPr>
                <w:rFonts w:hint="eastAsia"/>
                <w:sz w:val="24"/>
                <w:szCs w:val="24"/>
                <w:lang w:eastAsia="zh-CN"/>
              </w:rPr>
              <w:t>否</w:t>
            </w:r>
          </w:p>
        </w:tc>
      </w:tr>
      <w:tr w14:paraId="27C84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47" w:type="pct"/>
            <w:tcBorders>
              <w:top w:val="single" w:color="000000" w:sz="4" w:space="0"/>
              <w:left w:val="single" w:color="000000" w:sz="4" w:space="0"/>
              <w:bottom w:val="single" w:color="000000" w:sz="4" w:space="0"/>
              <w:right w:val="single" w:color="000000" w:sz="4" w:space="0"/>
            </w:tcBorders>
            <w:vAlign w:val="center"/>
          </w:tcPr>
          <w:p w14:paraId="4DB02655">
            <w:pPr>
              <w:ind w:left="1226" w:leftChars="0" w:hanging="1226" w:firstLineChars="0"/>
              <w:jc w:val="center"/>
              <w:rPr>
                <w:rFonts w:hint="eastAsia" w:ascii="宋体" w:hAnsi="宋体" w:eastAsia="宋体" w:cs="宋体"/>
                <w:sz w:val="24"/>
                <w:szCs w:val="24"/>
                <w:lang w:eastAsia="zh-CN"/>
              </w:rPr>
            </w:pPr>
            <w:r>
              <w:rPr>
                <w:rFonts w:hint="eastAsia" w:ascii="宋体" w:hAnsi="宋体" w:eastAsia="宋体" w:cs="宋体"/>
                <w:sz w:val="24"/>
                <w:szCs w:val="24"/>
              </w:rPr>
              <w:t>04</w:t>
            </w:r>
          </w:p>
        </w:tc>
        <w:tc>
          <w:tcPr>
            <w:tcW w:w="1794" w:type="pct"/>
            <w:tcBorders>
              <w:top w:val="single" w:color="000000" w:sz="4" w:space="0"/>
              <w:left w:val="single" w:color="000000" w:sz="4" w:space="0"/>
              <w:bottom w:val="single" w:color="000000" w:sz="4" w:space="0"/>
              <w:right w:val="single" w:color="000000" w:sz="4" w:space="0"/>
            </w:tcBorders>
            <w:vAlign w:val="center"/>
          </w:tcPr>
          <w:p w14:paraId="1BF7F366">
            <w:pPr>
              <w:jc w:val="center"/>
              <w:rPr>
                <w:rFonts w:hint="eastAsia" w:ascii="宋体" w:hAnsi="宋体" w:eastAsia="宋体" w:cs="宋体"/>
                <w:sz w:val="24"/>
                <w:szCs w:val="24"/>
              </w:rPr>
            </w:pPr>
            <w:r>
              <w:rPr>
                <w:rFonts w:hint="eastAsia" w:ascii="宋体" w:hAnsi="宋体" w:eastAsia="宋体" w:cs="宋体"/>
                <w:sz w:val="24"/>
                <w:szCs w:val="24"/>
              </w:rPr>
              <w:t>防火墙</w:t>
            </w:r>
          </w:p>
        </w:tc>
        <w:tc>
          <w:tcPr>
            <w:tcW w:w="1339" w:type="pct"/>
            <w:tcBorders>
              <w:top w:val="single" w:color="000000" w:sz="4" w:space="0"/>
              <w:left w:val="single" w:color="000000" w:sz="4" w:space="0"/>
              <w:bottom w:val="single" w:color="000000" w:sz="4" w:space="0"/>
              <w:right w:val="single" w:color="000000" w:sz="4" w:space="0"/>
            </w:tcBorders>
            <w:vAlign w:val="center"/>
          </w:tcPr>
          <w:p w14:paraId="5BA4B1E2">
            <w:pPr>
              <w:widowControl/>
              <w:jc w:val="center"/>
              <w:textAlignment w:val="center"/>
              <w:rPr>
                <w:rFonts w:hint="eastAsia" w:eastAsia="宋体"/>
                <w:color w:val="000000"/>
                <w:sz w:val="24"/>
                <w:szCs w:val="24"/>
                <w:lang w:val="en-US" w:eastAsia="zh-CN" w:bidi="ar"/>
              </w:rPr>
            </w:pPr>
            <w:r>
              <w:rPr>
                <w:rFonts w:hint="eastAsia" w:ascii="宋体" w:hAnsi="宋体" w:cs="宋体"/>
                <w:color w:val="000000"/>
                <w:kern w:val="0"/>
                <w:sz w:val="24"/>
                <w:lang w:bidi="ar"/>
              </w:rPr>
              <w:t>2</w:t>
            </w:r>
            <w:r>
              <w:rPr>
                <w:rFonts w:hint="eastAsia" w:cs="宋体"/>
                <w:color w:val="000000"/>
                <w:kern w:val="0"/>
                <w:sz w:val="24"/>
                <w:lang w:val="en-US" w:eastAsia="zh-CN" w:bidi="ar"/>
              </w:rPr>
              <w:t>套</w:t>
            </w:r>
          </w:p>
        </w:tc>
        <w:tc>
          <w:tcPr>
            <w:tcW w:w="1118" w:type="pct"/>
            <w:tcBorders>
              <w:top w:val="single" w:color="000000" w:sz="4" w:space="0"/>
              <w:left w:val="single" w:color="000000" w:sz="4" w:space="0"/>
              <w:bottom w:val="single" w:color="000000" w:sz="4" w:space="0"/>
              <w:right w:val="single" w:color="000000" w:sz="4" w:space="0"/>
            </w:tcBorders>
            <w:vAlign w:val="center"/>
          </w:tcPr>
          <w:p w14:paraId="6E04988D">
            <w:pPr>
              <w:widowControl/>
              <w:jc w:val="center"/>
              <w:rPr>
                <w:rFonts w:hint="eastAsia"/>
                <w:sz w:val="24"/>
                <w:szCs w:val="24"/>
                <w:lang w:eastAsia="zh-CN"/>
              </w:rPr>
            </w:pPr>
            <w:r>
              <w:rPr>
                <w:rFonts w:hint="eastAsia"/>
                <w:sz w:val="24"/>
                <w:szCs w:val="24"/>
                <w:lang w:eastAsia="zh-CN"/>
              </w:rPr>
              <w:t>否</w:t>
            </w:r>
          </w:p>
        </w:tc>
      </w:tr>
      <w:tr w14:paraId="35E13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blHeader/>
          <w:jc w:val="center"/>
        </w:trPr>
        <w:tc>
          <w:tcPr>
            <w:tcW w:w="747" w:type="pct"/>
            <w:tcBorders>
              <w:top w:val="single" w:color="000000" w:sz="4" w:space="0"/>
              <w:left w:val="single" w:color="000000" w:sz="4" w:space="0"/>
              <w:right w:val="single" w:color="000000" w:sz="4" w:space="0"/>
            </w:tcBorders>
            <w:vAlign w:val="center"/>
          </w:tcPr>
          <w:p w14:paraId="07AAFFAD">
            <w:pPr>
              <w:ind w:left="1226" w:leftChars="0" w:hanging="1226" w:firstLineChars="0"/>
              <w:jc w:val="center"/>
              <w:rPr>
                <w:rFonts w:hint="eastAsia" w:ascii="宋体" w:hAnsi="宋体" w:eastAsia="宋体" w:cs="宋体"/>
                <w:sz w:val="24"/>
                <w:szCs w:val="24"/>
                <w:lang w:eastAsia="zh-CN"/>
              </w:rPr>
            </w:pPr>
            <w:r>
              <w:rPr>
                <w:rFonts w:hint="eastAsia" w:ascii="宋体" w:hAnsi="宋体" w:eastAsia="宋体" w:cs="宋体"/>
                <w:sz w:val="24"/>
                <w:szCs w:val="24"/>
              </w:rPr>
              <w:t>05</w:t>
            </w:r>
          </w:p>
        </w:tc>
        <w:tc>
          <w:tcPr>
            <w:tcW w:w="1794" w:type="pct"/>
            <w:tcBorders>
              <w:top w:val="single" w:color="000000" w:sz="4" w:space="0"/>
              <w:left w:val="single" w:color="000000" w:sz="4" w:space="0"/>
              <w:bottom w:val="single" w:color="000000" w:sz="4" w:space="0"/>
              <w:right w:val="single" w:color="000000" w:sz="4" w:space="0"/>
            </w:tcBorders>
            <w:vAlign w:val="center"/>
          </w:tcPr>
          <w:p w14:paraId="4E08C307">
            <w:pPr>
              <w:jc w:val="center"/>
              <w:rPr>
                <w:rFonts w:hint="eastAsia" w:ascii="宋体" w:hAnsi="宋体" w:eastAsia="宋体" w:cs="宋体"/>
                <w:sz w:val="24"/>
                <w:szCs w:val="24"/>
              </w:rPr>
            </w:pPr>
            <w:r>
              <w:rPr>
                <w:rFonts w:hint="eastAsia" w:ascii="宋体" w:hAnsi="宋体" w:eastAsia="宋体" w:cs="宋体"/>
                <w:sz w:val="24"/>
                <w:szCs w:val="24"/>
              </w:rPr>
              <w:t>威胁防御系统</w:t>
            </w:r>
          </w:p>
        </w:tc>
        <w:tc>
          <w:tcPr>
            <w:tcW w:w="1339" w:type="pct"/>
            <w:tcBorders>
              <w:top w:val="single" w:color="000000" w:sz="4" w:space="0"/>
              <w:left w:val="single" w:color="000000" w:sz="4" w:space="0"/>
              <w:bottom w:val="single" w:color="000000" w:sz="4" w:space="0"/>
              <w:right w:val="single" w:color="000000" w:sz="4" w:space="0"/>
            </w:tcBorders>
            <w:vAlign w:val="center"/>
          </w:tcPr>
          <w:p w14:paraId="17210B07">
            <w:pPr>
              <w:widowControl/>
              <w:jc w:val="center"/>
              <w:textAlignment w:val="center"/>
              <w:rPr>
                <w:rFonts w:hint="eastAsia"/>
                <w:color w:val="000000"/>
                <w:sz w:val="24"/>
                <w:szCs w:val="24"/>
                <w:lang w:val="en-US" w:eastAsia="zh-CN" w:bidi="ar"/>
              </w:rPr>
            </w:pPr>
            <w:r>
              <w:rPr>
                <w:rFonts w:hint="eastAsia" w:ascii="宋体" w:hAnsi="宋体" w:cs="宋体"/>
                <w:color w:val="000000"/>
                <w:kern w:val="0"/>
                <w:sz w:val="24"/>
                <w:lang w:bidi="ar"/>
              </w:rPr>
              <w:t>1套</w:t>
            </w:r>
          </w:p>
        </w:tc>
        <w:tc>
          <w:tcPr>
            <w:tcW w:w="1118" w:type="pct"/>
            <w:tcBorders>
              <w:top w:val="single" w:color="000000" w:sz="4" w:space="0"/>
              <w:left w:val="single" w:color="000000" w:sz="4" w:space="0"/>
              <w:bottom w:val="single" w:color="000000" w:sz="4" w:space="0"/>
              <w:right w:val="single" w:color="000000" w:sz="4" w:space="0"/>
            </w:tcBorders>
            <w:vAlign w:val="center"/>
          </w:tcPr>
          <w:p w14:paraId="5F2E4062">
            <w:pPr>
              <w:widowControl/>
              <w:jc w:val="center"/>
              <w:rPr>
                <w:rFonts w:hint="eastAsia"/>
                <w:sz w:val="24"/>
                <w:szCs w:val="24"/>
                <w:lang w:eastAsia="zh-CN"/>
              </w:rPr>
            </w:pPr>
            <w:r>
              <w:rPr>
                <w:rFonts w:hint="eastAsia"/>
                <w:sz w:val="24"/>
                <w:szCs w:val="24"/>
                <w:lang w:eastAsia="zh-CN"/>
              </w:rPr>
              <w:t>否</w:t>
            </w:r>
          </w:p>
        </w:tc>
      </w:tr>
    </w:tbl>
    <w:p w14:paraId="6EFF57ED">
      <w:pPr>
        <w:pStyle w:val="14"/>
        <w:tabs>
          <w:tab w:val="left" w:pos="1197"/>
        </w:tabs>
        <w:spacing w:before="0" w:line="360" w:lineRule="auto"/>
        <w:ind w:left="0" w:right="233" w:firstLine="0"/>
        <w:jc w:val="both"/>
        <w:rPr>
          <w:rFonts w:hint="eastAsia"/>
          <w:b/>
          <w:bCs/>
          <w:sz w:val="24"/>
          <w:lang w:eastAsia="zh-CN"/>
        </w:rPr>
      </w:pPr>
    </w:p>
    <w:p w14:paraId="13BB5CB1">
      <w:pPr>
        <w:pStyle w:val="14"/>
        <w:tabs>
          <w:tab w:val="left" w:pos="1197"/>
        </w:tabs>
        <w:spacing w:before="0" w:line="360" w:lineRule="auto"/>
        <w:ind w:left="0" w:right="233" w:firstLine="0"/>
        <w:jc w:val="both"/>
        <w:rPr>
          <w:rFonts w:hint="eastAsia"/>
          <w:b/>
          <w:bCs/>
          <w:sz w:val="24"/>
          <w:lang w:eastAsia="zh-CN"/>
        </w:rPr>
      </w:pPr>
      <w:r>
        <w:rPr>
          <w:rFonts w:hint="eastAsia"/>
          <w:b/>
          <w:bCs/>
          <w:sz w:val="24"/>
          <w:lang w:eastAsia="zh-CN"/>
        </w:rPr>
        <w:t>二、商务要求</w:t>
      </w:r>
    </w:p>
    <w:p w14:paraId="15DFA302">
      <w:pPr>
        <w:pStyle w:val="14"/>
        <w:tabs>
          <w:tab w:val="left" w:pos="1197"/>
        </w:tabs>
        <w:spacing w:before="0" w:line="360" w:lineRule="auto"/>
        <w:ind w:left="0" w:right="233" w:firstLine="0"/>
        <w:jc w:val="both"/>
        <w:rPr>
          <w:rFonts w:hint="eastAsia"/>
          <w:b/>
          <w:bCs/>
          <w:sz w:val="24"/>
          <w:szCs w:val="24"/>
          <w:lang w:eastAsia="zh-CN"/>
        </w:rPr>
      </w:pPr>
      <w:r>
        <w:rPr>
          <w:rFonts w:hint="eastAsia"/>
          <w:b/>
          <w:bCs/>
          <w:sz w:val="24"/>
          <w:szCs w:val="24"/>
          <w:lang w:eastAsia="zh-CN"/>
        </w:rPr>
        <w:t>1.交货时间和地点：</w:t>
      </w:r>
    </w:p>
    <w:p w14:paraId="3F7D39C0">
      <w:pPr>
        <w:pStyle w:val="14"/>
        <w:tabs>
          <w:tab w:val="left" w:pos="1197"/>
        </w:tabs>
        <w:spacing w:before="0" w:line="360" w:lineRule="auto"/>
        <w:ind w:left="0" w:right="233" w:firstLine="480" w:firstLineChars="200"/>
        <w:jc w:val="both"/>
        <w:rPr>
          <w:rFonts w:hint="eastAsia"/>
          <w:sz w:val="24"/>
          <w:szCs w:val="24"/>
          <w:lang w:eastAsia="zh-CN"/>
        </w:rPr>
      </w:pPr>
      <w:bookmarkStart w:id="1" w:name="_Toc8925"/>
      <w:bookmarkStart w:id="2" w:name="_Toc23382"/>
      <w:bookmarkStart w:id="3" w:name="_Toc256196753"/>
      <w:bookmarkStart w:id="4" w:name="_Toc14802"/>
      <w:bookmarkStart w:id="5" w:name="_Toc24278"/>
      <w:r>
        <w:rPr>
          <w:rFonts w:hint="eastAsia"/>
          <w:sz w:val="24"/>
          <w:szCs w:val="24"/>
          <w:lang w:eastAsia="zh-CN"/>
        </w:rPr>
        <w:t xml:space="preserve">1.1 </w:t>
      </w:r>
      <w:bookmarkEnd w:id="1"/>
      <w:bookmarkEnd w:id="2"/>
      <w:bookmarkEnd w:id="3"/>
      <w:bookmarkEnd w:id="4"/>
      <w:bookmarkEnd w:id="5"/>
      <w:r>
        <w:rPr>
          <w:rFonts w:hint="eastAsia"/>
          <w:sz w:val="24"/>
          <w:szCs w:val="24"/>
          <w:lang w:val="en-US" w:eastAsia="zh-CN"/>
        </w:rPr>
        <w:t>交付时间：合同生效后3个月内</w:t>
      </w:r>
    </w:p>
    <w:p w14:paraId="421D532A">
      <w:pPr>
        <w:pStyle w:val="14"/>
        <w:tabs>
          <w:tab w:val="left" w:pos="1197"/>
        </w:tabs>
        <w:spacing w:before="0" w:line="360" w:lineRule="auto"/>
        <w:ind w:left="0" w:right="233" w:firstLine="480" w:firstLineChars="200"/>
        <w:jc w:val="both"/>
        <w:rPr>
          <w:rFonts w:hint="eastAsia"/>
          <w:sz w:val="24"/>
          <w:szCs w:val="24"/>
          <w:lang w:eastAsia="zh-CN"/>
        </w:rPr>
      </w:pPr>
      <w:bookmarkStart w:id="6" w:name="_Toc19535"/>
      <w:bookmarkStart w:id="7" w:name="_Toc8853"/>
      <w:bookmarkStart w:id="8" w:name="_Toc6107"/>
      <w:bookmarkStart w:id="9" w:name="_Toc30936"/>
      <w:bookmarkStart w:id="10" w:name="_Toc194115436"/>
      <w:r>
        <w:rPr>
          <w:rFonts w:hint="eastAsia"/>
          <w:sz w:val="24"/>
          <w:szCs w:val="24"/>
          <w:lang w:eastAsia="zh-CN"/>
        </w:rPr>
        <w:t>1.2 交货地点：</w:t>
      </w:r>
      <w:bookmarkEnd w:id="6"/>
      <w:bookmarkEnd w:id="7"/>
      <w:bookmarkEnd w:id="8"/>
      <w:bookmarkEnd w:id="9"/>
      <w:bookmarkEnd w:id="10"/>
      <w:r>
        <w:rPr>
          <w:rFonts w:hint="eastAsia"/>
          <w:sz w:val="24"/>
          <w:szCs w:val="24"/>
          <w:lang w:eastAsia="zh-CN"/>
        </w:rPr>
        <w:t>采购人指定地点。</w:t>
      </w:r>
    </w:p>
    <w:p w14:paraId="46BE9682">
      <w:pPr>
        <w:pStyle w:val="14"/>
        <w:tabs>
          <w:tab w:val="left" w:pos="1197"/>
        </w:tabs>
        <w:spacing w:before="0" w:line="360" w:lineRule="auto"/>
        <w:ind w:left="0" w:right="233" w:firstLine="0"/>
        <w:jc w:val="both"/>
        <w:rPr>
          <w:rFonts w:hint="eastAsia"/>
          <w:sz w:val="24"/>
          <w:szCs w:val="24"/>
          <w:lang w:eastAsia="zh-CN"/>
        </w:rPr>
      </w:pPr>
      <w:r>
        <w:rPr>
          <w:rFonts w:hint="eastAsia"/>
          <w:b/>
          <w:bCs/>
          <w:sz w:val="24"/>
          <w:szCs w:val="24"/>
          <w:lang w:eastAsia="zh-CN"/>
        </w:rPr>
        <w:t>2.付款条件（进度和方式）</w:t>
      </w:r>
      <w:r>
        <w:rPr>
          <w:rFonts w:hint="eastAsia"/>
          <w:sz w:val="24"/>
          <w:szCs w:val="24"/>
          <w:lang w:eastAsia="zh-CN"/>
        </w:rPr>
        <w:t>：详见“拟签订的合同文本”。</w:t>
      </w:r>
    </w:p>
    <w:p w14:paraId="18A0E6B3">
      <w:pPr>
        <w:pStyle w:val="14"/>
        <w:tabs>
          <w:tab w:val="left" w:pos="1197"/>
        </w:tabs>
        <w:spacing w:before="0" w:line="360" w:lineRule="auto"/>
        <w:ind w:left="0" w:right="233" w:firstLine="0"/>
        <w:jc w:val="both"/>
        <w:rPr>
          <w:rFonts w:hint="eastAsia"/>
          <w:b/>
          <w:bCs/>
          <w:sz w:val="24"/>
          <w:szCs w:val="24"/>
          <w:lang w:eastAsia="zh-CN"/>
        </w:rPr>
      </w:pPr>
      <w:r>
        <w:rPr>
          <w:rFonts w:hint="eastAsia"/>
          <w:b/>
          <w:bCs/>
          <w:sz w:val="24"/>
          <w:szCs w:val="24"/>
          <w:lang w:eastAsia="zh-CN"/>
        </w:rPr>
        <w:t>3.包装和运输（如适用，须满足《关于印发〈商品包装政府采购需求标准（试行）〉、〈快递包装政府采购需求标准（试行）〉的通知》（财办库﹝2020﹞123号））</w:t>
      </w:r>
    </w:p>
    <w:p w14:paraId="6FBF22F6">
      <w:pPr>
        <w:pStyle w:val="14"/>
        <w:tabs>
          <w:tab w:val="left" w:pos="1197"/>
        </w:tabs>
        <w:spacing w:before="0" w:line="360" w:lineRule="auto"/>
        <w:ind w:left="0" w:right="233" w:firstLine="0"/>
        <w:jc w:val="both"/>
        <w:rPr>
          <w:rFonts w:hint="eastAsia"/>
          <w:b/>
          <w:bCs/>
          <w:sz w:val="24"/>
          <w:szCs w:val="24"/>
          <w:lang w:eastAsia="zh-CN"/>
        </w:rPr>
      </w:pPr>
      <w:r>
        <w:rPr>
          <w:rFonts w:hint="eastAsia"/>
          <w:b/>
          <w:bCs/>
          <w:sz w:val="24"/>
          <w:szCs w:val="24"/>
          <w:lang w:eastAsia="zh-CN"/>
        </w:rPr>
        <w:t>4.质保服务：</w:t>
      </w:r>
    </w:p>
    <w:p w14:paraId="1953B822">
      <w:pPr>
        <w:spacing w:line="360" w:lineRule="auto"/>
        <w:ind w:firstLine="480" w:firstLineChars="200"/>
        <w:contextualSpacing/>
        <w:rPr>
          <w:rFonts w:hint="eastAsia"/>
          <w:sz w:val="24"/>
          <w:szCs w:val="24"/>
          <w:lang w:eastAsia="zh-CN"/>
        </w:rPr>
      </w:pPr>
      <w:r>
        <w:rPr>
          <w:rFonts w:hint="eastAsia" w:ascii="宋体" w:hAnsi="宋体"/>
          <w:sz w:val="24"/>
          <w:szCs w:val="20"/>
        </w:rPr>
        <w:t>自验收合格之日起不少于36个月。</w:t>
      </w:r>
    </w:p>
    <w:p w14:paraId="3BCBC120">
      <w:pPr>
        <w:spacing w:line="360" w:lineRule="auto"/>
        <w:contextualSpacing/>
        <w:rPr>
          <w:rFonts w:hint="eastAsia"/>
          <w:b/>
          <w:bCs/>
          <w:sz w:val="24"/>
          <w:szCs w:val="24"/>
          <w:lang w:eastAsia="zh-CN"/>
        </w:rPr>
      </w:pPr>
      <w:r>
        <w:rPr>
          <w:rFonts w:hint="eastAsia"/>
          <w:b/>
          <w:bCs/>
          <w:sz w:val="24"/>
          <w:szCs w:val="24"/>
          <w:lang w:eastAsia="zh-CN"/>
        </w:rPr>
        <w:t>三、技术要求</w:t>
      </w:r>
    </w:p>
    <w:p w14:paraId="12BCBB20">
      <w:pPr>
        <w:spacing w:line="360" w:lineRule="auto"/>
        <w:ind w:firstLine="241" w:firstLineChars="100"/>
        <w:contextualSpacing/>
        <w:rPr>
          <w:rFonts w:hint="eastAsia"/>
          <w:b/>
          <w:bCs/>
          <w:sz w:val="24"/>
          <w:szCs w:val="24"/>
          <w:lang w:eastAsia="zh-CN"/>
        </w:rPr>
      </w:pPr>
      <w:r>
        <w:rPr>
          <w:rFonts w:hint="eastAsia"/>
          <w:b/>
          <w:bCs/>
          <w:sz w:val="24"/>
          <w:szCs w:val="24"/>
          <w:lang w:eastAsia="zh-CN"/>
        </w:rPr>
        <w:t>1. 基本要求</w:t>
      </w:r>
    </w:p>
    <w:p w14:paraId="6D636D93">
      <w:pPr>
        <w:spacing w:line="360" w:lineRule="auto"/>
        <w:ind w:firstLine="241" w:firstLineChars="100"/>
        <w:contextualSpacing/>
        <w:rPr>
          <w:rFonts w:hint="eastAsia"/>
          <w:b/>
          <w:bCs/>
          <w:sz w:val="24"/>
          <w:szCs w:val="24"/>
          <w:lang w:eastAsia="zh-CN"/>
        </w:rPr>
      </w:pPr>
      <w:r>
        <w:rPr>
          <w:rFonts w:hint="eastAsia"/>
          <w:b/>
          <w:bCs/>
          <w:sz w:val="24"/>
          <w:szCs w:val="24"/>
          <w:lang w:eastAsia="zh-CN"/>
        </w:rPr>
        <w:t>1.1 采购标的需实现的功能或者目标</w:t>
      </w:r>
    </w:p>
    <w:p w14:paraId="1A6F8E06">
      <w:pPr>
        <w:adjustRightInd w:val="0"/>
        <w:spacing w:line="360" w:lineRule="auto"/>
        <w:ind w:firstLine="480" w:firstLineChars="200"/>
        <w:rPr>
          <w:rFonts w:hint="eastAsia"/>
          <w:sz w:val="24"/>
          <w:szCs w:val="24"/>
          <w:lang w:eastAsia="zh-CN"/>
        </w:rPr>
      </w:pPr>
      <w:r>
        <w:rPr>
          <w:rFonts w:hint="eastAsia"/>
          <w:sz w:val="24"/>
          <w:szCs w:val="24"/>
          <w:lang w:eastAsia="zh-CN"/>
        </w:rPr>
        <w:t>本次招标采购是为</w:t>
      </w:r>
      <w:r>
        <w:rPr>
          <w:rFonts w:hint="eastAsia"/>
          <w:kern w:val="2"/>
          <w:sz w:val="24"/>
          <w:szCs w:val="24"/>
          <w:lang w:eastAsia="zh-CN"/>
        </w:rPr>
        <w:t>首都医科大学附属北京妇产医院提供</w:t>
      </w:r>
      <w:r>
        <w:rPr>
          <w:rFonts w:hint="eastAsia"/>
          <w:sz w:val="24"/>
          <w:lang w:val="en-US" w:eastAsia="zh-CN"/>
        </w:rPr>
        <w:t>信息安全设备</w:t>
      </w:r>
      <w:r>
        <w:rPr>
          <w:rFonts w:hint="eastAsia"/>
          <w:sz w:val="24"/>
          <w:szCs w:val="24"/>
          <w:lang w:eastAsia="zh-CN"/>
        </w:rPr>
        <w:t>，供应商应根据招标文件所提出的技术规格和服务要求，综合考虑所投货物的适用性，选择具有最佳性能价格比的货物前来投标。以先进的技术、优良的服务和优惠的价格，充分显示自己的竞争实力。</w:t>
      </w:r>
    </w:p>
    <w:p w14:paraId="44A84C21">
      <w:pPr>
        <w:spacing w:line="360" w:lineRule="auto"/>
        <w:ind w:firstLine="241" w:firstLineChars="100"/>
        <w:contextualSpacing/>
        <w:rPr>
          <w:rFonts w:hint="eastAsia"/>
          <w:sz w:val="24"/>
          <w:szCs w:val="24"/>
          <w:lang w:eastAsia="zh-CN"/>
        </w:rPr>
      </w:pPr>
      <w:r>
        <w:rPr>
          <w:rFonts w:hint="eastAsia"/>
          <w:b/>
          <w:bCs/>
          <w:sz w:val="24"/>
          <w:szCs w:val="24"/>
          <w:lang w:eastAsia="zh-CN"/>
        </w:rPr>
        <w:t>1.2 需执行的国家相关标准、行业标准、地方标准或者其他标准、规范</w:t>
      </w:r>
    </w:p>
    <w:p w14:paraId="077D6090">
      <w:pPr>
        <w:autoSpaceDE/>
        <w:autoSpaceDN/>
        <w:spacing w:line="360" w:lineRule="auto"/>
        <w:ind w:left="240" w:leftChars="109" w:firstLine="240" w:firstLineChars="100"/>
        <w:rPr>
          <w:rFonts w:hint="eastAsia"/>
          <w:sz w:val="24"/>
          <w:szCs w:val="24"/>
          <w:lang w:eastAsia="zh-CN"/>
        </w:rPr>
      </w:pPr>
      <w:r>
        <w:rPr>
          <w:rFonts w:hint="eastAsia"/>
          <w:sz w:val="24"/>
          <w:szCs w:val="24"/>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6FEE2E3B">
      <w:pPr>
        <w:spacing w:before="120" w:beforeLines="50" w:line="360" w:lineRule="auto"/>
        <w:ind w:firstLine="241" w:firstLineChars="100"/>
        <w:contextualSpacing/>
        <w:rPr>
          <w:rFonts w:hint="eastAsia"/>
          <w:b/>
          <w:bCs/>
          <w:sz w:val="24"/>
          <w:szCs w:val="24"/>
          <w:lang w:eastAsia="zh-CN"/>
        </w:rPr>
      </w:pPr>
      <w:r>
        <w:rPr>
          <w:rFonts w:hint="eastAsia"/>
          <w:b/>
          <w:bCs/>
          <w:sz w:val="24"/>
          <w:szCs w:val="24"/>
          <w:lang w:eastAsia="zh-CN"/>
        </w:rPr>
        <w:t>2.服务内容及要求/货物技术要求</w:t>
      </w:r>
    </w:p>
    <w:p w14:paraId="1F7076EF">
      <w:pPr>
        <w:widowControl/>
        <w:spacing w:line="360" w:lineRule="auto"/>
        <w:ind w:left="-1" w:firstLine="241" w:firstLineChars="100"/>
        <w:contextualSpacing/>
        <w:rPr>
          <w:rFonts w:hint="eastAsia"/>
          <w:b/>
          <w:bCs/>
          <w:sz w:val="24"/>
          <w:szCs w:val="24"/>
          <w:highlight w:val="none"/>
          <w:lang w:eastAsia="zh-CN"/>
        </w:rPr>
      </w:pPr>
      <w:r>
        <w:rPr>
          <w:rFonts w:hint="eastAsia"/>
          <w:b/>
          <w:bCs/>
          <w:sz w:val="24"/>
          <w:szCs w:val="24"/>
          <w:highlight w:val="none"/>
          <w:lang w:eastAsia="zh-CN"/>
        </w:rPr>
        <w:t>2.1 采购标的需满足的性能、材料、结构、外观、质量、安全、技术规格、物理特性等要求；</w:t>
      </w:r>
    </w:p>
    <w:p w14:paraId="6F088B5F">
      <w:pPr>
        <w:widowControl/>
        <w:adjustRightInd w:val="0"/>
        <w:snapToGrid w:val="0"/>
        <w:spacing w:before="120" w:beforeLines="50" w:line="360" w:lineRule="auto"/>
        <w:ind w:firstLine="562" w:firstLineChars="200"/>
        <w:jc w:val="center"/>
        <w:outlineLvl w:val="2"/>
        <w:rPr>
          <w:rFonts w:hint="eastAsia"/>
          <w:b/>
          <w:bCs/>
          <w:sz w:val="24"/>
          <w:szCs w:val="24"/>
          <w:highlight w:val="none"/>
          <w:lang w:eastAsia="zh-CN"/>
        </w:rPr>
      </w:pPr>
      <w:r>
        <w:rPr>
          <w:rFonts w:hint="eastAsia"/>
          <w:b/>
          <w:bCs/>
          <w:sz w:val="28"/>
          <w:szCs w:val="28"/>
          <w:highlight w:val="none"/>
          <w:lang w:eastAsia="zh-CN"/>
        </w:rPr>
        <w:t>01</w:t>
      </w:r>
      <w:r>
        <w:rPr>
          <w:rFonts w:hint="eastAsia"/>
          <w:b/>
          <w:bCs/>
          <w:sz w:val="28"/>
          <w:szCs w:val="28"/>
          <w:highlight w:val="none"/>
          <w:lang w:val="en-US" w:eastAsia="zh-CN"/>
        </w:rPr>
        <w:t>包：</w:t>
      </w:r>
      <w:r>
        <w:rPr>
          <w:rFonts w:hint="eastAsia"/>
          <w:b/>
          <w:bCs/>
          <w:sz w:val="28"/>
          <w:szCs w:val="28"/>
          <w:highlight w:val="none"/>
          <w:lang w:eastAsia="zh-CN"/>
        </w:rPr>
        <w:t>备份存储一体机</w:t>
      </w:r>
    </w:p>
    <w:p w14:paraId="1226CC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rPr>
      </w:pPr>
      <w:r>
        <w:rPr>
          <w:rFonts w:hint="eastAsia" w:ascii="宋体" w:hAnsi="宋体" w:eastAsia="宋体" w:cs="宋体"/>
          <w:sz w:val="24"/>
          <w:szCs w:val="20"/>
        </w:rPr>
        <w:t>一、项目背景及目标</w:t>
      </w:r>
    </w:p>
    <w:p w14:paraId="5316EA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rPr>
      </w:pPr>
      <w:r>
        <w:rPr>
          <w:rFonts w:hint="eastAsia" w:ascii="宋体" w:hAnsi="宋体" w:eastAsia="宋体" w:cs="宋体"/>
          <w:sz w:val="24"/>
          <w:szCs w:val="20"/>
        </w:rPr>
        <w:t>本项目针对我院医疗业务系统传统集中式存储存在的容量不足、性能瓶颈、架构风险、管理低效、合规不足等核心痛点，结合医院未来诊疗量增长、智慧医院建设和发展的实际需求，开展分布式备份存储一体机的建设，采用全对称分布式集群架构，配套原厂自研的数据迁移工具，实现存储备份要求。</w:t>
      </w:r>
    </w:p>
    <w:p w14:paraId="5A9431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rPr>
      </w:pPr>
      <w:r>
        <w:rPr>
          <w:rFonts w:hint="eastAsia" w:ascii="宋体" w:hAnsi="宋体" w:eastAsia="宋体" w:cs="宋体"/>
          <w:sz w:val="24"/>
          <w:szCs w:val="20"/>
        </w:rPr>
        <w:t>二、项目需求</w:t>
      </w:r>
    </w:p>
    <w:p w14:paraId="04B29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rPr>
      </w:pPr>
      <w:r>
        <w:rPr>
          <w:rFonts w:hint="eastAsia" w:ascii="宋体" w:hAnsi="宋体" w:eastAsia="宋体" w:cs="宋体"/>
          <w:sz w:val="24"/>
          <w:szCs w:val="20"/>
        </w:rPr>
        <w:t>1. 总体需求</w:t>
      </w:r>
    </w:p>
    <w:p w14:paraId="30226D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rPr>
      </w:pPr>
      <w:r>
        <w:rPr>
          <w:rFonts w:hint="eastAsia" w:ascii="宋体" w:hAnsi="宋体" w:eastAsia="宋体" w:cs="宋体"/>
          <w:sz w:val="24"/>
          <w:szCs w:val="20"/>
        </w:rPr>
        <w:t>采用分布式存储架构，以 X86 服务器节点构建基础集群。基于我院现有信息化基础与未来 5 年数据增长测算，初始部署采用 3 节点架构，并支持后续无缝横向扩展。核心架构特性需满足以下要求：</w:t>
      </w:r>
    </w:p>
    <w:p w14:paraId="3C5BD8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rPr>
      </w:pPr>
      <w:r>
        <w:rPr>
          <w:rFonts w:hint="eastAsia" w:ascii="宋体" w:hAnsi="宋体" w:eastAsia="宋体" w:cs="宋体"/>
          <w:sz w:val="24"/>
          <w:szCs w:val="20"/>
        </w:rPr>
        <w:t>（1）支持多副本冗余机制（默认 3 副本）；</w:t>
      </w:r>
    </w:p>
    <w:p w14:paraId="114482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rPr>
      </w:pPr>
      <w:r>
        <w:rPr>
          <w:rFonts w:hint="eastAsia" w:ascii="宋体" w:hAnsi="宋体" w:eastAsia="宋体" w:cs="宋体"/>
          <w:sz w:val="24"/>
          <w:szCs w:val="20"/>
        </w:rPr>
        <w:t>（2）支持冷热数据自动分层流转；</w:t>
      </w:r>
    </w:p>
    <w:p w14:paraId="030AA7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rPr>
      </w:pPr>
      <w:r>
        <w:rPr>
          <w:rFonts w:hint="eastAsia" w:ascii="宋体" w:hAnsi="宋体" w:eastAsia="宋体" w:cs="宋体"/>
          <w:sz w:val="24"/>
          <w:szCs w:val="20"/>
        </w:rPr>
        <w:t>（3）提供万兆 / 25G 双链路冗余业务网络（25G 网络需满足高峰期 80 路并发阅片需求的测算）；</w:t>
      </w:r>
    </w:p>
    <w:p w14:paraId="7F9B2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rPr>
      </w:pPr>
      <w:r>
        <w:rPr>
          <w:rFonts w:hint="eastAsia" w:ascii="宋体" w:hAnsi="宋体" w:eastAsia="宋体" w:cs="宋体"/>
          <w:sz w:val="24"/>
          <w:szCs w:val="20"/>
        </w:rPr>
        <w:t>（4）支持在线弹性扩容与系统故障自愈；</w:t>
      </w:r>
    </w:p>
    <w:p w14:paraId="7458A9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rPr>
      </w:pPr>
      <w:r>
        <w:rPr>
          <w:rFonts w:hint="eastAsia" w:ascii="宋体" w:hAnsi="宋体" w:eastAsia="宋体" w:cs="宋体"/>
          <w:sz w:val="24"/>
          <w:szCs w:val="20"/>
        </w:rPr>
        <w:t>（5）全面兼容我院现有的 PACS、VNA、RIS、HIS 及电子病历等核心业务系统。</w:t>
      </w:r>
    </w:p>
    <w:p w14:paraId="50055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rPr>
      </w:pPr>
      <w:r>
        <w:rPr>
          <w:rFonts w:hint="eastAsia" w:ascii="宋体" w:hAnsi="宋体" w:eastAsia="宋体" w:cs="宋体"/>
          <w:sz w:val="24"/>
          <w:szCs w:val="20"/>
        </w:rPr>
        <w:t>2. 简要技术参数</w:t>
      </w:r>
    </w:p>
    <w:tbl>
      <w:tblPr>
        <w:tblStyle w:val="9"/>
        <w:tblW w:w="51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414"/>
        <w:gridCol w:w="632"/>
        <w:gridCol w:w="992"/>
        <w:gridCol w:w="6109"/>
      </w:tblGrid>
      <w:tr w14:paraId="13DB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shd w:val="clear" w:color="000000" w:fill="E7E6E6"/>
            <w:noWrap/>
            <w:vAlign w:val="center"/>
          </w:tcPr>
          <w:p w14:paraId="3D4918F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234" w:type="pct"/>
            <w:shd w:val="clear" w:color="000000" w:fill="E7E6E6"/>
            <w:noWrap w:val="0"/>
            <w:vAlign w:val="center"/>
          </w:tcPr>
          <w:p w14:paraId="7539719B">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359" w:type="pct"/>
            <w:shd w:val="clear" w:color="000000" w:fill="E7E6E6"/>
            <w:noWrap w:val="0"/>
            <w:vAlign w:val="center"/>
          </w:tcPr>
          <w:p w14:paraId="2995FEAB">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重要性</w:t>
            </w:r>
          </w:p>
        </w:tc>
        <w:tc>
          <w:tcPr>
            <w:tcW w:w="562" w:type="pct"/>
            <w:shd w:val="clear" w:color="000000" w:fill="E7E6E6"/>
            <w:noWrap w:val="0"/>
            <w:vAlign w:val="center"/>
          </w:tcPr>
          <w:p w14:paraId="567C1B14">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指标项</w:t>
            </w:r>
          </w:p>
        </w:tc>
        <w:tc>
          <w:tcPr>
            <w:tcW w:w="3465" w:type="pct"/>
            <w:shd w:val="clear" w:color="000000" w:fill="E7E6E6"/>
            <w:noWrap w:val="0"/>
            <w:vAlign w:val="center"/>
          </w:tcPr>
          <w:p w14:paraId="1DB6C23A">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指标要求</w:t>
            </w:r>
          </w:p>
        </w:tc>
      </w:tr>
      <w:tr w14:paraId="31FE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restart"/>
            <w:noWrap/>
            <w:vAlign w:val="center"/>
          </w:tcPr>
          <w:p w14:paraId="3775B9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分布式存储</w:t>
            </w:r>
          </w:p>
        </w:tc>
        <w:tc>
          <w:tcPr>
            <w:tcW w:w="234" w:type="pct"/>
            <w:noWrap w:val="0"/>
            <w:vAlign w:val="center"/>
          </w:tcPr>
          <w:p w14:paraId="65FB269C">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w:t>
            </w:r>
          </w:p>
        </w:tc>
        <w:tc>
          <w:tcPr>
            <w:tcW w:w="359" w:type="pct"/>
            <w:noWrap w:val="0"/>
            <w:vAlign w:val="center"/>
          </w:tcPr>
          <w:p w14:paraId="087C91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noWrap w:val="0"/>
            <w:vAlign w:val="center"/>
          </w:tcPr>
          <w:p w14:paraId="071D42D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文件系统</w:t>
            </w:r>
          </w:p>
        </w:tc>
        <w:tc>
          <w:tcPr>
            <w:tcW w:w="3465" w:type="pct"/>
            <w:noWrap w:val="0"/>
            <w:vAlign w:val="center"/>
          </w:tcPr>
          <w:p w14:paraId="140506B1">
            <w:pPr>
              <w:widowControl/>
              <w:rPr>
                <w:rFonts w:hint="eastAsia" w:ascii="宋体" w:hAnsi="宋体" w:eastAsia="宋体" w:cs="宋体"/>
                <w:kern w:val="0"/>
                <w:sz w:val="24"/>
                <w:szCs w:val="24"/>
              </w:rPr>
            </w:pPr>
            <w:r>
              <w:rPr>
                <w:rFonts w:hint="eastAsia" w:ascii="宋体" w:hAnsi="宋体" w:eastAsia="宋体" w:cs="宋体"/>
                <w:kern w:val="0"/>
                <w:sz w:val="24"/>
                <w:szCs w:val="24"/>
              </w:rPr>
              <w:t>采用成熟稳定的国产商业版并行文件系统，非OEM产品，具备自主研发能力，不接受开源文件系统，非在Lustre、Ceph、Gluster、GPFS、BeeGFS等软件基础上更改，提供国家版权局颁发的软件著作权登记证书</w:t>
            </w:r>
          </w:p>
        </w:tc>
      </w:tr>
      <w:tr w14:paraId="3643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1AF6AC59">
            <w:pPr>
              <w:widowControl/>
              <w:jc w:val="left"/>
              <w:rPr>
                <w:rFonts w:hint="eastAsia" w:ascii="宋体" w:hAnsi="宋体" w:eastAsia="宋体" w:cs="宋体"/>
                <w:color w:val="000000"/>
                <w:kern w:val="0"/>
                <w:sz w:val="24"/>
                <w:szCs w:val="24"/>
              </w:rPr>
            </w:pPr>
          </w:p>
        </w:tc>
        <w:tc>
          <w:tcPr>
            <w:tcW w:w="234" w:type="pct"/>
            <w:noWrap w:val="0"/>
            <w:vAlign w:val="center"/>
          </w:tcPr>
          <w:p w14:paraId="4A047F4C">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2</w:t>
            </w:r>
          </w:p>
        </w:tc>
        <w:tc>
          <w:tcPr>
            <w:tcW w:w="359" w:type="pct"/>
            <w:noWrap w:val="0"/>
            <w:vAlign w:val="center"/>
          </w:tcPr>
          <w:p w14:paraId="763BC86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noWrap w:val="0"/>
            <w:vAlign w:val="center"/>
          </w:tcPr>
          <w:p w14:paraId="6AD4E88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硬件配置</w:t>
            </w:r>
          </w:p>
        </w:tc>
        <w:tc>
          <w:tcPr>
            <w:tcW w:w="3465" w:type="pct"/>
            <w:noWrap w:val="0"/>
            <w:vAlign w:val="center"/>
          </w:tcPr>
          <w:p w14:paraId="6ADB7B3B">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本次配置≥3个节点</w:t>
            </w:r>
            <w:r>
              <w:rPr>
                <w:rFonts w:hint="eastAsia" w:ascii="宋体" w:hAnsi="宋体" w:eastAsia="宋体" w:cs="宋体"/>
                <w:kern w:val="0"/>
                <w:sz w:val="24"/>
                <w:szCs w:val="24"/>
              </w:rPr>
              <w:br w:type="textWrapping"/>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每节点为独立2U机框</w:t>
            </w:r>
            <w:r>
              <w:rPr>
                <w:rFonts w:hint="eastAsia" w:ascii="宋体" w:hAnsi="宋体" w:eastAsia="宋体" w:cs="宋体"/>
                <w:kern w:val="0"/>
                <w:sz w:val="24"/>
                <w:szCs w:val="24"/>
              </w:rPr>
              <w:br w:type="textWrapping"/>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每节点配置≥2颗处理器，单处理器规格不低于2.4GHz/12核/30MB，支持超线程，支持AVX-512指令集。</w:t>
            </w:r>
            <w:r>
              <w:rPr>
                <w:rFonts w:hint="eastAsia" w:ascii="宋体" w:hAnsi="宋体" w:eastAsia="宋体" w:cs="宋体"/>
                <w:kern w:val="0"/>
                <w:sz w:val="24"/>
                <w:szCs w:val="24"/>
              </w:rPr>
              <w:br w:type="textWrapping"/>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每节点配置≥128GB DDR5内存。</w:t>
            </w:r>
            <w:r>
              <w:rPr>
                <w:rFonts w:hint="eastAsia"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每节点配置≥1块4口Ge网卡，≥2块双口25GE网卡（含25Gb光模块）。</w:t>
            </w:r>
            <w:r>
              <w:rPr>
                <w:rFonts w:hint="eastAsia"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每节点配置≥1张独立RAID卡</w:t>
            </w:r>
            <w:r>
              <w:rPr>
                <w:rFonts w:hint="eastAsia" w:ascii="宋体" w:hAnsi="宋体" w:eastAsia="宋体" w:cs="宋体"/>
                <w:kern w:val="0"/>
                <w:sz w:val="24"/>
                <w:szCs w:val="24"/>
              </w:rPr>
              <w:br w:type="textWrapping"/>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每节点配置≥2块480G SSD硬盘，≥2块3.2TB NVMe SSD硬盘，≥6块8 TB SATA HDD硬盘，无需配置独立元数据盘</w:t>
            </w:r>
          </w:p>
        </w:tc>
      </w:tr>
      <w:tr w14:paraId="2233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3A1B10D1">
            <w:pPr>
              <w:widowControl/>
              <w:jc w:val="left"/>
              <w:rPr>
                <w:rFonts w:hint="eastAsia" w:ascii="宋体" w:hAnsi="宋体" w:eastAsia="宋体" w:cs="宋体"/>
                <w:color w:val="000000"/>
                <w:kern w:val="0"/>
                <w:sz w:val="24"/>
                <w:szCs w:val="24"/>
              </w:rPr>
            </w:pPr>
          </w:p>
        </w:tc>
        <w:tc>
          <w:tcPr>
            <w:tcW w:w="234" w:type="pct"/>
            <w:noWrap w:val="0"/>
            <w:vAlign w:val="center"/>
          </w:tcPr>
          <w:p w14:paraId="665D836B">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3</w:t>
            </w:r>
          </w:p>
        </w:tc>
        <w:tc>
          <w:tcPr>
            <w:tcW w:w="359" w:type="pct"/>
            <w:noWrap w:val="0"/>
            <w:vAlign w:val="center"/>
          </w:tcPr>
          <w:p w14:paraId="6888EBE4">
            <w:pPr>
              <w:widowControl/>
              <w:jc w:val="center"/>
              <w:rPr>
                <w:rFonts w:hint="eastAsia" w:ascii="宋体" w:hAnsi="宋体" w:eastAsia="宋体" w:cs="宋体"/>
                <w:kern w:val="0"/>
                <w:sz w:val="24"/>
                <w:szCs w:val="24"/>
              </w:rPr>
            </w:pPr>
          </w:p>
        </w:tc>
        <w:tc>
          <w:tcPr>
            <w:tcW w:w="562" w:type="pct"/>
            <w:noWrap w:val="0"/>
            <w:vAlign w:val="center"/>
          </w:tcPr>
          <w:p w14:paraId="1E85DC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产品组成</w:t>
            </w:r>
          </w:p>
        </w:tc>
        <w:tc>
          <w:tcPr>
            <w:tcW w:w="3465" w:type="pct"/>
            <w:noWrap/>
            <w:vAlign w:val="center"/>
          </w:tcPr>
          <w:p w14:paraId="546E73EC">
            <w:pPr>
              <w:widowControl/>
              <w:rPr>
                <w:rFonts w:hint="eastAsia" w:ascii="宋体" w:hAnsi="宋体" w:eastAsia="宋体" w:cs="宋体"/>
                <w:kern w:val="0"/>
                <w:sz w:val="24"/>
                <w:szCs w:val="24"/>
              </w:rPr>
            </w:pPr>
            <w:r>
              <w:rPr>
                <w:rFonts w:hint="eastAsia" w:ascii="宋体" w:hAnsi="宋体" w:eastAsia="宋体" w:cs="宋体"/>
                <w:kern w:val="0"/>
                <w:sz w:val="24"/>
                <w:szCs w:val="24"/>
              </w:rPr>
              <w:t>提供软硬件一体机产品（或服务器与分布式软件统一品牌），不接受纯软件+第三方服务器投标；</w:t>
            </w:r>
          </w:p>
        </w:tc>
      </w:tr>
      <w:tr w14:paraId="7E31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4D1DE83B">
            <w:pPr>
              <w:widowControl/>
              <w:jc w:val="left"/>
              <w:rPr>
                <w:rFonts w:hint="eastAsia" w:ascii="宋体" w:hAnsi="宋体" w:eastAsia="宋体" w:cs="宋体"/>
                <w:color w:val="000000"/>
                <w:kern w:val="0"/>
                <w:sz w:val="24"/>
                <w:szCs w:val="24"/>
              </w:rPr>
            </w:pPr>
          </w:p>
        </w:tc>
        <w:tc>
          <w:tcPr>
            <w:tcW w:w="234" w:type="pct"/>
            <w:noWrap w:val="0"/>
            <w:vAlign w:val="center"/>
          </w:tcPr>
          <w:p w14:paraId="2B4B44B0">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4</w:t>
            </w:r>
          </w:p>
        </w:tc>
        <w:tc>
          <w:tcPr>
            <w:tcW w:w="359" w:type="pct"/>
            <w:noWrap w:val="0"/>
            <w:vAlign w:val="center"/>
          </w:tcPr>
          <w:p w14:paraId="787B1D08">
            <w:pPr>
              <w:widowControl/>
              <w:jc w:val="center"/>
              <w:rPr>
                <w:rFonts w:hint="eastAsia" w:ascii="宋体" w:hAnsi="宋体" w:eastAsia="宋体" w:cs="宋体"/>
                <w:kern w:val="0"/>
                <w:sz w:val="24"/>
                <w:szCs w:val="24"/>
              </w:rPr>
            </w:pPr>
          </w:p>
        </w:tc>
        <w:tc>
          <w:tcPr>
            <w:tcW w:w="562" w:type="pct"/>
            <w:noWrap w:val="0"/>
            <w:vAlign w:val="center"/>
          </w:tcPr>
          <w:p w14:paraId="614C6A1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分布式全对称架构</w:t>
            </w:r>
          </w:p>
        </w:tc>
        <w:tc>
          <w:tcPr>
            <w:tcW w:w="3465" w:type="pct"/>
            <w:noWrap w:val="0"/>
            <w:vAlign w:val="center"/>
          </w:tcPr>
          <w:p w14:paraId="2D53C577">
            <w:pPr>
              <w:widowControl/>
              <w:rPr>
                <w:rFonts w:hint="eastAsia" w:ascii="宋体" w:hAnsi="宋体" w:eastAsia="宋体" w:cs="宋体"/>
                <w:kern w:val="0"/>
                <w:sz w:val="24"/>
                <w:szCs w:val="24"/>
              </w:rPr>
            </w:pPr>
            <w:r>
              <w:rPr>
                <w:rFonts w:hint="eastAsia" w:ascii="宋体" w:hAnsi="宋体" w:eastAsia="宋体" w:cs="宋体"/>
                <w:kern w:val="0"/>
                <w:sz w:val="24"/>
                <w:szCs w:val="24"/>
              </w:rPr>
              <w:t>采用全对称分布式架构，元数据和数据的融合部署到存储节点上，无独立元数据/管理节点，性能、容量随节点数增加而线性增加，不接受IO节点+SAN盘阵或JBOD的存储架构。</w:t>
            </w:r>
          </w:p>
        </w:tc>
      </w:tr>
      <w:tr w14:paraId="180F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1FEEEC67">
            <w:pPr>
              <w:widowControl/>
              <w:jc w:val="left"/>
              <w:rPr>
                <w:rFonts w:hint="eastAsia" w:ascii="宋体" w:hAnsi="宋体" w:eastAsia="宋体" w:cs="宋体"/>
                <w:color w:val="000000"/>
                <w:kern w:val="0"/>
                <w:sz w:val="24"/>
                <w:szCs w:val="24"/>
              </w:rPr>
            </w:pPr>
          </w:p>
        </w:tc>
        <w:tc>
          <w:tcPr>
            <w:tcW w:w="234" w:type="pct"/>
            <w:noWrap w:val="0"/>
            <w:vAlign w:val="center"/>
          </w:tcPr>
          <w:p w14:paraId="3E08CB96">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5</w:t>
            </w:r>
          </w:p>
        </w:tc>
        <w:tc>
          <w:tcPr>
            <w:tcW w:w="359" w:type="pct"/>
            <w:noWrap w:val="0"/>
            <w:vAlign w:val="center"/>
          </w:tcPr>
          <w:p w14:paraId="4FD6E5E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noWrap w:val="0"/>
            <w:vAlign w:val="center"/>
          </w:tcPr>
          <w:p w14:paraId="1BC6C1C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系统扩展性</w:t>
            </w:r>
          </w:p>
        </w:tc>
        <w:tc>
          <w:tcPr>
            <w:tcW w:w="3465" w:type="pct"/>
            <w:noWrap w:val="0"/>
            <w:vAlign w:val="center"/>
          </w:tcPr>
          <w:p w14:paraId="346D04FE">
            <w:pPr>
              <w:widowControl/>
              <w:rPr>
                <w:rFonts w:hint="eastAsia" w:ascii="宋体" w:hAnsi="宋体" w:eastAsia="宋体" w:cs="宋体"/>
                <w:kern w:val="0"/>
                <w:sz w:val="24"/>
                <w:szCs w:val="24"/>
              </w:rPr>
            </w:pPr>
            <w:r>
              <w:rPr>
                <w:rFonts w:hint="eastAsia" w:ascii="宋体" w:hAnsi="宋体" w:eastAsia="宋体" w:cs="宋体"/>
                <w:kern w:val="0"/>
                <w:sz w:val="24"/>
                <w:szCs w:val="24"/>
              </w:rPr>
              <w:t>存储系统具备大规模横向扩展能力，单集群规模最大可扩展至≥8192节点，容量随节点数增加而线性增加。</w:t>
            </w:r>
            <w:r>
              <w:rPr>
                <w:rFonts w:hint="eastAsia" w:cs="宋体"/>
                <w:kern w:val="0"/>
                <w:sz w:val="24"/>
                <w:szCs w:val="24"/>
                <w:lang w:eastAsia="zh-CN"/>
              </w:rPr>
              <w:t>（需提供产品彩页证明并加盖制造商公章。）</w:t>
            </w:r>
          </w:p>
        </w:tc>
      </w:tr>
      <w:tr w14:paraId="73ED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0C60F41E">
            <w:pPr>
              <w:widowControl/>
              <w:jc w:val="left"/>
              <w:rPr>
                <w:rFonts w:hint="eastAsia" w:ascii="宋体" w:hAnsi="宋体" w:eastAsia="宋体" w:cs="宋体"/>
                <w:color w:val="000000"/>
                <w:kern w:val="0"/>
                <w:sz w:val="24"/>
                <w:szCs w:val="24"/>
              </w:rPr>
            </w:pPr>
          </w:p>
        </w:tc>
        <w:tc>
          <w:tcPr>
            <w:tcW w:w="234" w:type="pct"/>
            <w:noWrap w:val="0"/>
            <w:vAlign w:val="center"/>
          </w:tcPr>
          <w:p w14:paraId="235E2A30">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6</w:t>
            </w:r>
          </w:p>
        </w:tc>
        <w:tc>
          <w:tcPr>
            <w:tcW w:w="359" w:type="pct"/>
            <w:noWrap w:val="0"/>
            <w:vAlign w:val="center"/>
          </w:tcPr>
          <w:p w14:paraId="79BB1F1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vMerge w:val="restart"/>
            <w:noWrap w:val="0"/>
            <w:vAlign w:val="center"/>
          </w:tcPr>
          <w:p w14:paraId="5F38F24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冗余策略</w:t>
            </w:r>
          </w:p>
        </w:tc>
        <w:tc>
          <w:tcPr>
            <w:tcW w:w="3465" w:type="pct"/>
            <w:noWrap w:val="0"/>
            <w:vAlign w:val="center"/>
          </w:tcPr>
          <w:p w14:paraId="18C0A683">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rPr>
              <w:t>纠删码特性支持+2/+3/+4灵活EC配比，最大支持任意4个节点故障而数据不丢失、系统不停机。最大支持32+2 EC配比，利用率高于90%。</w:t>
            </w:r>
            <w:r>
              <w:rPr>
                <w:rFonts w:hint="eastAsia" w:cs="宋体"/>
                <w:kern w:val="0"/>
                <w:sz w:val="24"/>
                <w:szCs w:val="24"/>
                <w:lang w:eastAsia="zh-CN"/>
              </w:rPr>
              <w:t>（需提供产品彩页证明并加盖制造商公章。）</w:t>
            </w:r>
          </w:p>
        </w:tc>
      </w:tr>
      <w:tr w14:paraId="1297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6A29D056">
            <w:pPr>
              <w:widowControl/>
              <w:jc w:val="left"/>
              <w:rPr>
                <w:rFonts w:hint="eastAsia" w:ascii="宋体" w:hAnsi="宋体" w:eastAsia="宋体" w:cs="宋体"/>
                <w:color w:val="000000"/>
                <w:kern w:val="0"/>
                <w:sz w:val="24"/>
                <w:szCs w:val="24"/>
              </w:rPr>
            </w:pPr>
          </w:p>
        </w:tc>
        <w:tc>
          <w:tcPr>
            <w:tcW w:w="234" w:type="pct"/>
            <w:noWrap w:val="0"/>
            <w:vAlign w:val="center"/>
          </w:tcPr>
          <w:p w14:paraId="52EBF4D2">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7</w:t>
            </w:r>
          </w:p>
        </w:tc>
        <w:tc>
          <w:tcPr>
            <w:tcW w:w="359" w:type="pct"/>
            <w:noWrap w:val="0"/>
            <w:vAlign w:val="center"/>
          </w:tcPr>
          <w:p w14:paraId="503B8FA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vMerge w:val="continue"/>
            <w:noWrap w:val="0"/>
            <w:vAlign w:val="center"/>
          </w:tcPr>
          <w:p w14:paraId="42F5D3D9">
            <w:pPr>
              <w:widowControl/>
              <w:jc w:val="left"/>
              <w:rPr>
                <w:rFonts w:hint="eastAsia" w:ascii="宋体" w:hAnsi="宋体" w:eastAsia="宋体" w:cs="宋体"/>
                <w:kern w:val="0"/>
                <w:sz w:val="24"/>
                <w:szCs w:val="24"/>
              </w:rPr>
            </w:pPr>
          </w:p>
        </w:tc>
        <w:tc>
          <w:tcPr>
            <w:tcW w:w="3465" w:type="pct"/>
            <w:noWrap w:val="0"/>
            <w:vAlign w:val="center"/>
          </w:tcPr>
          <w:p w14:paraId="75A1326A">
            <w:pPr>
              <w:widowControl/>
              <w:rPr>
                <w:rFonts w:hint="eastAsia" w:ascii="宋体" w:hAnsi="宋体" w:eastAsia="宋体" w:cs="宋体"/>
                <w:kern w:val="0"/>
                <w:sz w:val="24"/>
                <w:szCs w:val="24"/>
              </w:rPr>
            </w:pPr>
            <w:r>
              <w:rPr>
                <w:rFonts w:hint="eastAsia" w:ascii="宋体" w:hAnsi="宋体" w:eastAsia="宋体" w:cs="宋体"/>
                <w:kern w:val="0"/>
                <w:sz w:val="24"/>
                <w:szCs w:val="24"/>
              </w:rPr>
              <w:t>本次要求采用纠删码方式实现数据冗余，集群硬盘空间利用率≥60%</w:t>
            </w:r>
          </w:p>
        </w:tc>
      </w:tr>
      <w:tr w14:paraId="4D10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2C2FA21C">
            <w:pPr>
              <w:widowControl/>
              <w:jc w:val="left"/>
              <w:rPr>
                <w:rFonts w:hint="eastAsia" w:ascii="宋体" w:hAnsi="宋体" w:eastAsia="宋体" w:cs="宋体"/>
                <w:color w:val="000000"/>
                <w:kern w:val="0"/>
                <w:sz w:val="24"/>
                <w:szCs w:val="24"/>
              </w:rPr>
            </w:pPr>
          </w:p>
        </w:tc>
        <w:tc>
          <w:tcPr>
            <w:tcW w:w="234" w:type="pct"/>
            <w:noWrap w:val="0"/>
            <w:vAlign w:val="center"/>
          </w:tcPr>
          <w:p w14:paraId="35492042">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8</w:t>
            </w:r>
          </w:p>
        </w:tc>
        <w:tc>
          <w:tcPr>
            <w:tcW w:w="359" w:type="pct"/>
            <w:noWrap w:val="0"/>
            <w:vAlign w:val="center"/>
          </w:tcPr>
          <w:p w14:paraId="451DCC1F">
            <w:pPr>
              <w:widowControl/>
              <w:jc w:val="center"/>
              <w:rPr>
                <w:rFonts w:hint="eastAsia" w:ascii="宋体" w:hAnsi="宋体" w:eastAsia="宋体" w:cs="宋体"/>
                <w:kern w:val="0"/>
                <w:sz w:val="24"/>
                <w:szCs w:val="24"/>
              </w:rPr>
            </w:pPr>
          </w:p>
        </w:tc>
        <w:tc>
          <w:tcPr>
            <w:tcW w:w="562" w:type="pct"/>
            <w:noWrap w:val="0"/>
            <w:vAlign w:val="center"/>
          </w:tcPr>
          <w:p w14:paraId="2F87BBC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重构策略</w:t>
            </w:r>
          </w:p>
        </w:tc>
        <w:tc>
          <w:tcPr>
            <w:tcW w:w="3465" w:type="pct"/>
            <w:noWrap w:val="0"/>
            <w:vAlign w:val="center"/>
          </w:tcPr>
          <w:p w14:paraId="1FEE05BC">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rPr>
              <w:t>具备普通重构和自适应重构多种重构策略，实际部署可灵活选择。</w:t>
            </w:r>
            <w:r>
              <w:rPr>
                <w:rFonts w:hint="eastAsia" w:cs="宋体"/>
                <w:kern w:val="0"/>
                <w:sz w:val="24"/>
                <w:szCs w:val="24"/>
                <w:lang w:eastAsia="zh-CN"/>
              </w:rPr>
              <w:t>（需提供产品彩页证明并加盖制造商公章。）</w:t>
            </w:r>
          </w:p>
        </w:tc>
      </w:tr>
      <w:tr w14:paraId="516E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70C84BDE">
            <w:pPr>
              <w:widowControl/>
              <w:jc w:val="left"/>
              <w:rPr>
                <w:rFonts w:hint="eastAsia" w:ascii="宋体" w:hAnsi="宋体" w:eastAsia="宋体" w:cs="宋体"/>
                <w:color w:val="000000"/>
                <w:kern w:val="0"/>
                <w:sz w:val="24"/>
                <w:szCs w:val="24"/>
              </w:rPr>
            </w:pPr>
          </w:p>
        </w:tc>
        <w:tc>
          <w:tcPr>
            <w:tcW w:w="234" w:type="pct"/>
            <w:noWrap w:val="0"/>
            <w:vAlign w:val="center"/>
          </w:tcPr>
          <w:p w14:paraId="482B58D2">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9</w:t>
            </w:r>
          </w:p>
        </w:tc>
        <w:tc>
          <w:tcPr>
            <w:tcW w:w="359" w:type="pct"/>
            <w:noWrap w:val="0"/>
            <w:vAlign w:val="center"/>
          </w:tcPr>
          <w:p w14:paraId="0C2DE32B">
            <w:pPr>
              <w:widowControl/>
              <w:jc w:val="center"/>
              <w:rPr>
                <w:rFonts w:hint="eastAsia" w:ascii="宋体" w:hAnsi="宋体" w:eastAsia="宋体" w:cs="宋体"/>
                <w:kern w:val="0"/>
                <w:sz w:val="24"/>
                <w:szCs w:val="24"/>
              </w:rPr>
            </w:pPr>
          </w:p>
        </w:tc>
        <w:tc>
          <w:tcPr>
            <w:tcW w:w="562" w:type="pct"/>
            <w:noWrap/>
            <w:vAlign w:val="center"/>
          </w:tcPr>
          <w:p w14:paraId="0D8478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在线扩容</w:t>
            </w:r>
          </w:p>
        </w:tc>
        <w:tc>
          <w:tcPr>
            <w:tcW w:w="3465" w:type="pct"/>
            <w:noWrap w:val="0"/>
            <w:vAlign w:val="center"/>
          </w:tcPr>
          <w:p w14:paraId="0783310C">
            <w:pPr>
              <w:widowControl/>
              <w:rPr>
                <w:rFonts w:hint="eastAsia" w:ascii="宋体" w:hAnsi="宋体" w:eastAsia="宋体" w:cs="宋体"/>
                <w:kern w:val="0"/>
                <w:sz w:val="24"/>
                <w:szCs w:val="24"/>
              </w:rPr>
            </w:pPr>
            <w:r>
              <w:rPr>
                <w:rFonts w:hint="eastAsia" w:ascii="宋体" w:hAnsi="宋体" w:eastAsia="宋体" w:cs="宋体"/>
                <w:kern w:val="0"/>
                <w:sz w:val="24"/>
                <w:szCs w:val="24"/>
              </w:rPr>
              <w:t>具备在线添加节点扩容功能，添加节点后，集群容量和性能近线性增长，扩容过程中对业务无影响。</w:t>
            </w:r>
          </w:p>
        </w:tc>
      </w:tr>
      <w:tr w14:paraId="3A11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1836F646">
            <w:pPr>
              <w:widowControl/>
              <w:jc w:val="left"/>
              <w:rPr>
                <w:rFonts w:hint="eastAsia" w:ascii="宋体" w:hAnsi="宋体" w:eastAsia="宋体" w:cs="宋体"/>
                <w:color w:val="000000"/>
                <w:kern w:val="0"/>
                <w:sz w:val="24"/>
                <w:szCs w:val="24"/>
              </w:rPr>
            </w:pPr>
          </w:p>
        </w:tc>
        <w:tc>
          <w:tcPr>
            <w:tcW w:w="234" w:type="pct"/>
            <w:noWrap w:val="0"/>
            <w:vAlign w:val="center"/>
          </w:tcPr>
          <w:p w14:paraId="613052C5">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10</w:t>
            </w:r>
          </w:p>
        </w:tc>
        <w:tc>
          <w:tcPr>
            <w:tcW w:w="359" w:type="pct"/>
            <w:noWrap w:val="0"/>
            <w:vAlign w:val="center"/>
          </w:tcPr>
          <w:p w14:paraId="1402C103">
            <w:pPr>
              <w:widowControl/>
              <w:jc w:val="center"/>
              <w:rPr>
                <w:rFonts w:hint="eastAsia" w:ascii="宋体" w:hAnsi="宋体" w:eastAsia="宋体" w:cs="宋体"/>
                <w:kern w:val="0"/>
                <w:sz w:val="24"/>
                <w:szCs w:val="24"/>
              </w:rPr>
            </w:pPr>
          </w:p>
        </w:tc>
        <w:tc>
          <w:tcPr>
            <w:tcW w:w="562" w:type="pct"/>
            <w:noWrap/>
            <w:vAlign w:val="center"/>
          </w:tcPr>
          <w:p w14:paraId="7A81614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在线升级</w:t>
            </w:r>
          </w:p>
        </w:tc>
        <w:tc>
          <w:tcPr>
            <w:tcW w:w="3465" w:type="pct"/>
            <w:noWrap w:val="0"/>
            <w:vAlign w:val="center"/>
          </w:tcPr>
          <w:p w14:paraId="2B91A23E">
            <w:pPr>
              <w:widowControl/>
              <w:rPr>
                <w:rFonts w:hint="eastAsia" w:ascii="宋体" w:hAnsi="宋体" w:eastAsia="宋体" w:cs="宋体"/>
                <w:kern w:val="0"/>
                <w:sz w:val="24"/>
                <w:szCs w:val="24"/>
              </w:rPr>
            </w:pPr>
            <w:r>
              <w:rPr>
                <w:rFonts w:hint="eastAsia" w:ascii="宋体" w:hAnsi="宋体" w:eastAsia="宋体" w:cs="宋体"/>
                <w:kern w:val="0"/>
                <w:sz w:val="24"/>
                <w:szCs w:val="24"/>
              </w:rPr>
              <w:t>具备在前台管理界面自动在线升级功能，升级中不影响业务的连续性。</w:t>
            </w:r>
          </w:p>
        </w:tc>
      </w:tr>
      <w:tr w14:paraId="6DBC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1B21AA8A">
            <w:pPr>
              <w:widowControl/>
              <w:jc w:val="left"/>
              <w:rPr>
                <w:rFonts w:hint="eastAsia" w:ascii="宋体" w:hAnsi="宋体" w:eastAsia="宋体" w:cs="宋体"/>
                <w:color w:val="000000"/>
                <w:kern w:val="0"/>
                <w:sz w:val="24"/>
                <w:szCs w:val="24"/>
              </w:rPr>
            </w:pPr>
          </w:p>
        </w:tc>
        <w:tc>
          <w:tcPr>
            <w:tcW w:w="234" w:type="pct"/>
            <w:noWrap w:val="0"/>
            <w:vAlign w:val="center"/>
          </w:tcPr>
          <w:p w14:paraId="13D00615">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11</w:t>
            </w:r>
          </w:p>
        </w:tc>
        <w:tc>
          <w:tcPr>
            <w:tcW w:w="359" w:type="pct"/>
            <w:noWrap w:val="0"/>
            <w:vAlign w:val="center"/>
          </w:tcPr>
          <w:p w14:paraId="54FF6D7E">
            <w:pPr>
              <w:widowControl/>
              <w:jc w:val="center"/>
              <w:rPr>
                <w:rFonts w:hint="eastAsia" w:ascii="宋体" w:hAnsi="宋体" w:eastAsia="宋体" w:cs="宋体"/>
                <w:kern w:val="0"/>
                <w:sz w:val="24"/>
                <w:szCs w:val="24"/>
              </w:rPr>
            </w:pPr>
          </w:p>
        </w:tc>
        <w:tc>
          <w:tcPr>
            <w:tcW w:w="562" w:type="pct"/>
            <w:noWrap/>
            <w:vAlign w:val="center"/>
          </w:tcPr>
          <w:p w14:paraId="44A8C58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磁盘漫游</w:t>
            </w:r>
          </w:p>
        </w:tc>
        <w:tc>
          <w:tcPr>
            <w:tcW w:w="3465" w:type="pct"/>
            <w:noWrap w:val="0"/>
            <w:vAlign w:val="center"/>
          </w:tcPr>
          <w:p w14:paraId="36AC3A25">
            <w:pPr>
              <w:widowControl/>
              <w:rPr>
                <w:rFonts w:hint="eastAsia" w:ascii="宋体" w:hAnsi="宋体" w:eastAsia="宋体" w:cs="宋体"/>
                <w:kern w:val="0"/>
                <w:sz w:val="24"/>
                <w:szCs w:val="24"/>
              </w:rPr>
            </w:pPr>
            <w:r>
              <w:rPr>
                <w:rFonts w:hint="eastAsia" w:ascii="宋体" w:hAnsi="宋体" w:eastAsia="宋体" w:cs="宋体"/>
                <w:kern w:val="0"/>
                <w:sz w:val="24"/>
                <w:szCs w:val="24"/>
              </w:rPr>
              <w:t>具备磁盘漫游功能。</w:t>
            </w:r>
          </w:p>
        </w:tc>
      </w:tr>
      <w:tr w14:paraId="3EE1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18C9DAEC">
            <w:pPr>
              <w:widowControl/>
              <w:jc w:val="left"/>
              <w:rPr>
                <w:rFonts w:hint="eastAsia" w:ascii="宋体" w:hAnsi="宋体" w:eastAsia="宋体" w:cs="宋体"/>
                <w:color w:val="000000"/>
                <w:kern w:val="0"/>
                <w:sz w:val="24"/>
                <w:szCs w:val="24"/>
              </w:rPr>
            </w:pPr>
          </w:p>
        </w:tc>
        <w:tc>
          <w:tcPr>
            <w:tcW w:w="234" w:type="pct"/>
            <w:noWrap w:val="0"/>
            <w:vAlign w:val="center"/>
          </w:tcPr>
          <w:p w14:paraId="560D164E">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12</w:t>
            </w:r>
          </w:p>
        </w:tc>
        <w:tc>
          <w:tcPr>
            <w:tcW w:w="359" w:type="pct"/>
            <w:noWrap w:val="0"/>
            <w:vAlign w:val="center"/>
          </w:tcPr>
          <w:p w14:paraId="00B8BB8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noWrap w:val="0"/>
            <w:vAlign w:val="center"/>
          </w:tcPr>
          <w:p w14:paraId="4936752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协议支持</w:t>
            </w:r>
          </w:p>
        </w:tc>
        <w:tc>
          <w:tcPr>
            <w:tcW w:w="3465" w:type="pct"/>
            <w:noWrap w:val="0"/>
            <w:vAlign w:val="center"/>
          </w:tcPr>
          <w:p w14:paraId="294616DD">
            <w:pPr>
              <w:widowControl/>
              <w:rPr>
                <w:rFonts w:hint="eastAsia" w:ascii="宋体" w:hAnsi="宋体" w:eastAsia="宋体" w:cs="宋体"/>
                <w:kern w:val="0"/>
                <w:sz w:val="24"/>
                <w:szCs w:val="24"/>
              </w:rPr>
            </w:pPr>
            <w:r>
              <w:rPr>
                <w:rFonts w:hint="eastAsia" w:ascii="宋体" w:hAnsi="宋体" w:eastAsia="宋体" w:cs="宋体"/>
                <w:kern w:val="0"/>
                <w:sz w:val="24"/>
                <w:szCs w:val="24"/>
              </w:rPr>
              <w:t>存储支持ISCSI、NVMe-oF、NFS、POSIX、MPI-IO、S3等多种访问协议，无需配置独立的网关节点。需提供证明材料。</w:t>
            </w:r>
          </w:p>
        </w:tc>
      </w:tr>
      <w:tr w14:paraId="5D21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0EF5A9B5">
            <w:pPr>
              <w:widowControl/>
              <w:jc w:val="left"/>
              <w:rPr>
                <w:rFonts w:hint="eastAsia" w:ascii="宋体" w:hAnsi="宋体" w:eastAsia="宋体" w:cs="宋体"/>
                <w:color w:val="000000"/>
                <w:kern w:val="0"/>
                <w:sz w:val="24"/>
                <w:szCs w:val="24"/>
              </w:rPr>
            </w:pPr>
          </w:p>
        </w:tc>
        <w:tc>
          <w:tcPr>
            <w:tcW w:w="234" w:type="pct"/>
            <w:noWrap w:val="0"/>
            <w:vAlign w:val="center"/>
          </w:tcPr>
          <w:p w14:paraId="77E0198F">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13</w:t>
            </w:r>
          </w:p>
        </w:tc>
        <w:tc>
          <w:tcPr>
            <w:tcW w:w="359" w:type="pct"/>
            <w:noWrap w:val="0"/>
            <w:vAlign w:val="center"/>
          </w:tcPr>
          <w:p w14:paraId="7747B2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noWrap w:val="0"/>
            <w:vAlign w:val="center"/>
          </w:tcPr>
          <w:p w14:paraId="4BEF23F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MDS多活</w:t>
            </w:r>
          </w:p>
        </w:tc>
        <w:tc>
          <w:tcPr>
            <w:tcW w:w="3465" w:type="pct"/>
            <w:noWrap w:val="0"/>
            <w:vAlign w:val="center"/>
          </w:tcPr>
          <w:p w14:paraId="730CFC83">
            <w:pPr>
              <w:widowControl/>
              <w:rPr>
                <w:rFonts w:hint="default" w:ascii="宋体" w:hAnsi="宋体" w:eastAsia="宋体" w:cs="宋体"/>
                <w:kern w:val="0"/>
                <w:sz w:val="24"/>
                <w:szCs w:val="24"/>
                <w:lang w:val="en-US" w:eastAsia="zh-CN"/>
              </w:rPr>
            </w:pPr>
            <w:r>
              <w:rPr>
                <w:rFonts w:hint="eastAsia" w:ascii="宋体" w:hAnsi="宋体" w:eastAsia="宋体" w:cs="宋体"/>
                <w:kern w:val="0"/>
                <w:sz w:val="24"/>
                <w:szCs w:val="24"/>
              </w:rPr>
              <w:t>采用MDS多活架构，非主备MDS架构，从而实现MDS故障，掉零时间＜ 10s。提供具备CNAS和CMA资质的第三方评测机构签字盖章的测试报告复印件证明并加盖制造商公章。</w:t>
            </w:r>
          </w:p>
        </w:tc>
      </w:tr>
      <w:tr w14:paraId="5C2A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147BEA04">
            <w:pPr>
              <w:widowControl/>
              <w:jc w:val="left"/>
              <w:rPr>
                <w:rFonts w:hint="eastAsia" w:ascii="宋体" w:hAnsi="宋体" w:eastAsia="宋体" w:cs="宋体"/>
                <w:color w:val="000000"/>
                <w:kern w:val="0"/>
                <w:sz w:val="24"/>
                <w:szCs w:val="24"/>
              </w:rPr>
            </w:pPr>
          </w:p>
        </w:tc>
        <w:tc>
          <w:tcPr>
            <w:tcW w:w="234" w:type="pct"/>
            <w:noWrap w:val="0"/>
            <w:vAlign w:val="center"/>
          </w:tcPr>
          <w:p w14:paraId="5E01C73D">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14</w:t>
            </w:r>
          </w:p>
        </w:tc>
        <w:tc>
          <w:tcPr>
            <w:tcW w:w="359" w:type="pct"/>
            <w:noWrap w:val="0"/>
            <w:vAlign w:val="center"/>
          </w:tcPr>
          <w:p w14:paraId="719D9016">
            <w:pPr>
              <w:widowControl/>
              <w:jc w:val="center"/>
              <w:rPr>
                <w:rFonts w:hint="eastAsia" w:ascii="宋体" w:hAnsi="宋体" w:eastAsia="宋体" w:cs="宋体"/>
                <w:kern w:val="0"/>
                <w:sz w:val="24"/>
                <w:szCs w:val="24"/>
              </w:rPr>
            </w:pPr>
          </w:p>
        </w:tc>
        <w:tc>
          <w:tcPr>
            <w:tcW w:w="562" w:type="pct"/>
            <w:noWrap w:val="0"/>
            <w:vAlign w:val="center"/>
          </w:tcPr>
          <w:p w14:paraId="0D76B6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自定义元数据</w:t>
            </w:r>
          </w:p>
        </w:tc>
        <w:tc>
          <w:tcPr>
            <w:tcW w:w="3465" w:type="pct"/>
            <w:noWrap w:val="0"/>
            <w:vAlign w:val="center"/>
          </w:tcPr>
          <w:p w14:paraId="63872D62">
            <w:pPr>
              <w:widowControl/>
              <w:rPr>
                <w:rFonts w:hint="eastAsia" w:ascii="宋体" w:hAnsi="宋体" w:eastAsia="宋体" w:cs="宋体"/>
                <w:kern w:val="0"/>
                <w:sz w:val="24"/>
                <w:szCs w:val="24"/>
              </w:rPr>
            </w:pPr>
            <w:r>
              <w:rPr>
                <w:rFonts w:hint="eastAsia" w:ascii="宋体" w:hAnsi="宋体" w:eastAsia="宋体" w:cs="宋体"/>
                <w:kern w:val="0"/>
                <w:sz w:val="24"/>
                <w:szCs w:val="24"/>
              </w:rPr>
              <w:t>具备自定义元数据功能</w:t>
            </w:r>
          </w:p>
        </w:tc>
      </w:tr>
      <w:tr w14:paraId="564A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5D05D531">
            <w:pPr>
              <w:widowControl/>
              <w:jc w:val="left"/>
              <w:rPr>
                <w:rFonts w:hint="eastAsia" w:ascii="宋体" w:hAnsi="宋体" w:eastAsia="宋体" w:cs="宋体"/>
                <w:color w:val="000000"/>
                <w:kern w:val="0"/>
                <w:sz w:val="24"/>
                <w:szCs w:val="24"/>
              </w:rPr>
            </w:pPr>
          </w:p>
        </w:tc>
        <w:tc>
          <w:tcPr>
            <w:tcW w:w="234" w:type="pct"/>
            <w:noWrap w:val="0"/>
            <w:vAlign w:val="center"/>
          </w:tcPr>
          <w:p w14:paraId="488F835C">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15</w:t>
            </w:r>
          </w:p>
        </w:tc>
        <w:tc>
          <w:tcPr>
            <w:tcW w:w="359" w:type="pct"/>
            <w:noWrap w:val="0"/>
            <w:vAlign w:val="center"/>
          </w:tcPr>
          <w:p w14:paraId="6B6F4152">
            <w:pPr>
              <w:widowControl/>
              <w:jc w:val="center"/>
              <w:rPr>
                <w:rFonts w:hint="eastAsia" w:ascii="宋体" w:hAnsi="宋体" w:eastAsia="宋体" w:cs="宋体"/>
                <w:kern w:val="0"/>
                <w:sz w:val="24"/>
                <w:szCs w:val="24"/>
              </w:rPr>
            </w:pPr>
          </w:p>
        </w:tc>
        <w:tc>
          <w:tcPr>
            <w:tcW w:w="562" w:type="pct"/>
            <w:noWrap w:val="0"/>
            <w:vAlign w:val="center"/>
          </w:tcPr>
          <w:p w14:paraId="7FE17A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权限控制</w:t>
            </w:r>
          </w:p>
        </w:tc>
        <w:tc>
          <w:tcPr>
            <w:tcW w:w="3465" w:type="pct"/>
            <w:noWrap w:val="0"/>
            <w:vAlign w:val="center"/>
          </w:tcPr>
          <w:p w14:paraId="24A92EA7">
            <w:pPr>
              <w:widowControl/>
              <w:rPr>
                <w:rFonts w:hint="eastAsia" w:ascii="宋体" w:hAnsi="宋体" w:eastAsia="宋体" w:cs="宋体"/>
                <w:kern w:val="0"/>
                <w:sz w:val="24"/>
                <w:szCs w:val="24"/>
              </w:rPr>
            </w:pPr>
            <w:r>
              <w:rPr>
                <w:rFonts w:hint="eastAsia" w:ascii="宋体" w:hAnsi="宋体" w:eastAsia="宋体" w:cs="宋体"/>
                <w:kern w:val="0"/>
                <w:sz w:val="24"/>
                <w:szCs w:val="24"/>
              </w:rPr>
              <w:t>具备对文件多种访问控制功能，包含：只读、读写、完全控制（读/写/删除/创建）、禁止（无权限访问）等权限；</w:t>
            </w:r>
          </w:p>
        </w:tc>
      </w:tr>
      <w:tr w14:paraId="3982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10917DD2">
            <w:pPr>
              <w:widowControl/>
              <w:jc w:val="left"/>
              <w:rPr>
                <w:rFonts w:hint="eastAsia" w:ascii="宋体" w:hAnsi="宋体" w:eastAsia="宋体" w:cs="宋体"/>
                <w:color w:val="000000"/>
                <w:kern w:val="0"/>
                <w:sz w:val="24"/>
                <w:szCs w:val="24"/>
              </w:rPr>
            </w:pPr>
          </w:p>
        </w:tc>
        <w:tc>
          <w:tcPr>
            <w:tcW w:w="234" w:type="pct"/>
            <w:noWrap w:val="0"/>
            <w:vAlign w:val="center"/>
          </w:tcPr>
          <w:p w14:paraId="4E04ED1E">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16</w:t>
            </w:r>
          </w:p>
        </w:tc>
        <w:tc>
          <w:tcPr>
            <w:tcW w:w="359" w:type="pct"/>
            <w:noWrap w:val="0"/>
            <w:vAlign w:val="center"/>
          </w:tcPr>
          <w:p w14:paraId="0FDA3C3C">
            <w:pPr>
              <w:widowControl/>
              <w:jc w:val="center"/>
              <w:rPr>
                <w:rFonts w:hint="eastAsia" w:ascii="宋体" w:hAnsi="宋体" w:eastAsia="宋体" w:cs="宋体"/>
                <w:kern w:val="0"/>
                <w:sz w:val="24"/>
                <w:szCs w:val="24"/>
              </w:rPr>
            </w:pPr>
          </w:p>
        </w:tc>
        <w:tc>
          <w:tcPr>
            <w:tcW w:w="562" w:type="pct"/>
            <w:noWrap w:val="0"/>
            <w:vAlign w:val="center"/>
          </w:tcPr>
          <w:p w14:paraId="5FEB0CB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配额功能</w:t>
            </w:r>
          </w:p>
        </w:tc>
        <w:tc>
          <w:tcPr>
            <w:tcW w:w="3465" w:type="pct"/>
            <w:noWrap w:val="0"/>
            <w:vAlign w:val="center"/>
          </w:tcPr>
          <w:p w14:paraId="39E6C84B">
            <w:pPr>
              <w:widowControl/>
              <w:rPr>
                <w:rFonts w:hint="eastAsia" w:ascii="宋体" w:hAnsi="宋体" w:eastAsia="宋体" w:cs="宋体"/>
                <w:kern w:val="0"/>
                <w:sz w:val="24"/>
                <w:szCs w:val="24"/>
              </w:rPr>
            </w:pPr>
            <w:r>
              <w:rPr>
                <w:rFonts w:hint="eastAsia" w:ascii="宋体" w:hAnsi="宋体" w:eastAsia="宋体" w:cs="宋体"/>
                <w:kern w:val="0"/>
                <w:sz w:val="24"/>
                <w:szCs w:val="24"/>
              </w:rPr>
              <w:t>1、 命名空间（文件系统）级和目录级配额功能。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 容量和文件数配额功能。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 可基于用户和用户组设置配额</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4、软配额和硬配额功能；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5、配额嵌套功能：多级目录、数量和容量配额嵌套、目录配额和用户配额配额嵌套。</w:t>
            </w:r>
          </w:p>
        </w:tc>
      </w:tr>
      <w:tr w14:paraId="38D3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14B786FD">
            <w:pPr>
              <w:widowControl/>
              <w:jc w:val="left"/>
              <w:rPr>
                <w:rFonts w:hint="eastAsia" w:ascii="宋体" w:hAnsi="宋体" w:eastAsia="宋体" w:cs="宋体"/>
                <w:color w:val="000000"/>
                <w:kern w:val="0"/>
                <w:sz w:val="24"/>
                <w:szCs w:val="24"/>
              </w:rPr>
            </w:pPr>
          </w:p>
        </w:tc>
        <w:tc>
          <w:tcPr>
            <w:tcW w:w="234" w:type="pct"/>
            <w:noWrap w:val="0"/>
            <w:vAlign w:val="center"/>
          </w:tcPr>
          <w:p w14:paraId="622A78DE">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17</w:t>
            </w:r>
          </w:p>
        </w:tc>
        <w:tc>
          <w:tcPr>
            <w:tcW w:w="359" w:type="pct"/>
            <w:noWrap w:val="0"/>
            <w:vAlign w:val="center"/>
          </w:tcPr>
          <w:p w14:paraId="6A16395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noWrap w:val="0"/>
            <w:vAlign w:val="center"/>
          </w:tcPr>
          <w:p w14:paraId="3414AAD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海量配额</w:t>
            </w:r>
          </w:p>
        </w:tc>
        <w:tc>
          <w:tcPr>
            <w:tcW w:w="3465" w:type="pct"/>
            <w:noWrap w:val="0"/>
            <w:vAlign w:val="center"/>
          </w:tcPr>
          <w:p w14:paraId="5BBFBE56">
            <w:pPr>
              <w:widowControl/>
              <w:rPr>
                <w:rFonts w:hint="eastAsia" w:ascii="宋体" w:hAnsi="宋体" w:eastAsia="宋体" w:cs="宋体"/>
                <w:kern w:val="0"/>
                <w:sz w:val="24"/>
                <w:szCs w:val="24"/>
              </w:rPr>
            </w:pPr>
            <w:r>
              <w:rPr>
                <w:rFonts w:hint="eastAsia" w:ascii="宋体" w:hAnsi="宋体" w:eastAsia="宋体" w:cs="宋体"/>
                <w:kern w:val="0"/>
                <w:sz w:val="24"/>
                <w:szCs w:val="24"/>
              </w:rPr>
              <w:t>具备配额管理功能：用户配额、用户组配额、租户配额、桶配额，容量、对象数配额等。提供具备CNAS和CMA资质的第三方评测机构签字盖章的测试报告复印件证明并加盖制造商公章。</w:t>
            </w:r>
          </w:p>
        </w:tc>
      </w:tr>
      <w:tr w14:paraId="5391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4C120F81">
            <w:pPr>
              <w:widowControl/>
              <w:jc w:val="left"/>
              <w:rPr>
                <w:rFonts w:hint="eastAsia" w:ascii="宋体" w:hAnsi="宋体" w:eastAsia="宋体" w:cs="宋体"/>
                <w:color w:val="000000"/>
                <w:kern w:val="0"/>
                <w:sz w:val="24"/>
                <w:szCs w:val="24"/>
              </w:rPr>
            </w:pPr>
          </w:p>
        </w:tc>
        <w:tc>
          <w:tcPr>
            <w:tcW w:w="234" w:type="pct"/>
            <w:noWrap w:val="0"/>
            <w:vAlign w:val="center"/>
          </w:tcPr>
          <w:p w14:paraId="2B3986C7">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18</w:t>
            </w:r>
          </w:p>
        </w:tc>
        <w:tc>
          <w:tcPr>
            <w:tcW w:w="359" w:type="pct"/>
            <w:noWrap w:val="0"/>
            <w:vAlign w:val="center"/>
          </w:tcPr>
          <w:p w14:paraId="40BD338B">
            <w:pPr>
              <w:widowControl/>
              <w:jc w:val="center"/>
              <w:rPr>
                <w:rFonts w:hint="eastAsia" w:ascii="宋体" w:hAnsi="宋体" w:eastAsia="宋体" w:cs="宋体"/>
                <w:kern w:val="0"/>
                <w:sz w:val="24"/>
                <w:szCs w:val="24"/>
              </w:rPr>
            </w:pPr>
          </w:p>
        </w:tc>
        <w:tc>
          <w:tcPr>
            <w:tcW w:w="562" w:type="pct"/>
            <w:noWrap/>
            <w:vAlign w:val="center"/>
          </w:tcPr>
          <w:p w14:paraId="1BBFBC1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权限管理</w:t>
            </w:r>
          </w:p>
        </w:tc>
        <w:tc>
          <w:tcPr>
            <w:tcW w:w="3465" w:type="pct"/>
            <w:noWrap w:val="0"/>
            <w:vAlign w:val="center"/>
          </w:tcPr>
          <w:p w14:paraId="24A02FB5">
            <w:pPr>
              <w:widowControl/>
              <w:rPr>
                <w:rFonts w:hint="eastAsia" w:ascii="宋体" w:hAnsi="宋体" w:eastAsia="宋体" w:cs="宋体"/>
                <w:kern w:val="0"/>
                <w:sz w:val="24"/>
                <w:szCs w:val="24"/>
              </w:rPr>
            </w:pPr>
            <w:r>
              <w:rPr>
                <w:rFonts w:hint="eastAsia" w:ascii="宋体" w:hAnsi="宋体" w:eastAsia="宋体" w:cs="宋体"/>
                <w:kern w:val="0"/>
                <w:sz w:val="24"/>
                <w:szCs w:val="24"/>
              </w:rPr>
              <w:t>支持本地认证、LDAP域认证等方式。</w:t>
            </w:r>
          </w:p>
        </w:tc>
      </w:tr>
      <w:tr w14:paraId="1D50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44B6541D">
            <w:pPr>
              <w:widowControl/>
              <w:jc w:val="left"/>
              <w:rPr>
                <w:rFonts w:hint="eastAsia" w:ascii="宋体" w:hAnsi="宋体" w:eastAsia="宋体" w:cs="宋体"/>
                <w:color w:val="000000"/>
                <w:kern w:val="0"/>
                <w:sz w:val="24"/>
                <w:szCs w:val="24"/>
              </w:rPr>
            </w:pPr>
          </w:p>
        </w:tc>
        <w:tc>
          <w:tcPr>
            <w:tcW w:w="234" w:type="pct"/>
            <w:noWrap w:val="0"/>
            <w:vAlign w:val="center"/>
          </w:tcPr>
          <w:p w14:paraId="7A799EBB">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19</w:t>
            </w:r>
          </w:p>
        </w:tc>
        <w:tc>
          <w:tcPr>
            <w:tcW w:w="359" w:type="pct"/>
            <w:noWrap w:val="0"/>
            <w:vAlign w:val="center"/>
          </w:tcPr>
          <w:p w14:paraId="38C6DB9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noWrap/>
            <w:vAlign w:val="center"/>
          </w:tcPr>
          <w:p w14:paraId="77FBE4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统一鉴权</w:t>
            </w:r>
          </w:p>
        </w:tc>
        <w:tc>
          <w:tcPr>
            <w:tcW w:w="3465" w:type="pct"/>
            <w:noWrap w:val="0"/>
            <w:vAlign w:val="center"/>
          </w:tcPr>
          <w:p w14:paraId="3A8FC0DC">
            <w:pPr>
              <w:widowControl/>
              <w:rPr>
                <w:rFonts w:hint="eastAsia" w:ascii="宋体" w:hAnsi="宋体" w:eastAsia="宋体" w:cs="宋体"/>
                <w:kern w:val="0"/>
                <w:sz w:val="24"/>
                <w:szCs w:val="24"/>
              </w:rPr>
            </w:pPr>
            <w:r>
              <w:rPr>
                <w:rFonts w:hint="eastAsia" w:ascii="宋体" w:hAnsi="宋体" w:eastAsia="宋体" w:cs="宋体"/>
                <w:kern w:val="0"/>
                <w:sz w:val="24"/>
                <w:szCs w:val="24"/>
              </w:rPr>
              <w:t>具备文件/对象服务使用统一的本地用户认证或域用户认证，实现统一鉴权。提供具备CNAS和CMA资质的第三方评测机构签字盖章的测试报告复印件证明并加盖制造商公章。</w:t>
            </w:r>
          </w:p>
        </w:tc>
      </w:tr>
      <w:tr w14:paraId="385B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72B2C6D1">
            <w:pPr>
              <w:widowControl/>
              <w:jc w:val="left"/>
              <w:rPr>
                <w:rFonts w:hint="eastAsia" w:ascii="宋体" w:hAnsi="宋体" w:eastAsia="宋体" w:cs="宋体"/>
                <w:color w:val="000000"/>
                <w:kern w:val="0"/>
                <w:sz w:val="24"/>
                <w:szCs w:val="24"/>
              </w:rPr>
            </w:pPr>
          </w:p>
        </w:tc>
        <w:tc>
          <w:tcPr>
            <w:tcW w:w="234" w:type="pct"/>
            <w:noWrap w:val="0"/>
            <w:vAlign w:val="center"/>
          </w:tcPr>
          <w:p w14:paraId="1887C7C6">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20</w:t>
            </w:r>
          </w:p>
        </w:tc>
        <w:tc>
          <w:tcPr>
            <w:tcW w:w="359" w:type="pct"/>
            <w:noWrap w:val="0"/>
            <w:vAlign w:val="center"/>
          </w:tcPr>
          <w:p w14:paraId="19A77B96">
            <w:pPr>
              <w:widowControl/>
              <w:jc w:val="center"/>
              <w:rPr>
                <w:rFonts w:hint="eastAsia" w:ascii="宋体" w:hAnsi="宋体" w:eastAsia="宋体" w:cs="宋体"/>
                <w:kern w:val="0"/>
                <w:sz w:val="24"/>
                <w:szCs w:val="24"/>
              </w:rPr>
            </w:pPr>
          </w:p>
        </w:tc>
        <w:tc>
          <w:tcPr>
            <w:tcW w:w="562" w:type="pct"/>
            <w:noWrap w:val="0"/>
            <w:vAlign w:val="center"/>
          </w:tcPr>
          <w:p w14:paraId="70EECC3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管理界面</w:t>
            </w:r>
          </w:p>
        </w:tc>
        <w:tc>
          <w:tcPr>
            <w:tcW w:w="3465" w:type="pct"/>
            <w:noWrap w:val="0"/>
            <w:vAlign w:val="center"/>
          </w:tcPr>
          <w:p w14:paraId="744DF177">
            <w:pPr>
              <w:widowControl/>
              <w:rPr>
                <w:rFonts w:hint="eastAsia" w:ascii="宋体" w:hAnsi="宋体" w:eastAsia="宋体" w:cs="宋体"/>
                <w:kern w:val="0"/>
                <w:sz w:val="24"/>
                <w:szCs w:val="24"/>
              </w:rPr>
            </w:pPr>
            <w:r>
              <w:rPr>
                <w:rFonts w:hint="eastAsia" w:ascii="宋体" w:hAnsi="宋体" w:eastAsia="宋体" w:cs="宋体"/>
                <w:kern w:val="0"/>
                <w:sz w:val="24"/>
                <w:szCs w:val="24"/>
              </w:rPr>
              <w:t>具备中英文远程图形化管理界面，提供运维可视化。</w:t>
            </w:r>
          </w:p>
        </w:tc>
      </w:tr>
      <w:tr w14:paraId="1CA3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2FED5BE9">
            <w:pPr>
              <w:widowControl/>
              <w:jc w:val="left"/>
              <w:rPr>
                <w:rFonts w:hint="eastAsia" w:ascii="宋体" w:hAnsi="宋体" w:eastAsia="宋体" w:cs="宋体"/>
                <w:color w:val="000000"/>
                <w:kern w:val="0"/>
                <w:sz w:val="24"/>
                <w:szCs w:val="24"/>
              </w:rPr>
            </w:pPr>
          </w:p>
        </w:tc>
        <w:tc>
          <w:tcPr>
            <w:tcW w:w="234" w:type="pct"/>
            <w:noWrap w:val="0"/>
            <w:vAlign w:val="center"/>
          </w:tcPr>
          <w:p w14:paraId="619F10C4">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21</w:t>
            </w:r>
          </w:p>
        </w:tc>
        <w:tc>
          <w:tcPr>
            <w:tcW w:w="359" w:type="pct"/>
            <w:noWrap w:val="0"/>
            <w:vAlign w:val="center"/>
          </w:tcPr>
          <w:p w14:paraId="0EF5F1A7">
            <w:pPr>
              <w:widowControl/>
              <w:jc w:val="center"/>
              <w:rPr>
                <w:rFonts w:hint="eastAsia" w:ascii="宋体" w:hAnsi="宋体" w:eastAsia="宋体" w:cs="宋体"/>
                <w:kern w:val="0"/>
                <w:sz w:val="24"/>
                <w:szCs w:val="24"/>
              </w:rPr>
            </w:pPr>
          </w:p>
        </w:tc>
        <w:tc>
          <w:tcPr>
            <w:tcW w:w="562" w:type="pct"/>
            <w:noWrap w:val="0"/>
            <w:vAlign w:val="center"/>
          </w:tcPr>
          <w:p w14:paraId="7546FC4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管理HA</w:t>
            </w:r>
          </w:p>
        </w:tc>
        <w:tc>
          <w:tcPr>
            <w:tcW w:w="3465" w:type="pct"/>
            <w:noWrap w:val="0"/>
            <w:vAlign w:val="center"/>
          </w:tcPr>
          <w:p w14:paraId="226C3E9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存储系统具备管理节点HA高可用，管理平台部署于主备两个节点，主节点故障时，支持自动完成主备切换，</w:t>
            </w:r>
          </w:p>
        </w:tc>
      </w:tr>
      <w:tr w14:paraId="4685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725176FC">
            <w:pPr>
              <w:widowControl/>
              <w:jc w:val="left"/>
              <w:rPr>
                <w:rFonts w:hint="eastAsia" w:ascii="宋体" w:hAnsi="宋体" w:eastAsia="宋体" w:cs="宋体"/>
                <w:color w:val="000000"/>
                <w:kern w:val="0"/>
                <w:sz w:val="24"/>
                <w:szCs w:val="24"/>
              </w:rPr>
            </w:pPr>
          </w:p>
        </w:tc>
        <w:tc>
          <w:tcPr>
            <w:tcW w:w="234" w:type="pct"/>
            <w:noWrap w:val="0"/>
            <w:vAlign w:val="center"/>
          </w:tcPr>
          <w:p w14:paraId="76DDB704">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22</w:t>
            </w:r>
          </w:p>
        </w:tc>
        <w:tc>
          <w:tcPr>
            <w:tcW w:w="359" w:type="pct"/>
            <w:noWrap w:val="0"/>
            <w:vAlign w:val="center"/>
          </w:tcPr>
          <w:p w14:paraId="7D1DFCB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noWrap/>
            <w:vAlign w:val="center"/>
          </w:tcPr>
          <w:p w14:paraId="62176A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子网管理</w:t>
            </w:r>
          </w:p>
        </w:tc>
        <w:tc>
          <w:tcPr>
            <w:tcW w:w="3465" w:type="pct"/>
            <w:noWrap w:val="0"/>
            <w:vAlign w:val="center"/>
          </w:tcPr>
          <w:p w14:paraId="57CA39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具备在存储管理界面创建多个同网段子网、多个不同网段子网功能。提供具备CNAS和CMA资质的第三方评测机构签字盖章的测试报告复印件证明并加盖制造商公章。</w:t>
            </w:r>
          </w:p>
        </w:tc>
      </w:tr>
      <w:tr w14:paraId="4A7C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39321767">
            <w:pPr>
              <w:widowControl/>
              <w:jc w:val="left"/>
              <w:rPr>
                <w:rFonts w:hint="eastAsia" w:ascii="宋体" w:hAnsi="宋体" w:eastAsia="宋体" w:cs="宋体"/>
                <w:color w:val="000000"/>
                <w:kern w:val="0"/>
                <w:sz w:val="24"/>
                <w:szCs w:val="24"/>
              </w:rPr>
            </w:pPr>
          </w:p>
        </w:tc>
        <w:tc>
          <w:tcPr>
            <w:tcW w:w="234" w:type="pct"/>
            <w:noWrap w:val="0"/>
            <w:vAlign w:val="center"/>
          </w:tcPr>
          <w:p w14:paraId="4253B54F">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23</w:t>
            </w:r>
          </w:p>
        </w:tc>
        <w:tc>
          <w:tcPr>
            <w:tcW w:w="359" w:type="pct"/>
            <w:noWrap w:val="0"/>
            <w:vAlign w:val="center"/>
          </w:tcPr>
          <w:p w14:paraId="179992D0">
            <w:pPr>
              <w:widowControl/>
              <w:jc w:val="center"/>
              <w:rPr>
                <w:rFonts w:hint="eastAsia" w:ascii="宋体" w:hAnsi="宋体" w:eastAsia="宋体" w:cs="宋体"/>
                <w:kern w:val="0"/>
                <w:sz w:val="24"/>
                <w:szCs w:val="24"/>
              </w:rPr>
            </w:pPr>
          </w:p>
        </w:tc>
        <w:tc>
          <w:tcPr>
            <w:tcW w:w="562" w:type="pct"/>
            <w:noWrap w:val="0"/>
            <w:vAlign w:val="center"/>
          </w:tcPr>
          <w:p w14:paraId="5A89D77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多集群统一运维</w:t>
            </w:r>
          </w:p>
        </w:tc>
        <w:tc>
          <w:tcPr>
            <w:tcW w:w="3465" w:type="pct"/>
            <w:noWrap w:val="0"/>
            <w:vAlign w:val="center"/>
          </w:tcPr>
          <w:p w14:paraId="4924A4DB">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支持纳管多套存储集群，并支持在一个管理界面运维管理多套独立的存储集群。</w:t>
            </w:r>
          </w:p>
        </w:tc>
      </w:tr>
      <w:tr w14:paraId="05C8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116DA4E4">
            <w:pPr>
              <w:widowControl/>
              <w:jc w:val="left"/>
              <w:rPr>
                <w:rFonts w:hint="eastAsia" w:ascii="宋体" w:hAnsi="宋体" w:eastAsia="宋体" w:cs="宋体"/>
                <w:color w:val="000000"/>
                <w:kern w:val="0"/>
                <w:sz w:val="24"/>
                <w:szCs w:val="24"/>
              </w:rPr>
            </w:pPr>
          </w:p>
        </w:tc>
        <w:tc>
          <w:tcPr>
            <w:tcW w:w="234" w:type="pct"/>
            <w:noWrap w:val="0"/>
            <w:vAlign w:val="center"/>
          </w:tcPr>
          <w:p w14:paraId="47C11453">
            <w:pPr>
              <w:pStyle w:val="15"/>
              <w:widowControl/>
              <w:numPr>
                <w:ilvl w:val="0"/>
                <w:numId w:val="0"/>
              </w:numPr>
              <w:ind w:left="420" w:leftChars="0" w:hanging="42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24</w:t>
            </w:r>
          </w:p>
        </w:tc>
        <w:tc>
          <w:tcPr>
            <w:tcW w:w="359" w:type="pct"/>
            <w:noWrap w:val="0"/>
            <w:vAlign w:val="center"/>
          </w:tcPr>
          <w:p w14:paraId="1066F4E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noWrap/>
            <w:vAlign w:val="center"/>
          </w:tcPr>
          <w:p w14:paraId="0170C6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反磨损均衡</w:t>
            </w:r>
          </w:p>
        </w:tc>
        <w:tc>
          <w:tcPr>
            <w:tcW w:w="3465" w:type="pct"/>
            <w:noWrap w:val="0"/>
            <w:vAlign w:val="center"/>
          </w:tcPr>
          <w:p w14:paraId="0E8F54D3">
            <w:pPr>
              <w:widowControl/>
              <w:rPr>
                <w:rFonts w:hint="eastAsia" w:ascii="宋体" w:hAnsi="宋体" w:eastAsia="宋体" w:cs="宋体"/>
                <w:kern w:val="0"/>
                <w:sz w:val="24"/>
                <w:szCs w:val="24"/>
              </w:rPr>
            </w:pPr>
            <w:r>
              <w:rPr>
                <w:rFonts w:hint="eastAsia" w:ascii="宋体" w:hAnsi="宋体" w:eastAsia="宋体" w:cs="宋体"/>
                <w:kern w:val="0"/>
                <w:sz w:val="24"/>
                <w:szCs w:val="24"/>
              </w:rPr>
              <w:t>对系统中的盘磨损度进行检测，当盘达到设计的磨损度后增大到该盘的IO数量，使其提前磨损并重构，避免系统中多个盘寿命同时到达后同时故障。提供第三方权威评测机构签字盖章的测试报告复印件。</w:t>
            </w:r>
          </w:p>
        </w:tc>
      </w:tr>
      <w:tr w14:paraId="7487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126674F8">
            <w:pPr>
              <w:widowControl/>
              <w:jc w:val="left"/>
              <w:rPr>
                <w:rFonts w:hint="eastAsia" w:ascii="宋体" w:hAnsi="宋体" w:eastAsia="宋体" w:cs="宋体"/>
                <w:color w:val="000000"/>
                <w:kern w:val="0"/>
                <w:sz w:val="24"/>
                <w:szCs w:val="24"/>
              </w:rPr>
            </w:pPr>
          </w:p>
        </w:tc>
        <w:tc>
          <w:tcPr>
            <w:tcW w:w="234" w:type="pct"/>
            <w:noWrap w:val="0"/>
            <w:vAlign w:val="center"/>
          </w:tcPr>
          <w:p w14:paraId="120B58A3">
            <w:pPr>
              <w:pStyle w:val="15"/>
              <w:widowControl/>
              <w:numPr>
                <w:ilvl w:val="0"/>
                <w:numId w:val="0"/>
              </w:numPr>
              <w:ind w:left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359" w:type="pct"/>
            <w:noWrap w:val="0"/>
            <w:vAlign w:val="center"/>
          </w:tcPr>
          <w:p w14:paraId="635B994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noWrap w:val="0"/>
            <w:vAlign w:val="center"/>
          </w:tcPr>
          <w:p w14:paraId="2F89B5E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服务要求</w:t>
            </w:r>
          </w:p>
        </w:tc>
        <w:tc>
          <w:tcPr>
            <w:tcW w:w="3465" w:type="pct"/>
            <w:noWrap w:val="0"/>
            <w:vAlign w:val="center"/>
          </w:tcPr>
          <w:p w14:paraId="1D5D7F6A">
            <w:pPr>
              <w:widowControl/>
              <w:rPr>
                <w:rFonts w:hint="eastAsia" w:ascii="宋体" w:hAnsi="宋体" w:eastAsia="宋体" w:cs="宋体"/>
                <w:kern w:val="0"/>
                <w:sz w:val="24"/>
                <w:szCs w:val="24"/>
              </w:rPr>
            </w:pPr>
            <w:r>
              <w:rPr>
                <w:rFonts w:hint="eastAsia" w:ascii="宋体" w:hAnsi="宋体" w:eastAsia="宋体" w:cs="宋体"/>
                <w:kern w:val="0"/>
                <w:sz w:val="24"/>
                <w:szCs w:val="24"/>
              </w:rPr>
              <w:t>提供原厂三年7*24四小时现场支持（含硬盘不返还）服务，提供原厂售后服务承诺函须加盖原厂公章有效。</w:t>
            </w:r>
          </w:p>
        </w:tc>
      </w:tr>
      <w:tr w14:paraId="3DFB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restart"/>
            <w:noWrap/>
            <w:vAlign w:val="center"/>
          </w:tcPr>
          <w:p w14:paraId="657D0C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交换机</w:t>
            </w:r>
          </w:p>
        </w:tc>
        <w:tc>
          <w:tcPr>
            <w:tcW w:w="234" w:type="pct"/>
            <w:noWrap/>
            <w:vAlign w:val="center"/>
          </w:tcPr>
          <w:p w14:paraId="225AFB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59" w:type="pct"/>
            <w:noWrap w:val="0"/>
            <w:vAlign w:val="center"/>
          </w:tcPr>
          <w:p w14:paraId="78F4363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noWrap/>
            <w:vAlign w:val="center"/>
          </w:tcPr>
          <w:p w14:paraId="4556A40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端口要求</w:t>
            </w:r>
          </w:p>
        </w:tc>
        <w:tc>
          <w:tcPr>
            <w:tcW w:w="3465" w:type="pct"/>
            <w:noWrap w:val="0"/>
            <w:vAlign w:val="center"/>
          </w:tcPr>
          <w:p w14:paraId="097FA8D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支持≥24个25Gb SFP28端口,≥8个QSFP28端口</w:t>
            </w:r>
          </w:p>
        </w:tc>
      </w:tr>
      <w:tr w14:paraId="4B70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448DDA44">
            <w:pPr>
              <w:widowControl/>
              <w:jc w:val="left"/>
              <w:rPr>
                <w:rFonts w:hint="eastAsia" w:ascii="宋体" w:hAnsi="宋体" w:eastAsia="宋体" w:cs="宋体"/>
                <w:color w:val="000000"/>
                <w:kern w:val="0"/>
                <w:sz w:val="24"/>
                <w:szCs w:val="24"/>
              </w:rPr>
            </w:pPr>
          </w:p>
        </w:tc>
        <w:tc>
          <w:tcPr>
            <w:tcW w:w="234" w:type="pct"/>
            <w:noWrap/>
            <w:vAlign w:val="center"/>
          </w:tcPr>
          <w:p w14:paraId="3DC242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59" w:type="pct"/>
            <w:noWrap w:val="0"/>
            <w:vAlign w:val="center"/>
          </w:tcPr>
          <w:p w14:paraId="317E7B8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2" w:type="pct"/>
            <w:noWrap/>
            <w:vAlign w:val="center"/>
          </w:tcPr>
          <w:p w14:paraId="64EEA7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配置要求</w:t>
            </w:r>
          </w:p>
        </w:tc>
        <w:tc>
          <w:tcPr>
            <w:tcW w:w="3465" w:type="pct"/>
            <w:noWrap w:val="0"/>
            <w:vAlign w:val="center"/>
          </w:tcPr>
          <w:p w14:paraId="24B79A5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数量≥2台，每台配置≥8个25GE光模块，≥1根40G QSFP+ 1m电缆，配置冗余电源及风扇</w:t>
            </w:r>
          </w:p>
        </w:tc>
      </w:tr>
    </w:tbl>
    <w:p w14:paraId="0B7DDB6D">
      <w:pPr>
        <w:widowControl/>
        <w:adjustRightInd w:val="0"/>
        <w:snapToGrid w:val="0"/>
        <w:spacing w:before="120" w:beforeLines="50" w:line="360" w:lineRule="auto"/>
        <w:ind w:firstLine="482" w:firstLineChars="200"/>
        <w:rPr>
          <w:rFonts w:hint="eastAsia"/>
          <w:b/>
          <w:bCs/>
          <w:sz w:val="24"/>
          <w:szCs w:val="24"/>
          <w:highlight w:val="none"/>
          <w:lang w:eastAsia="zh-CN"/>
        </w:rPr>
      </w:pPr>
    </w:p>
    <w:p w14:paraId="25E3D141">
      <w:pPr>
        <w:widowControl/>
        <w:adjustRightInd w:val="0"/>
        <w:snapToGrid w:val="0"/>
        <w:spacing w:before="120" w:beforeLines="50" w:line="360" w:lineRule="auto"/>
        <w:ind w:firstLine="562" w:firstLineChars="200"/>
        <w:jc w:val="center"/>
        <w:outlineLvl w:val="2"/>
        <w:rPr>
          <w:rFonts w:hint="eastAsia"/>
          <w:b/>
          <w:bCs/>
          <w:sz w:val="28"/>
          <w:szCs w:val="28"/>
          <w:highlight w:val="none"/>
          <w:lang w:eastAsia="zh-CN"/>
        </w:rPr>
      </w:pPr>
      <w:r>
        <w:rPr>
          <w:rFonts w:hint="eastAsia"/>
          <w:b/>
          <w:bCs/>
          <w:sz w:val="28"/>
          <w:szCs w:val="28"/>
          <w:highlight w:val="none"/>
          <w:lang w:eastAsia="zh-CN"/>
        </w:rPr>
        <w:t>02</w:t>
      </w:r>
      <w:r>
        <w:rPr>
          <w:rFonts w:hint="eastAsia"/>
          <w:b/>
          <w:bCs/>
          <w:sz w:val="28"/>
          <w:szCs w:val="28"/>
          <w:highlight w:val="none"/>
          <w:lang w:val="en-US" w:eastAsia="zh-CN"/>
        </w:rPr>
        <w:t>包：</w:t>
      </w:r>
      <w:r>
        <w:rPr>
          <w:rFonts w:hint="eastAsia"/>
          <w:b/>
          <w:bCs/>
          <w:sz w:val="28"/>
          <w:szCs w:val="28"/>
          <w:highlight w:val="none"/>
          <w:lang w:eastAsia="zh-CN"/>
        </w:rPr>
        <w:t>业务性能监测管理平台</w:t>
      </w:r>
    </w:p>
    <w:p w14:paraId="0F950FC2">
      <w:pPr>
        <w:keepNext w:val="0"/>
        <w:keepLines w:val="0"/>
        <w:pageBreakBefore w:val="0"/>
        <w:widowControl w:val="0"/>
        <w:kinsoku/>
        <w:wordWrap/>
        <w:overflowPunct/>
        <w:topLinePunct w:val="0"/>
        <w:autoSpaceDE/>
        <w:autoSpaceDN/>
        <w:bidi w:val="0"/>
        <w:adjustRightInd/>
        <w:snapToGrid/>
        <w:spacing w:before="166" w:after="166" w:line="360" w:lineRule="auto"/>
        <w:ind w:firstLine="480" w:firstLineChars="200"/>
        <w:jc w:val="both"/>
        <w:textAlignment w:val="auto"/>
        <w:rPr>
          <w:rFonts w:hint="eastAsia" w:ascii="宋体" w:hAnsi="宋体" w:eastAsia="宋体" w:cs="Times New Roman"/>
          <w:kern w:val="2"/>
          <w:sz w:val="24"/>
          <w:szCs w:val="20"/>
          <w:lang w:eastAsia="zh-CN"/>
        </w:rPr>
      </w:pPr>
      <w:r>
        <w:rPr>
          <w:rFonts w:hint="eastAsia" w:ascii="宋体" w:hAnsi="宋体" w:eastAsia="宋体" w:cs="Times New Roman"/>
          <w:kern w:val="2"/>
          <w:sz w:val="24"/>
          <w:szCs w:val="20"/>
          <w:lang w:eastAsia="zh-CN"/>
        </w:rPr>
        <w:t>一、项目背景及目标</w:t>
      </w:r>
    </w:p>
    <w:p w14:paraId="72B7907D">
      <w:pPr>
        <w:keepNext w:val="0"/>
        <w:keepLines w:val="0"/>
        <w:pageBreakBefore w:val="0"/>
        <w:widowControl w:val="0"/>
        <w:kinsoku/>
        <w:wordWrap/>
        <w:overflowPunct/>
        <w:topLinePunct w:val="0"/>
        <w:autoSpaceDE/>
        <w:autoSpaceDN/>
        <w:bidi w:val="0"/>
        <w:adjustRightInd/>
        <w:snapToGrid/>
        <w:spacing w:before="166" w:after="166" w:line="360" w:lineRule="auto"/>
        <w:ind w:firstLine="480" w:firstLineChars="200"/>
        <w:jc w:val="both"/>
        <w:textAlignment w:val="auto"/>
        <w:rPr>
          <w:rFonts w:hint="eastAsia" w:ascii="宋体" w:hAnsi="宋体" w:eastAsia="宋体" w:cs="Times New Roman"/>
          <w:kern w:val="2"/>
          <w:sz w:val="24"/>
          <w:szCs w:val="20"/>
          <w:lang w:eastAsia="zh-CN"/>
        </w:rPr>
      </w:pPr>
      <w:r>
        <w:rPr>
          <w:rFonts w:hint="eastAsia" w:ascii="宋体" w:hAnsi="宋体" w:eastAsia="宋体" w:cs="Times New Roman"/>
          <w:kern w:val="2"/>
          <w:sz w:val="24"/>
          <w:szCs w:val="20"/>
          <w:lang w:eastAsia="zh-CN"/>
        </w:rPr>
        <w:t>为切实保障我院医疗数据安全及各项医疗业务的稳定运行，有效防范数据泄露、接口越权等潜在安全风险，我院拟开展“业务性能监测管理平台”的建设论证。该平台需实现对全维度数据资产与业务 API 的全面梳理及动态监测，广泛覆盖多类型数据库与 API 协议，具备医疗专属敏感数据与文件的自动识别能力。同时，平台需实现用户与账号的全流程审计溯源，精准定位数据泄密路径，满足高吞吐量业务场景需求；并要求搭建可视化态势大屏，生成多维度安全分析报告，从而实现医疗数据资产、安全风险、数据流动的全生命周期管控。</w:t>
      </w:r>
    </w:p>
    <w:p w14:paraId="16CAA89F">
      <w:pPr>
        <w:keepNext w:val="0"/>
        <w:keepLines w:val="0"/>
        <w:pageBreakBefore w:val="0"/>
        <w:widowControl w:val="0"/>
        <w:numPr>
          <w:ilvl w:val="0"/>
          <w:numId w:val="1"/>
        </w:numPr>
        <w:kinsoku/>
        <w:wordWrap/>
        <w:overflowPunct/>
        <w:topLinePunct w:val="0"/>
        <w:autoSpaceDE/>
        <w:autoSpaceDN/>
        <w:bidi w:val="0"/>
        <w:adjustRightInd/>
        <w:snapToGrid/>
        <w:spacing w:before="166" w:after="166" w:line="360" w:lineRule="auto"/>
        <w:ind w:firstLine="480" w:firstLineChars="200"/>
        <w:jc w:val="both"/>
        <w:textAlignment w:val="auto"/>
        <w:rPr>
          <w:rFonts w:hint="eastAsia" w:ascii="宋体" w:hAnsi="宋体" w:eastAsia="宋体" w:cs="Times New Roman"/>
          <w:kern w:val="2"/>
          <w:sz w:val="24"/>
          <w:szCs w:val="20"/>
          <w:lang w:eastAsia="zh-CN"/>
        </w:rPr>
      </w:pPr>
      <w:r>
        <w:rPr>
          <w:rFonts w:hint="eastAsia" w:ascii="宋体" w:hAnsi="宋体" w:eastAsia="宋体" w:cs="Times New Roman"/>
          <w:kern w:val="2"/>
          <w:sz w:val="24"/>
          <w:szCs w:val="20"/>
          <w:lang w:eastAsia="zh-CN"/>
        </w:rPr>
        <w:t>功能需求</w:t>
      </w:r>
    </w:p>
    <w:p w14:paraId="0C12927D">
      <w:pPr>
        <w:keepNext w:val="0"/>
        <w:keepLines w:val="0"/>
        <w:pageBreakBefore w:val="0"/>
        <w:widowControl w:val="0"/>
        <w:kinsoku/>
        <w:wordWrap/>
        <w:overflowPunct/>
        <w:topLinePunct w:val="0"/>
        <w:autoSpaceDE/>
        <w:autoSpaceDN/>
        <w:bidi w:val="0"/>
        <w:adjustRightInd/>
        <w:snapToGrid/>
        <w:spacing w:before="166" w:after="166" w:line="360" w:lineRule="auto"/>
        <w:ind w:firstLine="480" w:firstLineChars="200"/>
        <w:jc w:val="both"/>
        <w:textAlignment w:val="auto"/>
        <w:rPr>
          <w:rFonts w:ascii="Calibri" w:hAnsi="Calibri" w:eastAsia="宋体" w:cs="Times New Roman"/>
          <w:kern w:val="2"/>
          <w:sz w:val="21"/>
          <w:szCs w:val="24"/>
          <w:lang w:eastAsia="zh-CN"/>
        </w:rPr>
      </w:pPr>
      <w:r>
        <w:rPr>
          <w:rFonts w:hint="eastAsia" w:ascii="宋体" w:hAnsi="宋体" w:eastAsia="宋体" w:cs="Times New Roman"/>
          <w:kern w:val="2"/>
          <w:sz w:val="24"/>
          <w:szCs w:val="20"/>
          <w:lang w:val="en-US" w:eastAsia="zh-CN"/>
        </w:rPr>
        <w:t>（一）数据资产梳理功能</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46"/>
      </w:tblGrid>
      <w:tr w14:paraId="301B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000" w:type="pct"/>
            <w:noWrap w:val="0"/>
            <w:tcMar>
              <w:top w:w="60" w:type="dxa"/>
              <w:left w:w="120" w:type="dxa"/>
              <w:bottom w:w="30" w:type="dxa"/>
              <w:right w:w="120" w:type="dxa"/>
            </w:tcMar>
            <w:vAlign w:val="top"/>
          </w:tcPr>
          <w:p w14:paraId="242165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#1.应用资产梳理：具备自动化持续梳理应用资产能力，应用资产总览模块具体展示</w:t>
            </w:r>
            <w:r>
              <w:rPr>
                <w:rFonts w:hint="eastAsia" w:ascii="宋体" w:hAnsi="宋体" w:eastAsia="宋体" w:cs="宋体"/>
                <w:kern w:val="2"/>
                <w:sz w:val="24"/>
                <w:szCs w:val="24"/>
                <w:lang w:val="en-US" w:eastAsia="zh-CN"/>
              </w:rPr>
              <w:t>至少包含</w:t>
            </w:r>
            <w:r>
              <w:rPr>
                <w:rFonts w:hint="eastAsia" w:ascii="宋体" w:hAnsi="宋体" w:eastAsia="宋体" w:cs="宋体"/>
                <w:kern w:val="2"/>
                <w:sz w:val="24"/>
                <w:szCs w:val="24"/>
                <w:lang w:eastAsia="zh-CN"/>
              </w:rPr>
              <w:t>：应用IP/域名、今日访问量、总访问量、API资产数、文件数、数据标签数、账号数、资产来源、责任人。(须提供≥上述5项一一对应的</w:t>
            </w:r>
            <w:r>
              <w:rPr>
                <w:rFonts w:hint="eastAsia" w:ascii="宋体" w:hAnsi="宋体" w:eastAsia="宋体" w:cs="宋体"/>
                <w:kern w:val="2"/>
                <w:sz w:val="24"/>
                <w:szCs w:val="24"/>
                <w:lang w:val="en-US" w:eastAsia="zh-CN"/>
              </w:rPr>
              <w:t>厂商及供应商盖章的</w:t>
            </w:r>
            <w:r>
              <w:rPr>
                <w:rFonts w:hint="eastAsia" w:ascii="宋体" w:hAnsi="宋体" w:eastAsia="宋体" w:cs="宋体"/>
                <w:kern w:val="2"/>
                <w:sz w:val="24"/>
                <w:szCs w:val="24"/>
                <w:lang w:eastAsia="zh-CN"/>
              </w:rPr>
              <w:t>截图证明；</w:t>
            </w:r>
            <w:r>
              <w:rPr>
                <w:rFonts w:hint="eastAsia" w:ascii="宋体" w:hAnsi="宋体" w:eastAsia="宋体" w:cs="宋体"/>
                <w:kern w:val="2"/>
                <w:sz w:val="24"/>
                <w:szCs w:val="24"/>
                <w:lang w:val="en-US" w:eastAsia="zh-CN"/>
              </w:rPr>
              <w:t>不足5项</w:t>
            </w:r>
            <w:r>
              <w:rPr>
                <w:rFonts w:hint="eastAsia" w:ascii="宋体" w:hAnsi="宋体" w:eastAsia="宋体" w:cs="宋体"/>
                <w:kern w:val="2"/>
                <w:sz w:val="24"/>
                <w:szCs w:val="24"/>
                <w:lang w:eastAsia="zh-CN"/>
              </w:rPr>
              <w:t>则不得分)</w:t>
            </w:r>
          </w:p>
        </w:tc>
      </w:tr>
      <w:tr w14:paraId="318F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000" w:type="pct"/>
            <w:noWrap w:val="0"/>
            <w:tcMar>
              <w:top w:w="60" w:type="dxa"/>
              <w:left w:w="120" w:type="dxa"/>
              <w:bottom w:w="30" w:type="dxa"/>
              <w:right w:w="120" w:type="dxa"/>
            </w:tcMar>
            <w:vAlign w:val="top"/>
          </w:tcPr>
          <w:p w14:paraId="58C758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2.应用资产详情模块具体展示：API总数、风险API、弱点API、敏感API数量和趋势分析数据，账号总数、风险账号数量的趋势分析数据，数据标签总数和趋势分析数据。</w:t>
            </w:r>
          </w:p>
        </w:tc>
      </w:tr>
      <w:tr w14:paraId="67D0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000" w:type="pct"/>
            <w:noWrap w:val="0"/>
            <w:tcMar>
              <w:top w:w="60" w:type="dxa"/>
              <w:left w:w="120" w:type="dxa"/>
              <w:bottom w:w="30" w:type="dxa"/>
              <w:right w:w="120" w:type="dxa"/>
            </w:tcMar>
            <w:vAlign w:val="top"/>
          </w:tcPr>
          <w:p w14:paraId="1F6D031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API资产梳理：具备通过流量解析自动梳理API资产的功能，具体梳理展示API列表、应用地址、API路径、请求类型、敏感数据类型、发现时间等信息；具备列表模式展示API运行性能数据功能，具体展示最近7天请求次数、最近7天访问IP数、最近一次访问时间、是否涉敏、接口状态等内容。</w:t>
            </w:r>
          </w:p>
        </w:tc>
      </w:tr>
      <w:tr w14:paraId="6E8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000" w:type="pct"/>
            <w:noWrap w:val="0"/>
            <w:tcMar>
              <w:top w:w="60" w:type="dxa"/>
              <w:left w:w="120" w:type="dxa"/>
              <w:bottom w:w="30" w:type="dxa"/>
              <w:right w:w="120" w:type="dxa"/>
            </w:tcMar>
            <w:vAlign w:val="top"/>
          </w:tcPr>
          <w:p w14:paraId="4F48AF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API类型识别：具备识别HTTP和HTTPS业务中API接口资产的功能；具备识别RESTFul、SOAP、MQTT、Websocket、GraphQL、JSON-RPC、XML-RPC、Dubbo等API协议的能力。具备持续监测能力，对新出现的API能及时发现并纳入管理。具体梳理展示API列表、应用地址、API路径、请求类型、敏感数据类型、发现时间等信息；具备列表模式展示API运行性能数据功能，具体展示最近7天请求次数、最近7天访问IP数、最近一次访问时间、是否涉敏、接口状态等内容。</w:t>
            </w:r>
          </w:p>
        </w:tc>
      </w:tr>
      <w:tr w14:paraId="465D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000" w:type="pct"/>
            <w:noWrap w:val="0"/>
            <w:tcMar>
              <w:top w:w="60" w:type="dxa"/>
              <w:left w:w="120" w:type="dxa"/>
              <w:bottom w:w="30" w:type="dxa"/>
              <w:right w:w="120" w:type="dxa"/>
            </w:tcMar>
            <w:vAlign w:val="top"/>
          </w:tcPr>
          <w:p w14:paraId="08832E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#5.API资产总览：具备API资产集中展示功能，</w:t>
            </w:r>
            <w:r>
              <w:rPr>
                <w:rFonts w:hint="eastAsia" w:ascii="宋体" w:hAnsi="宋体" w:eastAsia="宋体" w:cs="宋体"/>
                <w:kern w:val="2"/>
                <w:sz w:val="24"/>
                <w:szCs w:val="24"/>
                <w:lang w:val="en-US" w:eastAsia="zh-CN"/>
              </w:rPr>
              <w:t>至少包括</w:t>
            </w:r>
            <w:r>
              <w:rPr>
                <w:rFonts w:hint="eastAsia" w:ascii="宋体" w:hAnsi="宋体" w:eastAsia="宋体" w:cs="宋体"/>
                <w:kern w:val="2"/>
                <w:sz w:val="24"/>
                <w:szCs w:val="24"/>
                <w:lang w:eastAsia="zh-CN"/>
              </w:rPr>
              <w:t>呈现API接口清单、安全风险等级评估结果、脆弱性等级评估结果、敏感等级评估结果、今日调用量、总调用量、上线状态、活跃状态、API标签。(须提供≥上述5项一一对应的</w:t>
            </w:r>
            <w:r>
              <w:rPr>
                <w:rFonts w:hint="eastAsia" w:ascii="宋体" w:hAnsi="宋体" w:eastAsia="宋体" w:cs="宋体"/>
                <w:kern w:val="2"/>
                <w:sz w:val="24"/>
                <w:szCs w:val="24"/>
                <w:lang w:val="en-US" w:eastAsia="zh-CN"/>
              </w:rPr>
              <w:t>厂商及供应商盖章的</w:t>
            </w:r>
            <w:r>
              <w:rPr>
                <w:rFonts w:hint="eastAsia" w:ascii="宋体" w:hAnsi="宋体" w:eastAsia="宋体" w:cs="宋体"/>
                <w:kern w:val="2"/>
                <w:sz w:val="24"/>
                <w:szCs w:val="24"/>
                <w:lang w:eastAsia="zh-CN"/>
              </w:rPr>
              <w:t>截图证明；</w:t>
            </w:r>
            <w:r>
              <w:rPr>
                <w:rFonts w:hint="eastAsia" w:ascii="宋体" w:hAnsi="宋体" w:eastAsia="宋体" w:cs="宋体"/>
                <w:kern w:val="2"/>
                <w:sz w:val="24"/>
                <w:szCs w:val="24"/>
                <w:lang w:val="en-US" w:eastAsia="zh-CN"/>
              </w:rPr>
              <w:t>不足5项</w:t>
            </w:r>
            <w:r>
              <w:rPr>
                <w:rFonts w:hint="eastAsia" w:ascii="宋体" w:hAnsi="宋体" w:eastAsia="宋体" w:cs="宋体"/>
                <w:kern w:val="2"/>
                <w:sz w:val="24"/>
                <w:szCs w:val="24"/>
                <w:lang w:eastAsia="zh-CN"/>
              </w:rPr>
              <w:t>则不得分)</w:t>
            </w:r>
          </w:p>
        </w:tc>
      </w:tr>
      <w:tr w14:paraId="1FFD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000" w:type="pct"/>
            <w:noWrap w:val="0"/>
            <w:tcMar>
              <w:top w:w="60" w:type="dxa"/>
              <w:left w:w="120" w:type="dxa"/>
              <w:bottom w:w="30" w:type="dxa"/>
              <w:right w:w="120" w:type="dxa"/>
            </w:tcMar>
            <w:vAlign w:val="top"/>
          </w:tcPr>
          <w:p w14:paraId="548FB6C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6.API规则自定义：具备内置API识别、版本、合并、活跃、敏感等级规则的基础功能，同时具备各类型规则自定义配置能力，也支持API手动合并规则的手动操作功能。</w:t>
            </w:r>
          </w:p>
        </w:tc>
      </w:tr>
      <w:tr w14:paraId="738F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000" w:type="pct"/>
            <w:noWrap w:val="0"/>
            <w:tcMar>
              <w:top w:w="60" w:type="dxa"/>
              <w:left w:w="120" w:type="dxa"/>
              <w:bottom w:w="30" w:type="dxa"/>
              <w:right w:w="120" w:type="dxa"/>
            </w:tcMar>
            <w:vAlign w:val="top"/>
          </w:tcPr>
          <w:p w14:paraId="60CB05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#7.数据库适配梳理：具备多类型数据库支持能力，至少适配常见MySQL、Oracle、SQL Server、Caché、IRIS等数据库；具备数据库自动/手动匹配功能；具备基于数据源的连接和授权功能，可自动获取</w:t>
            </w:r>
            <w:r>
              <w:rPr>
                <w:rFonts w:hint="eastAsia" w:ascii="宋体" w:hAnsi="宋体" w:eastAsia="宋体" w:cs="宋体"/>
                <w:kern w:val="2"/>
                <w:sz w:val="24"/>
                <w:szCs w:val="24"/>
                <w:lang w:val="en-US" w:eastAsia="zh-CN"/>
              </w:rPr>
              <w:t>数据库中的库、表、字段的层级结构并展示。</w:t>
            </w:r>
            <w:r>
              <w:rPr>
                <w:rFonts w:hint="eastAsia" w:ascii="宋体" w:hAnsi="宋体" w:eastAsia="宋体" w:cs="宋体"/>
                <w:kern w:val="2"/>
                <w:sz w:val="24"/>
                <w:szCs w:val="24"/>
                <w:lang w:eastAsia="zh-CN"/>
              </w:rPr>
              <w:t>(须提供厂商及供应商盖章的截图证明)</w:t>
            </w:r>
          </w:p>
        </w:tc>
      </w:tr>
      <w:tr w14:paraId="6867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000" w:type="pct"/>
            <w:noWrap w:val="0"/>
            <w:tcMar>
              <w:top w:w="60" w:type="dxa"/>
              <w:left w:w="120" w:type="dxa"/>
              <w:bottom w:w="30" w:type="dxa"/>
              <w:right w:w="120" w:type="dxa"/>
            </w:tcMar>
            <w:vAlign w:val="top"/>
          </w:tcPr>
          <w:p w14:paraId="1A4D001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lang w:eastAsia="zh-CN"/>
              </w:rPr>
              <w:t>异构 API 数据标准化能力：对不同协议、不同格式、不同来源的 API 信息进行统一清洗与结构标准化，构建规范、统一、可复用的 API 资产库，为 API 风险分析、审计溯源、安全防护提供高质量数据支撑。</w:t>
            </w:r>
          </w:p>
        </w:tc>
      </w:tr>
    </w:tbl>
    <w:p w14:paraId="749640B7">
      <w:pPr>
        <w:widowControl w:val="0"/>
        <w:numPr>
          <w:ilvl w:val="0"/>
          <w:numId w:val="0"/>
        </w:numPr>
        <w:spacing w:after="120" w:line="240" w:lineRule="auto"/>
        <w:ind w:leftChars="0"/>
        <w:jc w:val="both"/>
        <w:rPr>
          <w:rFonts w:hint="eastAsia" w:ascii="宋体" w:hAnsi="宋体" w:eastAsia="宋体" w:cs="宋体"/>
          <w:b/>
          <w:bCs/>
          <w:kern w:val="0"/>
          <w:sz w:val="24"/>
          <w:szCs w:val="24"/>
          <w:lang w:val="en-US" w:eastAsia="zh-CN" w:bidi="ar-SA"/>
        </w:rPr>
      </w:pPr>
    </w:p>
    <w:p w14:paraId="097A478C">
      <w:pPr>
        <w:numPr>
          <w:ilvl w:val="0"/>
          <w:numId w:val="0"/>
        </w:numPr>
        <w:autoSpaceDE/>
        <w:autoSpaceDN/>
        <w:spacing w:before="166" w:after="166"/>
        <w:ind w:left="0" w:leftChars="0" w:firstLine="0" w:firstLineChars="0"/>
        <w:jc w:val="both"/>
        <w:rPr>
          <w:rFonts w:hint="eastAsia" w:ascii="宋体" w:hAnsi="宋体" w:eastAsia="宋体" w:cs="Times New Roman"/>
          <w:kern w:val="2"/>
          <w:sz w:val="24"/>
          <w:szCs w:val="20"/>
          <w:lang w:val="en-US" w:eastAsia="zh-CN"/>
        </w:rPr>
      </w:pPr>
      <w:r>
        <w:rPr>
          <w:rFonts w:hint="eastAsia" w:ascii="宋体" w:hAnsi="宋体" w:eastAsia="宋体" w:cs="Times New Roman"/>
          <w:kern w:val="2"/>
          <w:sz w:val="24"/>
          <w:szCs w:val="20"/>
          <w:lang w:val="en-US" w:eastAsia="zh-CN" w:bidi="ar-SA"/>
        </w:rPr>
        <w:t>（二）</w:t>
      </w:r>
      <w:r>
        <w:rPr>
          <w:rFonts w:hint="eastAsia" w:ascii="宋体" w:hAnsi="宋体" w:eastAsia="宋体" w:cs="Times New Roman"/>
          <w:kern w:val="2"/>
          <w:sz w:val="24"/>
          <w:szCs w:val="20"/>
          <w:lang w:val="en-US" w:eastAsia="zh-CN"/>
        </w:rPr>
        <w:t>数据安全与业务性能风险评估功能</w:t>
      </w:r>
    </w:p>
    <w:tbl>
      <w:tblPr>
        <w:tblStyle w:val="9"/>
        <w:tblW w:w="5000" w:type="pct"/>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546"/>
      </w:tblGrid>
      <w:tr w14:paraId="36A9EBF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2EF89CD">
            <w:pPr>
              <w:autoSpaceDE/>
              <w:autoSpaceDN/>
              <w:spacing w:line="24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8.风险智能发现：具备API风险自动持续发现功能，内置多类型风险识别规则库，</w:t>
            </w:r>
            <w:r>
              <w:rPr>
                <w:rFonts w:hint="eastAsia" w:ascii="宋体" w:hAnsi="宋体" w:eastAsia="宋体" w:cs="宋体"/>
                <w:kern w:val="2"/>
                <w:sz w:val="24"/>
                <w:szCs w:val="24"/>
                <w:lang w:val="en-US" w:eastAsia="zh-CN"/>
              </w:rPr>
              <w:t>至少</w:t>
            </w:r>
            <w:r>
              <w:rPr>
                <w:rFonts w:hint="eastAsia" w:ascii="宋体" w:hAnsi="宋体" w:eastAsia="宋体" w:cs="宋体"/>
                <w:kern w:val="2"/>
                <w:sz w:val="24"/>
                <w:szCs w:val="24"/>
                <w:lang w:eastAsia="zh-CN"/>
              </w:rPr>
              <w:t>包含数据泄露类、Web攻击类、账号安全类等规则；其中业务性能相关风险规则至少包含：IP单次获取大量敏感数据标签、IP一分钟内频繁下载文件、IP单日内获取大量数据、IP执行短信炸弹、账号一分钟内高频次访问、用户一分钟内频繁登录。</w:t>
            </w:r>
          </w:p>
        </w:tc>
      </w:tr>
      <w:tr w14:paraId="6A09116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63DAF176">
            <w:pPr>
              <w:autoSpaceDE/>
              <w:autoSpaceDN/>
              <w:spacing w:line="24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9.接口脆弱性评估：具备按照OWASP API Security TOP10分类识别接口脆弱性的功能，</w:t>
            </w:r>
            <w:r>
              <w:rPr>
                <w:rFonts w:hint="eastAsia" w:ascii="宋体" w:hAnsi="宋体" w:eastAsia="宋体" w:cs="宋体"/>
                <w:kern w:val="2"/>
                <w:sz w:val="24"/>
                <w:szCs w:val="24"/>
                <w:lang w:val="en-US" w:eastAsia="zh-CN"/>
              </w:rPr>
              <w:t>至少</w:t>
            </w:r>
            <w:r>
              <w:rPr>
                <w:rFonts w:hint="eastAsia" w:ascii="宋体" w:hAnsi="宋体" w:eastAsia="宋体" w:cs="宋体"/>
                <w:kern w:val="2"/>
                <w:sz w:val="24"/>
                <w:szCs w:val="24"/>
                <w:lang w:eastAsia="zh-CN"/>
              </w:rPr>
              <w:t>可识别：请求密码透出、响应密码透出、接口缺乏速率限制、跨站请求伪造、接口返回大量敏感数据、接口返回大量敏感数据标签、配置文件泄露、权限更新不合理、IP水平越权等影响接口性能与安全的问题。</w:t>
            </w:r>
          </w:p>
        </w:tc>
      </w:tr>
      <w:tr w14:paraId="017B321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6526DB9">
            <w:pPr>
              <w:autoSpaceDE/>
              <w:autoSpaceDN/>
              <w:spacing w:line="24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10.业务行为基线学习：具备业务正常行为基线学习功能，通过智能技术建立数据返回量、数据返回类型、访问频次等性能基准线体系库，实现风险误报率降低的实际效果。</w:t>
            </w:r>
          </w:p>
        </w:tc>
      </w:tr>
      <w:tr w14:paraId="5D2502D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65E0D4E0">
            <w:pPr>
              <w:autoSpaceDE/>
              <w:autoSpaceDN/>
              <w:spacing w:line="24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11.加密流量透视解析：具备旁路镜像模式下TLS1.3加密流量解密还原功能，无需导入业务系统的SSL证书，保障加密流量下的性能监测全覆盖。</w:t>
            </w:r>
          </w:p>
        </w:tc>
      </w:tr>
      <w:tr w14:paraId="62F8E69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DE34154">
            <w:pPr>
              <w:autoSpaceDE/>
              <w:autoSpaceDN/>
              <w:spacing w:line="24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12.异常业务接口定位：具备异常业务接口精准定位功能，针对时延过长、响应高频出错的接口可自动拉取问题清单，且支持定制化异常业务接口专属看板，实现问题接口快速聚焦处理；接口响应时间具备基线学习功能，同时具备院方自定义配置响应时间基准线的能力。(须提供厂商及供应商盖章的截图证明)</w:t>
            </w:r>
          </w:p>
        </w:tc>
      </w:tr>
    </w:tbl>
    <w:p w14:paraId="1CF7DC8B">
      <w:pPr>
        <w:widowControl w:val="0"/>
        <w:numPr>
          <w:ilvl w:val="0"/>
          <w:numId w:val="0"/>
        </w:numPr>
        <w:spacing w:after="120" w:line="240" w:lineRule="auto"/>
        <w:ind w:leftChars="0"/>
        <w:jc w:val="both"/>
        <w:rPr>
          <w:rFonts w:hint="default" w:ascii="宋体" w:hAnsi="宋体" w:eastAsia="宋体" w:cs="宋体"/>
          <w:b/>
          <w:bCs/>
          <w:kern w:val="0"/>
          <w:sz w:val="24"/>
          <w:szCs w:val="24"/>
          <w:lang w:val="en-US" w:eastAsia="zh-CN" w:bidi="ar-SA"/>
        </w:rPr>
      </w:pPr>
    </w:p>
    <w:p w14:paraId="4E5E9F32">
      <w:pPr>
        <w:numPr>
          <w:ilvl w:val="0"/>
          <w:numId w:val="0"/>
        </w:numPr>
        <w:autoSpaceDE/>
        <w:autoSpaceDN/>
        <w:spacing w:before="166" w:after="166"/>
        <w:ind w:left="0" w:leftChars="0" w:firstLine="0" w:firstLineChars="0"/>
        <w:jc w:val="both"/>
        <w:rPr>
          <w:rFonts w:hint="eastAsia" w:ascii="宋体" w:hAnsi="宋体" w:eastAsia="宋体" w:cs="Times New Roman"/>
          <w:kern w:val="2"/>
          <w:sz w:val="24"/>
          <w:szCs w:val="20"/>
          <w:lang w:val="en-US" w:eastAsia="zh-CN"/>
        </w:rPr>
      </w:pPr>
      <w:r>
        <w:rPr>
          <w:rFonts w:hint="eastAsia" w:ascii="宋体" w:hAnsi="宋体" w:eastAsia="宋体" w:cs="Times New Roman"/>
          <w:kern w:val="2"/>
          <w:sz w:val="24"/>
          <w:szCs w:val="20"/>
          <w:lang w:val="en-US" w:eastAsia="zh-CN" w:bidi="ar-SA"/>
        </w:rPr>
        <w:t>（三）</w:t>
      </w:r>
      <w:r>
        <w:rPr>
          <w:rFonts w:hint="eastAsia" w:ascii="宋体" w:hAnsi="宋体" w:eastAsia="宋体" w:cs="Times New Roman"/>
          <w:kern w:val="2"/>
          <w:sz w:val="24"/>
          <w:szCs w:val="20"/>
          <w:lang w:val="en-US" w:eastAsia="zh-CN"/>
        </w:rPr>
        <w:t>性能与安全问题溯源分析功能</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46"/>
      </w:tblGrid>
      <w:tr w14:paraId="3D98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6CEF0C48">
            <w:pPr>
              <w:widowControl w:val="0"/>
              <w:numPr>
                <w:ilvl w:val="0"/>
                <w:numId w:val="0"/>
              </w:numPr>
              <w:spacing w:after="120" w:line="240" w:lineRule="auto"/>
              <w:ind w:leftChars="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13.用户调用安全监测：具备用户源IP与关联账号风险行为联动分析功能，可实现用户源IP安全评分、用户IP风险等级评估；具备用户详情查看与多维度分析功能，至少包含关系图谱分析、行为分析、轨迹分析、风险分析等，支撑性能与安全问题溯源。(须提供厂商及供应商盖章的截图证明)</w:t>
            </w:r>
          </w:p>
        </w:tc>
      </w:tr>
      <w:tr w14:paraId="723E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57241DF2">
            <w:pPr>
              <w:widowControl w:val="0"/>
              <w:numPr>
                <w:ilvl w:val="0"/>
                <w:numId w:val="0"/>
              </w:numPr>
              <w:spacing w:after="120" w:line="240" w:lineRule="auto"/>
              <w:ind w:leftChars="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14.账号安全监测：具备账号详情查看功能，具备账号多维度运行分析能力，至少包含展示行为统计、行为轨迹、风险分析、使用浏览器等信息，辅助定位账号相关性能与安全问题。</w:t>
            </w:r>
          </w:p>
        </w:tc>
      </w:tr>
      <w:tr w14:paraId="627C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368700E6">
            <w:pPr>
              <w:widowControl w:val="0"/>
              <w:numPr>
                <w:ilvl w:val="0"/>
                <w:numId w:val="0"/>
              </w:numPr>
              <w:spacing w:after="120" w:line="240" w:lineRule="auto"/>
              <w:ind w:leftChars="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15.数据泄密与性能问题溯源分析：具备数据泄露事件溯源功能，在医院发现数据泄露事件时，可通过输入或导入已泄露的数据集，自动在流量中匹配相关访问行为；具备图形化展示数据访问路径功能，至少包含呈现IP-用户-账号-API-数据的完整链路，支撑性能与安全问题全链路溯源。</w:t>
            </w:r>
          </w:p>
        </w:tc>
      </w:tr>
      <w:tr w14:paraId="6C4D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5C855F7D">
            <w:pPr>
              <w:widowControl w:val="0"/>
              <w:numPr>
                <w:ilvl w:val="0"/>
                <w:numId w:val="0"/>
              </w:numPr>
              <w:spacing w:after="120" w:line="240" w:lineRule="auto"/>
              <w:ind w:leftChars="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16.溯源结果可视化展示：具备溯源结果集中展示功能，至少包含呈现数据泄露关联日志数、可疑IP数量、高可疑IP数、涉及应用数、涉及API数、涉及用户数、涉及账号数等信息，为性能与安全问题排查提供数据支撑。(须提供厂商及供应商盖章的截图证明)</w:t>
            </w:r>
          </w:p>
        </w:tc>
      </w:tr>
    </w:tbl>
    <w:p w14:paraId="54E2E166">
      <w:pPr>
        <w:widowControl w:val="0"/>
        <w:numPr>
          <w:ilvl w:val="0"/>
          <w:numId w:val="0"/>
        </w:numPr>
        <w:spacing w:after="120" w:line="240" w:lineRule="auto"/>
        <w:ind w:leftChars="0"/>
        <w:jc w:val="both"/>
        <w:rPr>
          <w:rFonts w:hint="eastAsia" w:ascii="宋体" w:hAnsi="宋体" w:eastAsia="宋体" w:cs="宋体"/>
          <w:b/>
          <w:bCs/>
          <w:kern w:val="0"/>
          <w:sz w:val="24"/>
          <w:szCs w:val="24"/>
          <w:lang w:val="en-US" w:eastAsia="zh-CN" w:bidi="ar-SA"/>
        </w:rPr>
      </w:pPr>
    </w:p>
    <w:p w14:paraId="5B8616E7">
      <w:pPr>
        <w:numPr>
          <w:ilvl w:val="0"/>
          <w:numId w:val="0"/>
        </w:numPr>
        <w:autoSpaceDE/>
        <w:autoSpaceDN/>
        <w:spacing w:before="166" w:after="166"/>
        <w:ind w:left="0" w:leftChars="0" w:firstLine="0" w:firstLineChars="0"/>
        <w:jc w:val="both"/>
        <w:rPr>
          <w:rFonts w:hint="eastAsia" w:ascii="宋体" w:hAnsi="宋体" w:eastAsia="宋体" w:cs="Times New Roman"/>
          <w:kern w:val="2"/>
          <w:sz w:val="24"/>
          <w:szCs w:val="20"/>
          <w:lang w:val="en-US" w:eastAsia="zh-CN"/>
        </w:rPr>
      </w:pPr>
      <w:r>
        <w:rPr>
          <w:rFonts w:hint="eastAsia" w:ascii="宋体" w:hAnsi="宋体" w:eastAsia="宋体" w:cs="Times New Roman"/>
          <w:kern w:val="2"/>
          <w:sz w:val="24"/>
          <w:szCs w:val="20"/>
          <w:lang w:val="en-US" w:eastAsia="zh-CN" w:bidi="ar-SA"/>
        </w:rPr>
        <w:t>（四）</w:t>
      </w:r>
      <w:r>
        <w:rPr>
          <w:rFonts w:hint="eastAsia" w:ascii="宋体" w:hAnsi="宋体" w:eastAsia="宋体" w:cs="Times New Roman"/>
          <w:kern w:val="2"/>
          <w:sz w:val="24"/>
          <w:szCs w:val="20"/>
          <w:lang w:val="en-US" w:eastAsia="zh-CN"/>
        </w:rPr>
        <w:t>性能监测数据治理功能</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46"/>
      </w:tblGrid>
      <w:tr w14:paraId="6690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0244570C">
            <w:pPr>
              <w:widowControl w:val="0"/>
              <w:numPr>
                <w:ilvl w:val="0"/>
                <w:numId w:val="0"/>
              </w:numPr>
              <w:spacing w:after="120" w:line="240" w:lineRule="auto"/>
              <w:ind w:leftChars="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17.医疗专属敏感数据识别：具备敏感数据自动识别功能，内置不少于350种医疗行业专属数据标签识别规则，至少包含个人身份信息数据：身份证、社保卡、联系方式、手机号、邮箱等；同时具备自定义添加数据标签识别规则的配置功能。</w:t>
            </w:r>
          </w:p>
        </w:tc>
      </w:tr>
      <w:tr w14:paraId="7847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061639AE">
            <w:pPr>
              <w:widowControl w:val="0"/>
              <w:numPr>
                <w:ilvl w:val="0"/>
                <w:numId w:val="0"/>
              </w:numPr>
              <w:spacing w:after="120" w:line="240" w:lineRule="auto"/>
              <w:ind w:leftChars="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18.敏感数据发现规则自定义：具备敏感数据发现规则自定义配置功能，可根据请求行、请求头、请求体、响应行、响应头、响应体等识别位置，基于正则表达式实现敏感数据精准识别，且具备识别忽略规则配置功能。</w:t>
            </w:r>
          </w:p>
        </w:tc>
      </w:tr>
      <w:tr w14:paraId="5FBE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2E4EC5F6">
            <w:pPr>
              <w:widowControl w:val="0"/>
              <w:numPr>
                <w:ilvl w:val="0"/>
                <w:numId w:val="0"/>
              </w:numPr>
              <w:spacing w:after="120" w:line="240" w:lineRule="auto"/>
              <w:ind w:leftChars="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19.涉敏行为发现规则自定义：具备涉敏行为发现规则自定义配置功能，可根据敏感数据类型、数据量、数据标签总数、数据标签类型数等维度进行匹配识别，保障涉敏数据传输性能与安全。</w:t>
            </w:r>
          </w:p>
        </w:tc>
      </w:tr>
      <w:tr w14:paraId="4270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75A5120D">
            <w:pPr>
              <w:widowControl w:val="0"/>
              <w:numPr>
                <w:ilvl w:val="0"/>
                <w:numId w:val="0"/>
              </w:numPr>
              <w:spacing w:after="120" w:line="240" w:lineRule="auto"/>
              <w:ind w:leftChars="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20.数据分类分级与资产监测：具备数据分类分级标准导入功能，支持院内自定义标准导入；具备指定数据资产清单导出功能，清单内至少包含今日访问量、数据量与变化等动态性能指标；具备数据分布应用关联展示功能，同时具备风险事件与数据资产联动展示功能。(须提供厂商及供应商盖章的截图证明)</w:t>
            </w:r>
          </w:p>
        </w:tc>
      </w:tr>
    </w:tbl>
    <w:p w14:paraId="4837F49A">
      <w:pPr>
        <w:numPr>
          <w:ilvl w:val="0"/>
          <w:numId w:val="0"/>
        </w:numPr>
        <w:autoSpaceDE/>
        <w:autoSpaceDN/>
        <w:spacing w:line="240" w:lineRule="auto"/>
        <w:ind w:leftChars="0"/>
        <w:jc w:val="both"/>
        <w:outlineLvl w:val="9"/>
        <w:rPr>
          <w:rFonts w:hint="eastAsia" w:ascii="宋体" w:hAnsi="宋体" w:eastAsia="宋体" w:cs="宋体"/>
          <w:b/>
          <w:bCs/>
          <w:kern w:val="2"/>
          <w:sz w:val="24"/>
          <w:szCs w:val="24"/>
          <w:lang w:val="en-US" w:eastAsia="zh-CN"/>
        </w:rPr>
      </w:pPr>
    </w:p>
    <w:p w14:paraId="1753A45C">
      <w:pPr>
        <w:numPr>
          <w:ilvl w:val="0"/>
          <w:numId w:val="0"/>
        </w:numPr>
        <w:autoSpaceDE/>
        <w:autoSpaceDN/>
        <w:spacing w:before="166" w:after="166"/>
        <w:ind w:left="0" w:leftChars="0" w:firstLine="0" w:firstLineChars="0"/>
        <w:jc w:val="both"/>
        <w:rPr>
          <w:rFonts w:hint="eastAsia" w:ascii="宋体" w:hAnsi="宋体" w:eastAsia="宋体" w:cs="Times New Roman"/>
          <w:kern w:val="2"/>
          <w:sz w:val="24"/>
          <w:szCs w:val="20"/>
          <w:lang w:val="en-US" w:eastAsia="zh-CN"/>
        </w:rPr>
      </w:pPr>
      <w:r>
        <w:rPr>
          <w:rFonts w:hint="eastAsia" w:ascii="宋体" w:hAnsi="宋体" w:eastAsia="宋体" w:cs="Times New Roman"/>
          <w:kern w:val="2"/>
          <w:sz w:val="24"/>
          <w:szCs w:val="20"/>
          <w:lang w:val="en-US" w:eastAsia="zh-CN" w:bidi="ar-SA"/>
        </w:rPr>
        <w:t>（五）</w:t>
      </w:r>
      <w:r>
        <w:rPr>
          <w:rFonts w:hint="eastAsia" w:ascii="宋体" w:hAnsi="宋体" w:eastAsia="宋体" w:cs="Times New Roman"/>
          <w:kern w:val="2"/>
          <w:sz w:val="24"/>
          <w:szCs w:val="20"/>
          <w:lang w:val="en-US" w:eastAsia="zh-CN"/>
        </w:rPr>
        <w:t>文件资产传输性能监测功能</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46"/>
      </w:tblGrid>
      <w:tr w14:paraId="7E48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4F1D371F">
            <w:pPr>
              <w:widowControl w:val="0"/>
              <w:numPr>
                <w:ilvl w:val="0"/>
                <w:numId w:val="0"/>
              </w:numPr>
              <w:spacing w:after="120" w:line="24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文件资产识别监测：具备从流量中自动识别文件资产的功能，具备文件资产多维度信息展示能力，至少包含呈现文件名称、文件格式、MD5值、文件大小、所属应用、上传次数、下载次数、敏感等级、数据标签、入库时间、最近活跃时间。(须提供≥上述8项一一对应的厂商及供应商盖章的截图证明；不足8项则不得分)</w:t>
            </w:r>
          </w:p>
        </w:tc>
      </w:tr>
      <w:tr w14:paraId="2978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51896857">
            <w:pPr>
              <w:widowControl w:val="0"/>
              <w:numPr>
                <w:ilvl w:val="0"/>
                <w:numId w:val="0"/>
              </w:numPr>
              <w:spacing w:after="120" w:line="24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文件格式支持与相似度分析：具备多格式文件识别能力，至少可识别xlsx、pdf、txt、dps、log、xltm、docm、csv、pptx等文件格式；具备文件相似度与相关性分析功能，基于机器学习、智能分词、相似度算法等技术实现分析，支撑文件传输性能优化。</w:t>
            </w:r>
          </w:p>
        </w:tc>
      </w:tr>
      <w:tr w14:paraId="586E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16E3D64A">
            <w:pPr>
              <w:widowControl w:val="0"/>
              <w:numPr>
                <w:ilvl w:val="0"/>
                <w:numId w:val="0"/>
              </w:numPr>
              <w:spacing w:after="120" w:line="24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23.文件分类分级标注：具备文件内容自动分类分级功能，同时具备敏感数据自动标注功能，保障文件资产传输的性能与安全管控。</w:t>
            </w:r>
          </w:p>
        </w:tc>
      </w:tr>
      <w:tr w14:paraId="3AB0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5000" w:type="pct"/>
            <w:noWrap w:val="0"/>
            <w:tcMar>
              <w:top w:w="60" w:type="dxa"/>
              <w:left w:w="120" w:type="dxa"/>
              <w:bottom w:w="30" w:type="dxa"/>
              <w:right w:w="120" w:type="dxa"/>
            </w:tcMar>
            <w:vAlign w:val="top"/>
          </w:tcPr>
          <w:p w14:paraId="525C6C01">
            <w:pPr>
              <w:widowControl w:val="0"/>
              <w:numPr>
                <w:ilvl w:val="0"/>
                <w:numId w:val="0"/>
              </w:numPr>
              <w:spacing w:after="120" w:line="24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文件画像构建：具备文件资产多维度分析与可视化展示功能，从文件构成、文件相关性、文件热度、文件操作记录等维度构建文件基础画像，为文件传输性能优化提供数据支撑。(须提供厂商及供应商盖章的截图证明)</w:t>
            </w:r>
          </w:p>
        </w:tc>
      </w:tr>
    </w:tbl>
    <w:p w14:paraId="0C6CDDA7">
      <w:pPr>
        <w:widowControl w:val="0"/>
        <w:numPr>
          <w:ilvl w:val="0"/>
          <w:numId w:val="0"/>
        </w:numPr>
        <w:spacing w:after="120" w:line="240" w:lineRule="auto"/>
        <w:ind w:leftChars="0"/>
        <w:jc w:val="both"/>
        <w:rPr>
          <w:rFonts w:hint="eastAsia" w:ascii="宋体" w:hAnsi="宋体" w:eastAsia="宋体" w:cs="宋体"/>
          <w:b/>
          <w:bCs/>
          <w:kern w:val="0"/>
          <w:sz w:val="24"/>
          <w:szCs w:val="24"/>
          <w:lang w:val="en-US" w:eastAsia="zh-CN" w:bidi="ar-SA"/>
        </w:rPr>
      </w:pPr>
    </w:p>
    <w:p w14:paraId="5BE7B4C4">
      <w:pPr>
        <w:numPr>
          <w:ilvl w:val="0"/>
          <w:numId w:val="0"/>
        </w:numPr>
        <w:autoSpaceDE/>
        <w:autoSpaceDN/>
        <w:spacing w:before="166" w:after="166"/>
        <w:ind w:left="0" w:leftChars="0" w:firstLine="0" w:firstLineChars="0"/>
        <w:jc w:val="both"/>
        <w:rPr>
          <w:rFonts w:hint="default" w:ascii="宋体" w:hAnsi="宋体" w:eastAsia="宋体" w:cs="Times New Roman"/>
          <w:kern w:val="2"/>
          <w:sz w:val="24"/>
          <w:szCs w:val="20"/>
          <w:lang w:val="en-US" w:eastAsia="zh-CN"/>
        </w:rPr>
      </w:pPr>
      <w:r>
        <w:rPr>
          <w:rFonts w:hint="eastAsia" w:ascii="宋体" w:hAnsi="宋体" w:eastAsia="宋体" w:cs="Times New Roman"/>
          <w:kern w:val="2"/>
          <w:sz w:val="24"/>
          <w:szCs w:val="20"/>
          <w:lang w:val="en-US" w:eastAsia="zh-CN" w:bidi="ar-SA"/>
        </w:rPr>
        <w:t>（六）</w:t>
      </w:r>
      <w:r>
        <w:rPr>
          <w:rFonts w:hint="eastAsia" w:ascii="宋体" w:hAnsi="宋体" w:eastAsia="宋体" w:cs="Times New Roman"/>
          <w:kern w:val="2"/>
          <w:sz w:val="24"/>
          <w:szCs w:val="20"/>
          <w:lang w:val="en-US" w:eastAsia="zh-CN"/>
        </w:rPr>
        <w:t>部署方式与环境适配</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46"/>
      </w:tblGrid>
      <w:tr w14:paraId="6498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079C9153">
            <w:pPr>
              <w:widowControl w:val="0"/>
              <w:numPr>
                <w:ilvl w:val="0"/>
                <w:numId w:val="0"/>
              </w:numPr>
              <w:spacing w:after="120" w:line="24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25.双模式部署：具备旁路镜像部署和串接代理部署两种部署方式；旁路部署时，具备TLS1.1、TLS1.2、TLS1.3加密流量解密能力；串接部署时，可部署在网络链路中，具备对用户进出业务系统的流量进行全流程识别、分析、处置、治理的功能，保障业务流量监测无死角。</w:t>
            </w:r>
          </w:p>
        </w:tc>
      </w:tr>
      <w:tr w14:paraId="67A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5A82AFF3">
            <w:pPr>
              <w:widowControl w:val="0"/>
              <w:numPr>
                <w:ilvl w:val="0"/>
                <w:numId w:val="0"/>
              </w:numPr>
              <w:spacing w:after="120" w:line="24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26.多维度处置：具备多种流量处置功能，至少包含拒绝、放行、仅记录、数据脱敏、二次鉴权、数据水印、API签名等，在处置同时保障业务性能不受影响。</w:t>
            </w:r>
          </w:p>
        </w:tc>
      </w:tr>
      <w:tr w14:paraId="561E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295FEFD4">
            <w:pPr>
              <w:widowControl w:val="0"/>
              <w:numPr>
                <w:ilvl w:val="0"/>
                <w:numId w:val="0"/>
              </w:numPr>
              <w:spacing w:after="120" w:line="24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★27.硬件配置：设备数量1套，2U标准机架式设备，提供原厂自研一体机，具体要求：x86 CPU≥40核、主频≥2.0GHz；内存≥64GB ；硬盘配置：不少于2块600G硬盘、和不少于6块4TB机械硬盘(支持Raid)；配备冗余双电源；千兆电口不少于4个，万兆光口不少于2个，网口扩展槽不少于2个。</w:t>
            </w:r>
          </w:p>
        </w:tc>
      </w:tr>
      <w:tr w14:paraId="3225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440E2349">
            <w:pPr>
              <w:widowControl w:val="0"/>
              <w:numPr>
                <w:ilvl w:val="0"/>
                <w:numId w:val="0"/>
              </w:numPr>
              <w:spacing w:after="120" w:line="240" w:lineRule="auto"/>
              <w:ind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#28.产品部署期间，提供1名原厂实施人员驻场工作至少30个工作日，确保产品精准部署、细致调试及业务无干扰运行。(须提供厂商及供应商盖章的承诺函）</w:t>
            </w:r>
          </w:p>
        </w:tc>
      </w:tr>
    </w:tbl>
    <w:p w14:paraId="5F67CB33">
      <w:pPr>
        <w:widowControl w:val="0"/>
        <w:numPr>
          <w:ilvl w:val="0"/>
          <w:numId w:val="0"/>
        </w:numPr>
        <w:spacing w:after="120" w:line="240" w:lineRule="auto"/>
        <w:ind w:leftChars="0"/>
        <w:jc w:val="both"/>
        <w:rPr>
          <w:rFonts w:hint="eastAsia" w:ascii="宋体" w:hAnsi="宋体" w:eastAsia="宋体" w:cs="宋体"/>
          <w:b/>
          <w:bCs/>
          <w:color w:val="auto"/>
          <w:kern w:val="0"/>
          <w:sz w:val="24"/>
          <w:szCs w:val="24"/>
          <w:lang w:val="en-US" w:eastAsia="zh-CN" w:bidi="ar-SA"/>
        </w:rPr>
      </w:pPr>
    </w:p>
    <w:p w14:paraId="38E2CD30">
      <w:pPr>
        <w:numPr>
          <w:ilvl w:val="0"/>
          <w:numId w:val="0"/>
        </w:numPr>
        <w:autoSpaceDE/>
        <w:autoSpaceDN/>
        <w:spacing w:before="166" w:after="166"/>
        <w:ind w:left="0" w:leftChars="0" w:firstLine="0" w:firstLineChars="0"/>
        <w:jc w:val="both"/>
        <w:rPr>
          <w:rFonts w:hint="eastAsia" w:ascii="宋体" w:hAnsi="宋体" w:eastAsia="宋体" w:cs="Times New Roman"/>
          <w:kern w:val="2"/>
          <w:sz w:val="24"/>
          <w:szCs w:val="20"/>
          <w:lang w:val="en-US" w:eastAsia="zh-CN"/>
        </w:rPr>
      </w:pPr>
      <w:r>
        <w:rPr>
          <w:rFonts w:hint="eastAsia" w:ascii="宋体" w:hAnsi="宋体" w:eastAsia="宋体" w:cs="Times New Roman"/>
          <w:kern w:val="2"/>
          <w:sz w:val="24"/>
          <w:szCs w:val="20"/>
          <w:lang w:val="en-US" w:eastAsia="zh-CN" w:bidi="ar-SA"/>
        </w:rPr>
        <w:t>（七）</w:t>
      </w:r>
      <w:r>
        <w:rPr>
          <w:rFonts w:hint="eastAsia" w:ascii="宋体" w:hAnsi="宋体" w:eastAsia="宋体" w:cs="Times New Roman"/>
          <w:kern w:val="2"/>
          <w:sz w:val="24"/>
          <w:szCs w:val="20"/>
          <w:lang w:val="en-US" w:eastAsia="zh-CN"/>
        </w:rPr>
        <w:t>监测结果呈现要求</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46"/>
      </w:tblGrid>
      <w:tr w14:paraId="349F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080A73AF">
            <w:pPr>
              <w:widowControl w:val="0"/>
              <w:numPr>
                <w:ilvl w:val="0"/>
                <w:numId w:val="0"/>
              </w:numPr>
              <w:spacing w:after="120" w:line="24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数据态势大屏：具备数据流动整体态势看板展示功能，至少包含资产、用户、风险、治理等专属态势看板；可直观展示风险主体TOP5、风险事件TOP5、实时安全告警事件等核心信息；大屏具备汇总转发机和管理机数据和流量的功能，且支持基于国内、国际两个视角绘制数据流转地图，直观呈现数据传输性能态势。</w:t>
            </w:r>
          </w:p>
        </w:tc>
      </w:tr>
      <w:tr w14:paraId="1520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41BD58F8">
            <w:pPr>
              <w:widowControl w:val="0"/>
              <w:numPr>
                <w:ilvl w:val="0"/>
                <w:numId w:val="0"/>
              </w:numPr>
              <w:spacing w:after="120" w:line="24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数据流动看板：具备数据流动整体情况可视化查看功能，至少包含展示整体数据流动、互联网访问、跨境访问、局域网访问情况及数据流动趋势等；具备数据流向多维度分布分析功能，至少包含流动区域分布、访问源分布、访问用户分布等；具备敏感数据流动TOP5分析功能，至少包含展示涉及敏感数据流动的TOP5应用、数据、用户、账号等，支撑性能瓶颈定位。</w:t>
            </w:r>
          </w:p>
        </w:tc>
      </w:tr>
      <w:tr w14:paraId="4FD6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44098EBB">
            <w:pPr>
              <w:widowControl w:val="0"/>
              <w:numPr>
                <w:ilvl w:val="0"/>
                <w:numId w:val="0"/>
              </w:numPr>
              <w:spacing w:after="120" w:line="24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多类型业务看板：具备多维度专属看板展示功能，至少包含提供资产看板、风险看板、用户看板、系统看板、治理看板，精准满足医院对敏感资产、数据防泄漏及高风险人员账号的监控需求，同时支撑业务性能全维度监测。</w:t>
            </w:r>
          </w:p>
        </w:tc>
      </w:tr>
      <w:tr w14:paraId="29A2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noWrap w:val="0"/>
            <w:tcMar>
              <w:top w:w="60" w:type="dxa"/>
              <w:left w:w="120" w:type="dxa"/>
              <w:bottom w:w="30" w:type="dxa"/>
              <w:right w:w="120" w:type="dxa"/>
            </w:tcMar>
            <w:vAlign w:val="top"/>
          </w:tcPr>
          <w:p w14:paraId="742FC693">
            <w:pPr>
              <w:widowControl w:val="0"/>
              <w:numPr>
                <w:ilvl w:val="0"/>
                <w:numId w:val="0"/>
              </w:numPr>
              <w:spacing w:after="120" w:line="24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风险与性能报告导出：具备系统分析结果自动生成报告功能，生成数据分类分级报告、数据质量评估报告。报告内容至少包含报告概览、资产分析、用户分析、安全分析、运维分析、安全等级评估标准、总结建议等七部分；具备报告定时生成与自动发送功能，支持按单次、每天、每周、每月生成安全与性能报告，并自动发送至医院指定邮箱。(须提供厂商及供应商盖章的截图证明)</w:t>
            </w:r>
          </w:p>
        </w:tc>
      </w:tr>
    </w:tbl>
    <w:p w14:paraId="5F6DD524">
      <w:pPr>
        <w:widowControl w:val="0"/>
        <w:numPr>
          <w:ilvl w:val="0"/>
          <w:numId w:val="0"/>
        </w:numPr>
        <w:spacing w:after="120" w:line="240" w:lineRule="auto"/>
        <w:ind w:leftChars="0"/>
        <w:jc w:val="both"/>
        <w:outlineLvl w:val="9"/>
        <w:rPr>
          <w:rFonts w:hint="eastAsia" w:ascii="宋体" w:hAnsi="宋体" w:eastAsia="宋体" w:cs="宋体"/>
          <w:b/>
          <w:bCs/>
          <w:kern w:val="0"/>
          <w:sz w:val="24"/>
          <w:szCs w:val="24"/>
          <w:lang w:val="en-US" w:eastAsia="zh-CN" w:bidi="ar-SA"/>
        </w:rPr>
      </w:pPr>
    </w:p>
    <w:p w14:paraId="2745CD81">
      <w:pPr>
        <w:keepNext w:val="0"/>
        <w:keepLines w:val="0"/>
        <w:pageBreakBefore w:val="0"/>
        <w:widowControl w:val="0"/>
        <w:numPr>
          <w:ilvl w:val="0"/>
          <w:numId w:val="0"/>
        </w:numPr>
        <w:kinsoku/>
        <w:wordWrap/>
        <w:overflowPunct/>
        <w:topLinePunct w:val="0"/>
        <w:bidi w:val="0"/>
        <w:adjustRightInd/>
        <w:snapToGrid/>
        <w:spacing w:line="360" w:lineRule="auto"/>
        <w:ind w:leftChars="0" w:firstLine="0" w:firstLineChars="0"/>
        <w:jc w:val="both"/>
        <w:textAlignment w:val="auto"/>
        <w:outlineLvl w:val="9"/>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（八）其他要求</w:t>
      </w:r>
    </w:p>
    <w:p w14:paraId="397DCAAA">
      <w:pPr>
        <w:keepNext w:val="0"/>
        <w:keepLines w:val="0"/>
        <w:pageBreakBefore w:val="0"/>
        <w:widowControl w:val="0"/>
        <w:numPr>
          <w:ilvl w:val="0"/>
          <w:numId w:val="0"/>
        </w:numPr>
        <w:kinsoku/>
        <w:wordWrap/>
        <w:overflowPunct/>
        <w:topLinePunct w:val="0"/>
        <w:bidi w:val="0"/>
        <w:adjustRightInd/>
        <w:snapToGrid/>
        <w:spacing w:line="360" w:lineRule="auto"/>
        <w:ind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kern w:val="2"/>
          <w:sz w:val="24"/>
          <w:szCs w:val="24"/>
          <w:lang w:val="en-US" w:eastAsia="zh-CN" w:bidi="ar-SA"/>
        </w:rPr>
        <w:t>1、项目实施周期：</w:t>
      </w:r>
      <w:r>
        <w:rPr>
          <w:rFonts w:hint="eastAsia" w:ascii="宋体" w:hAnsi="宋体" w:eastAsia="宋体" w:cs="宋体"/>
          <w:b w:val="0"/>
          <w:bCs w:val="0"/>
          <w:kern w:val="2"/>
          <w:sz w:val="24"/>
          <w:szCs w:val="24"/>
          <w:lang w:val="en-US" w:eastAsia="zh-CN" w:bidi="ar-SA"/>
        </w:rPr>
        <w:t>合同签订且具备实施条件后3个月内完成全部部署、调试</w:t>
      </w:r>
    </w:p>
    <w:p w14:paraId="083F3E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2、培训要求：</w:t>
      </w:r>
    </w:p>
    <w:p w14:paraId="6B78A5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lang w:val="en-US" w:eastAsia="zh-CN"/>
        </w:rPr>
        <w:t>1）</w:t>
      </w:r>
      <w:r>
        <w:rPr>
          <w:rFonts w:hint="eastAsia" w:ascii="宋体" w:hAnsi="宋体" w:eastAsia="宋体" w:cs="宋体"/>
          <w:b w:val="0"/>
          <w:bCs w:val="0"/>
          <w:kern w:val="2"/>
          <w:sz w:val="24"/>
          <w:szCs w:val="24"/>
          <w:lang w:eastAsia="zh-CN"/>
        </w:rPr>
        <w:t>培训对象：医院信息科、运维人员、安全管理员、业务科室联络员。</w:t>
      </w:r>
    </w:p>
    <w:p w14:paraId="66D082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lang w:val="en-US" w:eastAsia="zh-CN"/>
        </w:rPr>
        <w:t>2）</w:t>
      </w:r>
      <w:r>
        <w:rPr>
          <w:rFonts w:hint="eastAsia" w:ascii="宋体" w:hAnsi="宋体" w:eastAsia="宋体" w:cs="宋体"/>
          <w:b w:val="0"/>
          <w:bCs w:val="0"/>
          <w:kern w:val="2"/>
          <w:sz w:val="24"/>
          <w:szCs w:val="24"/>
          <w:lang w:eastAsia="zh-CN"/>
        </w:rPr>
        <w:t>培训内容</w:t>
      </w:r>
    </w:p>
    <w:p w14:paraId="269D13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1</w:t>
      </w:r>
      <w:r>
        <w:rPr>
          <w:rFonts w:hint="eastAsia" w:ascii="宋体" w:hAnsi="宋体" w:eastAsia="宋体" w:cs="宋体"/>
          <w:b w:val="0"/>
          <w:bCs w:val="0"/>
          <w:kern w:val="2"/>
          <w:sz w:val="24"/>
          <w:szCs w:val="24"/>
          <w:lang w:eastAsia="zh-CN"/>
        </w:rPr>
        <w:t>）基础操作：资产梳理、API 监测、风险告警、报表导出。</w:t>
      </w:r>
    </w:p>
    <w:p w14:paraId="079866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2</w:t>
      </w:r>
      <w:r>
        <w:rPr>
          <w:rFonts w:hint="eastAsia" w:ascii="宋体" w:hAnsi="宋体" w:eastAsia="宋体" w:cs="宋体"/>
          <w:b w:val="0"/>
          <w:bCs w:val="0"/>
          <w:kern w:val="2"/>
          <w:sz w:val="24"/>
          <w:szCs w:val="24"/>
          <w:lang w:eastAsia="zh-CN"/>
        </w:rPr>
        <w:t>）高级配置：规则自定义、基线学习、敏感数据标签、分类分级。</w:t>
      </w:r>
    </w:p>
    <w:p w14:paraId="042A06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3</w:t>
      </w:r>
      <w:r>
        <w:rPr>
          <w:rFonts w:hint="eastAsia" w:ascii="宋体" w:hAnsi="宋体" w:eastAsia="宋体" w:cs="宋体"/>
          <w:b w:val="0"/>
          <w:bCs w:val="0"/>
          <w:kern w:val="2"/>
          <w:sz w:val="24"/>
          <w:szCs w:val="24"/>
          <w:lang w:eastAsia="zh-CN"/>
        </w:rPr>
        <w:t>）运维保障：日志查询、故障排查、日常巡检、备份恢复。</w:t>
      </w:r>
    </w:p>
    <w:p w14:paraId="2EF739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lang w:val="en-US" w:eastAsia="zh-CN"/>
        </w:rPr>
        <w:t>3）</w:t>
      </w:r>
      <w:r>
        <w:rPr>
          <w:rFonts w:hint="eastAsia" w:ascii="宋体" w:hAnsi="宋体" w:eastAsia="宋体" w:cs="宋体"/>
          <w:b w:val="0"/>
          <w:bCs w:val="0"/>
          <w:kern w:val="2"/>
          <w:sz w:val="24"/>
          <w:szCs w:val="24"/>
          <w:lang w:eastAsia="zh-CN"/>
        </w:rPr>
        <w:t>培训形式与场次</w:t>
      </w:r>
    </w:p>
    <w:p w14:paraId="31474A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1</w:t>
      </w:r>
      <w:r>
        <w:rPr>
          <w:rFonts w:hint="eastAsia" w:ascii="宋体" w:hAnsi="宋体" w:eastAsia="宋体" w:cs="宋体"/>
          <w:b w:val="0"/>
          <w:bCs w:val="0"/>
          <w:kern w:val="2"/>
          <w:sz w:val="24"/>
          <w:szCs w:val="24"/>
          <w:lang w:eastAsia="zh-CN"/>
        </w:rPr>
        <w:t>）现场集中培训≥2 场，每场≥4 学时。</w:t>
      </w:r>
    </w:p>
    <w:p w14:paraId="6ADBD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2</w:t>
      </w:r>
      <w:r>
        <w:rPr>
          <w:rFonts w:hint="eastAsia" w:ascii="宋体" w:hAnsi="宋体" w:eastAsia="宋体" w:cs="宋体"/>
          <w:b w:val="0"/>
          <w:bCs w:val="0"/>
          <w:kern w:val="2"/>
          <w:sz w:val="24"/>
          <w:szCs w:val="24"/>
          <w:lang w:eastAsia="zh-CN"/>
        </w:rPr>
        <w:t>）提供原厂讲师、PPT、操作手册、练习环境。</w:t>
      </w:r>
    </w:p>
    <w:p w14:paraId="50221835">
      <w:pPr>
        <w:keepNext w:val="0"/>
        <w:keepLines w:val="0"/>
        <w:pageBreakBefore w:val="0"/>
        <w:widowControl w:val="0"/>
        <w:numPr>
          <w:ilvl w:val="0"/>
          <w:numId w:val="0"/>
        </w:numPr>
        <w:kinsoku/>
        <w:wordWrap/>
        <w:overflowPunct/>
        <w:topLinePunct w:val="0"/>
        <w:bidi w:val="0"/>
        <w:adjustRightInd/>
        <w:snapToGrid/>
        <w:spacing w:line="360" w:lineRule="auto"/>
        <w:ind w:firstLine="0" w:firstLineChars="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（3）培训后进行考核，确保参训人员独立操作。</w:t>
      </w:r>
    </w:p>
    <w:p w14:paraId="0263F2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3、售后服务：</w:t>
      </w:r>
      <w:r>
        <w:rPr>
          <w:rFonts w:hint="eastAsia" w:ascii="宋体" w:hAnsi="宋体" w:eastAsia="宋体" w:cs="宋体"/>
          <w:kern w:val="2"/>
          <w:sz w:val="24"/>
          <w:szCs w:val="24"/>
          <w:lang w:eastAsia="zh-CN"/>
        </w:rPr>
        <w:t>项目终验合格后提供3 年原厂免费维保。</w:t>
      </w:r>
    </w:p>
    <w:p w14:paraId="59BD24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lang w:eastAsia="zh-CN"/>
        </w:rPr>
        <w:t>、响应时效：</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lang w:eastAsia="zh-CN"/>
        </w:rPr>
        <w:t>小时电话 / 远程支持。</w:t>
      </w:r>
    </w:p>
    <w:p w14:paraId="7D237D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一般问题：30 分钟内响应，4 小时内解决。</w:t>
      </w:r>
    </w:p>
    <w:p w14:paraId="68F0A0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重大故障（系统瘫痪 / 核心功能不可用）：2 小时内到场，8 小时内恢复。</w:t>
      </w:r>
    </w:p>
    <w:p w14:paraId="29EE56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lang w:eastAsia="zh-CN"/>
        </w:rPr>
        <w:t>、服务内容：</w:t>
      </w:r>
    </w:p>
    <w:p w14:paraId="76BFE2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lang w:eastAsia="zh-CN"/>
        </w:rPr>
        <w:t>免费版本升级、规则库更新、医疗敏感标签库更新。</w:t>
      </w:r>
    </w:p>
    <w:p w14:paraId="2D3EC3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lang w:eastAsia="zh-CN"/>
        </w:rPr>
        <w:t>季度健康检查、性能调优、漏洞修复。</w:t>
      </w:r>
    </w:p>
    <w:p w14:paraId="6D54B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lang w:eastAsia="zh-CN"/>
        </w:rPr>
        <w:t>免费提供日志分析、溯源协助、事件复盘。</w:t>
      </w:r>
    </w:p>
    <w:p w14:paraId="56EF58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lang w:eastAsia="zh-CN"/>
        </w:rPr>
        <w:t>备件保障：硬件故障4 小时内备机到场，故障机返厂维修。</w:t>
      </w:r>
    </w:p>
    <w:p w14:paraId="5CB3742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6、验收标准</w:t>
      </w:r>
      <w:bookmarkStart w:id="11" w:name="heading_4"/>
      <w:r>
        <w:rPr>
          <w:rFonts w:hint="eastAsia" w:cs="宋体"/>
          <w:kern w:val="2"/>
          <w:sz w:val="24"/>
          <w:szCs w:val="24"/>
          <w:lang w:val="en-US" w:eastAsia="zh-CN"/>
        </w:rPr>
        <w:t>：</w:t>
      </w:r>
    </w:p>
    <w:p w14:paraId="537CB39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b/>
          <w:color w:val="auto"/>
          <w:kern w:val="2"/>
          <w:sz w:val="24"/>
          <w:szCs w:val="24"/>
          <w:lang w:eastAsia="zh-CN"/>
        </w:rPr>
        <w:t>（一）功能与性能验收指标</w:t>
      </w:r>
      <w:bookmarkEnd w:id="11"/>
    </w:p>
    <w:p w14:paraId="2BB934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1.API 识别覆盖率：≥99%。</w:t>
      </w:r>
    </w:p>
    <w:p w14:paraId="4800CA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2.敏感数据识别准确率：≥98%。</w:t>
      </w:r>
    </w:p>
    <w:p w14:paraId="4CD82C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3.信息完整性：资产、API、账号、文件、流量数据100% 完整展示，无缺失。</w:t>
      </w:r>
    </w:p>
    <w:p w14:paraId="508E3E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4.告警准确率：风险告警准确率≥95%，低误报。</w:t>
      </w:r>
    </w:p>
    <w:p w14:paraId="27B6CA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5.系统可用性：试运行期间可用性≥99.9%，无宕机。</w:t>
      </w:r>
    </w:p>
    <w:p w14:paraId="404868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（二）文档交付清单</w:t>
      </w:r>
    </w:p>
    <w:p w14:paraId="2C8662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1.项目实施方案、进度计划、部署架构图。</w:t>
      </w:r>
    </w:p>
    <w:p w14:paraId="7F290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2.产品原厂资质证书、检测报告、截图证明（满足所有 #项要求）。</w:t>
      </w:r>
    </w:p>
    <w:p w14:paraId="02EF2E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3.硬件配置清单、上架报告、网络配置说明。</w:t>
      </w:r>
    </w:p>
    <w:p w14:paraId="78F380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4.用户手册、管理员手册、培训 PPT、培训签到表与考核记录。</w:t>
      </w:r>
    </w:p>
    <w:p w14:paraId="578DBE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5.试运行报告、故障处理记录、性能监测报告。</w:t>
      </w:r>
    </w:p>
    <w:p w14:paraId="75E02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6.验收申请单、验收报告、竣工文档。</w:t>
      </w:r>
    </w:p>
    <w:p w14:paraId="76F0FEB6">
      <w:pPr>
        <w:widowControl/>
        <w:adjustRightInd w:val="0"/>
        <w:snapToGrid w:val="0"/>
        <w:spacing w:before="120" w:beforeLines="50" w:line="360" w:lineRule="auto"/>
        <w:ind w:firstLine="562" w:firstLineChars="200"/>
        <w:jc w:val="center"/>
        <w:rPr>
          <w:rFonts w:hint="default"/>
          <w:b/>
          <w:bCs/>
          <w:sz w:val="28"/>
          <w:szCs w:val="28"/>
          <w:highlight w:val="none"/>
          <w:lang w:val="en-US" w:eastAsia="zh-CN"/>
        </w:rPr>
      </w:pPr>
    </w:p>
    <w:p w14:paraId="50AAFA2D">
      <w:pPr>
        <w:widowControl/>
        <w:adjustRightInd w:val="0"/>
        <w:snapToGrid w:val="0"/>
        <w:spacing w:before="120" w:beforeLines="50" w:line="360" w:lineRule="auto"/>
        <w:ind w:firstLine="562" w:firstLineChars="200"/>
        <w:jc w:val="center"/>
        <w:outlineLvl w:val="2"/>
        <w:rPr>
          <w:rFonts w:hint="eastAsia"/>
          <w:b/>
          <w:bCs/>
          <w:sz w:val="24"/>
          <w:szCs w:val="24"/>
          <w:highlight w:val="none"/>
          <w:lang w:eastAsia="zh-CN"/>
        </w:rPr>
      </w:pPr>
      <w:r>
        <w:rPr>
          <w:rFonts w:hint="eastAsia"/>
          <w:b/>
          <w:bCs/>
          <w:sz w:val="28"/>
          <w:szCs w:val="28"/>
          <w:highlight w:val="none"/>
          <w:lang w:eastAsia="zh-CN"/>
        </w:rPr>
        <w:t>03</w:t>
      </w:r>
      <w:r>
        <w:rPr>
          <w:rFonts w:hint="eastAsia"/>
          <w:b/>
          <w:bCs/>
          <w:sz w:val="28"/>
          <w:szCs w:val="28"/>
          <w:highlight w:val="none"/>
          <w:lang w:val="en-US" w:eastAsia="zh-CN"/>
        </w:rPr>
        <w:t>包：</w:t>
      </w:r>
      <w:r>
        <w:rPr>
          <w:rFonts w:hint="eastAsia"/>
          <w:b/>
          <w:bCs/>
          <w:sz w:val="28"/>
          <w:szCs w:val="28"/>
          <w:highlight w:val="none"/>
          <w:lang w:eastAsia="zh-CN"/>
        </w:rPr>
        <w:t>医疗数据交互平台</w:t>
      </w:r>
    </w:p>
    <w:p w14:paraId="30BE78DB">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一、项目背景及目标</w:t>
      </w:r>
    </w:p>
    <w:p w14:paraId="6316DD80">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为满足我院业务的高效协同，打破内外网隔离导致的数据交互瓶颈，我院拟建设医疗数据交互平台。本项目旨在构建安全合规的跨网文件通道，实现业务数据的高效双向传输，保障核心医疗数据安全。</w:t>
      </w:r>
    </w:p>
    <w:p w14:paraId="3D6DE09F">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二、项目需求</w:t>
      </w:r>
    </w:p>
    <w:p w14:paraId="14829F3A">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1. 总体需求</w:t>
      </w:r>
    </w:p>
    <w:p w14:paraId="749876DC">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医疗数据交互平台需在内外网分别部署，实现医疗业务内网（如HIS、</w:t>
      </w:r>
      <w:r>
        <w:rPr>
          <w:rFonts w:hint="eastAsia" w:ascii="宋体" w:hAnsi="宋体" w:eastAsia="宋体" w:cs="宋体"/>
          <w:sz w:val="24"/>
          <w:szCs w:val="24"/>
          <w:lang w:val="en-US" w:eastAsia="zh-CN"/>
        </w:rPr>
        <w:t>OA、</w:t>
      </w:r>
      <w:r>
        <w:rPr>
          <w:rFonts w:hint="eastAsia" w:ascii="宋体" w:hAnsi="宋体" w:eastAsia="宋体" w:cs="宋体"/>
          <w:sz w:val="24"/>
          <w:szCs w:val="24"/>
        </w:rPr>
        <w:t>PACS、EMR系统所在网络）与外部网络（如互联网、医保专网等）之间安全、可控、高效的数据交互，系统建设须符合《中华人民共和国网络安全法》、《数据安全法》、《个人信息保护法》及医疗卫生行业相关网络安全等级保护制度要求</w:t>
      </w:r>
      <w:r>
        <w:rPr>
          <w:rFonts w:hint="eastAsia" w:ascii="宋体" w:hAnsi="宋体" w:eastAsia="宋体" w:cs="宋体"/>
          <w:sz w:val="24"/>
          <w:szCs w:val="24"/>
          <w:lang w:eastAsia="zh-CN"/>
        </w:rPr>
        <w:t>，</w:t>
      </w:r>
      <w:r>
        <w:rPr>
          <w:rFonts w:hint="eastAsia" w:ascii="宋体" w:hAnsi="宋体" w:eastAsia="宋体" w:cs="宋体"/>
          <w:sz w:val="24"/>
          <w:szCs w:val="24"/>
        </w:rPr>
        <w:t>保障医疗服务数据安全。</w:t>
      </w:r>
    </w:p>
    <w:p w14:paraId="56AEE4D5">
      <w:pPr>
        <w:pStyle w:val="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color w:val="0000FF"/>
          <w:sz w:val="24"/>
          <w:szCs w:val="24"/>
          <w:lang w:val="en-US" w:eastAsia="zh-CN"/>
        </w:rPr>
        <w:t xml:space="preserve">️ </w:t>
      </w:r>
      <w:r>
        <w:rPr>
          <w:rFonts w:hint="eastAsia" w:ascii="宋体" w:hAnsi="宋体" w:eastAsia="宋体" w:cs="宋体"/>
          <w:kern w:val="2"/>
          <w:sz w:val="24"/>
          <w:szCs w:val="24"/>
          <w:lang w:val="en-US" w:eastAsia="zh-CN" w:bidi="ar-SA"/>
        </w:rPr>
        <w:t>2. 硬件配置要求：</w:t>
      </w:r>
    </w:p>
    <w:p w14:paraId="1CA74529">
      <w:pPr>
        <w:pStyle w:val="8"/>
        <w:numPr>
          <w:ilvl w:val="0"/>
          <w:numId w:val="0"/>
        </w:numPr>
        <w:ind w:left="0" w:leftChars="0" w:firstLine="480" w:firstLineChars="200"/>
        <w:rPr>
          <w:rFonts w:hint="default"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1</w:t>
      </w:r>
      <w:r>
        <w:rPr>
          <w:rFonts w:hint="eastAsia" w:cs="宋体"/>
          <w:color w:val="000000"/>
          <w:kern w:val="0"/>
          <w:sz w:val="24"/>
          <w:szCs w:val="24"/>
          <w:lang w:val="en-US" w:eastAsia="zh-CN" w:bidi="ar-SA"/>
        </w:rPr>
        <w:t>）</w:t>
      </w:r>
      <w:r>
        <w:rPr>
          <w:rFonts w:hint="eastAsia" w:cs="宋体"/>
          <w:color w:val="000000"/>
          <w:kern w:val="0"/>
          <w:sz w:val="24"/>
          <w:szCs w:val="24"/>
          <w:lang w:val="en-US" w:eastAsia="zh-CN"/>
        </w:rPr>
        <w:t>硬件设备名称：</w:t>
      </w:r>
      <w:r>
        <w:rPr>
          <w:rFonts w:hint="eastAsia" w:ascii="宋体" w:hAnsi="宋体" w:eastAsia="宋体" w:cs="宋体"/>
          <w:sz w:val="24"/>
          <w:szCs w:val="24"/>
          <w:lang w:val="en-US" w:eastAsia="zh-CN"/>
        </w:rPr>
        <w:t>医疗数据交互</w:t>
      </w:r>
      <w:r>
        <w:rPr>
          <w:rFonts w:hint="eastAsia" w:cs="宋体"/>
          <w:sz w:val="24"/>
          <w:szCs w:val="24"/>
          <w:lang w:val="en-US" w:eastAsia="zh-CN"/>
        </w:rPr>
        <w:t>主机</w:t>
      </w:r>
    </w:p>
    <w:p w14:paraId="04A3BC34">
      <w:pPr>
        <w:pStyle w:val="8"/>
        <w:numPr>
          <w:ilvl w:val="0"/>
          <w:numId w:val="0"/>
        </w:numPr>
        <w:ind w:left="0" w:leftChars="0" w:firstLine="480" w:firstLineChars="200"/>
        <w:rPr>
          <w:rFonts w:hint="default"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2</w:t>
      </w:r>
      <w:r>
        <w:rPr>
          <w:rFonts w:hint="eastAsia" w:cs="宋体"/>
          <w:color w:val="000000"/>
          <w:kern w:val="0"/>
          <w:sz w:val="24"/>
          <w:szCs w:val="24"/>
          <w:lang w:val="en-US" w:eastAsia="zh-CN" w:bidi="ar-SA"/>
        </w:rPr>
        <w:t>）</w:t>
      </w:r>
      <w:r>
        <w:rPr>
          <w:rFonts w:hint="eastAsia" w:cs="宋体"/>
          <w:sz w:val="24"/>
          <w:szCs w:val="24"/>
          <w:lang w:val="en-US" w:eastAsia="zh-CN"/>
        </w:rPr>
        <w:t>硬件设备数量：</w:t>
      </w:r>
      <w:r>
        <w:rPr>
          <w:rFonts w:hint="eastAsia" w:cs="宋体"/>
          <w:color w:val="000000"/>
          <w:kern w:val="0"/>
          <w:sz w:val="24"/>
          <w:szCs w:val="24"/>
          <w:lang w:val="en-US" w:eastAsia="zh-CN"/>
        </w:rPr>
        <w:t>≥2</w:t>
      </w:r>
    </w:p>
    <w:p w14:paraId="2A37BEEA">
      <w:pPr>
        <w:pStyle w:val="8"/>
        <w:numPr>
          <w:ilvl w:val="0"/>
          <w:numId w:val="0"/>
        </w:numPr>
        <w:ind w:left="0" w:leftChars="0" w:firstLine="480" w:firstLineChars="200"/>
        <w:rPr>
          <w:rFonts w:hint="eastAsia"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3</w:t>
      </w:r>
      <w:r>
        <w:rPr>
          <w:rFonts w:hint="eastAsia" w:cs="宋体"/>
          <w:color w:val="000000"/>
          <w:kern w:val="0"/>
          <w:sz w:val="24"/>
          <w:szCs w:val="24"/>
          <w:lang w:val="en-US" w:eastAsia="zh-CN" w:bidi="ar-SA"/>
        </w:rPr>
        <w:t>）</w:t>
      </w:r>
      <w:r>
        <w:rPr>
          <w:rFonts w:hint="eastAsia" w:cs="宋体"/>
          <w:color w:val="000000"/>
          <w:kern w:val="0"/>
          <w:sz w:val="24"/>
          <w:szCs w:val="24"/>
          <w:lang w:val="en-US" w:eastAsia="zh-CN"/>
        </w:rPr>
        <w:t>CPU:≥16核，≥2.0GHZ</w:t>
      </w:r>
    </w:p>
    <w:p w14:paraId="5F2DE147">
      <w:pPr>
        <w:pStyle w:val="8"/>
        <w:numPr>
          <w:ilvl w:val="0"/>
          <w:numId w:val="0"/>
        </w:numPr>
        <w:ind w:left="0" w:leftChars="0" w:firstLine="480" w:firstLineChars="200"/>
        <w:rPr>
          <w:rFonts w:hint="eastAsia"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4</w:t>
      </w:r>
      <w:r>
        <w:rPr>
          <w:rFonts w:hint="eastAsia" w:cs="宋体"/>
          <w:color w:val="000000"/>
          <w:kern w:val="0"/>
          <w:sz w:val="24"/>
          <w:szCs w:val="24"/>
          <w:lang w:val="en-US" w:eastAsia="zh-CN" w:bidi="ar-SA"/>
        </w:rPr>
        <w:t>）</w:t>
      </w:r>
      <w:r>
        <w:rPr>
          <w:rFonts w:hint="eastAsia" w:cs="宋体"/>
          <w:color w:val="000000"/>
          <w:kern w:val="0"/>
          <w:sz w:val="24"/>
          <w:szCs w:val="24"/>
          <w:lang w:val="en-US" w:eastAsia="zh-CN"/>
        </w:rPr>
        <w:t>内存:≥32GB</w:t>
      </w:r>
    </w:p>
    <w:p w14:paraId="6E3AE123">
      <w:pPr>
        <w:pStyle w:val="8"/>
        <w:numPr>
          <w:ilvl w:val="0"/>
          <w:numId w:val="0"/>
        </w:numPr>
        <w:ind w:left="0" w:leftChars="0" w:firstLine="480" w:firstLineChars="200"/>
        <w:rPr>
          <w:rFonts w:hint="eastAsia"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5</w:t>
      </w:r>
      <w:r>
        <w:rPr>
          <w:rFonts w:hint="eastAsia" w:cs="宋体"/>
          <w:color w:val="000000"/>
          <w:kern w:val="0"/>
          <w:sz w:val="24"/>
          <w:szCs w:val="24"/>
          <w:lang w:val="en-US" w:eastAsia="zh-CN" w:bidi="ar-SA"/>
        </w:rPr>
        <w:t>）</w:t>
      </w:r>
      <w:r>
        <w:rPr>
          <w:rFonts w:hint="eastAsia" w:cs="宋体"/>
          <w:color w:val="000000"/>
          <w:kern w:val="0"/>
          <w:sz w:val="24"/>
          <w:szCs w:val="24"/>
          <w:lang w:val="en-US" w:eastAsia="zh-CN"/>
        </w:rPr>
        <w:t>系统盘:≥200GB</w:t>
      </w:r>
    </w:p>
    <w:p w14:paraId="189BFFFB">
      <w:pPr>
        <w:pStyle w:val="8"/>
        <w:numPr>
          <w:ilvl w:val="0"/>
          <w:numId w:val="0"/>
        </w:numPr>
        <w:ind w:left="0" w:leftChars="0" w:firstLine="480" w:firstLineChars="200"/>
        <w:rPr>
          <w:rFonts w:hint="eastAsia"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6</w:t>
      </w:r>
      <w:r>
        <w:rPr>
          <w:rFonts w:hint="eastAsia" w:cs="宋体"/>
          <w:color w:val="000000"/>
          <w:kern w:val="0"/>
          <w:sz w:val="24"/>
          <w:szCs w:val="24"/>
          <w:lang w:val="en-US" w:eastAsia="zh-CN" w:bidi="ar-SA"/>
        </w:rPr>
        <w:t>）</w:t>
      </w:r>
      <w:r>
        <w:rPr>
          <w:rFonts w:hint="eastAsia" w:cs="宋体"/>
          <w:color w:val="000000"/>
          <w:kern w:val="0"/>
          <w:sz w:val="24"/>
          <w:szCs w:val="24"/>
          <w:lang w:val="en-US" w:eastAsia="zh-CN"/>
        </w:rPr>
        <w:t xml:space="preserve">数据存储空间:≥1TB </w:t>
      </w:r>
    </w:p>
    <w:p w14:paraId="06C257D3">
      <w:pPr>
        <w:pStyle w:val="8"/>
        <w:numPr>
          <w:ilvl w:val="0"/>
          <w:numId w:val="0"/>
        </w:numPr>
        <w:ind w:left="0" w:leftChars="0" w:firstLine="480" w:firstLineChars="200"/>
        <w:rPr>
          <w:rFonts w:hint="eastAsia"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7</w:t>
      </w:r>
      <w:r>
        <w:rPr>
          <w:rFonts w:hint="eastAsia" w:cs="宋体"/>
          <w:color w:val="000000"/>
          <w:kern w:val="0"/>
          <w:sz w:val="24"/>
          <w:szCs w:val="24"/>
          <w:lang w:val="en-US" w:eastAsia="zh-CN" w:bidi="ar-SA"/>
        </w:rPr>
        <w:t>）</w:t>
      </w:r>
      <w:r>
        <w:rPr>
          <w:rFonts w:hint="eastAsia" w:cs="宋体"/>
          <w:color w:val="000000"/>
          <w:kern w:val="0"/>
          <w:sz w:val="24"/>
          <w:szCs w:val="24"/>
          <w:lang w:val="en-US" w:eastAsia="zh-CN"/>
        </w:rPr>
        <w:t>接口要求：≥2个后置USB3.0+≥1个前置USB 3.0+≥1个前置USB 2.0；≥1个前置VGA；≥1个后置VGA</w:t>
      </w:r>
    </w:p>
    <w:p w14:paraId="7F4818EB">
      <w:pPr>
        <w:pStyle w:val="8"/>
        <w:numPr>
          <w:ilvl w:val="0"/>
          <w:numId w:val="0"/>
        </w:numPr>
        <w:ind w:left="0" w:leftChars="0" w:firstLine="480" w:firstLineChars="200"/>
        <w:rPr>
          <w:rFonts w:hint="eastAsia"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8</w:t>
      </w:r>
      <w:r>
        <w:rPr>
          <w:rFonts w:hint="eastAsia" w:cs="宋体"/>
          <w:color w:val="000000"/>
          <w:kern w:val="0"/>
          <w:sz w:val="24"/>
          <w:szCs w:val="24"/>
          <w:lang w:val="en-US" w:eastAsia="zh-CN" w:bidi="ar-SA"/>
        </w:rPr>
        <w:t>）</w:t>
      </w:r>
      <w:r>
        <w:rPr>
          <w:rFonts w:hint="eastAsia" w:cs="宋体"/>
          <w:color w:val="000000"/>
          <w:kern w:val="0"/>
          <w:sz w:val="24"/>
          <w:szCs w:val="24"/>
          <w:lang w:val="en-US" w:eastAsia="zh-CN"/>
        </w:rPr>
        <w:t>操作系统:需具备国产操作系统</w:t>
      </w:r>
    </w:p>
    <w:p w14:paraId="24F1D1CD">
      <w:pPr>
        <w:pStyle w:val="8"/>
        <w:numPr>
          <w:ilvl w:val="0"/>
          <w:numId w:val="0"/>
        </w:numPr>
        <w:ind w:left="0" w:leftChars="0" w:firstLine="480" w:firstLineChars="200"/>
        <w:rPr>
          <w:rFonts w:hint="eastAsia"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9</w:t>
      </w:r>
      <w:r>
        <w:rPr>
          <w:rFonts w:hint="eastAsia" w:cs="宋体"/>
          <w:color w:val="000000"/>
          <w:kern w:val="0"/>
          <w:sz w:val="24"/>
          <w:szCs w:val="24"/>
          <w:lang w:val="en-US" w:eastAsia="zh-CN" w:bidi="ar-SA"/>
        </w:rPr>
        <w:t>）</w:t>
      </w:r>
      <w:r>
        <w:rPr>
          <w:rFonts w:hint="eastAsia" w:cs="宋体"/>
          <w:color w:val="000000"/>
          <w:kern w:val="0"/>
          <w:sz w:val="24"/>
          <w:szCs w:val="24"/>
          <w:lang w:val="en-US" w:eastAsia="zh-CN"/>
        </w:rPr>
        <w:t>部署方式：采用内外网分离的虚拟机独立部署模式</w:t>
      </w:r>
    </w:p>
    <w:p w14:paraId="0E1A2168">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软件配置要求：</w:t>
      </w:r>
    </w:p>
    <w:p w14:paraId="2EEBF9E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1</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B/S架构，支持部署在主流windows、linux以及国产操作系统上。能够实现医院内网和外网之间文件安全摆渡。能够自动适应医院现有的内网和外网的网络隔离架构，具备≥100个并发用户授权。（</w:t>
      </w:r>
      <w:r>
        <w:rPr>
          <w:rFonts w:hint="eastAsia" w:ascii="宋体" w:hAnsi="宋体" w:eastAsia="宋体" w:cs="宋体"/>
          <w:color w:val="000000"/>
          <w:kern w:val="0"/>
          <w:sz w:val="24"/>
          <w:szCs w:val="24"/>
          <w:lang w:val="en-US" w:eastAsia="zh-CN"/>
        </w:rPr>
        <w:t>文件转换类型包括：包括但不限于办公文档、设计与图片、压缩与打包、音视频与多媒体、代码与文本、数据库与数据文件等文件类型，支持 HTTP/HTTPS、FTP/SFTP、SMB/NFS 等协议间的数据格式适配与摆渡，支持将服务请求数据转为 XML 格式进行跨网交换。</w:t>
      </w:r>
      <w:r>
        <w:rPr>
          <w:rFonts w:hint="eastAsia" w:ascii="宋体" w:hAnsi="宋体" w:eastAsia="宋体" w:cs="宋体"/>
          <w:color w:val="000000"/>
          <w:kern w:val="0"/>
          <w:sz w:val="24"/>
          <w:szCs w:val="24"/>
          <w:lang w:eastAsia="zh-CN"/>
        </w:rPr>
        <w:t>）</w:t>
      </w:r>
    </w:p>
    <w:p w14:paraId="1D5F88C5">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2</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具备按树状结构管理多级组织架构和用户账号。</w:t>
      </w:r>
    </w:p>
    <w:p w14:paraId="102EA4A1">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bidi="ar-SA"/>
        </w:rPr>
        <w:t>3</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具备创建多个逻辑独立的工作空间，用于面向不同的网域、部门、项目等，各自独立开展文件管理和安全管控。（提供</w:t>
      </w:r>
      <w:r>
        <w:rPr>
          <w:rFonts w:hint="eastAsia" w:ascii="宋体" w:hAnsi="宋体" w:eastAsia="宋体" w:cs="宋体"/>
          <w:color w:val="000000"/>
          <w:kern w:val="0"/>
          <w:sz w:val="24"/>
          <w:szCs w:val="24"/>
          <w:lang w:val="en-US" w:eastAsia="zh-CN"/>
        </w:rPr>
        <w:t>原厂商</w:t>
      </w:r>
      <w:r>
        <w:rPr>
          <w:rFonts w:hint="eastAsia" w:ascii="宋体" w:hAnsi="宋体" w:eastAsia="宋体" w:cs="宋体"/>
          <w:sz w:val="24"/>
          <w:szCs w:val="24"/>
          <w:lang w:val="en-US" w:eastAsia="zh-CN"/>
        </w:rPr>
        <w:t>及供应商</w:t>
      </w:r>
      <w:r>
        <w:rPr>
          <w:rFonts w:hint="eastAsia" w:ascii="宋体" w:hAnsi="宋体" w:eastAsia="宋体" w:cs="宋体"/>
          <w:color w:val="000000"/>
          <w:kern w:val="0"/>
          <w:sz w:val="24"/>
          <w:szCs w:val="24"/>
          <w:lang w:val="en-US" w:eastAsia="zh-CN"/>
        </w:rPr>
        <w:t>加盖公章的</w:t>
      </w:r>
      <w:r>
        <w:rPr>
          <w:rFonts w:hint="eastAsia" w:ascii="宋体" w:hAnsi="宋体" w:eastAsia="宋体" w:cs="宋体"/>
          <w:color w:val="000000"/>
          <w:kern w:val="0"/>
          <w:sz w:val="24"/>
          <w:szCs w:val="24"/>
          <w:lang w:eastAsia="zh-CN"/>
        </w:rPr>
        <w:t>功能截图证明）</w:t>
      </w:r>
    </w:p>
    <w:p w14:paraId="1E606F00">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bidi="ar-SA"/>
        </w:rPr>
        <w:t>4</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工作空间管理员</w:t>
      </w:r>
      <w:r>
        <w:rPr>
          <w:rFonts w:hint="eastAsia" w:ascii="宋体" w:hAnsi="宋体" w:eastAsia="宋体" w:cs="宋体"/>
          <w:color w:val="000000"/>
          <w:kern w:val="0"/>
          <w:sz w:val="24"/>
          <w:szCs w:val="24"/>
          <w:lang w:val="en-US" w:eastAsia="zh-CN"/>
        </w:rPr>
        <w:t>支持</w:t>
      </w:r>
      <w:r>
        <w:rPr>
          <w:rFonts w:hint="eastAsia" w:ascii="宋体" w:hAnsi="宋体" w:eastAsia="宋体" w:cs="宋体"/>
          <w:color w:val="000000"/>
          <w:kern w:val="0"/>
          <w:sz w:val="24"/>
          <w:szCs w:val="24"/>
          <w:lang w:eastAsia="zh-CN"/>
        </w:rPr>
        <w:t>开启或接受与其他工作空间之间的文件投递策略，未经许可，不同工作空间之间不能够进行文件交换。（提供</w:t>
      </w:r>
      <w:r>
        <w:rPr>
          <w:rFonts w:hint="eastAsia" w:ascii="宋体" w:hAnsi="宋体" w:eastAsia="宋体" w:cs="宋体"/>
          <w:color w:val="000000"/>
          <w:kern w:val="0"/>
          <w:sz w:val="24"/>
          <w:szCs w:val="24"/>
          <w:lang w:val="en-US" w:eastAsia="zh-CN"/>
        </w:rPr>
        <w:t>原厂商</w:t>
      </w:r>
      <w:r>
        <w:rPr>
          <w:rFonts w:hint="eastAsia" w:ascii="宋体" w:hAnsi="宋体" w:eastAsia="宋体" w:cs="宋体"/>
          <w:sz w:val="24"/>
          <w:szCs w:val="24"/>
          <w:lang w:val="en-US" w:eastAsia="zh-CN"/>
        </w:rPr>
        <w:t>及供应商</w:t>
      </w:r>
      <w:r>
        <w:rPr>
          <w:rFonts w:hint="eastAsia" w:ascii="宋体" w:hAnsi="宋体" w:eastAsia="宋体" w:cs="宋体"/>
          <w:color w:val="000000"/>
          <w:kern w:val="0"/>
          <w:sz w:val="24"/>
          <w:szCs w:val="24"/>
          <w:lang w:val="en-US" w:eastAsia="zh-CN"/>
        </w:rPr>
        <w:t>加盖公章的</w:t>
      </w:r>
      <w:r>
        <w:rPr>
          <w:rFonts w:hint="eastAsia" w:ascii="宋体" w:hAnsi="宋体" w:eastAsia="宋体" w:cs="宋体"/>
          <w:color w:val="000000"/>
          <w:kern w:val="0"/>
          <w:sz w:val="24"/>
          <w:szCs w:val="24"/>
          <w:lang w:eastAsia="zh-CN"/>
        </w:rPr>
        <w:t>功能截图证明）</w:t>
      </w:r>
    </w:p>
    <w:p w14:paraId="5A101B58">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5</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被授权的管理员</w:t>
      </w:r>
      <w:r>
        <w:rPr>
          <w:rFonts w:hint="eastAsia" w:ascii="宋体" w:hAnsi="宋体" w:eastAsia="宋体" w:cs="宋体"/>
          <w:color w:val="000000"/>
          <w:kern w:val="0"/>
          <w:sz w:val="24"/>
          <w:szCs w:val="24"/>
          <w:lang w:val="en-US" w:eastAsia="zh-CN"/>
        </w:rPr>
        <w:t>具备</w:t>
      </w:r>
      <w:r>
        <w:rPr>
          <w:rFonts w:hint="eastAsia" w:ascii="宋体" w:hAnsi="宋体" w:eastAsia="宋体" w:cs="宋体"/>
          <w:color w:val="000000"/>
          <w:kern w:val="0"/>
          <w:sz w:val="24"/>
          <w:szCs w:val="24"/>
          <w:lang w:eastAsia="zh-CN"/>
        </w:rPr>
        <w:t>查看、检索本工作空间的全部操作日志和文件传输日志，具备按照多种维度进行过滤检索。</w:t>
      </w:r>
    </w:p>
    <w:p w14:paraId="14E7D5CC">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bidi="ar-SA"/>
        </w:rPr>
        <w:t>6</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系统</w:t>
      </w:r>
      <w:r>
        <w:rPr>
          <w:rFonts w:hint="eastAsia" w:ascii="宋体" w:hAnsi="宋体" w:eastAsia="宋体" w:cs="宋体"/>
          <w:color w:val="000000"/>
          <w:kern w:val="0"/>
          <w:sz w:val="24"/>
          <w:szCs w:val="24"/>
          <w:lang w:val="en-US" w:eastAsia="zh-CN"/>
        </w:rPr>
        <w:t>需具备</w:t>
      </w:r>
      <w:r>
        <w:rPr>
          <w:rFonts w:hint="eastAsia" w:ascii="宋体" w:hAnsi="宋体" w:eastAsia="宋体" w:cs="宋体"/>
          <w:color w:val="000000"/>
          <w:kern w:val="0"/>
          <w:sz w:val="24"/>
          <w:szCs w:val="24"/>
          <w:lang w:eastAsia="zh-CN"/>
        </w:rPr>
        <w:t>独立的浏览器高速传输插件，</w:t>
      </w:r>
      <w:r>
        <w:rPr>
          <w:rFonts w:hint="eastAsia" w:ascii="宋体" w:hAnsi="宋体" w:eastAsia="宋体" w:cs="宋体"/>
          <w:color w:val="000000"/>
          <w:kern w:val="0"/>
          <w:sz w:val="24"/>
          <w:szCs w:val="24"/>
          <w:lang w:val="en-US" w:eastAsia="zh-CN"/>
        </w:rPr>
        <w:t>需</w:t>
      </w:r>
      <w:r>
        <w:rPr>
          <w:rFonts w:hint="eastAsia" w:ascii="宋体" w:hAnsi="宋体" w:eastAsia="宋体" w:cs="宋体"/>
          <w:color w:val="000000"/>
          <w:kern w:val="0"/>
          <w:sz w:val="24"/>
          <w:szCs w:val="24"/>
          <w:lang w:eastAsia="zh-CN"/>
        </w:rPr>
        <w:t>内置私有高性能传输协议，</w:t>
      </w:r>
      <w:r>
        <w:rPr>
          <w:rFonts w:hint="eastAsia" w:ascii="宋体" w:hAnsi="宋体" w:eastAsia="宋体" w:cs="宋体"/>
          <w:color w:val="000000"/>
          <w:kern w:val="0"/>
          <w:sz w:val="24"/>
          <w:szCs w:val="24"/>
          <w:lang w:val="en-US" w:eastAsia="zh-CN"/>
        </w:rPr>
        <w:t>支持</w:t>
      </w:r>
      <w:r>
        <w:rPr>
          <w:rFonts w:hint="eastAsia" w:ascii="宋体" w:hAnsi="宋体" w:eastAsia="宋体" w:cs="宋体"/>
          <w:color w:val="000000"/>
          <w:kern w:val="0"/>
          <w:sz w:val="24"/>
          <w:szCs w:val="24"/>
          <w:lang w:eastAsia="zh-CN"/>
        </w:rPr>
        <w:t>上传下载超大文件和海量文件。插件具备IE、Chrome、Firefox、通用浏览器，不限制文件大小和数量，具备断点续传、文件校验和错误重传，具备多任务和多文件并行传输。（提供</w:t>
      </w:r>
      <w:r>
        <w:rPr>
          <w:rFonts w:hint="eastAsia" w:ascii="宋体" w:hAnsi="宋体" w:eastAsia="宋体" w:cs="宋体"/>
          <w:color w:val="000000"/>
          <w:kern w:val="0"/>
          <w:sz w:val="24"/>
          <w:szCs w:val="24"/>
          <w:lang w:val="en-US" w:eastAsia="zh-CN"/>
        </w:rPr>
        <w:t>原厂商</w:t>
      </w:r>
      <w:r>
        <w:rPr>
          <w:rFonts w:hint="eastAsia" w:ascii="宋体" w:hAnsi="宋体" w:eastAsia="宋体" w:cs="宋体"/>
          <w:sz w:val="24"/>
          <w:szCs w:val="24"/>
          <w:lang w:val="en-US" w:eastAsia="zh-CN"/>
        </w:rPr>
        <w:t>及供应商</w:t>
      </w:r>
      <w:r>
        <w:rPr>
          <w:rFonts w:hint="eastAsia" w:ascii="宋体" w:hAnsi="宋体" w:eastAsia="宋体" w:cs="宋体"/>
          <w:color w:val="000000"/>
          <w:kern w:val="0"/>
          <w:sz w:val="24"/>
          <w:szCs w:val="24"/>
          <w:lang w:val="en-US" w:eastAsia="zh-CN"/>
        </w:rPr>
        <w:t>加盖公章的</w:t>
      </w:r>
      <w:r>
        <w:rPr>
          <w:rFonts w:hint="eastAsia" w:ascii="宋体" w:hAnsi="宋体" w:eastAsia="宋体" w:cs="宋体"/>
          <w:color w:val="000000"/>
          <w:kern w:val="0"/>
          <w:sz w:val="24"/>
          <w:szCs w:val="24"/>
          <w:lang w:eastAsia="zh-CN"/>
        </w:rPr>
        <w:t>功能截图证明）</w:t>
      </w:r>
    </w:p>
    <w:p w14:paraId="0F74B6D8">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7</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用户个人删除的文件首先进入回收站，防止误操作。回收站内的文件可手动恢复，</w:t>
      </w:r>
      <w:r>
        <w:rPr>
          <w:rFonts w:hint="eastAsia" w:ascii="宋体" w:hAnsi="宋体" w:eastAsia="宋体" w:cs="宋体"/>
          <w:color w:val="000000"/>
          <w:kern w:val="0"/>
          <w:sz w:val="24"/>
          <w:szCs w:val="24"/>
          <w:lang w:val="en-US" w:eastAsia="zh-CN"/>
        </w:rPr>
        <w:t>支持</w:t>
      </w:r>
      <w:r>
        <w:rPr>
          <w:rFonts w:hint="eastAsia" w:ascii="宋体" w:hAnsi="宋体" w:eastAsia="宋体" w:cs="宋体"/>
          <w:color w:val="000000"/>
          <w:kern w:val="0"/>
          <w:sz w:val="24"/>
          <w:szCs w:val="24"/>
          <w:lang w:eastAsia="zh-CN"/>
        </w:rPr>
        <w:t>用户手动清空和过期后的自动清理。</w:t>
      </w:r>
    </w:p>
    <w:p w14:paraId="53A463E0">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bidi="ar-SA"/>
        </w:rPr>
        <w:t>8</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以跨网中转站形式提供独立的跨网文件摆渡功能和区域，终端用户</w:t>
      </w:r>
      <w:r>
        <w:rPr>
          <w:rFonts w:hint="eastAsia" w:ascii="宋体" w:hAnsi="宋体" w:eastAsia="宋体" w:cs="宋体"/>
          <w:color w:val="000000"/>
          <w:kern w:val="0"/>
          <w:sz w:val="24"/>
          <w:szCs w:val="24"/>
          <w:lang w:val="en-US" w:eastAsia="zh-CN"/>
        </w:rPr>
        <w:t>支持</w:t>
      </w:r>
      <w:r>
        <w:rPr>
          <w:rFonts w:hint="eastAsia" w:ascii="宋体" w:hAnsi="宋体" w:eastAsia="宋体" w:cs="宋体"/>
          <w:color w:val="000000"/>
          <w:kern w:val="0"/>
          <w:sz w:val="24"/>
          <w:szCs w:val="24"/>
          <w:lang w:eastAsia="zh-CN"/>
        </w:rPr>
        <w:t>在安全规则控制下，自主进行跨网文件摆渡，无需系统管理员协助。跨网中转站</w:t>
      </w:r>
      <w:r>
        <w:rPr>
          <w:rFonts w:hint="eastAsia" w:ascii="宋体" w:hAnsi="宋体" w:eastAsia="宋体" w:cs="宋体"/>
          <w:color w:val="000000"/>
          <w:kern w:val="0"/>
          <w:sz w:val="24"/>
          <w:szCs w:val="24"/>
          <w:lang w:val="en-US" w:eastAsia="zh-CN"/>
        </w:rPr>
        <w:t>需</w:t>
      </w:r>
      <w:r>
        <w:rPr>
          <w:rFonts w:hint="eastAsia" w:ascii="宋体" w:hAnsi="宋体" w:eastAsia="宋体" w:cs="宋体"/>
          <w:color w:val="000000"/>
          <w:kern w:val="0"/>
          <w:sz w:val="24"/>
          <w:szCs w:val="24"/>
          <w:lang w:eastAsia="zh-CN"/>
        </w:rPr>
        <w:t>独立于个人存储空间，</w:t>
      </w:r>
      <w:r>
        <w:rPr>
          <w:rFonts w:hint="eastAsia" w:ascii="宋体" w:hAnsi="宋体" w:eastAsia="宋体" w:cs="宋体"/>
          <w:color w:val="000000"/>
          <w:kern w:val="0"/>
          <w:sz w:val="24"/>
          <w:szCs w:val="24"/>
          <w:lang w:val="en-US" w:eastAsia="zh-CN"/>
        </w:rPr>
        <w:t>支持</w:t>
      </w:r>
      <w:r>
        <w:rPr>
          <w:rFonts w:hint="eastAsia" w:ascii="宋体" w:hAnsi="宋体" w:eastAsia="宋体" w:cs="宋体"/>
          <w:color w:val="000000"/>
          <w:kern w:val="0"/>
          <w:sz w:val="24"/>
          <w:szCs w:val="24"/>
          <w:lang w:eastAsia="zh-CN"/>
        </w:rPr>
        <w:t>不同用户的中转站相互隔离。（提供</w:t>
      </w:r>
      <w:r>
        <w:rPr>
          <w:rFonts w:hint="eastAsia" w:ascii="宋体" w:hAnsi="宋体" w:eastAsia="宋体" w:cs="宋体"/>
          <w:color w:val="000000"/>
          <w:kern w:val="0"/>
          <w:sz w:val="24"/>
          <w:szCs w:val="24"/>
          <w:lang w:val="en-US" w:eastAsia="zh-CN"/>
        </w:rPr>
        <w:t>原厂商</w:t>
      </w:r>
      <w:r>
        <w:rPr>
          <w:rFonts w:hint="eastAsia" w:ascii="宋体" w:hAnsi="宋体" w:eastAsia="宋体" w:cs="宋体"/>
          <w:sz w:val="24"/>
          <w:szCs w:val="24"/>
          <w:lang w:val="en-US" w:eastAsia="zh-CN"/>
        </w:rPr>
        <w:t>及供应商</w:t>
      </w:r>
      <w:r>
        <w:rPr>
          <w:rFonts w:hint="eastAsia" w:ascii="宋体" w:hAnsi="宋体" w:eastAsia="宋体" w:cs="宋体"/>
          <w:color w:val="000000"/>
          <w:kern w:val="0"/>
          <w:sz w:val="24"/>
          <w:szCs w:val="24"/>
          <w:lang w:val="en-US" w:eastAsia="zh-CN"/>
        </w:rPr>
        <w:t>加盖公章的</w:t>
      </w:r>
      <w:r>
        <w:rPr>
          <w:rFonts w:hint="eastAsia" w:ascii="宋体" w:hAnsi="宋体" w:eastAsia="宋体" w:cs="宋体"/>
          <w:color w:val="000000"/>
          <w:kern w:val="0"/>
          <w:sz w:val="24"/>
          <w:szCs w:val="24"/>
          <w:lang w:eastAsia="zh-CN"/>
        </w:rPr>
        <w:t>功能截图证明）</w:t>
      </w:r>
    </w:p>
    <w:p w14:paraId="1925124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bidi="ar-SA"/>
        </w:rPr>
        <w:t>9</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用户采用任何方式跨网摆渡的某个文件批次，</w:t>
      </w:r>
      <w:r>
        <w:rPr>
          <w:rFonts w:hint="eastAsia" w:ascii="宋体" w:hAnsi="宋体" w:eastAsia="宋体" w:cs="宋体"/>
          <w:color w:val="000000"/>
          <w:kern w:val="0"/>
          <w:sz w:val="24"/>
          <w:szCs w:val="24"/>
          <w:lang w:val="en-US" w:eastAsia="zh-CN"/>
        </w:rPr>
        <w:t>以</w:t>
      </w:r>
      <w:r>
        <w:rPr>
          <w:rFonts w:hint="eastAsia" w:ascii="宋体" w:hAnsi="宋体" w:eastAsia="宋体" w:cs="宋体"/>
          <w:color w:val="000000"/>
          <w:kern w:val="0"/>
          <w:sz w:val="24"/>
          <w:szCs w:val="24"/>
          <w:lang w:eastAsia="zh-CN"/>
        </w:rPr>
        <w:t>独立副本方式打包封装，在摆渡和后续处理过程中不可追加、撤销和修改文件。（提供</w:t>
      </w:r>
      <w:r>
        <w:rPr>
          <w:rFonts w:hint="eastAsia" w:ascii="宋体" w:hAnsi="宋体" w:eastAsia="宋体" w:cs="宋体"/>
          <w:color w:val="000000"/>
          <w:kern w:val="0"/>
          <w:sz w:val="24"/>
          <w:szCs w:val="24"/>
          <w:lang w:val="en-US" w:eastAsia="zh-CN"/>
        </w:rPr>
        <w:t>原厂商</w:t>
      </w:r>
      <w:r>
        <w:rPr>
          <w:rFonts w:hint="eastAsia" w:ascii="宋体" w:hAnsi="宋体" w:eastAsia="宋体" w:cs="宋体"/>
          <w:sz w:val="24"/>
          <w:szCs w:val="24"/>
          <w:lang w:val="en-US" w:eastAsia="zh-CN"/>
        </w:rPr>
        <w:t>及供应商</w:t>
      </w:r>
      <w:r>
        <w:rPr>
          <w:rFonts w:hint="eastAsia" w:ascii="宋体" w:hAnsi="宋体" w:eastAsia="宋体" w:cs="宋体"/>
          <w:color w:val="000000"/>
          <w:kern w:val="0"/>
          <w:sz w:val="24"/>
          <w:szCs w:val="24"/>
          <w:lang w:val="en-US" w:eastAsia="zh-CN"/>
        </w:rPr>
        <w:t>加盖公章的</w:t>
      </w:r>
      <w:r>
        <w:rPr>
          <w:rFonts w:hint="eastAsia" w:ascii="宋体" w:hAnsi="宋体" w:eastAsia="宋体" w:cs="宋体"/>
          <w:color w:val="000000"/>
          <w:kern w:val="0"/>
          <w:sz w:val="24"/>
          <w:szCs w:val="24"/>
          <w:lang w:eastAsia="zh-CN"/>
        </w:rPr>
        <w:t>功能截图证明）</w:t>
      </w:r>
    </w:p>
    <w:p w14:paraId="0AC16E1F">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10</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rPr>
        <w:t>具备</w:t>
      </w:r>
      <w:r>
        <w:rPr>
          <w:rFonts w:hint="eastAsia" w:ascii="宋体" w:hAnsi="宋体" w:eastAsia="宋体" w:cs="宋体"/>
          <w:color w:val="000000"/>
          <w:kern w:val="0"/>
          <w:sz w:val="24"/>
          <w:szCs w:val="24"/>
          <w:lang w:eastAsia="zh-CN"/>
        </w:rPr>
        <w:t>跨网摆渡的文件在过期失效后，可根据预先配置的策略转储归档到指定存储位置。可根据预先配置的策略进行自动清理，以释放存储空间。</w:t>
      </w:r>
    </w:p>
    <w:p w14:paraId="0FC1916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11</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具备用户将个人文件或文件夹创建为分享链接与他人共享，具备公开链接、私密链接、实名认证、验证码、有效期、提取次数限制、预览和下载限制、提取通知等多项安全控制手段。</w:t>
      </w:r>
    </w:p>
    <w:p w14:paraId="01EF4311">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12</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具备对Office办公文档、PDF、图片、音视频文件进行在线预览。具备对Office办公文档等40余种文件类型进行在线编辑，具备多人同时在线编辑同一文件。</w:t>
      </w:r>
    </w:p>
    <w:p w14:paraId="7D964BDE">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bidi="ar-SA"/>
        </w:rPr>
        <w:t>13</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接受者提取文件时，系统</w:t>
      </w:r>
      <w:r>
        <w:rPr>
          <w:rFonts w:hint="eastAsia" w:ascii="宋体" w:hAnsi="宋体" w:eastAsia="宋体" w:cs="宋体"/>
          <w:color w:val="000000"/>
          <w:kern w:val="0"/>
          <w:sz w:val="24"/>
          <w:szCs w:val="24"/>
          <w:lang w:val="en-US" w:eastAsia="zh-CN"/>
        </w:rPr>
        <w:t>具备</w:t>
      </w:r>
      <w:r>
        <w:rPr>
          <w:rFonts w:hint="eastAsia" w:ascii="宋体" w:hAnsi="宋体" w:eastAsia="宋体" w:cs="宋体"/>
          <w:color w:val="000000"/>
          <w:kern w:val="0"/>
          <w:sz w:val="24"/>
          <w:szCs w:val="24"/>
          <w:lang w:eastAsia="zh-CN"/>
        </w:rPr>
        <w:t>可自动对文件进行水印添加，水印包括但不限于文件被提取的时间，用户所属部门、手机号码、邮箱、姓名等，文件类型</w:t>
      </w:r>
      <w:r>
        <w:rPr>
          <w:rFonts w:hint="eastAsia" w:ascii="宋体" w:hAnsi="宋体" w:eastAsia="宋体" w:cs="宋体"/>
          <w:sz w:val="24"/>
          <w:szCs w:val="24"/>
          <w:lang w:val="en-US" w:eastAsia="zh-CN"/>
        </w:rPr>
        <w:t>至少包含</w:t>
      </w:r>
      <w:r>
        <w:rPr>
          <w:rFonts w:hint="eastAsia" w:ascii="宋体" w:hAnsi="宋体" w:eastAsia="宋体" w:cs="宋体"/>
          <w:color w:val="000000"/>
          <w:kern w:val="0"/>
          <w:sz w:val="24"/>
          <w:szCs w:val="24"/>
          <w:lang w:eastAsia="zh-CN"/>
        </w:rPr>
        <w:t>：doc，docx，pdf，xls，xlsx，ppt，pptx，wps，wpt，dot，dps，dpt，pot，pps，xlt，et，ett、jpg， bmp，gif，tif、html。（提供</w:t>
      </w:r>
      <w:r>
        <w:rPr>
          <w:rFonts w:hint="eastAsia" w:ascii="宋体" w:hAnsi="宋体" w:eastAsia="宋体" w:cs="宋体"/>
          <w:color w:val="000000"/>
          <w:kern w:val="0"/>
          <w:sz w:val="24"/>
          <w:szCs w:val="24"/>
          <w:lang w:val="en-US" w:eastAsia="zh-CN"/>
        </w:rPr>
        <w:t>原厂商</w:t>
      </w:r>
      <w:r>
        <w:rPr>
          <w:rFonts w:hint="eastAsia" w:ascii="宋体" w:hAnsi="宋体" w:eastAsia="宋体" w:cs="宋体"/>
          <w:sz w:val="24"/>
          <w:szCs w:val="24"/>
          <w:lang w:val="en-US" w:eastAsia="zh-CN"/>
        </w:rPr>
        <w:t>及供应e商</w:t>
      </w:r>
      <w:r>
        <w:rPr>
          <w:rFonts w:hint="eastAsia" w:ascii="宋体" w:hAnsi="宋体" w:eastAsia="宋体" w:cs="宋体"/>
          <w:color w:val="000000"/>
          <w:kern w:val="0"/>
          <w:sz w:val="24"/>
          <w:szCs w:val="24"/>
          <w:lang w:val="en-US" w:eastAsia="zh-CN"/>
        </w:rPr>
        <w:t>加盖公章的</w:t>
      </w:r>
      <w:r>
        <w:rPr>
          <w:rFonts w:hint="eastAsia" w:ascii="宋体" w:hAnsi="宋体" w:eastAsia="宋体" w:cs="宋体"/>
          <w:color w:val="000000"/>
          <w:kern w:val="0"/>
          <w:sz w:val="24"/>
          <w:szCs w:val="24"/>
          <w:lang w:eastAsia="zh-CN"/>
        </w:rPr>
        <w:t>功能截图证明）</w:t>
      </w:r>
    </w:p>
    <w:p w14:paraId="0650902E">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14</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具备内置审批流程引擎，具备不限层级的审批流程，具备按用户或角色配置审批权限，</w:t>
      </w:r>
      <w:r>
        <w:rPr>
          <w:rFonts w:hint="eastAsia"/>
          <w:lang w:val="en-US" w:eastAsia="zh-CN"/>
        </w:rPr>
        <w:t>具备会签功能</w:t>
      </w:r>
      <w:r>
        <w:rPr>
          <w:rFonts w:hint="eastAsia" w:ascii="宋体" w:hAnsi="宋体" w:eastAsia="宋体" w:cs="宋体"/>
          <w:color w:val="000000"/>
          <w:kern w:val="0"/>
          <w:sz w:val="24"/>
          <w:szCs w:val="24"/>
          <w:lang w:eastAsia="zh-CN"/>
        </w:rPr>
        <w:t>。</w:t>
      </w:r>
    </w:p>
    <w:p w14:paraId="5AE1155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15</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审核全过程完整记录所有数据交换操作（时间、用户、文件、方向、结果），日志不可篡改，支持审计报表生成，具备自动通知，告知发起人、审核人、抄送人最新审核动态和提醒处理。审核过程具备全过程的日志记录，可随时用于审计追溯。</w:t>
      </w:r>
    </w:p>
    <w:p w14:paraId="3B212DBA">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bidi="ar-SA"/>
        </w:rPr>
        <w:t>16</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系统</w:t>
      </w:r>
      <w:r>
        <w:rPr>
          <w:rFonts w:hint="eastAsia" w:ascii="宋体" w:hAnsi="宋体" w:eastAsia="宋体" w:cs="宋体"/>
          <w:sz w:val="24"/>
          <w:szCs w:val="24"/>
          <w:lang w:val="en-US" w:eastAsia="zh-CN"/>
        </w:rPr>
        <w:t>具备</w:t>
      </w:r>
      <w:r>
        <w:rPr>
          <w:rFonts w:hint="eastAsia" w:ascii="宋体" w:hAnsi="宋体" w:eastAsia="宋体" w:cs="宋体"/>
          <w:color w:val="000000"/>
          <w:kern w:val="0"/>
          <w:sz w:val="24"/>
          <w:szCs w:val="24"/>
          <w:lang w:eastAsia="zh-CN"/>
        </w:rPr>
        <w:t>内置自研杀毒引擎，启用后可对用户上传文件自动进行病毒检测，病毒文件将被自动隔离，病毒库具备在线更新、离线更新，病毒文件具备白名单功能。（提供杀毒引擎软件著作权登记证书、提供</w:t>
      </w:r>
      <w:r>
        <w:rPr>
          <w:rFonts w:hint="eastAsia" w:ascii="宋体" w:hAnsi="宋体" w:eastAsia="宋体" w:cs="宋体"/>
          <w:color w:val="000000"/>
          <w:kern w:val="0"/>
          <w:sz w:val="24"/>
          <w:szCs w:val="24"/>
          <w:lang w:val="en-US" w:eastAsia="zh-CN"/>
        </w:rPr>
        <w:t>原厂商</w:t>
      </w:r>
      <w:r>
        <w:rPr>
          <w:rFonts w:hint="eastAsia" w:ascii="宋体" w:hAnsi="宋体" w:eastAsia="宋体" w:cs="宋体"/>
          <w:sz w:val="24"/>
          <w:szCs w:val="24"/>
          <w:lang w:val="en-US" w:eastAsia="zh-CN"/>
        </w:rPr>
        <w:t>及供应商</w:t>
      </w:r>
      <w:r>
        <w:rPr>
          <w:rFonts w:hint="eastAsia" w:ascii="宋体" w:hAnsi="宋体" w:eastAsia="宋体" w:cs="宋体"/>
          <w:color w:val="000000"/>
          <w:kern w:val="0"/>
          <w:sz w:val="24"/>
          <w:szCs w:val="24"/>
          <w:lang w:val="en-US" w:eastAsia="zh-CN"/>
        </w:rPr>
        <w:t>加盖公章的</w:t>
      </w:r>
      <w:r>
        <w:rPr>
          <w:rFonts w:hint="eastAsia" w:ascii="宋体" w:hAnsi="宋体" w:eastAsia="宋体" w:cs="宋体"/>
          <w:color w:val="000000"/>
          <w:kern w:val="0"/>
          <w:sz w:val="24"/>
          <w:szCs w:val="24"/>
          <w:lang w:eastAsia="zh-CN"/>
        </w:rPr>
        <w:t>功能截图证明）</w:t>
      </w:r>
    </w:p>
    <w:p w14:paraId="6109FF0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17</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系统</w:t>
      </w:r>
      <w:r>
        <w:rPr>
          <w:rFonts w:hint="eastAsia" w:ascii="宋体" w:hAnsi="宋体" w:eastAsia="宋体" w:cs="宋体"/>
          <w:color w:val="000000"/>
          <w:kern w:val="0"/>
          <w:sz w:val="24"/>
          <w:szCs w:val="24"/>
          <w:lang w:val="en-US" w:eastAsia="zh-CN"/>
        </w:rPr>
        <w:t>具备</w:t>
      </w:r>
      <w:r>
        <w:rPr>
          <w:rFonts w:hint="eastAsia" w:ascii="宋体" w:hAnsi="宋体" w:eastAsia="宋体" w:cs="宋体"/>
          <w:color w:val="000000"/>
          <w:kern w:val="0"/>
          <w:sz w:val="24"/>
          <w:szCs w:val="24"/>
          <w:lang w:eastAsia="zh-CN"/>
        </w:rPr>
        <w:t>采用私有协议进行网间文件摆渡，当系统借助网闸等第三方系统进行跨网摆渡时，可自动对文件进行加解密处理，避免第三方系统数据泄露的风险。</w:t>
      </w:r>
    </w:p>
    <w:p w14:paraId="229F4A9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18</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文件上传、下载和网间摆渡过程均具备断点续传。</w:t>
      </w:r>
    </w:p>
    <w:p w14:paraId="18F2DFC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19</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具备超大文件（单体文件不低于1TB）的可靠传输，能够对大文件进行切片并行传输，提高整体的传输效率。</w:t>
      </w:r>
    </w:p>
    <w:p w14:paraId="49AD68F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20</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具备批量、海量文件（单批次不少于1万文件）的可靠传输，对碎小文件采用虚拟拼接的方式进行整体传输。</w:t>
      </w:r>
    </w:p>
    <w:p w14:paraId="2602AB1E">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bidi="ar-SA"/>
        </w:rPr>
        <w:t>21</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采用多线程技术，具备多任务并行传输，单任务内如有多个文件，可在任务内进行并行传输。（提供</w:t>
      </w:r>
      <w:r>
        <w:rPr>
          <w:rFonts w:hint="eastAsia" w:ascii="宋体" w:hAnsi="宋体" w:eastAsia="宋体" w:cs="宋体"/>
          <w:color w:val="000000"/>
          <w:kern w:val="0"/>
          <w:sz w:val="24"/>
          <w:szCs w:val="24"/>
          <w:lang w:val="en-US" w:eastAsia="zh-CN"/>
        </w:rPr>
        <w:t>原厂商</w:t>
      </w:r>
      <w:r>
        <w:rPr>
          <w:rFonts w:hint="eastAsia" w:ascii="宋体" w:hAnsi="宋体" w:eastAsia="宋体" w:cs="宋体"/>
          <w:sz w:val="24"/>
          <w:szCs w:val="24"/>
          <w:lang w:val="en-US" w:eastAsia="zh-CN"/>
        </w:rPr>
        <w:t>及供应商</w:t>
      </w:r>
      <w:r>
        <w:rPr>
          <w:rFonts w:hint="eastAsia" w:ascii="宋体" w:hAnsi="宋体" w:eastAsia="宋体" w:cs="宋体"/>
          <w:color w:val="000000"/>
          <w:kern w:val="0"/>
          <w:sz w:val="24"/>
          <w:szCs w:val="24"/>
          <w:lang w:val="en-US" w:eastAsia="zh-CN"/>
        </w:rPr>
        <w:t>加盖公章的</w:t>
      </w:r>
      <w:r>
        <w:rPr>
          <w:rFonts w:hint="eastAsia" w:ascii="宋体" w:hAnsi="宋体" w:eastAsia="宋体" w:cs="宋体"/>
          <w:color w:val="000000"/>
          <w:kern w:val="0"/>
          <w:sz w:val="24"/>
          <w:szCs w:val="24"/>
          <w:lang w:eastAsia="zh-CN"/>
        </w:rPr>
        <w:t>功能截图证明）</w:t>
      </w:r>
    </w:p>
    <w:p w14:paraId="41E6D206">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22</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具备全平台的完整的日志记录，文件传输过程日志记录。工作空间管理员</w:t>
      </w:r>
      <w:r>
        <w:rPr>
          <w:rFonts w:hint="eastAsia" w:ascii="宋体" w:hAnsi="宋体" w:eastAsia="宋体" w:cs="宋体"/>
          <w:color w:val="000000"/>
          <w:kern w:val="0"/>
          <w:sz w:val="24"/>
          <w:szCs w:val="24"/>
          <w:lang w:val="en-US" w:eastAsia="zh-CN"/>
        </w:rPr>
        <w:t>具备</w:t>
      </w:r>
      <w:r>
        <w:rPr>
          <w:rFonts w:hint="eastAsia" w:ascii="宋体" w:hAnsi="宋体" w:eastAsia="宋体" w:cs="宋体"/>
          <w:color w:val="000000"/>
          <w:kern w:val="0"/>
          <w:sz w:val="24"/>
          <w:szCs w:val="24"/>
          <w:lang w:eastAsia="zh-CN"/>
        </w:rPr>
        <w:t>独立查询本工作空间的用户操作日志、文件传输日志等。</w:t>
      </w:r>
    </w:p>
    <w:p w14:paraId="6D10C72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bidi="ar-SA"/>
        </w:rPr>
        <w:t>23</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rPr>
        <w:t>具备</w:t>
      </w:r>
      <w:r>
        <w:rPr>
          <w:rFonts w:hint="eastAsia" w:ascii="宋体" w:hAnsi="宋体" w:eastAsia="宋体" w:cs="宋体"/>
          <w:color w:val="000000"/>
          <w:kern w:val="0"/>
          <w:sz w:val="24"/>
          <w:szCs w:val="24"/>
          <w:lang w:eastAsia="zh-CN"/>
        </w:rPr>
        <w:t>用户跨网文件摆渡、文件分享、下载转存文件等收发协作行为进行统计和记录，可按时间范围和天、月等不同时间颗粒度进行统计。</w:t>
      </w:r>
    </w:p>
    <w:p w14:paraId="7533CFAA">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bidi="ar-SA"/>
        </w:rPr>
        <w:t>24</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eastAsia="zh-CN"/>
        </w:rPr>
        <w:t>产品具备网络安全专用产品安全检测证书或网络关键设备和网络安全专用产品安全认证证书。（提供</w:t>
      </w:r>
      <w:r>
        <w:rPr>
          <w:rFonts w:hint="eastAsia" w:ascii="宋体" w:hAnsi="宋体" w:eastAsia="宋体" w:cs="宋体"/>
          <w:color w:val="000000"/>
          <w:kern w:val="0"/>
          <w:sz w:val="24"/>
          <w:szCs w:val="24"/>
          <w:lang w:val="en-US" w:eastAsia="zh-CN"/>
        </w:rPr>
        <w:t>原厂商</w:t>
      </w:r>
      <w:r>
        <w:rPr>
          <w:rFonts w:hint="eastAsia" w:ascii="宋体" w:hAnsi="宋体" w:eastAsia="宋体" w:cs="宋体"/>
          <w:sz w:val="24"/>
          <w:szCs w:val="24"/>
          <w:lang w:val="en-US" w:eastAsia="zh-CN"/>
        </w:rPr>
        <w:t>及供应商</w:t>
      </w:r>
      <w:r>
        <w:rPr>
          <w:rFonts w:hint="eastAsia" w:ascii="宋体" w:hAnsi="宋体" w:eastAsia="宋体" w:cs="宋体"/>
          <w:color w:val="000000"/>
          <w:kern w:val="0"/>
          <w:sz w:val="24"/>
          <w:szCs w:val="24"/>
          <w:lang w:val="en-US" w:eastAsia="zh-CN"/>
        </w:rPr>
        <w:t>加盖公章的证书</w:t>
      </w:r>
      <w:r>
        <w:rPr>
          <w:rFonts w:hint="eastAsia" w:ascii="宋体" w:hAnsi="宋体" w:eastAsia="宋体" w:cs="宋体"/>
          <w:sz w:val="24"/>
          <w:szCs w:val="24"/>
          <w:lang w:val="en-US" w:eastAsia="zh-CN"/>
        </w:rPr>
        <w:t>复印件</w:t>
      </w:r>
      <w:r>
        <w:rPr>
          <w:rFonts w:hint="eastAsia" w:ascii="宋体" w:hAnsi="宋体" w:eastAsia="宋体" w:cs="宋体"/>
          <w:color w:val="000000"/>
          <w:kern w:val="0"/>
          <w:sz w:val="24"/>
          <w:szCs w:val="24"/>
          <w:lang w:eastAsia="zh-CN"/>
        </w:rPr>
        <w:t>）</w:t>
      </w:r>
    </w:p>
    <w:p w14:paraId="1AE1F9F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bidi="ar-SA"/>
        </w:rPr>
        <w:t>25</w:t>
      </w:r>
      <w:r>
        <w:rPr>
          <w:rFonts w:hint="eastAsia"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rPr>
        <w:t>产品具备</w:t>
      </w:r>
      <w:r>
        <w:rPr>
          <w:rFonts w:hint="eastAsia" w:ascii="宋体" w:hAnsi="宋体" w:eastAsia="宋体" w:cs="宋体"/>
          <w:color w:val="000000"/>
          <w:kern w:val="0"/>
          <w:sz w:val="24"/>
          <w:szCs w:val="24"/>
          <w:lang w:eastAsia="zh-CN"/>
        </w:rPr>
        <w:t>计算机软件著作权登记证书。（提供</w:t>
      </w:r>
      <w:r>
        <w:rPr>
          <w:rFonts w:hint="eastAsia" w:ascii="宋体" w:hAnsi="宋体" w:eastAsia="宋体" w:cs="宋体"/>
          <w:color w:val="000000"/>
          <w:kern w:val="0"/>
          <w:sz w:val="24"/>
          <w:szCs w:val="24"/>
          <w:lang w:val="en-US" w:eastAsia="zh-CN"/>
        </w:rPr>
        <w:t>原厂商</w:t>
      </w:r>
      <w:r>
        <w:rPr>
          <w:rFonts w:hint="eastAsia" w:ascii="宋体" w:hAnsi="宋体" w:eastAsia="宋体" w:cs="宋体"/>
          <w:sz w:val="24"/>
          <w:szCs w:val="24"/>
          <w:lang w:val="en-US" w:eastAsia="zh-CN"/>
        </w:rPr>
        <w:t>及供应商</w:t>
      </w:r>
      <w:r>
        <w:rPr>
          <w:rFonts w:hint="eastAsia" w:ascii="宋体" w:hAnsi="宋体" w:eastAsia="宋体" w:cs="宋体"/>
          <w:color w:val="000000"/>
          <w:kern w:val="0"/>
          <w:sz w:val="24"/>
          <w:szCs w:val="24"/>
          <w:lang w:val="en-US" w:eastAsia="zh-CN"/>
        </w:rPr>
        <w:t>加盖公章的证书</w:t>
      </w:r>
      <w:r>
        <w:rPr>
          <w:rFonts w:hint="eastAsia" w:ascii="宋体" w:hAnsi="宋体" w:eastAsia="宋体" w:cs="宋体"/>
          <w:color w:val="000000"/>
          <w:kern w:val="0"/>
          <w:sz w:val="24"/>
          <w:szCs w:val="24"/>
          <w:lang w:eastAsia="zh-CN"/>
        </w:rPr>
        <w:t>证明）</w:t>
      </w:r>
    </w:p>
    <w:p w14:paraId="0964DCC3">
      <w:pPr>
        <w:keepNext w:val="0"/>
        <w:keepLines w:val="0"/>
        <w:pageBreakBefore w:val="0"/>
        <w:numPr>
          <w:ilvl w:val="0"/>
          <w:numId w:val="0"/>
        </w:numPr>
        <w:kinsoku/>
        <w:wordWrap/>
        <w:overflowPunct/>
        <w:topLinePunct w:val="0"/>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b w:val="0"/>
          <w:bCs w:val="0"/>
          <w:color w:val="000000"/>
          <w:sz w:val="24"/>
          <w:szCs w:val="24"/>
        </w:rPr>
        <w:t>★</w:t>
      </w:r>
      <w:r>
        <w:rPr>
          <w:rFonts w:hint="eastAsia" w:ascii="宋体" w:hAnsi="宋体" w:eastAsia="宋体" w:cs="宋体"/>
          <w:b/>
          <w:kern w:val="0"/>
          <w:sz w:val="24"/>
          <w:szCs w:val="24"/>
          <w:lang w:val="en-US" w:eastAsia="zh-CN" w:bidi="ar-SA"/>
        </w:rPr>
        <w:t>三、</w:t>
      </w:r>
      <w:r>
        <w:rPr>
          <w:rFonts w:hint="eastAsia" w:ascii="宋体" w:hAnsi="宋体" w:eastAsia="宋体" w:cs="宋体"/>
          <w:b w:val="0"/>
          <w:bCs w:val="0"/>
          <w:color w:val="000000"/>
          <w:kern w:val="0"/>
          <w:sz w:val="24"/>
          <w:szCs w:val="24"/>
          <w:lang w:val="en-US" w:eastAsia="zh-CN"/>
        </w:rPr>
        <w:t>为确保业务数据的高效双向传输，承诺</w:t>
      </w:r>
      <w:r>
        <w:rPr>
          <w:rFonts w:hint="eastAsia" w:ascii="宋体" w:hAnsi="宋体" w:eastAsia="宋体" w:cs="宋体"/>
          <w:b w:val="0"/>
          <w:bCs w:val="0"/>
          <w:sz w:val="24"/>
          <w:szCs w:val="24"/>
          <w:lang w:val="en-US" w:eastAsia="zh-CN"/>
        </w:rPr>
        <w:t>至少</w:t>
      </w:r>
      <w:r>
        <w:rPr>
          <w:rFonts w:hint="eastAsia" w:ascii="宋体" w:hAnsi="宋体" w:eastAsia="宋体" w:cs="宋体"/>
          <w:b w:val="0"/>
          <w:bCs w:val="0"/>
          <w:color w:val="000000"/>
          <w:kern w:val="0"/>
          <w:sz w:val="24"/>
          <w:szCs w:val="24"/>
          <w:lang w:val="en-US" w:eastAsia="zh-CN"/>
        </w:rPr>
        <w:t>支持与现有HIS和OA系统对接，实现组织架构同步、单点登录及审批流调用，此部分费用已经包含在响应总价中，采购人不再为项目建设与项目建设目标达成支付任何费用。供应商须自行完成所有第三方公司（以采购人根据实际情况最终认定的公司为准）协调工作以满足本项目实施需要。（提供原厂商</w:t>
      </w:r>
      <w:r>
        <w:rPr>
          <w:rFonts w:hint="eastAsia" w:ascii="宋体" w:hAnsi="宋体" w:eastAsia="宋体" w:cs="宋体"/>
          <w:b w:val="0"/>
          <w:bCs w:val="0"/>
          <w:sz w:val="24"/>
          <w:szCs w:val="24"/>
          <w:lang w:val="en-US" w:eastAsia="zh-CN"/>
        </w:rPr>
        <w:t>及供应商</w:t>
      </w:r>
      <w:r>
        <w:rPr>
          <w:rFonts w:hint="eastAsia" w:ascii="宋体" w:hAnsi="宋体" w:eastAsia="宋体" w:cs="宋体"/>
          <w:b w:val="0"/>
          <w:bCs w:val="0"/>
          <w:color w:val="000000"/>
          <w:kern w:val="0"/>
          <w:sz w:val="24"/>
          <w:szCs w:val="24"/>
          <w:lang w:val="en-US" w:eastAsia="zh-CN"/>
        </w:rPr>
        <w:t>加盖公章的承诺函）</w:t>
      </w:r>
    </w:p>
    <w:p w14:paraId="70A2C4C8">
      <w:pPr>
        <w:pStyle w:val="4"/>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四、其他要求</w:t>
      </w:r>
    </w:p>
    <w:p w14:paraId="582A8DCB">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培训要求：</w:t>
      </w:r>
    </w:p>
    <w:p w14:paraId="7E11D7DA">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.1培训：根据采购人需要提供所投产品的安装、维护等技术培训，并提供相应培训的电子文档。</w:t>
      </w:r>
    </w:p>
    <w:p w14:paraId="03FEA4FE">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.2投标人负责对采购人操作人员进行使用等方面的知识和方法培训，直至采购人的操作人员能独立熟练操作为止。</w:t>
      </w:r>
    </w:p>
    <w:p w14:paraId="1F9D0D18">
      <w:pPr>
        <w:pStyle w:val="8"/>
        <w:keepNext w:val="0"/>
        <w:keepLines w:val="0"/>
        <w:pageBreakBefore w:val="0"/>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US" w:eastAsia="zh-CN"/>
        </w:rPr>
        <w:t>售后服务要求：</w:t>
      </w:r>
    </w:p>
    <w:p w14:paraId="25BD229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bCs/>
          <w:color w:val="000000"/>
          <w:sz w:val="24"/>
          <w:szCs w:val="24"/>
        </w:rPr>
        <w:t>★</w:t>
      </w:r>
      <w:r>
        <w:rPr>
          <w:rFonts w:hint="eastAsia" w:eastAsia="宋体" w:cs="宋体"/>
          <w:color w:val="000000"/>
          <w:kern w:val="0"/>
          <w:sz w:val="24"/>
          <w:szCs w:val="24"/>
          <w:lang w:val="en-US" w:eastAsia="zh-CN" w:bidi="ar-SA"/>
        </w:rPr>
        <w:t>2.1</w:t>
      </w:r>
      <w:r>
        <w:rPr>
          <w:rFonts w:hint="eastAsia" w:ascii="宋体" w:hAnsi="宋体" w:eastAsia="宋体" w:cs="宋体"/>
          <w:color w:val="000000"/>
          <w:kern w:val="0"/>
          <w:sz w:val="24"/>
          <w:szCs w:val="24"/>
          <w:lang w:val="en-US" w:eastAsia="zh-CN"/>
        </w:rPr>
        <w:t>需提供本产品原厂出具的3年原厂售后服务承诺函，需明确承诺质保到期后原厂售后服务不得超过总价的10%，病毒库升级不得超过总价得10%</w:t>
      </w:r>
      <w:r>
        <w:rPr>
          <w:rFonts w:hint="eastAsia" w:ascii="宋体" w:hAnsi="宋体" w:eastAsia="宋体" w:cs="宋体"/>
          <w:color w:val="000000"/>
          <w:kern w:val="0"/>
          <w:sz w:val="24"/>
          <w:szCs w:val="24"/>
          <w:lang w:eastAsia="zh-CN"/>
        </w:rPr>
        <w:t>。（提供</w:t>
      </w:r>
      <w:r>
        <w:rPr>
          <w:rFonts w:hint="eastAsia" w:ascii="宋体" w:hAnsi="宋体" w:eastAsia="宋体" w:cs="宋体"/>
          <w:color w:val="000000"/>
          <w:kern w:val="0"/>
          <w:sz w:val="24"/>
          <w:szCs w:val="24"/>
          <w:lang w:val="en-US" w:eastAsia="zh-CN"/>
        </w:rPr>
        <w:t>原厂商</w:t>
      </w:r>
      <w:r>
        <w:rPr>
          <w:rFonts w:hint="eastAsia" w:ascii="宋体" w:hAnsi="宋体" w:eastAsia="宋体" w:cs="宋体"/>
          <w:sz w:val="24"/>
          <w:szCs w:val="24"/>
          <w:lang w:val="en-US" w:eastAsia="zh-CN"/>
        </w:rPr>
        <w:t>及供应商</w:t>
      </w:r>
      <w:r>
        <w:rPr>
          <w:rFonts w:hint="eastAsia" w:ascii="宋体" w:hAnsi="宋体" w:eastAsia="宋体" w:cs="宋体"/>
          <w:color w:val="000000"/>
          <w:kern w:val="0"/>
          <w:sz w:val="24"/>
          <w:szCs w:val="24"/>
          <w:lang w:val="en-US" w:eastAsia="zh-CN"/>
        </w:rPr>
        <w:t>加盖公章的售后服务承诺函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 xml:space="preserve"> </w:t>
      </w:r>
    </w:p>
    <w:p w14:paraId="3C6C4E5E">
      <w:pPr>
        <w:keepNext w:val="0"/>
        <w:keepLines w:val="0"/>
        <w:pageBreakBefore w:val="0"/>
        <w:tabs>
          <w:tab w:val="left" w:pos="420"/>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中标供应商在服务期内必须按照医院要求做好软件系统网络安全保障工作，定期对软件系统进行升级、维护和漏洞修补，及时根据国家及和医院要求升级维护软件系统存在的安全漏洞，确保软件系统不存在网络安全风险，上述费用均包含在投标报价中。</w:t>
      </w:r>
    </w:p>
    <w:p w14:paraId="2C5B9825">
      <w:pPr>
        <w:keepNext w:val="0"/>
        <w:keepLines w:val="0"/>
        <w:pageBreakBefore w:val="0"/>
        <w:tabs>
          <w:tab w:val="left" w:pos="420"/>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2.3质保期内，中标供应商至少需提供7×24小时的电话响应，如软件等软硬件设备出现故障，在采购人发出维修通知后，紧急情况下2小时到场当日解决，换件等特殊情况48小时内解决。</w:t>
      </w:r>
    </w:p>
    <w:p w14:paraId="789EFB2F">
      <w:pPr>
        <w:keepNext w:val="0"/>
        <w:keepLines w:val="0"/>
        <w:pageBreakBefore w:val="0"/>
        <w:tabs>
          <w:tab w:val="left" w:pos="420"/>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★2.4系统对接及集成服务：</w:t>
      </w:r>
    </w:p>
    <w:p w14:paraId="51EC307C">
      <w:pPr>
        <w:keepNext w:val="0"/>
        <w:keepLines w:val="0"/>
        <w:pageBreakBefore w:val="0"/>
        <w:tabs>
          <w:tab w:val="left" w:pos="420"/>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按要求完成项目建设所必需的接口集成，投标人需提供承诺书内容包括但不限于以下接口：</w:t>
      </w:r>
    </w:p>
    <w:p w14:paraId="015AB0F7">
      <w:pPr>
        <w:keepNext w:val="0"/>
        <w:keepLines w:val="0"/>
        <w:pageBreakBefore w:val="0"/>
        <w:tabs>
          <w:tab w:val="left" w:pos="420"/>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（1）需与现有办公OA系统兼容，确保整体系统的可用性。</w:t>
      </w:r>
    </w:p>
    <w:p w14:paraId="334B6B29">
      <w:pPr>
        <w:keepNext w:val="0"/>
        <w:keepLines w:val="0"/>
        <w:pageBreakBefore w:val="0"/>
        <w:tabs>
          <w:tab w:val="left" w:pos="420"/>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（2）完成本项目建设，确保各个子系统的联动性、整体性及可管理性等。</w:t>
      </w:r>
    </w:p>
    <w:p w14:paraId="3D976AF8">
      <w:pPr>
        <w:keepNext w:val="0"/>
        <w:keepLines w:val="0"/>
        <w:pageBreakBefore w:val="0"/>
        <w:tabs>
          <w:tab w:val="left" w:pos="420"/>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（3）完成项目涉及的各个子系统设备及系统的技术培训，使得信息中心运维人员具备初步的配置、运维及故障排查的能力。</w:t>
      </w:r>
    </w:p>
    <w:p w14:paraId="09CF82E3">
      <w:pPr>
        <w:keepNext w:val="0"/>
        <w:keepLines w:val="0"/>
        <w:pageBreakBefore w:val="0"/>
        <w:tabs>
          <w:tab w:val="left" w:pos="420"/>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（4）要求投标人提供总体深化设计方案、部署方案、实施方案等。</w:t>
      </w:r>
    </w:p>
    <w:p w14:paraId="55719D40">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lang w:val="en-US" w:eastAsia="zh-CN"/>
        </w:rPr>
        <w:t>验收标准</w:t>
      </w:r>
      <w:r>
        <w:rPr>
          <w:rFonts w:hint="eastAsia" w:cs="宋体"/>
          <w:sz w:val="24"/>
          <w:szCs w:val="24"/>
          <w:lang w:val="en-US" w:eastAsia="zh-CN"/>
        </w:rPr>
        <w:t>：</w:t>
      </w:r>
    </w:p>
    <w:p w14:paraId="505D98A7">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1成交供应商交付的产品，应符合国家标准、行业标准及本合同约定要求，并能满足采购人的特别要求。</w:t>
      </w:r>
    </w:p>
    <w:p w14:paraId="08DBE534">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验收时间：在产品抵达采购人指定地点后，采购人与成交供应商物流人员和成交供应商负责人现场共同验收，在成交供应商向采购人交付与供应产品相关的有关文件、注册证明、技术资料和有关质量证明并经采购人验收合格后采购人与成交供应商双方验收人员及负责人应在验收单上签字认可。</w:t>
      </w:r>
    </w:p>
    <w:p w14:paraId="7D0EA7D3">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3验收方式：在成交供应商交付产品时，采购人、成交供应商双方指定人员对产品实物外观进行开箱清点、检查验收，如果发现数量不足或在外观验收完成七个工作日内发现有质量、技术等问题，成交供应商应按照采购人的要求，采取补足、更换或退货等处理措施，并承担由此发生的一切损失和费用。</w:t>
      </w:r>
    </w:p>
    <w:p w14:paraId="106C59CF">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如供应的产品须进行安装、调试，则产品到货后，成交供应商应在接到采购人通知后七日内完成产品的安装、调试工作。</w:t>
      </w:r>
    </w:p>
    <w:p w14:paraId="69C41AE3">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5成交供应商负责交付现场的清理打扫及保存所供应产品的外包装箱。</w:t>
      </w:r>
    </w:p>
    <w:p w14:paraId="1A7CB10D">
      <w:pPr>
        <w:widowControl/>
        <w:adjustRightInd w:val="0"/>
        <w:snapToGrid w:val="0"/>
        <w:spacing w:before="120" w:beforeLines="50" w:line="360" w:lineRule="auto"/>
        <w:ind w:firstLine="482" w:firstLineChars="200"/>
        <w:rPr>
          <w:rFonts w:hint="eastAsia"/>
          <w:b/>
          <w:bCs/>
          <w:sz w:val="24"/>
          <w:szCs w:val="24"/>
          <w:highlight w:val="none"/>
          <w:lang w:eastAsia="zh-CN"/>
        </w:rPr>
      </w:pPr>
    </w:p>
    <w:p w14:paraId="62953E1D">
      <w:pPr>
        <w:widowControl/>
        <w:adjustRightInd w:val="0"/>
        <w:snapToGrid w:val="0"/>
        <w:spacing w:before="120" w:beforeLines="50" w:line="360" w:lineRule="auto"/>
        <w:ind w:firstLine="562" w:firstLineChars="200"/>
        <w:jc w:val="center"/>
        <w:outlineLvl w:val="2"/>
        <w:rPr>
          <w:rFonts w:hint="eastAsia"/>
          <w:b/>
          <w:bCs/>
          <w:sz w:val="28"/>
          <w:szCs w:val="28"/>
          <w:highlight w:val="none"/>
          <w:lang w:eastAsia="zh-CN"/>
        </w:rPr>
      </w:pPr>
      <w:r>
        <w:rPr>
          <w:rFonts w:hint="eastAsia"/>
          <w:b/>
          <w:bCs/>
          <w:sz w:val="28"/>
          <w:szCs w:val="28"/>
          <w:highlight w:val="none"/>
          <w:lang w:eastAsia="zh-CN"/>
        </w:rPr>
        <w:t>04</w:t>
      </w:r>
      <w:r>
        <w:rPr>
          <w:rFonts w:hint="eastAsia"/>
          <w:b/>
          <w:bCs/>
          <w:sz w:val="28"/>
          <w:szCs w:val="28"/>
          <w:highlight w:val="none"/>
          <w:lang w:val="en-US" w:eastAsia="zh-CN"/>
        </w:rPr>
        <w:t>包：</w:t>
      </w:r>
      <w:r>
        <w:rPr>
          <w:rFonts w:hint="eastAsia"/>
          <w:b/>
          <w:bCs/>
          <w:sz w:val="28"/>
          <w:szCs w:val="28"/>
          <w:highlight w:val="none"/>
          <w:lang w:eastAsia="zh-CN"/>
        </w:rPr>
        <w:t>防火墙</w:t>
      </w:r>
    </w:p>
    <w:p w14:paraId="7F62D6C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一、项目背景及目标</w:t>
      </w:r>
    </w:p>
    <w:p w14:paraId="70D3CDA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我院现有部分安全设备使用年限较长，功能相对单一,主要承担基础防火墙作用，已无法满足当前多区域复杂业务场景下的访问控制与整体安全防护需求。本项目拟采购高性能防火墙以替换现有老旧设备，旨在实现边界安全防护与访问策略的集中统一管理，并确保原有设备的安全策略及核心业务应用实现平滑、无缝迁移。</w:t>
      </w:r>
    </w:p>
    <w:p w14:paraId="008C949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二、项目需求</w:t>
      </w:r>
    </w:p>
    <w:p w14:paraId="1DC9549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1.功能需求</w:t>
      </w:r>
    </w:p>
    <w:p w14:paraId="593E999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高性能边界安全防护设备（防火墙），需具备多种安全防护功能与稳定的运行性能，集成多层次安全防护能力，能实现网络威胁防御，涵盖应用识别管控、URL分类管控、病毒防护、入侵防御等核心功能，同时支持多种路由协议与VPN智能选路，满足复杂组网与远程接入需求。能够高效应对高并发网络场景，保障各业务系统稳定运行，实现数据快速转发与安全检测的同步进行，兼顾防护效果与网络流畅度，能够适配高频业务需求。具备智能策略管理与可视化运维功能，同时可与其他安全产品联动形成协同防御，适配互联网出口、数据中心边界等多种应用场景，为医院核心资产与业务安全提供可靠保障。   </w:t>
      </w:r>
    </w:p>
    <w:p w14:paraId="33AF708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2.具体需求：</w:t>
      </w:r>
    </w:p>
    <w:p w14:paraId="0B731B2E">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★1.硬件规格：≥2U</w:t>
      </w:r>
      <w:r>
        <w:rPr>
          <w:rFonts w:hint="eastAsia" w:ascii="宋体" w:hAnsi="宋体" w:eastAsia="宋体" w:cs="宋体"/>
          <w:b w:val="0"/>
          <w:bCs/>
          <w:sz w:val="24"/>
          <w:szCs w:val="24"/>
          <w:lang w:eastAsia="zh-CN"/>
        </w:rPr>
        <w:t>机架式设备</w:t>
      </w:r>
      <w:r>
        <w:rPr>
          <w:rFonts w:hint="eastAsia" w:ascii="宋体" w:hAnsi="宋体" w:eastAsia="宋体" w:cs="宋体"/>
          <w:b w:val="0"/>
          <w:bCs/>
          <w:sz w:val="24"/>
          <w:szCs w:val="24"/>
        </w:rPr>
        <w:t>，内存≥16G，硬盘≥128G SSD+480G SSD，冗余电源，≥16千兆电口</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≥6万兆光口SFP+。</w:t>
      </w:r>
      <w:r>
        <w:rPr>
          <w:rFonts w:hint="eastAsia" w:ascii="宋体" w:hAnsi="宋体" w:eastAsia="宋体" w:cs="宋体"/>
          <w:b w:val="0"/>
          <w:bCs/>
          <w:sz w:val="24"/>
          <w:szCs w:val="24"/>
          <w:lang w:val="en-US" w:eastAsia="zh-CN"/>
        </w:rPr>
        <w:t>（提供产品彩页截图或网站宣传页截图证明，并加盖产品厂商公章及供应商公章））</w:t>
      </w:r>
    </w:p>
    <w:p w14:paraId="34286583">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★2.性能要求：网络层吞吐量≥40G，应用层吞吐量≥25G，防病毒吞吐量≥4G，IPS吞吐量≥3.5G，全威胁吞吐量≥2G，并发连接数≥420万，新建连接数≥19万</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（提供证明材料扫描件并加盖投标人公章）</w:t>
      </w:r>
    </w:p>
    <w:p w14:paraId="095987D9">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3.具备</w:t>
      </w:r>
      <w:r>
        <w:rPr>
          <w:rFonts w:hint="eastAsia" w:ascii="宋体" w:hAnsi="宋体" w:eastAsia="宋体" w:cs="宋体"/>
          <w:b w:val="0"/>
          <w:bCs/>
          <w:sz w:val="24"/>
          <w:szCs w:val="24"/>
        </w:rPr>
        <w:t>支持静态路由、策略路由和多播路由协议</w:t>
      </w:r>
      <w:r>
        <w:rPr>
          <w:rFonts w:hint="eastAsia" w:ascii="宋体" w:hAnsi="宋体" w:eastAsia="宋体" w:cs="宋体"/>
          <w:b w:val="0"/>
          <w:bCs/>
          <w:sz w:val="24"/>
          <w:szCs w:val="24"/>
          <w:lang w:val="en-US" w:eastAsia="zh-CN"/>
        </w:rPr>
        <w:t>功能</w:t>
      </w:r>
      <w:r>
        <w:rPr>
          <w:rFonts w:hint="eastAsia" w:ascii="宋体" w:hAnsi="宋体" w:eastAsia="宋体" w:cs="宋体"/>
          <w:b w:val="0"/>
          <w:bCs/>
          <w:sz w:val="24"/>
          <w:szCs w:val="24"/>
        </w:rPr>
        <w:t>，并支持BGP、RIP、OSPF等动态路由协议</w:t>
      </w:r>
      <w:r>
        <w:rPr>
          <w:rFonts w:hint="eastAsia" w:ascii="宋体" w:hAnsi="宋体" w:eastAsia="宋体" w:cs="宋体"/>
          <w:b w:val="0"/>
          <w:bCs/>
          <w:sz w:val="24"/>
          <w:szCs w:val="24"/>
          <w:lang w:val="en-US" w:eastAsia="zh-CN"/>
        </w:rPr>
        <w:t>功能</w:t>
      </w:r>
      <w:r>
        <w:rPr>
          <w:rFonts w:hint="eastAsia" w:ascii="宋体" w:hAnsi="宋体" w:eastAsia="宋体" w:cs="宋体"/>
          <w:b w:val="0"/>
          <w:bCs/>
          <w:sz w:val="24"/>
          <w:szCs w:val="24"/>
        </w:rPr>
        <w:t>。</w:t>
      </w:r>
    </w:p>
    <w:p w14:paraId="755571C5">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4.具备</w:t>
      </w:r>
      <w:r>
        <w:rPr>
          <w:rFonts w:hint="eastAsia" w:ascii="宋体" w:hAnsi="宋体" w:eastAsia="宋体" w:cs="宋体"/>
          <w:b w:val="0"/>
          <w:bCs/>
          <w:sz w:val="24"/>
          <w:szCs w:val="24"/>
        </w:rPr>
        <w:t>基于网络区域、网络对象、MAC地址、服务、应用、域名等维度进行访问控制策略设置</w:t>
      </w:r>
      <w:r>
        <w:rPr>
          <w:rFonts w:hint="eastAsia" w:ascii="宋体" w:hAnsi="宋体" w:eastAsia="宋体" w:cs="宋体"/>
          <w:b w:val="0"/>
          <w:bCs/>
          <w:sz w:val="24"/>
          <w:szCs w:val="24"/>
          <w:lang w:val="en-US" w:eastAsia="zh-CN"/>
        </w:rPr>
        <w:t>功能</w:t>
      </w:r>
      <w:r>
        <w:rPr>
          <w:rFonts w:hint="eastAsia" w:ascii="宋体" w:hAnsi="宋体" w:eastAsia="宋体" w:cs="宋体"/>
          <w:b w:val="0"/>
          <w:bCs/>
          <w:sz w:val="24"/>
          <w:szCs w:val="24"/>
        </w:rPr>
        <w:t>。</w:t>
      </w:r>
    </w:p>
    <w:p w14:paraId="1B7FE060">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5.具备</w:t>
      </w:r>
      <w:r>
        <w:rPr>
          <w:rFonts w:hint="eastAsia" w:ascii="宋体" w:hAnsi="宋体" w:eastAsia="宋体" w:cs="宋体"/>
          <w:b w:val="0"/>
          <w:bCs/>
          <w:sz w:val="24"/>
          <w:szCs w:val="24"/>
        </w:rPr>
        <w:t>不少于9000种应用的识别和控制</w:t>
      </w:r>
      <w:r>
        <w:rPr>
          <w:rFonts w:hint="eastAsia" w:ascii="宋体" w:hAnsi="宋体" w:eastAsia="宋体" w:cs="宋体"/>
          <w:b w:val="0"/>
          <w:bCs/>
          <w:sz w:val="24"/>
          <w:szCs w:val="24"/>
          <w:lang w:val="en-US" w:eastAsia="zh-CN"/>
        </w:rPr>
        <w:t>功能</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包括游戏、购物、图书百科、工作招聘、P2P下载、聊天工具等类型。</w:t>
      </w:r>
    </w:p>
    <w:p w14:paraId="7B39BCD1">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产品具备URL分类库，</w:t>
      </w:r>
      <w:r>
        <w:rPr>
          <w:rFonts w:hint="eastAsia" w:ascii="宋体" w:hAnsi="宋体" w:eastAsia="宋体" w:cs="宋体"/>
          <w:b w:val="0"/>
          <w:bCs/>
          <w:sz w:val="24"/>
          <w:szCs w:val="24"/>
          <w:lang w:val="en-US" w:eastAsia="zh-CN"/>
        </w:rPr>
        <w:t>并</w:t>
      </w:r>
      <w:r>
        <w:rPr>
          <w:rFonts w:hint="eastAsia" w:ascii="宋体" w:hAnsi="宋体" w:eastAsia="宋体" w:cs="宋体"/>
          <w:b w:val="0"/>
          <w:bCs/>
          <w:sz w:val="24"/>
          <w:szCs w:val="24"/>
        </w:rPr>
        <w:t>支持管控非法、违规网站的访问行为。</w:t>
      </w:r>
    </w:p>
    <w:p w14:paraId="2171685E">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7.具备</w:t>
      </w:r>
      <w:r>
        <w:rPr>
          <w:rFonts w:hint="eastAsia" w:ascii="宋体" w:hAnsi="宋体" w:eastAsia="宋体" w:cs="宋体"/>
          <w:b w:val="0"/>
          <w:bCs/>
          <w:sz w:val="24"/>
          <w:szCs w:val="24"/>
        </w:rPr>
        <w:t>独立的账号安全防护模块，具备事前账号脆弱性、事中账号爆破、事后账号失陷的全生命周期安全防护。</w:t>
      </w:r>
      <w:r>
        <w:rPr>
          <w:rFonts w:hint="eastAsia" w:ascii="宋体" w:hAnsi="宋体" w:eastAsia="宋体" w:cs="宋体"/>
          <w:b w:val="0"/>
          <w:bCs/>
          <w:sz w:val="24"/>
          <w:szCs w:val="24"/>
          <w:lang w:val="en-US" w:eastAsia="zh-CN"/>
        </w:rPr>
        <w:t>（提供证明材料扫描件并加盖投标人公章和厂商公章）</w:t>
      </w:r>
    </w:p>
    <w:p w14:paraId="4F213604">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8.具备</w:t>
      </w:r>
      <w:r>
        <w:rPr>
          <w:rFonts w:hint="eastAsia" w:ascii="宋体" w:hAnsi="宋体" w:eastAsia="宋体" w:cs="宋体"/>
          <w:b w:val="0"/>
          <w:bCs/>
          <w:sz w:val="24"/>
          <w:szCs w:val="24"/>
        </w:rPr>
        <w:t>对ICMP、UDP、DNS、SYN等协议进行DDOS防护</w:t>
      </w:r>
      <w:r>
        <w:rPr>
          <w:rFonts w:hint="eastAsia" w:ascii="宋体" w:hAnsi="宋体" w:eastAsia="宋体" w:cs="宋体"/>
          <w:b w:val="0"/>
          <w:bCs/>
          <w:sz w:val="24"/>
          <w:szCs w:val="24"/>
          <w:lang w:val="en-US" w:eastAsia="zh-CN"/>
        </w:rPr>
        <w:t>功能</w:t>
      </w:r>
      <w:r>
        <w:rPr>
          <w:rFonts w:hint="eastAsia" w:ascii="宋体" w:hAnsi="宋体" w:eastAsia="宋体" w:cs="宋体"/>
          <w:b w:val="0"/>
          <w:bCs/>
          <w:sz w:val="24"/>
          <w:szCs w:val="24"/>
        </w:rPr>
        <w:t>。</w:t>
      </w:r>
    </w:p>
    <w:p w14:paraId="61FC6CEC">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9.具备</w:t>
      </w:r>
      <w:r>
        <w:rPr>
          <w:rFonts w:hint="eastAsia" w:ascii="宋体" w:hAnsi="宋体" w:eastAsia="宋体" w:cs="宋体"/>
          <w:b w:val="0"/>
          <w:bCs/>
          <w:sz w:val="24"/>
          <w:szCs w:val="24"/>
        </w:rPr>
        <w:t>独立的勒索病毒防护功能，</w:t>
      </w:r>
      <w:r>
        <w:rPr>
          <w:rFonts w:hint="eastAsia" w:ascii="宋体" w:hAnsi="宋体" w:eastAsia="宋体" w:cs="宋体"/>
          <w:b w:val="0"/>
          <w:bCs/>
          <w:sz w:val="24"/>
          <w:szCs w:val="24"/>
          <w:lang w:val="en-US" w:eastAsia="zh-CN"/>
        </w:rPr>
        <w:t>具备</w:t>
      </w:r>
      <w:r>
        <w:rPr>
          <w:rFonts w:hint="eastAsia" w:ascii="宋体" w:hAnsi="宋体" w:eastAsia="宋体" w:cs="宋体"/>
          <w:b w:val="0"/>
          <w:bCs/>
          <w:sz w:val="24"/>
          <w:szCs w:val="24"/>
        </w:rPr>
        <w:t>进行勒索风险自动化评估，并依据评估结果自动生成防护策略。</w:t>
      </w:r>
      <w:r>
        <w:rPr>
          <w:rFonts w:hint="eastAsia" w:ascii="宋体" w:hAnsi="宋体" w:eastAsia="宋体" w:cs="宋体"/>
          <w:b w:val="0"/>
          <w:bCs/>
          <w:sz w:val="24"/>
          <w:szCs w:val="24"/>
          <w:lang w:val="en-US" w:eastAsia="zh-CN"/>
        </w:rPr>
        <w:t>（提供证明材料扫描件并加盖投标人公章和厂商公章）</w:t>
      </w:r>
    </w:p>
    <w:p w14:paraId="7BF43D03">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10.具备</w:t>
      </w:r>
      <w:r>
        <w:rPr>
          <w:rFonts w:hint="eastAsia" w:ascii="宋体" w:hAnsi="宋体" w:eastAsia="宋体" w:cs="宋体"/>
          <w:b w:val="0"/>
          <w:bCs/>
          <w:sz w:val="24"/>
          <w:szCs w:val="24"/>
        </w:rPr>
        <w:t>对Teardrop攻击、Smurf攻击、Land攻击等异常数据包的检测和防御</w:t>
      </w:r>
      <w:r>
        <w:rPr>
          <w:rFonts w:hint="eastAsia" w:ascii="宋体" w:hAnsi="宋体" w:eastAsia="宋体" w:cs="宋体"/>
          <w:b w:val="0"/>
          <w:bCs/>
          <w:sz w:val="24"/>
          <w:szCs w:val="24"/>
          <w:lang w:val="en-US" w:eastAsia="zh-CN"/>
        </w:rPr>
        <w:t>功能</w:t>
      </w:r>
      <w:r>
        <w:rPr>
          <w:rFonts w:hint="eastAsia" w:ascii="宋体" w:hAnsi="宋体" w:eastAsia="宋体" w:cs="宋体"/>
          <w:b w:val="0"/>
          <w:bCs/>
          <w:sz w:val="24"/>
          <w:szCs w:val="24"/>
        </w:rPr>
        <w:t>。</w:t>
      </w:r>
    </w:p>
    <w:p w14:paraId="050A56CA">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11.具备</w:t>
      </w:r>
      <w:r>
        <w:rPr>
          <w:rFonts w:hint="eastAsia" w:ascii="宋体" w:hAnsi="宋体" w:eastAsia="宋体" w:cs="宋体"/>
          <w:b w:val="0"/>
          <w:bCs/>
          <w:sz w:val="24"/>
          <w:szCs w:val="24"/>
        </w:rPr>
        <w:t>首包拦截技术，</w:t>
      </w:r>
      <w:r>
        <w:rPr>
          <w:rFonts w:hint="eastAsia" w:ascii="宋体" w:hAnsi="宋体" w:eastAsia="宋体" w:cs="宋体"/>
          <w:b w:val="0"/>
          <w:bCs/>
          <w:sz w:val="24"/>
          <w:szCs w:val="24"/>
          <w:lang w:val="en-US" w:eastAsia="zh-CN"/>
        </w:rPr>
        <w:t>能够</w:t>
      </w:r>
      <w:r>
        <w:rPr>
          <w:rFonts w:hint="eastAsia" w:ascii="宋体" w:hAnsi="宋体" w:eastAsia="宋体" w:cs="宋体"/>
          <w:b w:val="0"/>
          <w:bCs/>
          <w:sz w:val="24"/>
          <w:szCs w:val="24"/>
        </w:rPr>
        <w:t>通过全球</w:t>
      </w:r>
      <w:r>
        <w:rPr>
          <w:rFonts w:hint="eastAsia" w:ascii="宋体" w:hAnsi="宋体" w:eastAsia="宋体" w:cs="宋体"/>
          <w:b w:val="0"/>
          <w:bCs/>
          <w:sz w:val="24"/>
          <w:szCs w:val="24"/>
          <w:lang w:eastAsia="zh-CN"/>
        </w:rPr>
        <w:t>不少于</w:t>
      </w:r>
      <w:r>
        <w:rPr>
          <w:rFonts w:hint="eastAsia" w:ascii="宋体" w:hAnsi="宋体" w:eastAsia="宋体" w:cs="宋体"/>
          <w:b w:val="0"/>
          <w:bCs/>
          <w:sz w:val="24"/>
          <w:szCs w:val="24"/>
        </w:rPr>
        <w:t>30+pop节点，实现对威胁流量就近进行实时检测&amp;拦截，实现失陷外联实时阻断。</w:t>
      </w:r>
      <w:r>
        <w:rPr>
          <w:rFonts w:hint="eastAsia" w:ascii="宋体" w:hAnsi="宋体" w:eastAsia="宋体" w:cs="宋体"/>
          <w:b w:val="0"/>
          <w:bCs/>
          <w:sz w:val="24"/>
          <w:szCs w:val="24"/>
          <w:lang w:val="en-US" w:eastAsia="zh-CN"/>
        </w:rPr>
        <w:t>（提供证明材料扫描件并加盖投标人公章和厂商公章）</w:t>
      </w:r>
    </w:p>
    <w:p w14:paraId="17057F53">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12.具备</w:t>
      </w:r>
      <w:r>
        <w:rPr>
          <w:rFonts w:hint="eastAsia" w:ascii="宋体" w:hAnsi="宋体" w:eastAsia="宋体" w:cs="宋体"/>
          <w:b w:val="0"/>
          <w:bCs/>
          <w:sz w:val="24"/>
          <w:szCs w:val="24"/>
        </w:rPr>
        <w:t>IPSec VPN智能选路功能，根据线路质量和应用实现自动链路切换选路模式，</w:t>
      </w:r>
      <w:r>
        <w:rPr>
          <w:rFonts w:hint="eastAsia" w:ascii="宋体" w:hAnsi="宋体" w:eastAsia="宋体" w:cs="宋体"/>
          <w:b w:val="0"/>
          <w:bCs/>
          <w:sz w:val="24"/>
          <w:szCs w:val="24"/>
          <w:lang w:val="en-US" w:eastAsia="zh-CN"/>
        </w:rPr>
        <w:t>具备</w:t>
      </w:r>
      <w:r>
        <w:rPr>
          <w:rFonts w:hint="eastAsia" w:ascii="宋体" w:hAnsi="宋体" w:eastAsia="宋体" w:cs="宋体"/>
          <w:b w:val="0"/>
          <w:bCs/>
          <w:sz w:val="24"/>
          <w:szCs w:val="24"/>
        </w:rPr>
        <w:t>智能负载、按指定顺序选路，优先使用质量最优的线路或按剩余带宽比例负载。</w:t>
      </w:r>
    </w:p>
    <w:p w14:paraId="6BCBBB47">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内置不低于16000种漏洞规则，具备在控制台界面通过漏洞ID、漏洞名称、危险等级、漏洞CVE标识、漏洞描述等条件查询漏洞特征信息，支持用户自定义IPS规则。（提供证明材料扫描件并加盖投标人公章和厂商公章）</w:t>
      </w:r>
    </w:p>
    <w:p w14:paraId="360AE1EA">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14.具备基于IMAP、FTP、RDP、VNC、SSH、TELNET、ORACLE、MYSQL、MSSQL等应用协议进行深度检测与防护功能。</w:t>
      </w:r>
    </w:p>
    <w:p w14:paraId="27D4F202">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15.具备对压缩病毒文件进行检测和拦截功能，压缩层数支持15层及以上。</w:t>
      </w:r>
    </w:p>
    <w:p w14:paraId="4C4AFE84">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16.具备僵尸主机检测功能，内置僵尸网络特征库超过128万种，可识别主机的异常外联行为。</w:t>
      </w:r>
    </w:p>
    <w:p w14:paraId="6F4A0153">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17.具备安全策略有效性分析功能，分析内容至少包括策略冗余分析、策略匹配分析、风险端口风险等内容，提供安全策略优化建议。</w:t>
      </w:r>
    </w:p>
    <w:p w14:paraId="5461FF65">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#18.具备策略生命周期管理功能，对安全策略修改的时间、原因、变更类型进行统一管理，便于策略的运维与管理。（提供证明材料扫描件并加盖投标人公章和厂商公章）</w:t>
      </w:r>
    </w:p>
    <w:p w14:paraId="207C2A89">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19.当主机故障时，双机切换时不丢包，并可实现双机部署下升级不断网。</w:t>
      </w:r>
    </w:p>
    <w:p w14:paraId="78D4D4BE">
      <w:pPr>
        <w:keepNext w:val="0"/>
        <w:keepLines w:val="0"/>
        <w:pageBreakBefore w:val="0"/>
        <w:widowControl w:val="0"/>
        <w:kinsoku/>
        <w:wordWrap/>
        <w:overflowPunct/>
        <w:topLinePunct w:val="0"/>
        <w:autoSpaceDE/>
        <w:autoSpaceDN/>
        <w:bidi w:val="0"/>
        <w:adjustRightInd/>
        <w:snapToGrid/>
        <w:spacing w:line="360" w:lineRule="auto"/>
        <w:ind w:firstLine="424" w:firstLineChars="177"/>
        <w:contextualSpacing/>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cs="宋体"/>
          <w:b w:val="0"/>
          <w:bCs/>
          <w:sz w:val="24"/>
          <w:szCs w:val="24"/>
          <w:lang w:val="en-US" w:eastAsia="zh-CN"/>
        </w:rPr>
        <w:t>0.</w:t>
      </w:r>
      <w:r>
        <w:rPr>
          <w:rFonts w:hint="eastAsia" w:ascii="宋体" w:hAnsi="宋体" w:eastAsia="宋体" w:cs="宋体"/>
          <w:b w:val="0"/>
          <w:bCs/>
          <w:sz w:val="24"/>
          <w:szCs w:val="24"/>
          <w:lang w:val="en-US" w:eastAsia="zh-CN"/>
        </w:rPr>
        <w:t>为保障技术标准先进性，要求所投</w:t>
      </w:r>
      <w:r>
        <w:rPr>
          <w:rFonts w:ascii="宋体" w:hAnsi="宋体" w:eastAsia="宋体" w:cs="宋体"/>
          <w:sz w:val="24"/>
          <w:szCs w:val="24"/>
        </w:rPr>
        <w:t>产品符合《信息安全技术 第二代防火墙安全技术要求》（GB/T 39064-2020）。</w:t>
      </w:r>
      <w:r>
        <w:rPr>
          <w:rFonts w:hint="eastAsia" w:ascii="宋体" w:hAnsi="宋体" w:eastAsia="宋体" w:cs="宋体"/>
          <w:b w:val="0"/>
          <w:bCs/>
          <w:sz w:val="24"/>
          <w:szCs w:val="24"/>
          <w:lang w:val="en-US" w:eastAsia="zh-CN"/>
        </w:rPr>
        <w:t>（提供证明材料扫描件并加盖投标人公章和厂商公章）</w:t>
      </w:r>
    </w:p>
    <w:p w14:paraId="3C34A1E0">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default" w:eastAsia="宋体"/>
          <w:b/>
          <w:bCs/>
          <w:sz w:val="24"/>
          <w:szCs w:val="24"/>
          <w:highlight w:val="none"/>
          <w:lang w:val="en-US"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2</w:t>
      </w:r>
      <w:r>
        <w:rPr>
          <w:rFonts w:hint="eastAsia" w:cs="宋体"/>
          <w:b w:val="0"/>
          <w:bCs/>
          <w:sz w:val="24"/>
          <w:szCs w:val="24"/>
          <w:lang w:val="en-US" w:eastAsia="zh-CN"/>
        </w:rPr>
        <w:t>1.</w:t>
      </w:r>
      <w:r>
        <w:rPr>
          <w:rFonts w:hint="eastAsia" w:ascii="宋体" w:hAnsi="宋体" w:eastAsia="宋体" w:cs="宋体"/>
          <w:b w:val="0"/>
          <w:bCs/>
          <w:sz w:val="24"/>
          <w:szCs w:val="24"/>
        </w:rPr>
        <w:t>质保期：提供≥3年原厂质保服务。（提供承诺书并加盖</w:t>
      </w:r>
      <w:r>
        <w:rPr>
          <w:rFonts w:hint="eastAsia" w:ascii="宋体" w:hAnsi="宋体" w:eastAsia="宋体" w:cs="宋体"/>
          <w:b w:val="0"/>
          <w:bCs/>
          <w:sz w:val="24"/>
          <w:szCs w:val="24"/>
          <w:lang w:val="en-US" w:eastAsia="zh-CN"/>
        </w:rPr>
        <w:t>原厂和投标人公章</w:t>
      </w:r>
      <w:r>
        <w:rPr>
          <w:rFonts w:hint="eastAsia" w:ascii="宋体" w:hAnsi="宋体" w:eastAsia="宋体" w:cs="宋体"/>
          <w:b w:val="0"/>
          <w:bCs/>
          <w:sz w:val="24"/>
          <w:szCs w:val="24"/>
        </w:rPr>
        <w:t>）</w:t>
      </w:r>
    </w:p>
    <w:p w14:paraId="36E7129D">
      <w:pPr>
        <w:widowControl/>
        <w:adjustRightInd w:val="0"/>
        <w:snapToGrid w:val="0"/>
        <w:spacing w:before="120" w:beforeLines="50" w:line="360" w:lineRule="auto"/>
        <w:ind w:firstLine="482" w:firstLineChars="200"/>
        <w:rPr>
          <w:rFonts w:hint="eastAsia"/>
          <w:b/>
          <w:bCs/>
          <w:sz w:val="24"/>
          <w:szCs w:val="24"/>
          <w:highlight w:val="none"/>
          <w:lang w:eastAsia="zh-CN"/>
        </w:rPr>
      </w:pPr>
    </w:p>
    <w:p w14:paraId="02709D5B">
      <w:pPr>
        <w:widowControl/>
        <w:adjustRightInd w:val="0"/>
        <w:snapToGrid w:val="0"/>
        <w:spacing w:before="120" w:beforeLines="50" w:line="360" w:lineRule="auto"/>
        <w:ind w:firstLine="562" w:firstLineChars="200"/>
        <w:jc w:val="center"/>
        <w:outlineLvl w:val="2"/>
        <w:rPr>
          <w:rFonts w:hint="eastAsia"/>
          <w:b/>
          <w:bCs/>
          <w:sz w:val="28"/>
          <w:szCs w:val="28"/>
          <w:highlight w:val="none"/>
          <w:lang w:eastAsia="zh-CN"/>
        </w:rPr>
      </w:pPr>
      <w:r>
        <w:rPr>
          <w:rFonts w:hint="eastAsia"/>
          <w:b/>
          <w:bCs/>
          <w:sz w:val="28"/>
          <w:szCs w:val="28"/>
          <w:highlight w:val="none"/>
          <w:lang w:eastAsia="zh-CN"/>
        </w:rPr>
        <w:t>05</w:t>
      </w:r>
      <w:r>
        <w:rPr>
          <w:rFonts w:hint="eastAsia"/>
          <w:b/>
          <w:bCs/>
          <w:sz w:val="28"/>
          <w:szCs w:val="28"/>
          <w:highlight w:val="none"/>
          <w:lang w:val="en-US" w:eastAsia="zh-CN"/>
        </w:rPr>
        <w:t>包：</w:t>
      </w:r>
      <w:r>
        <w:rPr>
          <w:rFonts w:hint="eastAsia"/>
          <w:b/>
          <w:bCs/>
          <w:sz w:val="28"/>
          <w:szCs w:val="28"/>
          <w:highlight w:val="none"/>
          <w:lang w:eastAsia="zh-CN"/>
        </w:rPr>
        <w:t>威胁防御系统</w:t>
      </w:r>
    </w:p>
    <w:p w14:paraId="46051493">
      <w:pPr>
        <w:keepNext w:val="0"/>
        <w:keepLines w:val="0"/>
        <w:pageBreakBefore w:val="0"/>
        <w:numPr>
          <w:ilvl w:val="0"/>
          <w:numId w:val="0"/>
        </w:numPr>
        <w:kinsoku/>
        <w:wordWrap/>
        <w:overflowPunct/>
        <w:topLinePunct w:val="0"/>
        <w:bidi w:val="0"/>
        <w:adjustRightInd/>
        <w:snapToGrid/>
        <w:spacing w:line="360" w:lineRule="auto"/>
        <w:ind w:left="-420" w:leftChars="0" w:firstLine="562" w:firstLineChars="200"/>
        <w:jc w:val="left"/>
        <w:textAlignment w:val="auto"/>
        <w:outlineLvl w:val="0"/>
        <w:rPr>
          <w:rFonts w:hint="eastAsia" w:ascii="宋体" w:hAnsi="宋体" w:eastAsia="宋体" w:cs="宋体"/>
          <w:sz w:val="28"/>
          <w:szCs w:val="28"/>
        </w:rPr>
      </w:pPr>
      <w:r>
        <w:rPr>
          <w:rFonts w:hint="eastAsia" w:ascii="宋体" w:hAnsi="宋体" w:eastAsia="宋体" w:cs="宋体"/>
          <w:b/>
          <w:bCs/>
          <w:kern w:val="2"/>
          <w:sz w:val="28"/>
          <w:szCs w:val="28"/>
          <w:lang w:val="en-US" w:eastAsia="zh-CN" w:bidi="ar-SA"/>
        </w:rPr>
        <w:t>一、</w:t>
      </w:r>
      <w:r>
        <w:rPr>
          <w:rFonts w:hint="eastAsia" w:ascii="宋体" w:hAnsi="宋体" w:cs="宋体"/>
          <w:b/>
          <w:sz w:val="28"/>
          <w:szCs w:val="28"/>
          <w:lang w:val="en-US" w:eastAsia="zh-CN"/>
        </w:rPr>
        <w:t>项目总体情况</w:t>
      </w:r>
    </w:p>
    <w:p w14:paraId="69238002">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color="auto" w:fill="FFFFFF"/>
        </w:rPr>
        <w:t>随着数字化技术与医疗业务的深度融合，我院网络信息系统面临的网络安全形势日趋严峻复杂。为保障医疗业务连续性与患者数据安全，亟需构建更高层级、更加精准的网络安全防护能力。具体需求背景如下：</w:t>
      </w:r>
    </w:p>
    <w:p w14:paraId="1BB7BA0A">
      <w:pPr>
        <w:pStyle w:val="7"/>
        <w:keepNext w:val="0"/>
        <w:keepLines w:val="0"/>
        <w:pageBreakBefore w:val="0"/>
        <w:widowControl/>
        <w:numPr>
          <w:ilvl w:val="0"/>
          <w:numId w:val="2"/>
        </w:numPr>
        <w:suppressLineNumbers w:val="0"/>
        <w:shd w:val="clear" w:color="auto" w:fill="FFFFFF"/>
        <w:kinsoku/>
        <w:wordWrap/>
        <w:overflowPunct/>
        <w:topLinePunct w:val="0"/>
        <w:bidi w:val="0"/>
        <w:adjustRightInd/>
        <w:snapToGrid/>
        <w:spacing w:beforeAutospacing="0" w:afterAutospacing="0" w:line="360" w:lineRule="auto"/>
        <w:ind w:left="0" w:right="0" w:firstLine="482" w:firstLineChars="200"/>
        <w:textAlignment w:val="auto"/>
        <w:rPr>
          <w:rStyle w:val="11"/>
          <w:rFonts w:hint="eastAsia" w:ascii="宋体" w:hAnsi="宋体" w:eastAsia="宋体" w:cs="宋体"/>
          <w:b/>
          <w:bCs/>
          <w:i w:val="0"/>
          <w:iCs w:val="0"/>
          <w:caps w:val="0"/>
          <w:color w:val="0F1115"/>
          <w:spacing w:val="0"/>
          <w:sz w:val="24"/>
          <w:szCs w:val="24"/>
          <w:shd w:val="clear" w:color="auto" w:fill="FFFFFF"/>
        </w:rPr>
      </w:pPr>
      <w:r>
        <w:rPr>
          <w:rStyle w:val="11"/>
          <w:rFonts w:hint="eastAsia" w:ascii="宋体" w:hAnsi="宋体" w:eastAsia="宋体" w:cs="宋体"/>
          <w:b/>
          <w:bCs/>
          <w:i w:val="0"/>
          <w:iCs w:val="0"/>
          <w:caps w:val="0"/>
          <w:color w:val="0F1115"/>
          <w:spacing w:val="0"/>
          <w:sz w:val="24"/>
          <w:szCs w:val="24"/>
          <w:shd w:val="clear" w:color="auto" w:fill="FFFFFF"/>
        </w:rPr>
        <w:t>、强化新型网络威胁精准防控的需求</w:t>
      </w:r>
    </w:p>
    <w:p w14:paraId="3E2AD96E">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480" w:firstLineChars="200"/>
        <w:textAlignment w:val="auto"/>
        <w:rPr>
          <w:rStyle w:val="11"/>
          <w:rFonts w:hint="eastAsia" w:ascii="宋体" w:hAnsi="宋体" w:eastAsia="宋体" w:cs="宋体"/>
          <w:b/>
          <w:bCs/>
          <w:i w:val="0"/>
          <w:iCs w:val="0"/>
          <w:caps w:val="0"/>
          <w:color w:val="0F1115"/>
          <w:spacing w:val="0"/>
          <w:sz w:val="24"/>
          <w:szCs w:val="24"/>
          <w:shd w:val="clear" w:color="auto" w:fill="FFFFFF"/>
        </w:rPr>
      </w:pPr>
      <w:r>
        <w:rPr>
          <w:rFonts w:hint="eastAsia" w:ascii="宋体" w:hAnsi="宋体" w:eastAsia="宋体" w:cs="宋体"/>
          <w:i w:val="0"/>
          <w:iCs w:val="0"/>
          <w:caps w:val="0"/>
          <w:color w:val="0F1115"/>
          <w:spacing w:val="0"/>
          <w:sz w:val="24"/>
          <w:szCs w:val="24"/>
          <w:shd w:val="clear" w:color="auto" w:fill="FFFFFF"/>
        </w:rPr>
        <w:t>网络攻击手段正呈现定向化、智能化、新型化的发展态势。针对医疗行业的定向钓鱼、新型勒索病毒试探、精准端口扫描等攻击事件频发。为有效应对这一挑战，亟需引入具备实时威胁情报同步能力的威胁防御系统，实现对恶意IP、恶意域名及攻击流量的精准识别与自动阻断，全面提升网络安全防控的时效性与精准度。</w:t>
      </w:r>
      <w:r>
        <w:rPr>
          <w:rFonts w:hint="eastAsia" w:ascii="宋体" w:hAnsi="宋体" w:eastAsia="宋体" w:cs="宋体"/>
          <w:i w:val="0"/>
          <w:iCs w:val="0"/>
          <w:caps w:val="0"/>
          <w:color w:val="0F1115"/>
          <w:spacing w:val="0"/>
          <w:sz w:val="24"/>
          <w:szCs w:val="24"/>
          <w:shd w:val="clear" w:color="auto" w:fill="FFFFFF"/>
        </w:rPr>
        <w:br w:type="textWrapping"/>
      </w:r>
      <w:r>
        <w:rPr>
          <w:rStyle w:val="11"/>
          <w:rFonts w:hint="eastAsia" w:ascii="宋体" w:hAnsi="宋体" w:eastAsia="宋体" w:cs="宋体"/>
          <w:b/>
          <w:bCs/>
          <w:i w:val="0"/>
          <w:iCs w:val="0"/>
          <w:caps w:val="0"/>
          <w:color w:val="0F1115"/>
          <w:spacing w:val="0"/>
          <w:sz w:val="24"/>
          <w:szCs w:val="24"/>
          <w:shd w:val="clear" w:color="auto" w:fill="FFFFFF"/>
          <w:lang w:eastAsia="zh-CN"/>
        </w:rPr>
        <w:t>（</w:t>
      </w:r>
      <w:r>
        <w:rPr>
          <w:rStyle w:val="11"/>
          <w:rFonts w:hint="eastAsia" w:ascii="宋体" w:hAnsi="宋体" w:eastAsia="宋体" w:cs="宋体"/>
          <w:b/>
          <w:bCs/>
          <w:i w:val="0"/>
          <w:iCs w:val="0"/>
          <w:caps w:val="0"/>
          <w:color w:val="0F1115"/>
          <w:spacing w:val="0"/>
          <w:sz w:val="24"/>
          <w:szCs w:val="24"/>
          <w:shd w:val="clear" w:color="auto" w:fill="FFFFFF"/>
        </w:rPr>
        <w:t>二</w:t>
      </w:r>
      <w:r>
        <w:rPr>
          <w:rStyle w:val="11"/>
          <w:rFonts w:hint="eastAsia" w:ascii="宋体" w:hAnsi="宋体" w:eastAsia="宋体" w:cs="宋体"/>
          <w:b/>
          <w:bCs/>
          <w:i w:val="0"/>
          <w:iCs w:val="0"/>
          <w:caps w:val="0"/>
          <w:color w:val="0F1115"/>
          <w:spacing w:val="0"/>
          <w:sz w:val="24"/>
          <w:szCs w:val="24"/>
          <w:shd w:val="clear" w:color="auto" w:fill="FFFFFF"/>
          <w:lang w:eastAsia="zh-CN"/>
        </w:rPr>
        <w:t>）</w:t>
      </w:r>
      <w:r>
        <w:rPr>
          <w:rStyle w:val="11"/>
          <w:rFonts w:hint="eastAsia" w:ascii="宋体" w:hAnsi="宋体" w:eastAsia="宋体" w:cs="宋体"/>
          <w:b/>
          <w:bCs/>
          <w:i w:val="0"/>
          <w:iCs w:val="0"/>
          <w:caps w:val="0"/>
          <w:color w:val="0F1115"/>
          <w:spacing w:val="0"/>
          <w:sz w:val="24"/>
          <w:szCs w:val="24"/>
          <w:shd w:val="clear" w:color="auto" w:fill="FFFFFF"/>
        </w:rPr>
        <w:t>、强化敏感数据防护与关键业务保障的需求</w:t>
      </w:r>
    </w:p>
    <w:p w14:paraId="1A187B0C">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i w:val="0"/>
          <w:iCs w:val="0"/>
          <w:caps w:val="0"/>
          <w:color w:val="0F1115"/>
          <w:spacing w:val="0"/>
          <w:sz w:val="24"/>
          <w:szCs w:val="24"/>
          <w:shd w:val="clear" w:color="auto" w:fill="FFFFFF"/>
          <w:lang w:eastAsia="zh-CN"/>
        </w:rPr>
      </w:pPr>
      <w:r>
        <w:rPr>
          <w:rFonts w:hint="eastAsia" w:ascii="宋体" w:hAnsi="宋体" w:eastAsia="宋体" w:cs="宋体"/>
          <w:i w:val="0"/>
          <w:iCs w:val="0"/>
          <w:caps w:val="0"/>
          <w:color w:val="0F1115"/>
          <w:spacing w:val="0"/>
          <w:sz w:val="24"/>
          <w:szCs w:val="24"/>
          <w:shd w:val="clear" w:color="auto" w:fill="FFFFFF"/>
        </w:rPr>
        <w:t>我院核心业务系统承载大量个人敏感信息，隐私属性突出、保护要求严格，一旦发生数据泄露或业务中断，将造成重大社会影响与运营风险。同时，关键信息系统需满足7×24小时不间断稳定运行，</w:t>
      </w:r>
      <w:r>
        <w:rPr>
          <w:rFonts w:hint="eastAsia" w:ascii="宋体" w:hAnsi="宋体" w:cs="宋体"/>
          <w:i w:val="0"/>
          <w:iCs w:val="0"/>
          <w:caps w:val="0"/>
          <w:color w:val="0F1115"/>
          <w:spacing w:val="0"/>
          <w:sz w:val="24"/>
          <w:szCs w:val="24"/>
          <w:shd w:val="clear" w:color="auto" w:fill="FFFFFF"/>
          <w:lang w:val="en-US" w:eastAsia="zh-CN"/>
        </w:rPr>
        <w:t>需采用</w:t>
      </w:r>
      <w:r>
        <w:rPr>
          <w:rFonts w:hint="eastAsia" w:ascii="宋体" w:hAnsi="宋体" w:eastAsia="宋体" w:cs="宋体"/>
          <w:i w:val="0"/>
          <w:iCs w:val="0"/>
          <w:caps w:val="0"/>
          <w:color w:val="0F1115"/>
          <w:spacing w:val="0"/>
          <w:sz w:val="24"/>
          <w:szCs w:val="24"/>
          <w:shd w:val="clear" w:color="auto" w:fill="FFFFFF"/>
        </w:rPr>
        <w:t>威胁防御系统在边界精准抵御各类入侵攻击，利用失陷反连防御能力有效阻断恶意代码与黑客服务器的通信及数据传输行为</w:t>
      </w:r>
      <w:r>
        <w:rPr>
          <w:rFonts w:hint="eastAsia" w:ascii="宋体" w:hAnsi="宋体" w:cs="宋体"/>
          <w:i w:val="0"/>
          <w:iCs w:val="0"/>
          <w:caps w:val="0"/>
          <w:color w:val="0F1115"/>
          <w:spacing w:val="0"/>
          <w:sz w:val="24"/>
          <w:szCs w:val="24"/>
          <w:shd w:val="clear" w:color="auto" w:fill="FFFFFF"/>
          <w:lang w:eastAsia="zh-CN"/>
        </w:rPr>
        <w:t>。</w:t>
      </w:r>
    </w:p>
    <w:p w14:paraId="731C5588">
      <w:pPr>
        <w:pStyle w:val="7"/>
        <w:keepNext w:val="0"/>
        <w:keepLines w:val="0"/>
        <w:pageBreakBefore w:val="0"/>
        <w:widowControl/>
        <w:suppressLineNumbers w:val="0"/>
        <w:shd w:val="clear" w:color="auto" w:fill="FFFFFF"/>
        <w:kinsoku/>
        <w:wordWrap/>
        <w:overflowPunct/>
        <w:topLinePunct w:val="0"/>
        <w:bidi w:val="0"/>
        <w:adjustRightInd/>
        <w:snapToGrid/>
        <w:spacing w:beforeAutospacing="0" w:afterAutospacing="0" w:line="360" w:lineRule="auto"/>
        <w:ind w:left="0" w:right="0" w:firstLine="482" w:firstLineChars="200"/>
        <w:textAlignment w:val="auto"/>
        <w:rPr>
          <w:rStyle w:val="11"/>
          <w:rFonts w:hint="eastAsia" w:ascii="宋体" w:hAnsi="宋体" w:eastAsia="宋体" w:cs="宋体"/>
          <w:b/>
          <w:bCs/>
          <w:i w:val="0"/>
          <w:iCs w:val="0"/>
          <w:caps w:val="0"/>
          <w:color w:val="0F1115"/>
          <w:spacing w:val="0"/>
          <w:sz w:val="24"/>
          <w:szCs w:val="24"/>
          <w:shd w:val="clear" w:color="auto" w:fill="FFFFFF"/>
        </w:rPr>
      </w:pPr>
      <w:r>
        <w:rPr>
          <w:rStyle w:val="11"/>
          <w:rFonts w:hint="eastAsia" w:ascii="宋体" w:hAnsi="宋体" w:eastAsia="宋体" w:cs="宋体"/>
          <w:b/>
          <w:bCs/>
          <w:i w:val="0"/>
          <w:iCs w:val="0"/>
          <w:caps w:val="0"/>
          <w:color w:val="0F1115"/>
          <w:spacing w:val="0"/>
          <w:sz w:val="24"/>
          <w:szCs w:val="24"/>
          <w:shd w:val="clear" w:color="auto" w:fill="FFFFFF"/>
          <w:lang w:eastAsia="zh-CN"/>
        </w:rPr>
        <w:t>（</w:t>
      </w:r>
      <w:r>
        <w:rPr>
          <w:rStyle w:val="11"/>
          <w:rFonts w:hint="eastAsia" w:ascii="宋体" w:hAnsi="宋体" w:eastAsia="宋体" w:cs="宋体"/>
          <w:b/>
          <w:bCs/>
          <w:i w:val="0"/>
          <w:iCs w:val="0"/>
          <w:caps w:val="0"/>
          <w:color w:val="0F1115"/>
          <w:spacing w:val="0"/>
          <w:sz w:val="24"/>
          <w:szCs w:val="24"/>
          <w:shd w:val="clear" w:color="auto" w:fill="FFFFFF"/>
        </w:rPr>
        <w:t>三</w:t>
      </w:r>
      <w:r>
        <w:rPr>
          <w:rStyle w:val="11"/>
          <w:rFonts w:hint="eastAsia" w:ascii="宋体" w:hAnsi="宋体" w:eastAsia="宋体" w:cs="宋体"/>
          <w:b/>
          <w:bCs/>
          <w:i w:val="0"/>
          <w:iCs w:val="0"/>
          <w:caps w:val="0"/>
          <w:color w:val="0F1115"/>
          <w:spacing w:val="0"/>
          <w:sz w:val="24"/>
          <w:szCs w:val="24"/>
          <w:shd w:val="clear" w:color="auto" w:fill="FFFFFF"/>
          <w:lang w:eastAsia="zh-CN"/>
        </w:rPr>
        <w:t>）</w:t>
      </w:r>
      <w:r>
        <w:rPr>
          <w:rStyle w:val="11"/>
          <w:rFonts w:hint="eastAsia" w:ascii="宋体" w:hAnsi="宋体" w:eastAsia="宋体" w:cs="宋体"/>
          <w:b/>
          <w:bCs/>
          <w:i w:val="0"/>
          <w:iCs w:val="0"/>
          <w:caps w:val="0"/>
          <w:color w:val="0F1115"/>
          <w:spacing w:val="0"/>
          <w:sz w:val="24"/>
          <w:szCs w:val="24"/>
          <w:shd w:val="clear" w:color="auto" w:fill="FFFFFF"/>
        </w:rPr>
        <w:t>、落实网络安全监管合规的需求</w:t>
      </w:r>
    </w:p>
    <w:p w14:paraId="7325B17E">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i w:val="0"/>
          <w:iCs w:val="0"/>
          <w:caps w:val="0"/>
          <w:color w:val="0F1115"/>
          <w:spacing w:val="0"/>
          <w:sz w:val="24"/>
          <w:szCs w:val="24"/>
          <w:lang w:eastAsia="zh-CN"/>
        </w:rPr>
      </w:pPr>
      <w:r>
        <w:rPr>
          <w:rFonts w:hint="eastAsia" w:ascii="宋体" w:hAnsi="宋体" w:eastAsia="宋体" w:cs="宋体"/>
          <w:i w:val="0"/>
          <w:iCs w:val="0"/>
          <w:caps w:val="0"/>
          <w:color w:val="0F1115"/>
          <w:spacing w:val="0"/>
          <w:sz w:val="24"/>
          <w:szCs w:val="24"/>
          <w:shd w:val="clear" w:color="auto" w:fill="FFFFFF"/>
        </w:rPr>
        <w:t>《网络安全法》《数据安全法》《医疗卫生机构网络安全管理办法》等法律法规对医疗行业提出了明确的网络安全防护要求，落实网络安全主体责任的重要举措，不仅是我院履行合规义务、规避运营风险的必要手段，更是保障医院持续健康发展的基础支撑。</w:t>
      </w:r>
      <w:r>
        <w:rPr>
          <w:rFonts w:hint="eastAsia" w:ascii="宋体" w:hAnsi="宋体" w:cs="宋体"/>
          <w:i w:val="0"/>
          <w:iCs w:val="0"/>
          <w:caps w:val="0"/>
          <w:color w:val="0F1115"/>
          <w:spacing w:val="0"/>
          <w:sz w:val="24"/>
          <w:szCs w:val="24"/>
          <w:shd w:val="clear" w:color="auto" w:fill="FFFFFF"/>
          <w:lang w:val="en-US" w:eastAsia="zh-CN"/>
        </w:rPr>
        <w:t>通</w:t>
      </w:r>
      <w:r>
        <w:rPr>
          <w:rFonts w:hint="eastAsia" w:ascii="宋体" w:hAnsi="宋体" w:eastAsia="宋体" w:cs="宋体"/>
          <w:i w:val="0"/>
          <w:iCs w:val="0"/>
          <w:caps w:val="0"/>
          <w:color w:val="0F1115"/>
          <w:spacing w:val="0"/>
          <w:sz w:val="24"/>
          <w:szCs w:val="24"/>
          <w:shd w:val="clear" w:color="auto" w:fill="FFFFFF"/>
        </w:rPr>
        <w:t>过部署威胁防御系统，阻断外部非法扫描、清洗出网流量、及时阻断内网失陷反连流量，切实满足监管单位对医疗行业网络安全监测的合规要求</w:t>
      </w:r>
      <w:r>
        <w:rPr>
          <w:rFonts w:hint="eastAsia" w:ascii="宋体" w:hAnsi="宋体" w:cs="宋体"/>
          <w:i w:val="0"/>
          <w:iCs w:val="0"/>
          <w:caps w:val="0"/>
          <w:color w:val="0F1115"/>
          <w:spacing w:val="0"/>
          <w:sz w:val="24"/>
          <w:szCs w:val="24"/>
          <w:shd w:val="clear" w:color="auto" w:fill="FFFFFF"/>
          <w:lang w:eastAsia="zh-CN"/>
        </w:rPr>
        <w:t>。</w:t>
      </w:r>
    </w:p>
    <w:p w14:paraId="41B6CCA1">
      <w:pPr>
        <w:keepNext w:val="0"/>
        <w:keepLines w:val="0"/>
        <w:pageBreakBefore w:val="0"/>
        <w:kinsoku/>
        <w:wordWrap/>
        <w:overflowPunct/>
        <w:topLinePunct w:val="0"/>
        <w:bidi w:val="0"/>
        <w:adjustRightInd/>
        <w:snapToGrid/>
        <w:spacing w:line="360" w:lineRule="auto"/>
        <w:ind w:firstLine="562" w:firstLineChars="200"/>
        <w:jc w:val="both"/>
        <w:textAlignment w:val="auto"/>
        <w:outlineLvl w:val="0"/>
        <w:rPr>
          <w:rFonts w:hint="eastAsia" w:ascii="微软雅黑" w:hAnsi="微软雅黑"/>
          <w:b/>
          <w:bCs/>
          <w:sz w:val="28"/>
          <w:szCs w:val="28"/>
        </w:rPr>
      </w:pPr>
      <w:r>
        <w:rPr>
          <w:rFonts w:hint="eastAsia" w:ascii="微软雅黑" w:hAnsi="微软雅黑"/>
          <w:b/>
          <w:bCs/>
          <w:sz w:val="28"/>
          <w:szCs w:val="28"/>
          <w:lang w:val="en-US" w:eastAsia="zh-CN"/>
        </w:rPr>
        <w:t>二、</w:t>
      </w:r>
      <w:r>
        <w:rPr>
          <w:rFonts w:hint="eastAsia" w:ascii="微软雅黑" w:hAnsi="微软雅黑"/>
          <w:b/>
          <w:bCs/>
          <w:sz w:val="28"/>
          <w:szCs w:val="28"/>
        </w:rPr>
        <w:t>威胁防御系统参数</w:t>
      </w:r>
    </w:p>
    <w:tbl>
      <w:tblPr>
        <w:tblStyle w:val="9"/>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05"/>
        <w:gridCol w:w="1290"/>
        <w:gridCol w:w="4605"/>
        <w:gridCol w:w="1824"/>
      </w:tblGrid>
      <w:tr w14:paraId="3226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27" w:type="dxa"/>
            <w:shd w:val="clear" w:color="auto" w:fill="A6A6A6"/>
            <w:noWrap w:val="0"/>
            <w:vAlign w:val="center"/>
          </w:tcPr>
          <w:p w14:paraId="0EA3B94E">
            <w:pPr>
              <w:spacing w:line="380" w:lineRule="exact"/>
              <w:jc w:val="center"/>
              <w:rPr>
                <w:rFonts w:hint="eastAsia" w:ascii="宋体" w:hAnsi="宋体" w:cs="宋体"/>
                <w:bCs/>
                <w:kern w:val="0"/>
                <w:sz w:val="24"/>
              </w:rPr>
            </w:pPr>
            <w:r>
              <w:rPr>
                <w:rFonts w:hint="eastAsia" w:ascii="宋体" w:hAnsi="宋体" w:cs="宋体"/>
                <w:bCs/>
                <w:sz w:val="24"/>
              </w:rPr>
              <w:t>序号</w:t>
            </w:r>
          </w:p>
        </w:tc>
        <w:tc>
          <w:tcPr>
            <w:tcW w:w="1005" w:type="dxa"/>
            <w:shd w:val="clear" w:color="auto" w:fill="A6A6A6"/>
            <w:noWrap w:val="0"/>
            <w:vAlign w:val="center"/>
          </w:tcPr>
          <w:p w14:paraId="0B5B9014">
            <w:pPr>
              <w:spacing w:line="380" w:lineRule="exact"/>
              <w:jc w:val="center"/>
              <w:rPr>
                <w:rFonts w:hint="eastAsia" w:ascii="宋体" w:hAnsi="宋体" w:cs="宋体"/>
                <w:bCs/>
                <w:sz w:val="24"/>
              </w:rPr>
            </w:pPr>
            <w:r>
              <w:rPr>
                <w:rFonts w:hint="eastAsia" w:ascii="宋体" w:hAnsi="宋体" w:cs="宋体"/>
                <w:bCs/>
                <w:sz w:val="24"/>
              </w:rPr>
              <w:t>重要性</w:t>
            </w:r>
          </w:p>
        </w:tc>
        <w:tc>
          <w:tcPr>
            <w:tcW w:w="1290" w:type="dxa"/>
            <w:shd w:val="clear" w:color="auto" w:fill="A6A6A6"/>
            <w:noWrap w:val="0"/>
            <w:vAlign w:val="center"/>
          </w:tcPr>
          <w:p w14:paraId="33E29111">
            <w:pPr>
              <w:spacing w:line="380" w:lineRule="exact"/>
              <w:jc w:val="center"/>
              <w:rPr>
                <w:rFonts w:hint="eastAsia" w:ascii="宋体" w:hAnsi="宋体" w:cs="宋体"/>
                <w:bCs/>
                <w:sz w:val="24"/>
              </w:rPr>
            </w:pPr>
            <w:r>
              <w:rPr>
                <w:rFonts w:hint="eastAsia" w:ascii="宋体" w:hAnsi="宋体" w:cs="宋体"/>
                <w:bCs/>
                <w:sz w:val="24"/>
              </w:rPr>
              <w:t>指标项</w:t>
            </w:r>
          </w:p>
        </w:tc>
        <w:tc>
          <w:tcPr>
            <w:tcW w:w="4605" w:type="dxa"/>
            <w:shd w:val="clear" w:color="auto" w:fill="A6A6A6"/>
            <w:noWrap w:val="0"/>
            <w:vAlign w:val="center"/>
          </w:tcPr>
          <w:p w14:paraId="367A013C">
            <w:pPr>
              <w:spacing w:line="380" w:lineRule="exact"/>
              <w:jc w:val="center"/>
              <w:rPr>
                <w:rFonts w:hint="eastAsia" w:ascii="宋体" w:hAnsi="宋体" w:cs="宋体"/>
                <w:bCs/>
                <w:sz w:val="24"/>
              </w:rPr>
            </w:pPr>
            <w:r>
              <w:rPr>
                <w:rFonts w:hint="eastAsia" w:ascii="宋体" w:hAnsi="宋体" w:cs="宋体"/>
                <w:bCs/>
                <w:sz w:val="24"/>
              </w:rPr>
              <w:t>指标要求</w:t>
            </w:r>
          </w:p>
        </w:tc>
        <w:tc>
          <w:tcPr>
            <w:tcW w:w="1824" w:type="dxa"/>
            <w:shd w:val="clear" w:color="auto" w:fill="A6A6A6"/>
            <w:noWrap w:val="0"/>
            <w:vAlign w:val="center"/>
          </w:tcPr>
          <w:p w14:paraId="2747CE4F">
            <w:pPr>
              <w:spacing w:line="380" w:lineRule="exact"/>
              <w:jc w:val="center"/>
              <w:rPr>
                <w:rFonts w:hint="eastAsia" w:ascii="宋体" w:hAnsi="宋体" w:cs="宋体"/>
                <w:bCs/>
                <w:sz w:val="24"/>
              </w:rPr>
            </w:pPr>
            <w:r>
              <w:rPr>
                <w:rFonts w:hint="eastAsia" w:ascii="宋体" w:hAnsi="宋体" w:cs="宋体"/>
                <w:bCs/>
                <w:sz w:val="24"/>
              </w:rPr>
              <w:t>证明材料要求</w:t>
            </w:r>
          </w:p>
        </w:tc>
      </w:tr>
      <w:tr w14:paraId="7754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27" w:type="dxa"/>
            <w:noWrap w:val="0"/>
            <w:vAlign w:val="center"/>
          </w:tcPr>
          <w:p w14:paraId="0F86CC95">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1.</w:t>
            </w:r>
          </w:p>
        </w:tc>
        <w:tc>
          <w:tcPr>
            <w:tcW w:w="1005" w:type="dxa"/>
            <w:noWrap w:val="0"/>
            <w:vAlign w:val="center"/>
          </w:tcPr>
          <w:p w14:paraId="2BD6E5DC">
            <w:pPr>
              <w:jc w:val="center"/>
              <w:rPr>
                <w:rFonts w:hint="eastAsia" w:ascii="宋体" w:hAnsi="宋体" w:cs="宋体"/>
                <w:bCs/>
                <w:color w:val="000000"/>
                <w:sz w:val="24"/>
              </w:rPr>
            </w:pPr>
            <w:r>
              <w:rPr>
                <w:rFonts w:hint="eastAsia" w:ascii="宋体" w:hAnsi="宋体" w:cs="宋体"/>
                <w:bCs/>
                <w:sz w:val="24"/>
              </w:rPr>
              <w:t>★</w:t>
            </w:r>
          </w:p>
        </w:tc>
        <w:tc>
          <w:tcPr>
            <w:tcW w:w="1290" w:type="dxa"/>
            <w:noWrap w:val="0"/>
            <w:vAlign w:val="center"/>
          </w:tcPr>
          <w:p w14:paraId="4163483A">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sz w:val="24"/>
                <w:szCs w:val="24"/>
              </w:rPr>
            </w:pPr>
            <w:r>
              <w:rPr>
                <w:rFonts w:hint="eastAsia" w:ascii="宋体" w:hAnsi="宋体" w:eastAsia="宋体" w:cs="宋体"/>
                <w:bCs/>
                <w:sz w:val="24"/>
                <w:szCs w:val="24"/>
              </w:rPr>
              <w:t>硬件要求</w:t>
            </w:r>
          </w:p>
        </w:tc>
        <w:tc>
          <w:tcPr>
            <w:tcW w:w="4605" w:type="dxa"/>
            <w:noWrap w:val="0"/>
            <w:vAlign w:val="center"/>
          </w:tcPr>
          <w:p w14:paraId="50B43A3C">
            <w:pPr>
              <w:widowControl/>
              <w:jc w:val="left"/>
              <w:rPr>
                <w:rFonts w:hint="eastAsia" w:ascii="宋体" w:hAnsi="宋体" w:eastAsia="宋体" w:cs="宋体"/>
                <w:bCs/>
                <w:sz w:val="24"/>
                <w:szCs w:val="24"/>
              </w:rPr>
            </w:pPr>
            <w:r>
              <w:rPr>
                <w:rFonts w:hint="eastAsia" w:ascii="宋体" w:hAnsi="宋体" w:eastAsia="宋体" w:cs="宋体"/>
                <w:bCs/>
                <w:sz w:val="24"/>
              </w:rPr>
              <w:t>高度2U，</w:t>
            </w:r>
            <w:r>
              <w:rPr>
                <w:rFonts w:hint="eastAsia" w:ascii="宋体" w:hAnsi="宋体" w:eastAsia="宋体" w:cs="宋体"/>
                <w:bCs/>
                <w:sz w:val="24"/>
                <w:lang w:eastAsia="zh-Hans"/>
              </w:rPr>
              <w:t>内存</w:t>
            </w:r>
            <w:r>
              <w:rPr>
                <w:rFonts w:hint="eastAsia" w:ascii="宋体" w:hAnsi="宋体" w:eastAsia="宋体" w:cs="宋体"/>
                <w:bCs/>
                <w:sz w:val="24"/>
              </w:rPr>
              <w:t>≥32G DDR4</w:t>
            </w:r>
            <w:r>
              <w:rPr>
                <w:rFonts w:hint="eastAsia" w:ascii="宋体" w:hAnsi="宋体" w:eastAsia="宋体" w:cs="宋体"/>
                <w:bCs/>
                <w:sz w:val="24"/>
                <w:lang w:eastAsia="zh-Hans"/>
              </w:rPr>
              <w:t>；硬盘配置</w:t>
            </w:r>
            <w:r>
              <w:rPr>
                <w:rFonts w:hint="eastAsia" w:ascii="宋体" w:hAnsi="宋体" w:eastAsia="宋体" w:cs="宋体"/>
                <w:bCs/>
                <w:sz w:val="24"/>
              </w:rPr>
              <w:t>≥1T</w:t>
            </w:r>
            <w:r>
              <w:rPr>
                <w:rFonts w:hint="eastAsia" w:ascii="宋体" w:hAnsi="宋体" w:eastAsia="宋体" w:cs="宋体"/>
                <w:bCs/>
                <w:sz w:val="24"/>
                <w:lang w:eastAsia="zh-CN"/>
              </w:rPr>
              <w:t>（</w:t>
            </w:r>
            <w:r>
              <w:rPr>
                <w:rFonts w:hint="eastAsia" w:ascii="宋体" w:hAnsi="宋体" w:eastAsia="宋体" w:cs="宋体"/>
                <w:bCs/>
                <w:sz w:val="24"/>
                <w:lang w:val="en-US" w:eastAsia="zh-CN"/>
              </w:rPr>
              <w:t>支持SSD，可根据需求扩展</w:t>
            </w:r>
            <w:r>
              <w:rPr>
                <w:rFonts w:hint="eastAsia" w:ascii="宋体" w:hAnsi="宋体" w:eastAsia="宋体" w:cs="宋体"/>
                <w:bCs/>
                <w:sz w:val="24"/>
                <w:lang w:eastAsia="zh-CN"/>
              </w:rPr>
              <w:t>）</w:t>
            </w:r>
            <w:r>
              <w:rPr>
                <w:rFonts w:hint="eastAsia" w:ascii="宋体" w:hAnsi="宋体" w:eastAsia="宋体" w:cs="宋体"/>
                <w:bCs/>
                <w:sz w:val="24"/>
                <w:lang w:eastAsia="zh-Hans"/>
              </w:rPr>
              <w:t>；</w:t>
            </w:r>
            <w:r>
              <w:rPr>
                <w:rFonts w:hint="eastAsia" w:ascii="宋体" w:hAnsi="宋体" w:eastAsia="宋体" w:cs="宋体"/>
                <w:bCs/>
                <w:sz w:val="24"/>
              </w:rPr>
              <w:t>千兆电口配置≥6个（两对bypass接口），万兆光口配置≥4个，配置冗余电源。</w:t>
            </w:r>
          </w:p>
        </w:tc>
        <w:tc>
          <w:tcPr>
            <w:tcW w:w="1824" w:type="dxa"/>
            <w:noWrap w:val="0"/>
            <w:vAlign w:val="center"/>
          </w:tcPr>
          <w:p w14:paraId="237087F6">
            <w:pPr>
              <w:jc w:val="center"/>
              <w:rPr>
                <w:rFonts w:hint="eastAsia" w:ascii="宋体" w:hAnsi="宋体" w:cs="宋体"/>
                <w:bCs/>
                <w:sz w:val="24"/>
              </w:rPr>
            </w:pPr>
            <w:r>
              <w:rPr>
                <w:rFonts w:hint="eastAsia" w:ascii="宋体" w:hAnsi="宋体" w:cs="宋体"/>
                <w:bCs/>
                <w:sz w:val="24"/>
              </w:rPr>
              <w:t>否</w:t>
            </w:r>
          </w:p>
        </w:tc>
      </w:tr>
      <w:tr w14:paraId="6A11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27" w:type="dxa"/>
            <w:noWrap w:val="0"/>
            <w:vAlign w:val="center"/>
          </w:tcPr>
          <w:p w14:paraId="649A4356">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2.</w:t>
            </w:r>
          </w:p>
        </w:tc>
        <w:tc>
          <w:tcPr>
            <w:tcW w:w="1005" w:type="dxa"/>
            <w:noWrap w:val="0"/>
            <w:vAlign w:val="center"/>
          </w:tcPr>
          <w:p w14:paraId="17D0B3D7">
            <w:pPr>
              <w:spacing w:line="380" w:lineRule="exact"/>
              <w:jc w:val="center"/>
              <w:rPr>
                <w:rFonts w:hint="eastAsia" w:ascii="宋体" w:hAnsi="宋体" w:cs="宋体"/>
                <w:bCs/>
                <w:sz w:val="24"/>
              </w:rPr>
            </w:pPr>
            <w:r>
              <w:rPr>
                <w:rFonts w:hint="eastAsia" w:ascii="宋体" w:hAnsi="宋体" w:cs="宋体"/>
                <w:bCs/>
                <w:sz w:val="24"/>
              </w:rPr>
              <w:t>★</w:t>
            </w:r>
          </w:p>
        </w:tc>
        <w:tc>
          <w:tcPr>
            <w:tcW w:w="1290" w:type="dxa"/>
            <w:noWrap w:val="0"/>
            <w:vAlign w:val="center"/>
          </w:tcPr>
          <w:p w14:paraId="264328D0">
            <w:pPr>
              <w:spacing w:line="380" w:lineRule="exact"/>
              <w:rPr>
                <w:rFonts w:hint="eastAsia" w:ascii="宋体" w:hAnsi="宋体" w:cs="宋体"/>
                <w:bCs/>
                <w:sz w:val="24"/>
              </w:rPr>
            </w:pPr>
            <w:r>
              <w:rPr>
                <w:rFonts w:hint="eastAsia" w:ascii="宋体" w:hAnsi="宋体" w:cs="宋体"/>
                <w:bCs/>
                <w:sz w:val="24"/>
              </w:rPr>
              <w:t>性能要求</w:t>
            </w:r>
          </w:p>
        </w:tc>
        <w:tc>
          <w:tcPr>
            <w:tcW w:w="4605" w:type="dxa"/>
            <w:noWrap w:val="0"/>
            <w:vAlign w:val="center"/>
          </w:tcPr>
          <w:p w14:paraId="35E56F13">
            <w:pPr>
              <w:spacing w:line="380" w:lineRule="exact"/>
              <w:rPr>
                <w:rFonts w:hint="eastAsia" w:ascii="宋体" w:hAnsi="宋体" w:cs="宋体"/>
                <w:bCs/>
                <w:sz w:val="24"/>
              </w:rPr>
            </w:pPr>
            <w:r>
              <w:rPr>
                <w:rFonts w:hint="eastAsia" w:ascii="宋体" w:hAnsi="宋体" w:cs="宋体"/>
                <w:bCs/>
                <w:sz w:val="24"/>
              </w:rPr>
              <w:t>单台设备网络层吞吐(不含检测)≥20G，单台设备应用层吞吐量（开启检测）≥2G，</w:t>
            </w:r>
            <w:r>
              <w:rPr>
                <w:rFonts w:hint="eastAsia" w:ascii="宋体" w:hAnsi="宋体" w:cs="宋体"/>
                <w:bCs/>
                <w:color w:val="000000"/>
                <w:sz w:val="24"/>
              </w:rPr>
              <w:t>并发连接数≥500w，新建连接数≥50000</w:t>
            </w:r>
            <w:r>
              <w:rPr>
                <w:rFonts w:ascii="宋体" w:hAnsi="宋体" w:eastAsia="宋体" w:cs="宋体"/>
                <w:sz w:val="24"/>
                <w:szCs w:val="24"/>
              </w:rPr>
              <w:t>/ 秒</w:t>
            </w:r>
            <w:r>
              <w:rPr>
                <w:rFonts w:hint="eastAsia" w:ascii="宋体" w:hAnsi="宋体" w:cs="宋体"/>
                <w:bCs/>
                <w:color w:val="000000"/>
                <w:sz w:val="24"/>
              </w:rPr>
              <w:t>。</w:t>
            </w:r>
          </w:p>
        </w:tc>
        <w:tc>
          <w:tcPr>
            <w:tcW w:w="1824" w:type="dxa"/>
            <w:noWrap w:val="0"/>
            <w:vAlign w:val="center"/>
          </w:tcPr>
          <w:p w14:paraId="313BEC2D">
            <w:pPr>
              <w:spacing w:line="380" w:lineRule="exact"/>
              <w:jc w:val="center"/>
              <w:rPr>
                <w:rFonts w:hint="eastAsia" w:ascii="宋体" w:hAnsi="宋体" w:cs="宋体"/>
                <w:bCs/>
                <w:sz w:val="24"/>
              </w:rPr>
            </w:pPr>
            <w:r>
              <w:rPr>
                <w:rFonts w:hint="eastAsia" w:ascii="宋体" w:hAnsi="宋体" w:cs="宋体"/>
                <w:bCs/>
                <w:sz w:val="24"/>
              </w:rPr>
              <w:t>否</w:t>
            </w:r>
          </w:p>
        </w:tc>
      </w:tr>
      <w:tr w14:paraId="70D3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627" w:type="dxa"/>
            <w:noWrap w:val="0"/>
            <w:vAlign w:val="center"/>
          </w:tcPr>
          <w:p w14:paraId="5755A2D3">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3.</w:t>
            </w:r>
          </w:p>
        </w:tc>
        <w:tc>
          <w:tcPr>
            <w:tcW w:w="1005" w:type="dxa"/>
            <w:noWrap w:val="0"/>
            <w:vAlign w:val="center"/>
          </w:tcPr>
          <w:p w14:paraId="1D20B7F4">
            <w:pPr>
              <w:spacing w:line="380" w:lineRule="exact"/>
              <w:jc w:val="center"/>
              <w:rPr>
                <w:rFonts w:hint="eastAsia" w:ascii="宋体" w:hAnsi="宋体" w:cs="宋体"/>
                <w:bCs/>
                <w:sz w:val="24"/>
              </w:rPr>
            </w:pPr>
          </w:p>
        </w:tc>
        <w:tc>
          <w:tcPr>
            <w:tcW w:w="1290" w:type="dxa"/>
            <w:noWrap w:val="0"/>
            <w:vAlign w:val="center"/>
          </w:tcPr>
          <w:p w14:paraId="67DF094D">
            <w:pPr>
              <w:spacing w:line="380" w:lineRule="exact"/>
              <w:rPr>
                <w:rFonts w:hint="eastAsia" w:ascii="宋体" w:hAnsi="宋体" w:cs="宋体"/>
                <w:bCs/>
                <w:sz w:val="24"/>
              </w:rPr>
            </w:pPr>
            <w:r>
              <w:rPr>
                <w:rFonts w:hint="eastAsia" w:ascii="宋体" w:hAnsi="宋体" w:cs="宋体"/>
                <w:bCs/>
                <w:sz w:val="24"/>
              </w:rPr>
              <w:t>部署方式</w:t>
            </w:r>
          </w:p>
        </w:tc>
        <w:tc>
          <w:tcPr>
            <w:tcW w:w="4605" w:type="dxa"/>
            <w:noWrap w:val="0"/>
            <w:vAlign w:val="center"/>
          </w:tcPr>
          <w:p w14:paraId="51734EFF">
            <w:pPr>
              <w:spacing w:line="380" w:lineRule="exact"/>
              <w:rPr>
                <w:rFonts w:hint="eastAsia" w:ascii="宋体" w:hAnsi="宋体" w:cs="宋体"/>
                <w:bCs/>
                <w:sz w:val="24"/>
              </w:rPr>
            </w:pPr>
            <w:r>
              <w:rPr>
                <w:rFonts w:hint="eastAsia" w:ascii="宋体" w:hAnsi="宋体" w:cs="宋体"/>
                <w:bCs/>
                <w:sz w:val="24"/>
              </w:rPr>
              <w:t>具备旁路部署、网桥部署、虚拟网线部署多种部署方式；可直接根据设备界面上的引导进行配置，快速完成部署。</w:t>
            </w:r>
          </w:p>
        </w:tc>
        <w:tc>
          <w:tcPr>
            <w:tcW w:w="1824" w:type="dxa"/>
            <w:noWrap w:val="0"/>
            <w:vAlign w:val="center"/>
          </w:tcPr>
          <w:p w14:paraId="61E61BE8">
            <w:pPr>
              <w:spacing w:line="380" w:lineRule="exact"/>
              <w:jc w:val="center"/>
              <w:rPr>
                <w:rFonts w:hint="eastAsia" w:ascii="宋体" w:hAnsi="宋体" w:cs="宋体"/>
                <w:bCs/>
                <w:sz w:val="24"/>
              </w:rPr>
            </w:pPr>
            <w:r>
              <w:rPr>
                <w:rFonts w:hint="eastAsia" w:ascii="宋体" w:hAnsi="宋体" w:cs="宋体"/>
                <w:bCs/>
                <w:sz w:val="24"/>
              </w:rPr>
              <w:t>否</w:t>
            </w:r>
          </w:p>
        </w:tc>
      </w:tr>
      <w:tr w14:paraId="1154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627" w:type="dxa"/>
            <w:noWrap w:val="0"/>
            <w:vAlign w:val="center"/>
          </w:tcPr>
          <w:p w14:paraId="05CE9713">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4.</w:t>
            </w:r>
          </w:p>
        </w:tc>
        <w:tc>
          <w:tcPr>
            <w:tcW w:w="1005" w:type="dxa"/>
            <w:noWrap w:val="0"/>
            <w:vAlign w:val="center"/>
          </w:tcPr>
          <w:p w14:paraId="0424F8C2">
            <w:pPr>
              <w:spacing w:line="380" w:lineRule="exact"/>
              <w:jc w:val="center"/>
              <w:rPr>
                <w:rFonts w:hint="eastAsia" w:ascii="宋体" w:hAnsi="宋体" w:cs="宋体"/>
                <w:bCs/>
                <w:sz w:val="24"/>
              </w:rPr>
            </w:pPr>
          </w:p>
        </w:tc>
        <w:tc>
          <w:tcPr>
            <w:tcW w:w="1290" w:type="dxa"/>
            <w:noWrap w:val="0"/>
            <w:vAlign w:val="center"/>
          </w:tcPr>
          <w:p w14:paraId="2E58A202">
            <w:pPr>
              <w:spacing w:line="380" w:lineRule="exact"/>
              <w:rPr>
                <w:rFonts w:hint="eastAsia" w:ascii="宋体" w:hAnsi="宋体" w:cs="宋体"/>
                <w:bCs/>
                <w:sz w:val="24"/>
              </w:rPr>
            </w:pPr>
            <w:r>
              <w:rPr>
                <w:rFonts w:hint="eastAsia" w:ascii="宋体" w:hAnsi="宋体" w:cs="宋体"/>
                <w:bCs/>
                <w:sz w:val="24"/>
              </w:rPr>
              <w:t>稳</w:t>
            </w:r>
            <w:r>
              <w:rPr>
                <w:rFonts w:hint="eastAsia" w:ascii="宋体" w:hAnsi="宋体" w:eastAsia="宋体" w:cs="宋体"/>
                <w:bCs/>
                <w:color w:val="000000"/>
                <w:kern w:val="2"/>
                <w:sz w:val="24"/>
                <w:szCs w:val="24"/>
                <w:lang w:val="en-US" w:eastAsia="zh-CN" w:bidi="ar-SA"/>
              </w:rPr>
              <w:t>定性要求</w:t>
            </w:r>
          </w:p>
        </w:tc>
        <w:tc>
          <w:tcPr>
            <w:tcW w:w="4605" w:type="dxa"/>
            <w:noWrap w:val="0"/>
            <w:vAlign w:val="center"/>
          </w:tcPr>
          <w:p w14:paraId="3F72B665">
            <w:pPr>
              <w:spacing w:line="380" w:lineRule="exact"/>
              <w:rPr>
                <w:rFonts w:hint="eastAsia" w:ascii="宋体" w:hAnsi="宋体" w:cs="宋体"/>
                <w:bCs/>
                <w:sz w:val="24"/>
              </w:rPr>
            </w:pPr>
            <w:r>
              <w:rPr>
                <w:rFonts w:hint="eastAsia" w:ascii="宋体" w:hAnsi="宋体" w:cs="宋体"/>
                <w:bCs/>
                <w:sz w:val="24"/>
              </w:rPr>
              <w:t>网络接口</w:t>
            </w:r>
            <w:r>
              <w:rPr>
                <w:rFonts w:hint="eastAsia" w:ascii="宋体" w:hAnsi="宋体" w:cs="宋体"/>
                <w:bCs/>
                <w:sz w:val="24"/>
                <w:lang w:val="en-US" w:eastAsia="zh-CN"/>
              </w:rPr>
              <w:t>满足</w:t>
            </w:r>
            <w:r>
              <w:rPr>
                <w:rFonts w:hint="eastAsia" w:ascii="宋体" w:hAnsi="宋体" w:cs="宋体"/>
                <w:bCs/>
                <w:sz w:val="24"/>
              </w:rPr>
              <w:t>硬件BYPASS，产品出现故障时，能够自动启动BYPASS功能，保持网络互通，不影响业务流量的正常传输；系统</w:t>
            </w:r>
            <w:r>
              <w:rPr>
                <w:rFonts w:hint="eastAsia" w:ascii="宋体" w:hAnsi="宋体" w:cs="宋体"/>
                <w:bCs/>
                <w:sz w:val="24"/>
                <w:lang w:eastAsia="zh-CN"/>
              </w:rPr>
              <w:t>具备</w:t>
            </w:r>
            <w:r>
              <w:rPr>
                <w:rFonts w:hint="eastAsia" w:ascii="宋体" w:hAnsi="宋体" w:cs="宋体"/>
                <w:bCs/>
                <w:sz w:val="24"/>
              </w:rPr>
              <w:t>软件BYPASS功能，当CPU和内存超限时，可自动启用软件bypass，保障网络互通，不影响业务流量的正常传输。</w:t>
            </w:r>
          </w:p>
        </w:tc>
        <w:tc>
          <w:tcPr>
            <w:tcW w:w="1824" w:type="dxa"/>
            <w:noWrap w:val="0"/>
            <w:vAlign w:val="center"/>
          </w:tcPr>
          <w:p w14:paraId="5CC7D078">
            <w:pPr>
              <w:spacing w:line="380" w:lineRule="exact"/>
              <w:jc w:val="center"/>
              <w:rPr>
                <w:rFonts w:hint="eastAsia" w:ascii="宋体" w:hAnsi="宋体" w:cs="宋体"/>
                <w:bCs/>
                <w:sz w:val="24"/>
              </w:rPr>
            </w:pPr>
            <w:r>
              <w:rPr>
                <w:rFonts w:hint="eastAsia" w:ascii="宋体" w:hAnsi="宋体" w:cs="宋体"/>
                <w:bCs/>
                <w:sz w:val="24"/>
              </w:rPr>
              <w:t>否</w:t>
            </w:r>
          </w:p>
        </w:tc>
      </w:tr>
      <w:tr w14:paraId="2360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27" w:type="dxa"/>
            <w:noWrap w:val="0"/>
            <w:vAlign w:val="center"/>
          </w:tcPr>
          <w:p w14:paraId="414602CB">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5.</w:t>
            </w:r>
          </w:p>
        </w:tc>
        <w:tc>
          <w:tcPr>
            <w:tcW w:w="1005" w:type="dxa"/>
            <w:noWrap w:val="0"/>
            <w:vAlign w:val="center"/>
          </w:tcPr>
          <w:p w14:paraId="5389E093">
            <w:pPr>
              <w:spacing w:line="380" w:lineRule="exact"/>
              <w:jc w:val="center"/>
              <w:rPr>
                <w:rFonts w:hint="eastAsia" w:ascii="宋体" w:hAnsi="宋体" w:cs="宋体"/>
                <w:bCs/>
                <w:sz w:val="24"/>
              </w:rPr>
            </w:pPr>
          </w:p>
        </w:tc>
        <w:tc>
          <w:tcPr>
            <w:tcW w:w="1290" w:type="dxa"/>
            <w:noWrap w:val="0"/>
            <w:vAlign w:val="center"/>
          </w:tcPr>
          <w:p w14:paraId="4DC36ADC">
            <w:pPr>
              <w:spacing w:line="380" w:lineRule="exact"/>
              <w:rPr>
                <w:rFonts w:hint="eastAsia" w:ascii="宋体" w:hAnsi="宋体" w:cs="宋体"/>
                <w:bCs/>
                <w:sz w:val="24"/>
              </w:rPr>
            </w:pPr>
            <w:r>
              <w:rPr>
                <w:rFonts w:hint="eastAsia" w:ascii="宋体" w:hAnsi="宋体" w:cs="宋体"/>
                <w:bCs/>
                <w:sz w:val="24"/>
              </w:rPr>
              <w:t>外部攻击防护</w:t>
            </w:r>
          </w:p>
        </w:tc>
        <w:tc>
          <w:tcPr>
            <w:tcW w:w="4605" w:type="dxa"/>
            <w:noWrap w:val="0"/>
            <w:vAlign w:val="center"/>
          </w:tcPr>
          <w:p w14:paraId="13B4C001">
            <w:pPr>
              <w:spacing w:line="380" w:lineRule="exact"/>
              <w:rPr>
                <w:rFonts w:hint="eastAsia" w:ascii="宋体" w:hAnsi="宋体" w:cs="宋体"/>
                <w:bCs/>
                <w:color w:val="000000"/>
                <w:sz w:val="24"/>
              </w:rPr>
            </w:pPr>
            <w:r>
              <w:rPr>
                <w:rFonts w:hint="eastAsia" w:ascii="宋体" w:hAnsi="宋体" w:cs="宋体"/>
                <w:bCs/>
                <w:color w:val="000000"/>
                <w:sz w:val="24"/>
              </w:rPr>
              <w:t>具备对多种类型的入侵攻击进行检测和防护，包括侦查、漏洞利用、病毒攻击、建立通信隧道、网站后门&amp;shell、连接远控地址、木马远控、远控工具流量、挖矿、僵尸网络行为、蠕虫攻击、勒索攻击、数据窃取、尝试下载恶意文件、钓鱼、对外攻击、攻击持久化操作等。</w:t>
            </w:r>
          </w:p>
        </w:tc>
        <w:tc>
          <w:tcPr>
            <w:tcW w:w="1824" w:type="dxa"/>
            <w:noWrap w:val="0"/>
            <w:vAlign w:val="center"/>
          </w:tcPr>
          <w:p w14:paraId="41FB5011">
            <w:pPr>
              <w:jc w:val="center"/>
              <w:rPr>
                <w:rFonts w:hint="eastAsia" w:ascii="宋体" w:hAnsi="宋体" w:cs="宋体"/>
                <w:bCs/>
                <w:sz w:val="24"/>
              </w:rPr>
            </w:pPr>
            <w:r>
              <w:rPr>
                <w:rFonts w:hint="eastAsia" w:ascii="宋体" w:hAnsi="宋体" w:cs="宋体"/>
                <w:bCs/>
                <w:sz w:val="24"/>
              </w:rPr>
              <w:t>否</w:t>
            </w:r>
          </w:p>
        </w:tc>
      </w:tr>
      <w:tr w14:paraId="5DE2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27" w:type="dxa"/>
            <w:noWrap w:val="0"/>
            <w:vAlign w:val="center"/>
          </w:tcPr>
          <w:p w14:paraId="12B2495B">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6.</w:t>
            </w:r>
          </w:p>
        </w:tc>
        <w:tc>
          <w:tcPr>
            <w:tcW w:w="1005" w:type="dxa"/>
            <w:noWrap w:val="0"/>
            <w:vAlign w:val="center"/>
          </w:tcPr>
          <w:p w14:paraId="4518D034">
            <w:pPr>
              <w:spacing w:line="380" w:lineRule="exact"/>
              <w:jc w:val="center"/>
              <w:rPr>
                <w:rFonts w:hint="eastAsia" w:ascii="宋体" w:hAnsi="宋体" w:cs="宋体"/>
                <w:bCs/>
                <w:sz w:val="24"/>
              </w:rPr>
            </w:pPr>
            <w:r>
              <w:rPr>
                <w:rFonts w:hint="eastAsia" w:ascii="宋体" w:hAnsi="宋体" w:cs="宋体"/>
                <w:bCs/>
                <w:sz w:val="24"/>
              </w:rPr>
              <w:t>#</w:t>
            </w:r>
          </w:p>
        </w:tc>
        <w:tc>
          <w:tcPr>
            <w:tcW w:w="1290" w:type="dxa"/>
            <w:noWrap w:val="0"/>
            <w:vAlign w:val="center"/>
          </w:tcPr>
          <w:p w14:paraId="57E92EC8">
            <w:pPr>
              <w:widowControl/>
              <w:rPr>
                <w:rFonts w:hint="eastAsia" w:ascii="宋体" w:hAnsi="宋体" w:cs="宋体"/>
                <w:bCs/>
                <w:sz w:val="24"/>
              </w:rPr>
            </w:pPr>
            <w:r>
              <w:rPr>
                <w:rFonts w:hint="eastAsia" w:ascii="宋体" w:hAnsi="宋体" w:cs="宋体"/>
                <w:bCs/>
                <w:sz w:val="24"/>
              </w:rPr>
              <w:t>防误</w:t>
            </w:r>
            <w:r>
              <w:rPr>
                <w:rFonts w:hint="eastAsia" w:ascii="宋体" w:hAnsi="宋体" w:eastAsia="宋体" w:cs="宋体"/>
                <w:bCs/>
                <w:color w:val="000000"/>
                <w:kern w:val="2"/>
                <w:sz w:val="24"/>
                <w:szCs w:val="24"/>
                <w:lang w:val="en-US" w:eastAsia="zh-CN" w:bidi="ar-SA"/>
              </w:rPr>
              <w:t>封列表</w:t>
            </w:r>
          </w:p>
        </w:tc>
        <w:tc>
          <w:tcPr>
            <w:tcW w:w="4605" w:type="dxa"/>
            <w:noWrap w:val="0"/>
            <w:vAlign w:val="center"/>
          </w:tcPr>
          <w:p w14:paraId="4B564588">
            <w:pPr>
              <w:spacing w:line="380" w:lineRule="exact"/>
              <w:rPr>
                <w:rFonts w:hint="eastAsia" w:ascii="宋体" w:hAnsi="宋体" w:cs="宋体"/>
                <w:bCs/>
                <w:color w:val="000000"/>
                <w:sz w:val="24"/>
              </w:rPr>
            </w:pPr>
            <w:r>
              <w:rPr>
                <w:rFonts w:hint="eastAsia" w:ascii="宋体" w:hAnsi="宋体" w:cs="宋体"/>
                <w:bCs/>
                <w:color w:val="000000"/>
                <w:sz w:val="24"/>
                <w:lang w:val="en-US" w:eastAsia="zh-CN"/>
              </w:rPr>
              <w:t>能够</w:t>
            </w:r>
            <w:r>
              <w:rPr>
                <w:rFonts w:hint="eastAsia" w:ascii="宋体" w:hAnsi="宋体" w:cs="宋体"/>
                <w:bCs/>
                <w:color w:val="000000"/>
                <w:sz w:val="24"/>
              </w:rPr>
              <w:t>将CDN、云WAF等代理IP、域名加入防误封列表，防止相关IP/域名由于误操作被加入至全局黑名单。</w:t>
            </w:r>
          </w:p>
        </w:tc>
        <w:tc>
          <w:tcPr>
            <w:tcW w:w="1824" w:type="dxa"/>
            <w:noWrap w:val="0"/>
            <w:vAlign w:val="center"/>
          </w:tcPr>
          <w:p w14:paraId="203BAE1E">
            <w:pPr>
              <w:spacing w:line="380" w:lineRule="exact"/>
              <w:jc w:val="center"/>
              <w:rPr>
                <w:rFonts w:hint="eastAsia" w:ascii="宋体" w:hAnsi="宋体" w:cs="宋体"/>
                <w:bCs/>
                <w:sz w:val="24"/>
              </w:rPr>
            </w:pPr>
            <w:r>
              <w:rPr>
                <w:rFonts w:hint="eastAsia" w:ascii="宋体" w:hAnsi="宋体" w:cs="宋体"/>
                <w:bCs/>
                <w:sz w:val="24"/>
              </w:rPr>
              <w:t>提供加盖原厂公章的证明材料</w:t>
            </w:r>
          </w:p>
        </w:tc>
      </w:tr>
      <w:tr w14:paraId="6764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27" w:type="dxa"/>
            <w:noWrap w:val="0"/>
            <w:vAlign w:val="center"/>
          </w:tcPr>
          <w:p w14:paraId="1D0C5660">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7.</w:t>
            </w:r>
          </w:p>
        </w:tc>
        <w:tc>
          <w:tcPr>
            <w:tcW w:w="1005" w:type="dxa"/>
            <w:noWrap w:val="0"/>
            <w:vAlign w:val="center"/>
          </w:tcPr>
          <w:p w14:paraId="56E8F174">
            <w:pPr>
              <w:spacing w:line="380" w:lineRule="exact"/>
              <w:jc w:val="center"/>
              <w:rPr>
                <w:rFonts w:hint="eastAsia" w:ascii="宋体" w:hAnsi="宋体" w:cs="宋体"/>
                <w:bCs/>
                <w:sz w:val="24"/>
              </w:rPr>
            </w:pPr>
          </w:p>
        </w:tc>
        <w:tc>
          <w:tcPr>
            <w:tcW w:w="1290" w:type="dxa"/>
            <w:noWrap w:val="0"/>
            <w:vAlign w:val="center"/>
          </w:tcPr>
          <w:p w14:paraId="32F6FB83">
            <w:pPr>
              <w:widowControl/>
              <w:rPr>
                <w:rFonts w:hint="eastAsia" w:ascii="宋体" w:hAnsi="宋体" w:cs="宋体"/>
                <w:bCs/>
                <w:sz w:val="24"/>
              </w:rPr>
            </w:pPr>
            <w:r>
              <w:rPr>
                <w:rFonts w:hint="eastAsia" w:ascii="宋体" w:hAnsi="宋体" w:cs="宋体"/>
                <w:bCs/>
                <w:sz w:val="24"/>
              </w:rPr>
              <w:t>APT</w:t>
            </w:r>
            <w:r>
              <w:rPr>
                <w:rFonts w:hint="eastAsia" w:ascii="宋体" w:hAnsi="宋体" w:eastAsia="宋体" w:cs="宋体"/>
                <w:bCs/>
                <w:color w:val="000000"/>
                <w:kern w:val="2"/>
                <w:sz w:val="24"/>
                <w:szCs w:val="24"/>
                <w:lang w:val="en-US" w:eastAsia="zh-CN" w:bidi="ar-SA"/>
              </w:rPr>
              <w:t>攻击防护</w:t>
            </w:r>
          </w:p>
        </w:tc>
        <w:tc>
          <w:tcPr>
            <w:tcW w:w="4605" w:type="dxa"/>
            <w:noWrap w:val="0"/>
            <w:vAlign w:val="center"/>
          </w:tcPr>
          <w:p w14:paraId="6D686E9C">
            <w:pPr>
              <w:spacing w:line="380" w:lineRule="exact"/>
              <w:rPr>
                <w:rFonts w:hint="eastAsia" w:ascii="宋体" w:hAnsi="宋体" w:cs="宋体"/>
                <w:bCs/>
                <w:color w:val="000000"/>
                <w:sz w:val="24"/>
              </w:rPr>
            </w:pPr>
            <w:r>
              <w:rPr>
                <w:rFonts w:hint="eastAsia" w:ascii="宋体" w:hAnsi="宋体" w:cs="宋体"/>
                <w:bCs/>
                <w:color w:val="000000"/>
                <w:sz w:val="24"/>
                <w:lang w:val="en-US" w:eastAsia="zh-CN"/>
              </w:rPr>
              <w:t>具备</w:t>
            </w:r>
            <w:r>
              <w:rPr>
                <w:rFonts w:hint="eastAsia" w:ascii="宋体" w:hAnsi="宋体" w:cs="宋体"/>
                <w:bCs/>
                <w:color w:val="000000"/>
                <w:sz w:val="24"/>
              </w:rPr>
              <w:t>针对APT攻击的网络威胁进行专项防护</w:t>
            </w:r>
            <w:r>
              <w:rPr>
                <w:rFonts w:hint="eastAsia" w:ascii="宋体" w:hAnsi="宋体" w:cs="宋体"/>
                <w:bCs/>
                <w:color w:val="000000"/>
                <w:sz w:val="24"/>
                <w:lang w:val="en-US" w:eastAsia="zh-CN"/>
              </w:rPr>
              <w:t>能力</w:t>
            </w:r>
            <w:r>
              <w:rPr>
                <w:rFonts w:hint="eastAsia" w:ascii="宋体" w:hAnsi="宋体" w:cs="宋体"/>
                <w:bCs/>
                <w:color w:val="000000"/>
                <w:sz w:val="24"/>
              </w:rPr>
              <w:t>，</w:t>
            </w:r>
            <w:r>
              <w:rPr>
                <w:rFonts w:hint="eastAsia" w:ascii="宋体" w:hAnsi="宋体" w:cs="宋体"/>
                <w:bCs/>
                <w:color w:val="000000"/>
                <w:sz w:val="24"/>
                <w:lang w:val="en-US" w:eastAsia="zh-CN"/>
              </w:rPr>
              <w:t>能</w:t>
            </w:r>
            <w:r>
              <w:rPr>
                <w:rFonts w:hint="eastAsia" w:ascii="宋体" w:hAnsi="宋体" w:cs="宋体"/>
                <w:bCs/>
                <w:color w:val="000000"/>
                <w:sz w:val="24"/>
              </w:rPr>
              <w:t>对APT组织攻击行为的检测和拦截，具备APT攻击防护场景的安全策略设置、检测防护效果专项页面。</w:t>
            </w:r>
          </w:p>
        </w:tc>
        <w:tc>
          <w:tcPr>
            <w:tcW w:w="1824" w:type="dxa"/>
            <w:noWrap w:val="0"/>
            <w:vAlign w:val="center"/>
          </w:tcPr>
          <w:p w14:paraId="0C62A48B">
            <w:pPr>
              <w:jc w:val="center"/>
              <w:rPr>
                <w:rFonts w:hint="eastAsia" w:ascii="宋体" w:hAnsi="宋体" w:cs="宋体"/>
                <w:bCs/>
                <w:sz w:val="24"/>
              </w:rPr>
            </w:pPr>
            <w:r>
              <w:rPr>
                <w:rFonts w:hint="eastAsia" w:ascii="宋体" w:hAnsi="宋体" w:cs="宋体"/>
                <w:bCs/>
                <w:sz w:val="24"/>
              </w:rPr>
              <w:t>否</w:t>
            </w:r>
          </w:p>
        </w:tc>
      </w:tr>
      <w:tr w14:paraId="5526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27" w:type="dxa"/>
            <w:noWrap w:val="0"/>
            <w:vAlign w:val="center"/>
          </w:tcPr>
          <w:p w14:paraId="2E05A03E">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8.</w:t>
            </w:r>
          </w:p>
        </w:tc>
        <w:tc>
          <w:tcPr>
            <w:tcW w:w="1005" w:type="dxa"/>
            <w:noWrap w:val="0"/>
            <w:vAlign w:val="center"/>
          </w:tcPr>
          <w:p w14:paraId="59CEB587">
            <w:pPr>
              <w:spacing w:line="380" w:lineRule="exact"/>
              <w:jc w:val="center"/>
              <w:rPr>
                <w:rFonts w:hint="eastAsia" w:ascii="宋体" w:hAnsi="宋体" w:cs="宋体"/>
                <w:bCs/>
                <w:sz w:val="24"/>
              </w:rPr>
            </w:pPr>
          </w:p>
        </w:tc>
        <w:tc>
          <w:tcPr>
            <w:tcW w:w="1290" w:type="dxa"/>
            <w:noWrap w:val="0"/>
            <w:vAlign w:val="center"/>
          </w:tcPr>
          <w:p w14:paraId="23EFBD08">
            <w:pPr>
              <w:widowControl/>
              <w:rPr>
                <w:rFonts w:hint="eastAsia" w:ascii="宋体" w:hAnsi="宋体" w:cs="宋体"/>
                <w:bCs/>
                <w:sz w:val="24"/>
              </w:rPr>
            </w:pPr>
            <w:r>
              <w:rPr>
                <w:rFonts w:hint="eastAsia" w:ascii="宋体" w:hAnsi="宋体" w:cs="宋体"/>
                <w:bCs/>
                <w:sz w:val="24"/>
              </w:rPr>
              <w:t>失陷威胁防护</w:t>
            </w:r>
          </w:p>
        </w:tc>
        <w:tc>
          <w:tcPr>
            <w:tcW w:w="4605" w:type="dxa"/>
            <w:noWrap w:val="0"/>
            <w:vAlign w:val="center"/>
          </w:tcPr>
          <w:p w14:paraId="26C1A4FB">
            <w:pPr>
              <w:spacing w:line="380" w:lineRule="exact"/>
              <w:rPr>
                <w:rFonts w:hint="eastAsia" w:ascii="宋体" w:hAnsi="宋体" w:cs="宋体"/>
                <w:bCs/>
                <w:color w:val="000000"/>
                <w:sz w:val="24"/>
              </w:rPr>
            </w:pPr>
            <w:r>
              <w:rPr>
                <w:rFonts w:hint="eastAsia" w:ascii="宋体" w:hAnsi="宋体" w:cs="宋体"/>
                <w:bCs/>
                <w:color w:val="000000"/>
                <w:sz w:val="24"/>
              </w:rPr>
              <w:t>利用威胁情报针对勒索、钓鱼、APT、0day、恶意软件、挖矿等反连威胁进行专项防护。能够通过解析DNS流量，识别DNS反连的地址，对恶意DNS请求进行丢弃。</w:t>
            </w:r>
          </w:p>
        </w:tc>
        <w:tc>
          <w:tcPr>
            <w:tcW w:w="1824" w:type="dxa"/>
            <w:noWrap w:val="0"/>
            <w:vAlign w:val="center"/>
          </w:tcPr>
          <w:p w14:paraId="7F7463BE">
            <w:pPr>
              <w:jc w:val="center"/>
              <w:rPr>
                <w:rFonts w:hint="eastAsia" w:ascii="宋体" w:hAnsi="宋体" w:cs="宋体"/>
                <w:bCs/>
                <w:sz w:val="24"/>
              </w:rPr>
            </w:pPr>
            <w:r>
              <w:rPr>
                <w:rFonts w:hint="eastAsia" w:ascii="宋体" w:hAnsi="宋体" w:cs="宋体"/>
                <w:bCs/>
                <w:sz w:val="24"/>
              </w:rPr>
              <w:t>否</w:t>
            </w:r>
          </w:p>
        </w:tc>
      </w:tr>
      <w:tr w14:paraId="04D7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27" w:type="dxa"/>
            <w:noWrap w:val="0"/>
            <w:vAlign w:val="center"/>
          </w:tcPr>
          <w:p w14:paraId="526D0760">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9.</w:t>
            </w:r>
          </w:p>
        </w:tc>
        <w:tc>
          <w:tcPr>
            <w:tcW w:w="1005" w:type="dxa"/>
            <w:noWrap w:val="0"/>
            <w:vAlign w:val="center"/>
          </w:tcPr>
          <w:p w14:paraId="44D3C0EE">
            <w:pPr>
              <w:spacing w:line="380" w:lineRule="exact"/>
              <w:jc w:val="center"/>
              <w:rPr>
                <w:rFonts w:hint="eastAsia" w:ascii="宋体" w:hAnsi="宋体" w:cs="宋体"/>
                <w:bCs/>
                <w:sz w:val="24"/>
              </w:rPr>
            </w:pPr>
          </w:p>
        </w:tc>
        <w:tc>
          <w:tcPr>
            <w:tcW w:w="1290" w:type="dxa"/>
            <w:noWrap w:val="0"/>
            <w:vAlign w:val="center"/>
          </w:tcPr>
          <w:p w14:paraId="6B35596B">
            <w:pPr>
              <w:widowControl/>
              <w:rPr>
                <w:rFonts w:hint="eastAsia" w:ascii="宋体" w:hAnsi="宋体" w:cs="宋体"/>
                <w:bCs/>
                <w:sz w:val="24"/>
              </w:rPr>
            </w:pPr>
            <w:r>
              <w:rPr>
                <w:rFonts w:hint="eastAsia" w:ascii="宋体" w:hAnsi="宋体" w:cs="宋体"/>
                <w:bCs/>
                <w:sz w:val="24"/>
              </w:rPr>
              <w:t>失陷拦截能力</w:t>
            </w:r>
          </w:p>
        </w:tc>
        <w:tc>
          <w:tcPr>
            <w:tcW w:w="4605" w:type="dxa"/>
            <w:noWrap w:val="0"/>
            <w:vAlign w:val="center"/>
          </w:tcPr>
          <w:p w14:paraId="7CEAA065">
            <w:pPr>
              <w:spacing w:line="380" w:lineRule="exact"/>
              <w:rPr>
                <w:rFonts w:hint="eastAsia" w:ascii="宋体" w:hAnsi="宋体" w:cs="宋体"/>
                <w:bCs/>
                <w:color w:val="000000"/>
                <w:sz w:val="24"/>
              </w:rPr>
            </w:pPr>
            <w:r>
              <w:rPr>
                <w:rFonts w:hint="eastAsia" w:ascii="宋体" w:hAnsi="宋体" w:cs="宋体"/>
                <w:bCs/>
                <w:color w:val="000000"/>
                <w:sz w:val="24"/>
                <w:lang w:val="en-US" w:eastAsia="zh-CN"/>
              </w:rPr>
              <w:t>能够</w:t>
            </w:r>
            <w:r>
              <w:rPr>
                <w:rFonts w:hint="eastAsia" w:ascii="宋体" w:hAnsi="宋体" w:cs="宋体"/>
                <w:bCs/>
                <w:color w:val="000000"/>
                <w:sz w:val="24"/>
              </w:rPr>
              <w:t>利用规则检测模型，对主机对外的攻击流量进行检测，发现被控主机或失陷主机，并对威胁流量进行拦截。</w:t>
            </w:r>
          </w:p>
        </w:tc>
        <w:tc>
          <w:tcPr>
            <w:tcW w:w="1824" w:type="dxa"/>
            <w:noWrap w:val="0"/>
            <w:vAlign w:val="center"/>
          </w:tcPr>
          <w:p w14:paraId="369136F2">
            <w:pPr>
              <w:spacing w:line="380" w:lineRule="exact"/>
              <w:jc w:val="center"/>
              <w:rPr>
                <w:rFonts w:hint="eastAsia" w:ascii="宋体" w:hAnsi="宋体" w:cs="宋体"/>
                <w:bCs/>
                <w:sz w:val="24"/>
              </w:rPr>
            </w:pPr>
            <w:r>
              <w:rPr>
                <w:rFonts w:hint="eastAsia" w:ascii="宋体" w:hAnsi="宋体" w:cs="宋体"/>
                <w:bCs/>
                <w:sz w:val="24"/>
              </w:rPr>
              <w:t>否</w:t>
            </w:r>
          </w:p>
        </w:tc>
      </w:tr>
      <w:tr w14:paraId="0C78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noWrap w:val="0"/>
            <w:vAlign w:val="center"/>
          </w:tcPr>
          <w:p w14:paraId="1B3B55C6">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10.</w:t>
            </w:r>
          </w:p>
        </w:tc>
        <w:tc>
          <w:tcPr>
            <w:tcW w:w="1005" w:type="dxa"/>
            <w:noWrap w:val="0"/>
            <w:vAlign w:val="center"/>
          </w:tcPr>
          <w:p w14:paraId="588787FF">
            <w:pPr>
              <w:spacing w:line="380" w:lineRule="exact"/>
              <w:jc w:val="center"/>
              <w:rPr>
                <w:rFonts w:hint="eastAsia" w:ascii="宋体" w:hAnsi="宋体" w:cs="宋体"/>
                <w:bCs/>
                <w:sz w:val="24"/>
              </w:rPr>
            </w:pPr>
          </w:p>
        </w:tc>
        <w:tc>
          <w:tcPr>
            <w:tcW w:w="1290" w:type="dxa"/>
            <w:noWrap w:val="0"/>
            <w:vAlign w:val="center"/>
          </w:tcPr>
          <w:p w14:paraId="6B4964FB">
            <w:pPr>
              <w:widowControl/>
              <w:rPr>
                <w:rFonts w:hint="eastAsia" w:ascii="宋体" w:hAnsi="宋体" w:cs="宋体"/>
                <w:bCs/>
                <w:sz w:val="24"/>
              </w:rPr>
            </w:pPr>
            <w:r>
              <w:rPr>
                <w:rFonts w:hint="eastAsia" w:ascii="宋体" w:hAnsi="宋体" w:cs="宋体"/>
                <w:bCs/>
                <w:sz w:val="24"/>
              </w:rPr>
              <w:t>网络配置</w:t>
            </w:r>
          </w:p>
        </w:tc>
        <w:tc>
          <w:tcPr>
            <w:tcW w:w="4605" w:type="dxa"/>
            <w:noWrap w:val="0"/>
            <w:vAlign w:val="center"/>
          </w:tcPr>
          <w:p w14:paraId="3BE7D85D">
            <w:pPr>
              <w:spacing w:line="380" w:lineRule="exact"/>
              <w:rPr>
                <w:rFonts w:hint="eastAsia" w:ascii="宋体" w:hAnsi="宋体" w:cs="宋体"/>
                <w:bCs/>
                <w:color w:val="000000"/>
                <w:sz w:val="24"/>
              </w:rPr>
            </w:pPr>
            <w:r>
              <w:rPr>
                <w:rFonts w:hint="eastAsia" w:ascii="宋体" w:hAnsi="宋体" w:cs="宋体"/>
                <w:bCs/>
                <w:color w:val="000000"/>
                <w:sz w:val="24"/>
                <w:lang w:val="en-US" w:eastAsia="zh-CN"/>
              </w:rPr>
              <w:t>可对</w:t>
            </w:r>
            <w:r>
              <w:rPr>
                <w:rFonts w:hint="eastAsia" w:ascii="宋体" w:hAnsi="宋体" w:cs="宋体"/>
                <w:bCs/>
                <w:color w:val="000000"/>
                <w:sz w:val="24"/>
              </w:rPr>
              <w:t>IPV4和IPV6静态路由配置；</w:t>
            </w:r>
            <w:r>
              <w:rPr>
                <w:rFonts w:hint="eastAsia" w:ascii="宋体" w:hAnsi="宋体" w:cs="宋体"/>
                <w:bCs/>
                <w:color w:val="000000"/>
                <w:sz w:val="24"/>
                <w:lang w:val="en-US" w:eastAsia="zh-CN"/>
              </w:rPr>
              <w:t>能够</w:t>
            </w:r>
            <w:r>
              <w:rPr>
                <w:rFonts w:hint="eastAsia" w:ascii="宋体" w:hAnsi="宋体" w:cs="宋体"/>
                <w:bCs/>
                <w:color w:val="000000"/>
                <w:sz w:val="24"/>
              </w:rPr>
              <w:t>使用HTTP和HTTPS两种代理配置</w:t>
            </w:r>
            <w:r>
              <w:rPr>
                <w:rFonts w:hint="eastAsia" w:ascii="宋体" w:hAnsi="宋体" w:cs="宋体"/>
                <w:bCs/>
                <w:color w:val="000000"/>
                <w:sz w:val="24"/>
                <w:lang w:eastAsia="zh-CN"/>
              </w:rPr>
              <w:t>、</w:t>
            </w:r>
            <w:r>
              <w:rPr>
                <w:rFonts w:hint="eastAsia" w:ascii="宋体" w:hAnsi="宋体" w:cs="宋体"/>
                <w:bCs/>
                <w:color w:val="000000"/>
                <w:sz w:val="24"/>
              </w:rPr>
              <w:t>对物理接口进行访问控制管理，</w:t>
            </w:r>
            <w:r>
              <w:rPr>
                <w:rFonts w:hint="eastAsia" w:ascii="宋体" w:hAnsi="宋体" w:cs="宋体"/>
                <w:bCs/>
                <w:color w:val="000000"/>
                <w:sz w:val="24"/>
                <w:lang w:val="en-US" w:eastAsia="zh-CN"/>
              </w:rPr>
              <w:t>具备</w:t>
            </w:r>
            <w:r>
              <w:rPr>
                <w:rFonts w:hint="eastAsia" w:ascii="宋体" w:hAnsi="宋体" w:cs="宋体"/>
                <w:bCs/>
                <w:color w:val="000000"/>
                <w:sz w:val="24"/>
              </w:rPr>
              <w:t>HTTP、HTTPS、SSH、Telnet、Ping等协议类型的访问限制。</w:t>
            </w:r>
          </w:p>
        </w:tc>
        <w:tc>
          <w:tcPr>
            <w:tcW w:w="1824" w:type="dxa"/>
            <w:noWrap w:val="0"/>
            <w:vAlign w:val="center"/>
          </w:tcPr>
          <w:p w14:paraId="208B8B01">
            <w:pPr>
              <w:spacing w:line="380" w:lineRule="exact"/>
              <w:jc w:val="center"/>
              <w:rPr>
                <w:rFonts w:hint="eastAsia" w:ascii="宋体" w:hAnsi="宋体" w:cs="宋体"/>
                <w:bCs/>
                <w:sz w:val="24"/>
              </w:rPr>
            </w:pPr>
            <w:r>
              <w:rPr>
                <w:rFonts w:hint="eastAsia" w:ascii="宋体" w:hAnsi="宋体" w:cs="宋体"/>
                <w:bCs/>
                <w:sz w:val="24"/>
              </w:rPr>
              <w:t>否</w:t>
            </w:r>
          </w:p>
        </w:tc>
      </w:tr>
      <w:tr w14:paraId="3D90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27" w:type="dxa"/>
            <w:noWrap w:val="0"/>
            <w:vAlign w:val="center"/>
          </w:tcPr>
          <w:p w14:paraId="70105A72">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11.</w:t>
            </w:r>
          </w:p>
        </w:tc>
        <w:tc>
          <w:tcPr>
            <w:tcW w:w="1005" w:type="dxa"/>
            <w:noWrap w:val="0"/>
            <w:vAlign w:val="center"/>
          </w:tcPr>
          <w:p w14:paraId="4CD42E44">
            <w:pPr>
              <w:spacing w:line="380" w:lineRule="exact"/>
              <w:jc w:val="center"/>
              <w:rPr>
                <w:rFonts w:hint="eastAsia" w:ascii="宋体" w:hAnsi="宋体" w:cs="宋体"/>
                <w:bCs/>
                <w:sz w:val="24"/>
              </w:rPr>
            </w:pPr>
          </w:p>
        </w:tc>
        <w:tc>
          <w:tcPr>
            <w:tcW w:w="1290" w:type="dxa"/>
            <w:noWrap w:val="0"/>
            <w:vAlign w:val="center"/>
          </w:tcPr>
          <w:p w14:paraId="0B989742">
            <w:pPr>
              <w:widowControl/>
              <w:rPr>
                <w:rFonts w:hint="eastAsia" w:ascii="宋体" w:hAnsi="宋体" w:cs="宋体"/>
                <w:bCs/>
                <w:sz w:val="24"/>
              </w:rPr>
            </w:pPr>
            <w:r>
              <w:rPr>
                <w:rFonts w:hint="eastAsia" w:ascii="宋体" w:hAnsi="宋体" w:cs="宋体"/>
                <w:bCs/>
                <w:sz w:val="24"/>
              </w:rPr>
              <w:t>联动阻断</w:t>
            </w:r>
          </w:p>
        </w:tc>
        <w:tc>
          <w:tcPr>
            <w:tcW w:w="4605" w:type="dxa"/>
            <w:noWrap w:val="0"/>
            <w:vAlign w:val="center"/>
          </w:tcPr>
          <w:p w14:paraId="38277D40">
            <w:pPr>
              <w:spacing w:line="380" w:lineRule="exact"/>
              <w:rPr>
                <w:rFonts w:hint="eastAsia" w:ascii="宋体" w:hAnsi="宋体" w:cs="宋体"/>
                <w:bCs/>
                <w:color w:val="000000"/>
                <w:sz w:val="24"/>
              </w:rPr>
            </w:pPr>
            <w:r>
              <w:rPr>
                <w:rFonts w:hint="eastAsia" w:ascii="宋体" w:hAnsi="宋体" w:cs="宋体"/>
                <w:bCs/>
                <w:color w:val="000000"/>
                <w:sz w:val="24"/>
                <w:lang w:val="en-US" w:eastAsia="zh-CN"/>
              </w:rPr>
              <w:t>能够</w:t>
            </w:r>
            <w:r>
              <w:rPr>
                <w:rFonts w:hint="eastAsia" w:ascii="宋体" w:hAnsi="宋体" w:cs="宋体"/>
                <w:bCs/>
                <w:color w:val="000000"/>
                <w:sz w:val="24"/>
              </w:rPr>
              <w:t>通过API接口调用/Syslog调用的方式和三方设备进行联动，获取需要拦截的ip或域名，进行专项封禁。</w:t>
            </w:r>
          </w:p>
        </w:tc>
        <w:tc>
          <w:tcPr>
            <w:tcW w:w="1824" w:type="dxa"/>
            <w:noWrap w:val="0"/>
            <w:vAlign w:val="center"/>
          </w:tcPr>
          <w:p w14:paraId="0CFF6E78">
            <w:pPr>
              <w:jc w:val="center"/>
              <w:rPr>
                <w:rFonts w:hint="eastAsia" w:ascii="宋体" w:hAnsi="宋体" w:cs="宋体"/>
                <w:bCs/>
                <w:sz w:val="24"/>
              </w:rPr>
            </w:pPr>
            <w:r>
              <w:rPr>
                <w:rFonts w:hint="eastAsia" w:ascii="宋体" w:hAnsi="宋体" w:cs="宋体"/>
                <w:bCs/>
                <w:sz w:val="24"/>
              </w:rPr>
              <w:t>否</w:t>
            </w:r>
          </w:p>
        </w:tc>
      </w:tr>
      <w:tr w14:paraId="52E7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627" w:type="dxa"/>
            <w:noWrap w:val="0"/>
            <w:vAlign w:val="center"/>
          </w:tcPr>
          <w:p w14:paraId="3DB4CFA5">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12.</w:t>
            </w:r>
          </w:p>
        </w:tc>
        <w:tc>
          <w:tcPr>
            <w:tcW w:w="1005" w:type="dxa"/>
            <w:noWrap w:val="0"/>
            <w:vAlign w:val="center"/>
          </w:tcPr>
          <w:p w14:paraId="05CCF66B">
            <w:pPr>
              <w:spacing w:line="380" w:lineRule="exact"/>
              <w:jc w:val="center"/>
              <w:rPr>
                <w:rFonts w:hint="eastAsia" w:ascii="宋体" w:hAnsi="宋体" w:cs="宋体"/>
                <w:bCs/>
                <w:sz w:val="24"/>
              </w:rPr>
            </w:pPr>
          </w:p>
        </w:tc>
        <w:tc>
          <w:tcPr>
            <w:tcW w:w="1290" w:type="dxa"/>
            <w:noWrap w:val="0"/>
            <w:vAlign w:val="center"/>
          </w:tcPr>
          <w:p w14:paraId="1EB22AA2">
            <w:pPr>
              <w:widowControl/>
              <w:rPr>
                <w:rFonts w:hint="eastAsia" w:ascii="宋体" w:hAnsi="宋体" w:cs="宋体"/>
                <w:bCs/>
                <w:sz w:val="24"/>
              </w:rPr>
            </w:pPr>
            <w:r>
              <w:rPr>
                <w:rFonts w:hint="eastAsia" w:ascii="宋体" w:hAnsi="宋体" w:cs="宋体"/>
                <w:bCs/>
                <w:sz w:val="24"/>
              </w:rPr>
              <w:t>封禁策略</w:t>
            </w:r>
          </w:p>
        </w:tc>
        <w:tc>
          <w:tcPr>
            <w:tcW w:w="4605" w:type="dxa"/>
            <w:noWrap w:val="0"/>
            <w:vAlign w:val="center"/>
          </w:tcPr>
          <w:p w14:paraId="02783B91">
            <w:pPr>
              <w:spacing w:line="380" w:lineRule="exact"/>
              <w:rPr>
                <w:rFonts w:hint="eastAsia" w:ascii="宋体" w:hAnsi="宋体" w:cs="宋体"/>
                <w:bCs/>
                <w:color w:val="000000"/>
                <w:sz w:val="24"/>
              </w:rPr>
            </w:pPr>
            <w:r>
              <w:rPr>
                <w:rFonts w:hint="eastAsia" w:ascii="宋体" w:hAnsi="宋体" w:cs="宋体"/>
                <w:bCs/>
                <w:color w:val="000000"/>
                <w:sz w:val="24"/>
                <w:lang w:val="en-US" w:eastAsia="zh-CN"/>
              </w:rPr>
              <w:t>具备</w:t>
            </w:r>
            <w:r>
              <w:rPr>
                <w:rFonts w:hint="eastAsia" w:ascii="宋体" w:hAnsi="宋体" w:cs="宋体"/>
                <w:bCs/>
                <w:color w:val="000000"/>
                <w:sz w:val="24"/>
              </w:rPr>
              <w:t>自定义设置封禁策略，策略包括但不限于地理位置、严重级别、威胁名称、封禁时间、攻击方向等。</w:t>
            </w:r>
          </w:p>
        </w:tc>
        <w:tc>
          <w:tcPr>
            <w:tcW w:w="1824" w:type="dxa"/>
            <w:noWrap w:val="0"/>
            <w:vAlign w:val="center"/>
          </w:tcPr>
          <w:p w14:paraId="66370E34">
            <w:pPr>
              <w:spacing w:line="380" w:lineRule="exact"/>
              <w:jc w:val="center"/>
              <w:rPr>
                <w:rFonts w:hint="eastAsia" w:ascii="宋体" w:hAnsi="宋体" w:cs="宋体"/>
                <w:bCs/>
                <w:sz w:val="24"/>
              </w:rPr>
            </w:pPr>
            <w:r>
              <w:rPr>
                <w:rFonts w:hint="eastAsia" w:ascii="宋体" w:hAnsi="宋体" w:cs="宋体"/>
                <w:bCs/>
                <w:sz w:val="24"/>
              </w:rPr>
              <w:t>否</w:t>
            </w:r>
          </w:p>
        </w:tc>
      </w:tr>
      <w:tr w14:paraId="1227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627" w:type="dxa"/>
            <w:noWrap w:val="0"/>
            <w:vAlign w:val="center"/>
          </w:tcPr>
          <w:p w14:paraId="3F4702BA">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13.</w:t>
            </w:r>
          </w:p>
        </w:tc>
        <w:tc>
          <w:tcPr>
            <w:tcW w:w="1005" w:type="dxa"/>
            <w:noWrap w:val="0"/>
            <w:vAlign w:val="center"/>
          </w:tcPr>
          <w:p w14:paraId="3B278CC8">
            <w:pPr>
              <w:spacing w:line="380" w:lineRule="exact"/>
              <w:jc w:val="center"/>
              <w:rPr>
                <w:rFonts w:hint="eastAsia" w:ascii="宋体" w:hAnsi="宋体" w:cs="宋体"/>
                <w:bCs/>
                <w:sz w:val="24"/>
              </w:rPr>
            </w:pPr>
            <w:r>
              <w:rPr>
                <w:rFonts w:hint="eastAsia" w:ascii="宋体" w:hAnsi="宋体" w:cs="宋体"/>
                <w:bCs/>
                <w:sz w:val="24"/>
              </w:rPr>
              <w:t>#</w:t>
            </w:r>
          </w:p>
        </w:tc>
        <w:tc>
          <w:tcPr>
            <w:tcW w:w="1290" w:type="dxa"/>
            <w:noWrap w:val="0"/>
            <w:vAlign w:val="center"/>
          </w:tcPr>
          <w:p w14:paraId="65F3D9CD">
            <w:pPr>
              <w:widowControl/>
              <w:rPr>
                <w:rFonts w:hint="eastAsia" w:ascii="宋体" w:hAnsi="宋体" w:cs="宋体"/>
                <w:bCs/>
                <w:sz w:val="24"/>
              </w:rPr>
            </w:pPr>
            <w:r>
              <w:rPr>
                <w:rFonts w:hint="eastAsia" w:ascii="宋体" w:hAnsi="宋体" w:cs="宋体"/>
                <w:bCs/>
                <w:sz w:val="24"/>
              </w:rPr>
              <w:t>旁路阻断</w:t>
            </w:r>
          </w:p>
        </w:tc>
        <w:tc>
          <w:tcPr>
            <w:tcW w:w="4605" w:type="dxa"/>
            <w:noWrap w:val="0"/>
            <w:vAlign w:val="center"/>
          </w:tcPr>
          <w:p w14:paraId="7E1CF563">
            <w:pPr>
              <w:adjustRightInd w:val="0"/>
              <w:snapToGrid w:val="0"/>
              <w:rPr>
                <w:rFonts w:hint="eastAsia" w:ascii="宋体" w:hAnsi="宋体" w:cs="宋体"/>
                <w:bCs/>
                <w:color w:val="000000"/>
                <w:sz w:val="24"/>
              </w:rPr>
            </w:pPr>
            <w:r>
              <w:rPr>
                <w:rFonts w:hint="eastAsia" w:ascii="宋体" w:hAnsi="宋体" w:cs="宋体"/>
                <w:bCs/>
                <w:color w:val="000000"/>
                <w:sz w:val="24"/>
              </w:rPr>
              <w:t>旁路部署模式下对威胁进行有效阻断，需要同时</w:t>
            </w:r>
            <w:r>
              <w:rPr>
                <w:rFonts w:hint="eastAsia" w:ascii="宋体" w:hAnsi="宋体" w:cs="宋体"/>
                <w:bCs/>
                <w:color w:val="000000"/>
                <w:sz w:val="24"/>
                <w:lang w:val="en-US" w:eastAsia="zh-CN"/>
              </w:rPr>
              <w:t>满足</w:t>
            </w:r>
            <w:r>
              <w:rPr>
                <w:rFonts w:hint="eastAsia" w:ascii="宋体" w:hAnsi="宋体" w:cs="宋体"/>
                <w:bCs/>
                <w:color w:val="000000"/>
                <w:sz w:val="24"/>
              </w:rPr>
              <w:t>对TCP连接和UDP连接的阻断，阻断率不低于99%。</w:t>
            </w:r>
          </w:p>
        </w:tc>
        <w:tc>
          <w:tcPr>
            <w:tcW w:w="1824" w:type="dxa"/>
            <w:noWrap w:val="0"/>
            <w:vAlign w:val="center"/>
          </w:tcPr>
          <w:p w14:paraId="6F09D66E">
            <w:pPr>
              <w:spacing w:line="380" w:lineRule="exact"/>
              <w:jc w:val="center"/>
              <w:rPr>
                <w:rFonts w:hint="eastAsia" w:ascii="宋体" w:hAnsi="宋体" w:cs="宋体"/>
                <w:bCs/>
                <w:sz w:val="24"/>
              </w:rPr>
            </w:pPr>
            <w:r>
              <w:rPr>
                <w:rFonts w:hint="eastAsia" w:ascii="宋体" w:hAnsi="宋体" w:cs="宋体"/>
                <w:bCs/>
                <w:sz w:val="24"/>
              </w:rPr>
              <w:t>提供加盖原厂公章的证明材料或承诺函</w:t>
            </w:r>
          </w:p>
        </w:tc>
      </w:tr>
      <w:tr w14:paraId="1CEB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627" w:type="dxa"/>
            <w:noWrap w:val="0"/>
            <w:vAlign w:val="center"/>
          </w:tcPr>
          <w:p w14:paraId="092154E7">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14.</w:t>
            </w:r>
          </w:p>
        </w:tc>
        <w:tc>
          <w:tcPr>
            <w:tcW w:w="1005" w:type="dxa"/>
            <w:noWrap w:val="0"/>
            <w:vAlign w:val="center"/>
          </w:tcPr>
          <w:p w14:paraId="756B92CA">
            <w:pPr>
              <w:spacing w:line="380" w:lineRule="exact"/>
              <w:jc w:val="center"/>
              <w:rPr>
                <w:rFonts w:hint="eastAsia" w:ascii="宋体" w:hAnsi="宋体" w:cs="宋体"/>
                <w:bCs/>
                <w:sz w:val="24"/>
              </w:rPr>
            </w:pPr>
            <w:r>
              <w:rPr>
                <w:rFonts w:hint="eastAsia" w:ascii="宋体" w:hAnsi="宋体" w:cs="宋体"/>
                <w:bCs/>
                <w:sz w:val="24"/>
              </w:rPr>
              <w:t>#</w:t>
            </w:r>
          </w:p>
        </w:tc>
        <w:tc>
          <w:tcPr>
            <w:tcW w:w="1290" w:type="dxa"/>
            <w:noWrap w:val="0"/>
            <w:vAlign w:val="center"/>
          </w:tcPr>
          <w:p w14:paraId="14FA40A1">
            <w:pPr>
              <w:widowControl/>
              <w:spacing w:line="240" w:lineRule="auto"/>
              <w:rPr>
                <w:rFonts w:hint="eastAsia" w:ascii="宋体" w:hAnsi="宋体" w:cs="宋体"/>
                <w:bCs/>
                <w:sz w:val="24"/>
              </w:rPr>
            </w:pPr>
            <w:r>
              <w:rPr>
                <w:rFonts w:hint="eastAsia" w:ascii="宋体" w:hAnsi="宋体" w:eastAsia="宋体" w:cs="宋体"/>
                <w:bCs/>
                <w:color w:val="000000"/>
                <w:sz w:val="24"/>
              </w:rPr>
              <w:t>黑名单封禁</w:t>
            </w:r>
          </w:p>
        </w:tc>
        <w:tc>
          <w:tcPr>
            <w:tcW w:w="4605" w:type="dxa"/>
            <w:noWrap w:val="0"/>
            <w:vAlign w:val="center"/>
          </w:tcPr>
          <w:p w14:paraId="366E586F">
            <w:pPr>
              <w:adjustRightInd w:val="0"/>
              <w:snapToGrid w:val="0"/>
              <w:rPr>
                <w:rFonts w:hint="eastAsia" w:ascii="宋体" w:hAnsi="宋体" w:cs="宋体"/>
                <w:bCs/>
                <w:color w:val="000000"/>
                <w:sz w:val="24"/>
              </w:rPr>
            </w:pPr>
            <w:r>
              <w:rPr>
                <w:rFonts w:hint="eastAsia" w:ascii="宋体" w:hAnsi="宋体" w:cs="宋体"/>
                <w:bCs/>
                <w:color w:val="000000"/>
                <w:sz w:val="24"/>
              </w:rPr>
              <w:t>设备最大黑名单封禁策略≥</w:t>
            </w:r>
            <w:r>
              <w:rPr>
                <w:rFonts w:hint="eastAsia" w:ascii="宋体" w:hAnsi="宋体" w:cs="宋体"/>
                <w:bCs/>
                <w:sz w:val="24"/>
              </w:rPr>
              <w:t>20</w:t>
            </w:r>
            <w:r>
              <w:rPr>
                <w:rFonts w:hint="eastAsia" w:ascii="宋体" w:hAnsi="宋体" w:cs="宋体"/>
                <w:bCs/>
                <w:color w:val="000000"/>
                <w:sz w:val="24"/>
              </w:rPr>
              <w:t>W，最大封禁IP量级能够达到百万级。</w:t>
            </w:r>
          </w:p>
        </w:tc>
        <w:tc>
          <w:tcPr>
            <w:tcW w:w="1824" w:type="dxa"/>
            <w:noWrap w:val="0"/>
            <w:vAlign w:val="center"/>
          </w:tcPr>
          <w:p w14:paraId="6B7B6170">
            <w:pPr>
              <w:spacing w:line="380" w:lineRule="exact"/>
              <w:jc w:val="center"/>
              <w:rPr>
                <w:rFonts w:hint="eastAsia" w:ascii="宋体" w:hAnsi="宋体" w:cs="宋体"/>
                <w:bCs/>
                <w:sz w:val="24"/>
              </w:rPr>
            </w:pPr>
            <w:r>
              <w:rPr>
                <w:rFonts w:hint="eastAsia" w:ascii="宋体" w:hAnsi="宋体" w:cs="宋体"/>
                <w:bCs/>
                <w:sz w:val="24"/>
              </w:rPr>
              <w:t>提供加盖原厂公章的证明材料或承诺函</w:t>
            </w:r>
          </w:p>
        </w:tc>
      </w:tr>
      <w:tr w14:paraId="5B69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627" w:type="dxa"/>
            <w:noWrap w:val="0"/>
            <w:vAlign w:val="center"/>
          </w:tcPr>
          <w:p w14:paraId="72353276">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15.</w:t>
            </w:r>
          </w:p>
        </w:tc>
        <w:tc>
          <w:tcPr>
            <w:tcW w:w="1005" w:type="dxa"/>
            <w:noWrap w:val="0"/>
            <w:vAlign w:val="center"/>
          </w:tcPr>
          <w:p w14:paraId="6AE010A2">
            <w:pPr>
              <w:spacing w:line="380" w:lineRule="exact"/>
              <w:jc w:val="center"/>
              <w:rPr>
                <w:rFonts w:hint="eastAsia" w:ascii="宋体" w:hAnsi="宋体" w:cs="宋体"/>
                <w:bCs/>
                <w:sz w:val="24"/>
              </w:rPr>
            </w:pPr>
          </w:p>
        </w:tc>
        <w:tc>
          <w:tcPr>
            <w:tcW w:w="1290" w:type="dxa"/>
            <w:noWrap w:val="0"/>
            <w:vAlign w:val="center"/>
          </w:tcPr>
          <w:p w14:paraId="35F6C128">
            <w:pPr>
              <w:widowControl/>
              <w:rPr>
                <w:rFonts w:hint="eastAsia" w:ascii="宋体" w:hAnsi="宋体" w:cs="宋体"/>
                <w:bCs/>
                <w:sz w:val="24"/>
              </w:rPr>
            </w:pPr>
            <w:r>
              <w:rPr>
                <w:rFonts w:hint="eastAsia" w:ascii="宋体" w:hAnsi="宋体" w:cs="宋体"/>
                <w:bCs/>
                <w:sz w:val="24"/>
              </w:rPr>
              <w:t>XFF功能</w:t>
            </w:r>
          </w:p>
        </w:tc>
        <w:tc>
          <w:tcPr>
            <w:tcW w:w="4605" w:type="dxa"/>
            <w:noWrap w:val="0"/>
            <w:vAlign w:val="center"/>
          </w:tcPr>
          <w:p w14:paraId="0D6EA8AF">
            <w:pPr>
              <w:adjustRightInd w:val="0"/>
              <w:snapToGrid w:val="0"/>
              <w:rPr>
                <w:rFonts w:hint="eastAsia" w:ascii="宋体" w:hAnsi="宋体" w:cs="宋体"/>
                <w:bCs/>
                <w:color w:val="000000"/>
                <w:sz w:val="24"/>
              </w:rPr>
            </w:pPr>
            <w:r>
              <w:rPr>
                <w:rFonts w:hint="eastAsia" w:ascii="宋体" w:hAnsi="宋体" w:cs="宋体"/>
                <w:bCs/>
                <w:color w:val="000000"/>
                <w:sz w:val="24"/>
                <w:lang w:val="en-US" w:eastAsia="zh-CN"/>
              </w:rPr>
              <w:t>能够对</w:t>
            </w:r>
            <w:r>
              <w:rPr>
                <w:rFonts w:hint="eastAsia" w:ascii="宋体" w:hAnsi="宋体" w:cs="宋体"/>
                <w:bCs/>
                <w:color w:val="000000"/>
                <w:sz w:val="24"/>
              </w:rPr>
              <w:t>XFF真实源IP</w:t>
            </w:r>
            <w:r>
              <w:rPr>
                <w:rFonts w:hint="eastAsia" w:ascii="宋体" w:hAnsi="宋体" w:cs="宋体"/>
                <w:bCs/>
                <w:color w:val="000000"/>
                <w:sz w:val="24"/>
                <w:lang w:val="en-US" w:eastAsia="zh-CN"/>
              </w:rPr>
              <w:t>进行</w:t>
            </w:r>
            <w:r>
              <w:rPr>
                <w:rFonts w:hint="eastAsia" w:ascii="宋体" w:hAnsi="宋体" w:cs="宋体"/>
                <w:bCs/>
                <w:color w:val="000000"/>
                <w:sz w:val="24"/>
              </w:rPr>
              <w:t>提取，并</w:t>
            </w:r>
            <w:r>
              <w:rPr>
                <w:rFonts w:hint="eastAsia" w:ascii="宋体" w:hAnsi="宋体" w:cs="宋体"/>
                <w:bCs/>
                <w:color w:val="000000"/>
                <w:sz w:val="24"/>
                <w:lang w:val="en-US" w:eastAsia="zh-CN"/>
              </w:rPr>
              <w:t>能</w:t>
            </w:r>
            <w:r>
              <w:rPr>
                <w:rFonts w:hint="eastAsia" w:ascii="宋体" w:hAnsi="宋体" w:cs="宋体"/>
                <w:bCs/>
                <w:color w:val="000000"/>
                <w:sz w:val="24"/>
              </w:rPr>
              <w:t>按照出入站自定义提取策略。</w:t>
            </w:r>
          </w:p>
        </w:tc>
        <w:tc>
          <w:tcPr>
            <w:tcW w:w="1824" w:type="dxa"/>
            <w:noWrap w:val="0"/>
            <w:vAlign w:val="center"/>
          </w:tcPr>
          <w:p w14:paraId="76C261F5">
            <w:pPr>
              <w:spacing w:line="380" w:lineRule="exact"/>
              <w:jc w:val="center"/>
              <w:rPr>
                <w:rFonts w:hint="eastAsia" w:ascii="宋体" w:hAnsi="宋体" w:cs="宋体"/>
                <w:bCs/>
                <w:sz w:val="24"/>
              </w:rPr>
            </w:pPr>
            <w:r>
              <w:rPr>
                <w:rFonts w:hint="eastAsia" w:ascii="宋体" w:hAnsi="宋体" w:cs="宋体"/>
                <w:bCs/>
                <w:sz w:val="24"/>
              </w:rPr>
              <w:t>否</w:t>
            </w:r>
          </w:p>
        </w:tc>
      </w:tr>
      <w:tr w14:paraId="42E9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627" w:type="dxa"/>
            <w:noWrap w:val="0"/>
            <w:vAlign w:val="center"/>
          </w:tcPr>
          <w:p w14:paraId="631D737F">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16.</w:t>
            </w:r>
          </w:p>
        </w:tc>
        <w:tc>
          <w:tcPr>
            <w:tcW w:w="1005" w:type="dxa"/>
            <w:noWrap w:val="0"/>
            <w:vAlign w:val="center"/>
          </w:tcPr>
          <w:p w14:paraId="3CAF7391">
            <w:pPr>
              <w:spacing w:line="380" w:lineRule="exact"/>
              <w:jc w:val="center"/>
              <w:rPr>
                <w:rFonts w:hint="eastAsia" w:ascii="宋体" w:hAnsi="宋体" w:cs="宋体"/>
                <w:bCs/>
                <w:sz w:val="24"/>
              </w:rPr>
            </w:pPr>
            <w:r>
              <w:rPr>
                <w:rFonts w:hint="eastAsia" w:ascii="宋体" w:hAnsi="宋体" w:cs="宋体"/>
                <w:bCs/>
                <w:sz w:val="24"/>
              </w:rPr>
              <w:t>#</w:t>
            </w:r>
          </w:p>
        </w:tc>
        <w:tc>
          <w:tcPr>
            <w:tcW w:w="1290" w:type="dxa"/>
            <w:noWrap w:val="0"/>
            <w:vAlign w:val="center"/>
          </w:tcPr>
          <w:p w14:paraId="580D6A7F">
            <w:pPr>
              <w:widowControl/>
              <w:rPr>
                <w:rFonts w:hint="eastAsia" w:ascii="宋体" w:hAnsi="宋体" w:cs="宋体"/>
                <w:bCs/>
                <w:sz w:val="24"/>
              </w:rPr>
            </w:pPr>
            <w:r>
              <w:rPr>
                <w:rFonts w:hint="eastAsia" w:ascii="宋体" w:hAnsi="宋体" w:cs="宋体"/>
                <w:bCs/>
                <w:sz w:val="24"/>
              </w:rPr>
              <w:t>资产管理</w:t>
            </w:r>
          </w:p>
        </w:tc>
        <w:tc>
          <w:tcPr>
            <w:tcW w:w="4605" w:type="dxa"/>
            <w:noWrap w:val="0"/>
            <w:vAlign w:val="center"/>
          </w:tcPr>
          <w:p w14:paraId="12F78890">
            <w:pPr>
              <w:adjustRightInd w:val="0"/>
              <w:snapToGrid w:val="0"/>
              <w:rPr>
                <w:rFonts w:hint="eastAsia" w:ascii="宋体" w:hAnsi="宋体" w:cs="宋体"/>
                <w:bCs/>
                <w:color w:val="000000"/>
                <w:sz w:val="24"/>
              </w:rPr>
            </w:pPr>
            <w:r>
              <w:rPr>
                <w:rFonts w:hint="eastAsia" w:ascii="宋体" w:hAnsi="宋体" w:cs="宋体"/>
                <w:bCs/>
                <w:color w:val="000000"/>
                <w:sz w:val="24"/>
                <w:lang w:val="en-US" w:eastAsia="zh-CN"/>
              </w:rPr>
              <w:t>具备</w:t>
            </w:r>
            <w:r>
              <w:rPr>
                <w:rFonts w:hint="eastAsia" w:ascii="宋体" w:hAnsi="宋体" w:cs="宋体"/>
                <w:bCs/>
                <w:color w:val="000000"/>
                <w:sz w:val="24"/>
              </w:rPr>
              <w:t>资产管理能力，对资产分组进行管理，</w:t>
            </w:r>
            <w:r>
              <w:rPr>
                <w:rFonts w:hint="eastAsia" w:ascii="宋体" w:hAnsi="宋体" w:cs="宋体"/>
                <w:bCs/>
                <w:color w:val="000000"/>
                <w:sz w:val="24"/>
                <w:lang w:eastAsia="zh-CN"/>
              </w:rPr>
              <w:t>能够</w:t>
            </w:r>
            <w:r>
              <w:rPr>
                <w:rFonts w:hint="eastAsia" w:ascii="宋体" w:hAnsi="宋体" w:cs="宋体"/>
                <w:bCs/>
                <w:color w:val="000000"/>
                <w:sz w:val="24"/>
              </w:rPr>
              <w:t>自定义资产类型，</w:t>
            </w:r>
            <w:r>
              <w:rPr>
                <w:rFonts w:hint="eastAsia" w:ascii="宋体" w:hAnsi="宋体" w:cs="宋体"/>
                <w:bCs/>
                <w:color w:val="000000"/>
                <w:sz w:val="24"/>
                <w:lang w:eastAsia="zh-CN"/>
              </w:rPr>
              <w:t>能够</w:t>
            </w:r>
            <w:r>
              <w:rPr>
                <w:rFonts w:hint="eastAsia" w:ascii="宋体" w:hAnsi="宋体" w:cs="宋体"/>
                <w:bCs/>
                <w:color w:val="000000"/>
                <w:sz w:val="24"/>
              </w:rPr>
              <w:t>手动录入资产或文件批量录入资产，</w:t>
            </w:r>
            <w:r>
              <w:rPr>
                <w:rFonts w:hint="eastAsia" w:ascii="宋体" w:hAnsi="宋体" w:cs="宋体"/>
                <w:bCs/>
                <w:color w:val="000000"/>
                <w:sz w:val="24"/>
                <w:lang w:eastAsia="zh-CN"/>
              </w:rPr>
              <w:t>具备</w:t>
            </w:r>
            <w:r>
              <w:rPr>
                <w:rFonts w:hint="eastAsia" w:ascii="宋体" w:hAnsi="宋体" w:cs="宋体"/>
                <w:bCs/>
                <w:color w:val="000000"/>
                <w:sz w:val="24"/>
              </w:rPr>
              <w:t>资产信息一键导出功能。能根据资产进行策略配置，在告警显示对应资产名。</w:t>
            </w:r>
          </w:p>
        </w:tc>
        <w:tc>
          <w:tcPr>
            <w:tcW w:w="1824" w:type="dxa"/>
            <w:noWrap w:val="0"/>
            <w:vAlign w:val="center"/>
          </w:tcPr>
          <w:p w14:paraId="2FFDC90D">
            <w:pPr>
              <w:spacing w:line="380" w:lineRule="exact"/>
              <w:jc w:val="center"/>
              <w:rPr>
                <w:rFonts w:hint="eastAsia" w:ascii="宋体" w:hAnsi="宋体" w:cs="宋体"/>
                <w:bCs/>
                <w:sz w:val="24"/>
              </w:rPr>
            </w:pPr>
            <w:r>
              <w:rPr>
                <w:rFonts w:hint="eastAsia" w:ascii="宋体" w:hAnsi="宋体" w:cs="宋体"/>
                <w:bCs/>
                <w:sz w:val="24"/>
              </w:rPr>
              <w:t>提供加盖原厂公章的证明材料</w:t>
            </w:r>
          </w:p>
        </w:tc>
      </w:tr>
      <w:tr w14:paraId="3360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627" w:type="dxa"/>
            <w:noWrap w:val="0"/>
            <w:vAlign w:val="center"/>
          </w:tcPr>
          <w:p w14:paraId="01D3291C">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17.</w:t>
            </w:r>
          </w:p>
        </w:tc>
        <w:tc>
          <w:tcPr>
            <w:tcW w:w="1005" w:type="dxa"/>
            <w:noWrap w:val="0"/>
            <w:vAlign w:val="center"/>
          </w:tcPr>
          <w:p w14:paraId="05BC8219">
            <w:pPr>
              <w:spacing w:line="380" w:lineRule="exact"/>
              <w:jc w:val="center"/>
              <w:rPr>
                <w:rFonts w:hint="eastAsia" w:ascii="宋体" w:hAnsi="宋体" w:cs="宋体"/>
                <w:b/>
                <w:sz w:val="24"/>
              </w:rPr>
            </w:pPr>
            <w:r>
              <w:rPr>
                <w:rFonts w:hint="eastAsia" w:ascii="宋体" w:hAnsi="宋体" w:cs="宋体"/>
                <w:bCs/>
                <w:sz w:val="24"/>
              </w:rPr>
              <w:t>#</w:t>
            </w:r>
          </w:p>
        </w:tc>
        <w:tc>
          <w:tcPr>
            <w:tcW w:w="1290" w:type="dxa"/>
            <w:noWrap w:val="0"/>
            <w:vAlign w:val="center"/>
          </w:tcPr>
          <w:p w14:paraId="698EECBA">
            <w:pPr>
              <w:widowControl/>
              <w:rPr>
                <w:rFonts w:hint="eastAsia" w:ascii="宋体" w:hAnsi="宋体" w:cs="宋体"/>
                <w:bCs/>
                <w:sz w:val="24"/>
              </w:rPr>
            </w:pPr>
            <w:r>
              <w:rPr>
                <w:rFonts w:hint="eastAsia" w:ascii="宋体" w:hAnsi="宋体" w:cs="宋体"/>
                <w:bCs/>
                <w:sz w:val="24"/>
              </w:rPr>
              <w:t>失陷终端定位</w:t>
            </w:r>
          </w:p>
        </w:tc>
        <w:tc>
          <w:tcPr>
            <w:tcW w:w="4605" w:type="dxa"/>
            <w:noWrap w:val="0"/>
            <w:vAlign w:val="center"/>
          </w:tcPr>
          <w:p w14:paraId="7FBCB371">
            <w:pPr>
              <w:adjustRightInd w:val="0"/>
              <w:snapToGrid w:val="0"/>
              <w:rPr>
                <w:rFonts w:hint="eastAsia" w:ascii="宋体" w:hAnsi="宋体" w:cs="宋体"/>
                <w:bCs/>
                <w:color w:val="000000"/>
                <w:sz w:val="24"/>
              </w:rPr>
            </w:pPr>
            <w:r>
              <w:rPr>
                <w:rFonts w:hint="eastAsia" w:ascii="宋体" w:hAnsi="宋体" w:cs="宋体"/>
                <w:bCs/>
                <w:color w:val="000000"/>
                <w:sz w:val="24"/>
                <w:lang w:val="en-US" w:eastAsia="zh-CN"/>
              </w:rPr>
              <w:t>具备</w:t>
            </w:r>
            <w:r>
              <w:rPr>
                <w:rFonts w:hint="eastAsia" w:ascii="宋体" w:hAnsi="宋体" w:cs="宋体"/>
                <w:bCs/>
                <w:color w:val="000000"/>
                <w:sz w:val="24"/>
              </w:rPr>
              <w:t>在检出与阻断失陷终端反连恶意域名的同时，在系统界面直观展示失陷终端的真实IP；失陷终端定位</w:t>
            </w:r>
            <w:r>
              <w:rPr>
                <w:rFonts w:hint="eastAsia" w:ascii="宋体" w:hAnsi="宋体" w:cs="宋体"/>
                <w:bCs/>
                <w:color w:val="000000"/>
                <w:sz w:val="24"/>
                <w:lang w:eastAsia="zh-CN"/>
              </w:rPr>
              <w:t>具备</w:t>
            </w:r>
            <w:r>
              <w:rPr>
                <w:rFonts w:hint="eastAsia" w:ascii="宋体" w:hAnsi="宋体" w:cs="宋体"/>
                <w:bCs/>
                <w:color w:val="000000"/>
                <w:sz w:val="24"/>
              </w:rPr>
              <w:t>通过接入DNS服务器日志方式。</w:t>
            </w:r>
          </w:p>
        </w:tc>
        <w:tc>
          <w:tcPr>
            <w:tcW w:w="1824" w:type="dxa"/>
            <w:noWrap w:val="0"/>
            <w:vAlign w:val="center"/>
          </w:tcPr>
          <w:p w14:paraId="641D1029">
            <w:pPr>
              <w:spacing w:line="380" w:lineRule="exact"/>
              <w:jc w:val="center"/>
              <w:rPr>
                <w:rFonts w:hint="eastAsia" w:ascii="宋体" w:hAnsi="宋体" w:cs="宋体"/>
                <w:bCs/>
                <w:sz w:val="24"/>
              </w:rPr>
            </w:pPr>
            <w:r>
              <w:rPr>
                <w:rFonts w:hint="eastAsia" w:ascii="宋体" w:hAnsi="宋体" w:cs="宋体"/>
                <w:bCs/>
                <w:sz w:val="24"/>
              </w:rPr>
              <w:t>提供加盖原厂公章的证明材料</w:t>
            </w:r>
          </w:p>
        </w:tc>
      </w:tr>
      <w:tr w14:paraId="14BA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627" w:type="dxa"/>
            <w:noWrap w:val="0"/>
            <w:vAlign w:val="center"/>
          </w:tcPr>
          <w:p w14:paraId="4BFB0B75">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18.</w:t>
            </w:r>
          </w:p>
        </w:tc>
        <w:tc>
          <w:tcPr>
            <w:tcW w:w="1005" w:type="dxa"/>
            <w:noWrap w:val="0"/>
            <w:vAlign w:val="center"/>
          </w:tcPr>
          <w:p w14:paraId="0EAE8F79">
            <w:pPr>
              <w:spacing w:line="380" w:lineRule="exact"/>
              <w:jc w:val="center"/>
              <w:rPr>
                <w:rFonts w:hint="eastAsia" w:ascii="宋体" w:hAnsi="宋体" w:cs="宋体"/>
                <w:bCs/>
                <w:sz w:val="24"/>
              </w:rPr>
            </w:pPr>
          </w:p>
        </w:tc>
        <w:tc>
          <w:tcPr>
            <w:tcW w:w="1290" w:type="dxa"/>
            <w:noWrap w:val="0"/>
            <w:vAlign w:val="center"/>
          </w:tcPr>
          <w:p w14:paraId="1B3ED05E">
            <w:pPr>
              <w:widowControl/>
              <w:rPr>
                <w:rFonts w:hint="eastAsia" w:ascii="宋体" w:hAnsi="宋体" w:cs="宋体"/>
                <w:bCs/>
                <w:sz w:val="24"/>
              </w:rPr>
            </w:pPr>
            <w:r>
              <w:rPr>
                <w:rFonts w:hint="eastAsia" w:ascii="宋体" w:hAnsi="宋体" w:cs="宋体"/>
                <w:bCs/>
                <w:sz w:val="24"/>
              </w:rPr>
              <w:t>HTTP防护</w:t>
            </w:r>
          </w:p>
        </w:tc>
        <w:tc>
          <w:tcPr>
            <w:tcW w:w="4605" w:type="dxa"/>
            <w:noWrap w:val="0"/>
            <w:vAlign w:val="center"/>
          </w:tcPr>
          <w:p w14:paraId="68728816">
            <w:pPr>
              <w:adjustRightInd w:val="0"/>
              <w:snapToGrid w:val="0"/>
              <w:rPr>
                <w:rFonts w:hint="eastAsia" w:ascii="宋体" w:hAnsi="宋体" w:cs="宋体"/>
                <w:bCs/>
                <w:color w:val="000000"/>
                <w:sz w:val="24"/>
              </w:rPr>
            </w:pPr>
            <w:r>
              <w:rPr>
                <w:rFonts w:hint="eastAsia" w:ascii="宋体" w:hAnsi="宋体" w:cs="宋体"/>
                <w:bCs/>
                <w:color w:val="000000"/>
                <w:sz w:val="24"/>
                <w:lang w:val="en-US" w:eastAsia="zh-CN"/>
              </w:rPr>
              <w:t>能够</w:t>
            </w:r>
            <w:r>
              <w:rPr>
                <w:rFonts w:hint="eastAsia" w:ascii="宋体" w:hAnsi="宋体" w:cs="宋体"/>
                <w:bCs/>
                <w:color w:val="000000"/>
                <w:sz w:val="24"/>
              </w:rPr>
              <w:t>配置HTTP请求头来监测和阻断潜在的恶意流量，通过Http Header字段中URL、Referer、Host、User-Agent、Cookie、Http请求方法等字段及自定义请求参数进行组合防护。</w:t>
            </w:r>
          </w:p>
        </w:tc>
        <w:tc>
          <w:tcPr>
            <w:tcW w:w="1824" w:type="dxa"/>
            <w:noWrap w:val="0"/>
            <w:vAlign w:val="center"/>
          </w:tcPr>
          <w:p w14:paraId="120D6052">
            <w:pPr>
              <w:spacing w:line="380" w:lineRule="exact"/>
              <w:jc w:val="center"/>
              <w:rPr>
                <w:rFonts w:hint="eastAsia" w:ascii="宋体" w:hAnsi="宋体" w:cs="宋体"/>
                <w:bCs/>
                <w:sz w:val="24"/>
              </w:rPr>
            </w:pPr>
            <w:r>
              <w:rPr>
                <w:rFonts w:hint="eastAsia" w:ascii="宋体" w:hAnsi="宋体" w:cs="宋体"/>
                <w:bCs/>
                <w:sz w:val="24"/>
              </w:rPr>
              <w:t>否</w:t>
            </w:r>
          </w:p>
        </w:tc>
      </w:tr>
      <w:tr w14:paraId="38FD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627" w:type="dxa"/>
            <w:noWrap w:val="0"/>
            <w:vAlign w:val="center"/>
          </w:tcPr>
          <w:p w14:paraId="4F395A90">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19.</w:t>
            </w:r>
          </w:p>
        </w:tc>
        <w:tc>
          <w:tcPr>
            <w:tcW w:w="1005" w:type="dxa"/>
            <w:noWrap w:val="0"/>
            <w:vAlign w:val="center"/>
          </w:tcPr>
          <w:p w14:paraId="664638CF">
            <w:pPr>
              <w:spacing w:line="380" w:lineRule="exact"/>
              <w:jc w:val="center"/>
              <w:rPr>
                <w:rFonts w:hint="eastAsia" w:ascii="宋体" w:hAnsi="宋体" w:cs="宋体"/>
                <w:bCs/>
                <w:sz w:val="24"/>
              </w:rPr>
            </w:pPr>
          </w:p>
        </w:tc>
        <w:tc>
          <w:tcPr>
            <w:tcW w:w="1290" w:type="dxa"/>
            <w:noWrap w:val="0"/>
            <w:vAlign w:val="center"/>
          </w:tcPr>
          <w:p w14:paraId="4B6BC26F">
            <w:pPr>
              <w:widowControl/>
              <w:rPr>
                <w:rFonts w:hint="eastAsia" w:ascii="宋体" w:hAnsi="宋体" w:cs="宋体"/>
                <w:bCs/>
                <w:sz w:val="24"/>
              </w:rPr>
            </w:pPr>
            <w:r>
              <w:rPr>
                <w:rFonts w:hint="eastAsia" w:ascii="宋体" w:hAnsi="宋体" w:cs="宋体"/>
                <w:bCs/>
                <w:sz w:val="24"/>
              </w:rPr>
              <w:t>登录配置</w:t>
            </w:r>
          </w:p>
        </w:tc>
        <w:tc>
          <w:tcPr>
            <w:tcW w:w="4605" w:type="dxa"/>
            <w:noWrap w:val="0"/>
            <w:vAlign w:val="center"/>
          </w:tcPr>
          <w:p w14:paraId="4BFD1E80">
            <w:pPr>
              <w:adjustRightInd w:val="0"/>
              <w:snapToGrid w:val="0"/>
              <w:rPr>
                <w:rFonts w:hint="eastAsia" w:ascii="宋体" w:hAnsi="宋体" w:cs="宋体"/>
                <w:sz w:val="24"/>
              </w:rPr>
            </w:pPr>
            <w:r>
              <w:rPr>
                <w:rFonts w:hint="eastAsia" w:ascii="宋体" w:hAnsi="宋体" w:cs="宋体"/>
                <w:sz w:val="24"/>
                <w:lang w:val="en-US" w:eastAsia="zh-CN"/>
              </w:rPr>
              <w:t>能够</w:t>
            </w:r>
            <w:r>
              <w:rPr>
                <w:rFonts w:ascii="宋体" w:hAnsi="宋体" w:cs="宋体"/>
                <w:sz w:val="24"/>
              </w:rPr>
              <w:t>自定义设置登录超时时间，自定义时间内自动登录；</w:t>
            </w:r>
            <w:r>
              <w:rPr>
                <w:rFonts w:hint="eastAsia" w:ascii="宋体" w:hAnsi="宋体" w:cs="宋体"/>
                <w:sz w:val="24"/>
                <w:lang w:val="en-US" w:eastAsia="zh-CN"/>
              </w:rPr>
              <w:t>具备</w:t>
            </w:r>
            <w:r>
              <w:rPr>
                <w:rFonts w:ascii="宋体" w:hAnsi="宋体" w:cs="宋体"/>
                <w:sz w:val="24"/>
              </w:rPr>
              <w:t>自定义用户登录安全策略和密码有效期。</w:t>
            </w:r>
          </w:p>
        </w:tc>
        <w:tc>
          <w:tcPr>
            <w:tcW w:w="1824" w:type="dxa"/>
            <w:noWrap w:val="0"/>
            <w:vAlign w:val="center"/>
          </w:tcPr>
          <w:p w14:paraId="1A6C2C2D">
            <w:pPr>
              <w:spacing w:line="380" w:lineRule="exact"/>
              <w:jc w:val="center"/>
              <w:rPr>
                <w:rFonts w:hint="eastAsia" w:ascii="宋体" w:hAnsi="宋体" w:cs="宋体"/>
                <w:bCs/>
                <w:sz w:val="24"/>
              </w:rPr>
            </w:pPr>
            <w:r>
              <w:rPr>
                <w:rFonts w:hint="eastAsia" w:ascii="宋体" w:hAnsi="宋体" w:cs="宋体"/>
                <w:bCs/>
                <w:sz w:val="24"/>
              </w:rPr>
              <w:t>否</w:t>
            </w:r>
          </w:p>
        </w:tc>
      </w:tr>
      <w:tr w14:paraId="51B2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627" w:type="dxa"/>
            <w:noWrap w:val="0"/>
            <w:vAlign w:val="center"/>
          </w:tcPr>
          <w:p w14:paraId="07687F03">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20.</w:t>
            </w:r>
          </w:p>
        </w:tc>
        <w:tc>
          <w:tcPr>
            <w:tcW w:w="1005" w:type="dxa"/>
            <w:noWrap w:val="0"/>
            <w:vAlign w:val="center"/>
          </w:tcPr>
          <w:p w14:paraId="5312CAFC">
            <w:pPr>
              <w:spacing w:line="380" w:lineRule="exact"/>
              <w:jc w:val="center"/>
              <w:rPr>
                <w:rFonts w:hint="eastAsia" w:ascii="宋体" w:hAnsi="宋体" w:cs="宋体"/>
                <w:bCs/>
                <w:sz w:val="24"/>
              </w:rPr>
            </w:pPr>
          </w:p>
        </w:tc>
        <w:tc>
          <w:tcPr>
            <w:tcW w:w="1290" w:type="dxa"/>
            <w:noWrap w:val="0"/>
            <w:vAlign w:val="center"/>
          </w:tcPr>
          <w:p w14:paraId="287CCAB8">
            <w:pPr>
              <w:widowControl/>
              <w:rPr>
                <w:rFonts w:hint="eastAsia" w:ascii="宋体" w:hAnsi="宋体" w:cs="宋体"/>
                <w:bCs/>
                <w:sz w:val="24"/>
              </w:rPr>
            </w:pPr>
            <w:r>
              <w:rPr>
                <w:rFonts w:hint="eastAsia" w:ascii="宋体" w:hAnsi="宋体" w:cs="宋体"/>
                <w:bCs/>
                <w:sz w:val="24"/>
              </w:rPr>
              <w:t>系统工具</w:t>
            </w:r>
          </w:p>
        </w:tc>
        <w:tc>
          <w:tcPr>
            <w:tcW w:w="4605" w:type="dxa"/>
            <w:noWrap w:val="0"/>
            <w:vAlign w:val="center"/>
          </w:tcPr>
          <w:p w14:paraId="4313391F">
            <w:pPr>
              <w:adjustRightInd w:val="0"/>
              <w:snapToGrid w:val="0"/>
              <w:rPr>
                <w:rFonts w:hint="eastAsia" w:ascii="宋体" w:hAnsi="宋体" w:cs="宋体"/>
                <w:sz w:val="24"/>
              </w:rPr>
            </w:pPr>
            <w:r>
              <w:rPr>
                <w:rFonts w:hint="eastAsia" w:ascii="宋体" w:hAnsi="宋体" w:cs="宋体"/>
                <w:sz w:val="24"/>
                <w:lang w:val="en-US" w:eastAsia="zh-CN"/>
              </w:rPr>
              <w:t>能够</w:t>
            </w:r>
            <w:r>
              <w:rPr>
                <w:rFonts w:ascii="宋体" w:hAnsi="宋体" w:cs="宋体"/>
                <w:sz w:val="24"/>
              </w:rPr>
              <w:t>对物理接口、会话方式抓包，</w:t>
            </w:r>
            <w:r>
              <w:rPr>
                <w:rFonts w:hint="eastAsia" w:ascii="宋体" w:hAnsi="宋体" w:cs="宋体"/>
                <w:sz w:val="24"/>
                <w:lang w:eastAsia="zh-CN"/>
              </w:rPr>
              <w:t>满足</w:t>
            </w:r>
            <w:r>
              <w:rPr>
                <w:rFonts w:ascii="宋体" w:hAnsi="宋体" w:cs="宋体"/>
                <w:sz w:val="24"/>
              </w:rPr>
              <w:t>ANY、TCP、UDP、ICMP、OTHER、协议；</w:t>
            </w:r>
            <w:r>
              <w:rPr>
                <w:rFonts w:hint="eastAsia" w:ascii="宋体" w:hAnsi="宋体" w:cs="宋体"/>
                <w:sz w:val="24"/>
                <w:lang w:val="en-US" w:eastAsia="zh-CN"/>
              </w:rPr>
              <w:t>能够</w:t>
            </w:r>
            <w:r>
              <w:rPr>
                <w:rFonts w:ascii="宋体" w:hAnsi="宋体" w:cs="宋体"/>
                <w:sz w:val="24"/>
              </w:rPr>
              <w:t>ping、traceroute工具进行设备检测。</w:t>
            </w:r>
          </w:p>
        </w:tc>
        <w:tc>
          <w:tcPr>
            <w:tcW w:w="1824" w:type="dxa"/>
            <w:noWrap w:val="0"/>
            <w:vAlign w:val="center"/>
          </w:tcPr>
          <w:p w14:paraId="4780FF70">
            <w:pPr>
              <w:spacing w:line="380" w:lineRule="exact"/>
              <w:jc w:val="center"/>
              <w:rPr>
                <w:rFonts w:hint="eastAsia" w:ascii="宋体" w:hAnsi="宋体" w:cs="宋体"/>
                <w:bCs/>
                <w:sz w:val="24"/>
              </w:rPr>
            </w:pPr>
            <w:r>
              <w:rPr>
                <w:rFonts w:hint="eastAsia" w:ascii="宋体" w:hAnsi="宋体" w:cs="宋体"/>
                <w:bCs/>
                <w:sz w:val="24"/>
              </w:rPr>
              <w:t>否</w:t>
            </w:r>
          </w:p>
        </w:tc>
      </w:tr>
      <w:tr w14:paraId="7800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627" w:type="dxa"/>
            <w:noWrap w:val="0"/>
            <w:vAlign w:val="center"/>
          </w:tcPr>
          <w:p w14:paraId="58E6A87C">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21.</w:t>
            </w:r>
          </w:p>
        </w:tc>
        <w:tc>
          <w:tcPr>
            <w:tcW w:w="1005" w:type="dxa"/>
            <w:noWrap w:val="0"/>
            <w:vAlign w:val="center"/>
          </w:tcPr>
          <w:p w14:paraId="7FA57865">
            <w:pPr>
              <w:spacing w:line="380" w:lineRule="exact"/>
              <w:jc w:val="center"/>
              <w:rPr>
                <w:rFonts w:hint="eastAsia" w:ascii="宋体" w:hAnsi="宋体" w:cs="宋体"/>
                <w:bCs/>
                <w:sz w:val="24"/>
              </w:rPr>
            </w:pPr>
          </w:p>
        </w:tc>
        <w:tc>
          <w:tcPr>
            <w:tcW w:w="1290" w:type="dxa"/>
            <w:noWrap w:val="0"/>
            <w:vAlign w:val="center"/>
          </w:tcPr>
          <w:p w14:paraId="727691A7">
            <w:pPr>
              <w:widowControl/>
              <w:rPr>
                <w:rFonts w:hint="eastAsia" w:ascii="宋体" w:hAnsi="宋体" w:cs="宋体"/>
                <w:bCs/>
                <w:sz w:val="24"/>
              </w:rPr>
            </w:pPr>
            <w:r>
              <w:rPr>
                <w:rFonts w:hint="eastAsia" w:ascii="宋体" w:hAnsi="宋体" w:cs="宋体"/>
                <w:bCs/>
                <w:sz w:val="24"/>
              </w:rPr>
              <w:t>检测能力更新</w:t>
            </w:r>
          </w:p>
        </w:tc>
        <w:tc>
          <w:tcPr>
            <w:tcW w:w="4605" w:type="dxa"/>
            <w:noWrap w:val="0"/>
            <w:vAlign w:val="center"/>
          </w:tcPr>
          <w:p w14:paraId="14A094FB">
            <w:pPr>
              <w:adjustRightInd w:val="0"/>
              <w:snapToGrid w:val="0"/>
              <w:rPr>
                <w:rFonts w:hint="eastAsia" w:ascii="宋体" w:hAnsi="宋体" w:cs="宋体"/>
                <w:sz w:val="24"/>
              </w:rPr>
            </w:pPr>
            <w:r>
              <w:rPr>
                <w:rFonts w:hint="eastAsia" w:ascii="宋体" w:hAnsi="宋体" w:cs="宋体"/>
                <w:sz w:val="24"/>
                <w:lang w:val="en-US" w:eastAsia="zh-CN"/>
              </w:rPr>
              <w:t>具备</w:t>
            </w:r>
            <w:r>
              <w:rPr>
                <w:rFonts w:ascii="宋体" w:hAnsi="宋体" w:cs="宋体"/>
                <w:sz w:val="24"/>
              </w:rPr>
              <w:t>情报、检测规则和应用特征库自动联网更新和离线手动导入更新两种模式；自动联网更新模式下，</w:t>
            </w:r>
            <w:r>
              <w:rPr>
                <w:rFonts w:hint="eastAsia" w:ascii="宋体" w:hAnsi="宋体" w:cs="宋体"/>
                <w:sz w:val="24"/>
                <w:lang w:eastAsia="zh-CN"/>
              </w:rPr>
              <w:t>满足</w:t>
            </w:r>
            <w:r>
              <w:rPr>
                <w:rFonts w:ascii="宋体" w:hAnsi="宋体" w:cs="宋体"/>
                <w:sz w:val="24"/>
              </w:rPr>
              <w:t>情报、检测规则和应用特征库的分钟级更新。</w:t>
            </w:r>
          </w:p>
        </w:tc>
        <w:tc>
          <w:tcPr>
            <w:tcW w:w="1824" w:type="dxa"/>
            <w:noWrap w:val="0"/>
            <w:vAlign w:val="center"/>
          </w:tcPr>
          <w:p w14:paraId="661AE0A9">
            <w:pPr>
              <w:spacing w:line="380" w:lineRule="exact"/>
              <w:jc w:val="center"/>
              <w:rPr>
                <w:rFonts w:hint="eastAsia" w:ascii="宋体" w:hAnsi="宋体" w:cs="宋体"/>
                <w:bCs/>
                <w:sz w:val="24"/>
              </w:rPr>
            </w:pPr>
            <w:r>
              <w:rPr>
                <w:rFonts w:hint="eastAsia" w:ascii="宋体" w:hAnsi="宋体" w:cs="宋体"/>
                <w:bCs/>
                <w:sz w:val="24"/>
              </w:rPr>
              <w:t>否</w:t>
            </w:r>
          </w:p>
        </w:tc>
      </w:tr>
      <w:tr w14:paraId="50D2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627" w:type="dxa"/>
            <w:noWrap w:val="0"/>
            <w:vAlign w:val="center"/>
          </w:tcPr>
          <w:p w14:paraId="5F8F1328">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22.</w:t>
            </w:r>
          </w:p>
        </w:tc>
        <w:tc>
          <w:tcPr>
            <w:tcW w:w="1005" w:type="dxa"/>
            <w:noWrap w:val="0"/>
            <w:vAlign w:val="center"/>
          </w:tcPr>
          <w:p w14:paraId="6BCD89E7">
            <w:pPr>
              <w:spacing w:line="380" w:lineRule="exact"/>
              <w:jc w:val="center"/>
              <w:rPr>
                <w:rFonts w:hint="eastAsia" w:ascii="宋体" w:hAnsi="宋体" w:cs="宋体"/>
                <w:bCs/>
                <w:sz w:val="24"/>
              </w:rPr>
            </w:pPr>
          </w:p>
        </w:tc>
        <w:tc>
          <w:tcPr>
            <w:tcW w:w="1290" w:type="dxa"/>
            <w:noWrap w:val="0"/>
            <w:vAlign w:val="center"/>
          </w:tcPr>
          <w:p w14:paraId="15A9783C">
            <w:pPr>
              <w:widowControl/>
              <w:rPr>
                <w:rFonts w:hint="eastAsia" w:ascii="宋体" w:hAnsi="宋体" w:cs="宋体"/>
                <w:bCs/>
                <w:sz w:val="24"/>
              </w:rPr>
            </w:pPr>
            <w:r>
              <w:rPr>
                <w:rFonts w:hint="eastAsia" w:ascii="宋体" w:hAnsi="宋体" w:cs="宋体"/>
                <w:bCs/>
                <w:sz w:val="24"/>
              </w:rPr>
              <w:t>报告管理</w:t>
            </w:r>
          </w:p>
        </w:tc>
        <w:tc>
          <w:tcPr>
            <w:tcW w:w="4605" w:type="dxa"/>
            <w:noWrap w:val="0"/>
            <w:vAlign w:val="center"/>
          </w:tcPr>
          <w:p w14:paraId="4BC21C67">
            <w:pPr>
              <w:adjustRightInd w:val="0"/>
              <w:snapToGrid w:val="0"/>
              <w:rPr>
                <w:rFonts w:hint="eastAsia" w:ascii="宋体" w:hAnsi="宋体" w:cs="宋体"/>
                <w:sz w:val="24"/>
              </w:rPr>
            </w:pPr>
            <w:r>
              <w:rPr>
                <w:rFonts w:hint="eastAsia" w:ascii="宋体" w:hAnsi="宋体" w:cs="宋体"/>
                <w:sz w:val="24"/>
                <w:lang w:val="en-US" w:eastAsia="zh-CN"/>
              </w:rPr>
              <w:t>能够</w:t>
            </w:r>
            <w:r>
              <w:rPr>
                <w:rFonts w:hint="eastAsia" w:ascii="宋体" w:hAnsi="宋体" w:cs="宋体"/>
                <w:sz w:val="24"/>
              </w:rPr>
              <w:t>按照资产设置报告定时任务，以1天、1周或者1月的时间维度设置报告定时任务，日报自动推送邮箱，按照时间维度、资产维度一键导出检测报告。</w:t>
            </w:r>
          </w:p>
        </w:tc>
        <w:tc>
          <w:tcPr>
            <w:tcW w:w="1824" w:type="dxa"/>
            <w:noWrap w:val="0"/>
            <w:vAlign w:val="center"/>
          </w:tcPr>
          <w:p w14:paraId="51DF3376">
            <w:pPr>
              <w:spacing w:line="380" w:lineRule="exact"/>
              <w:jc w:val="center"/>
              <w:rPr>
                <w:rFonts w:hint="eastAsia" w:ascii="宋体" w:hAnsi="宋体" w:cs="宋体"/>
                <w:bCs/>
                <w:sz w:val="24"/>
              </w:rPr>
            </w:pPr>
            <w:r>
              <w:rPr>
                <w:rFonts w:hint="eastAsia" w:ascii="宋体" w:hAnsi="宋体" w:cs="宋体"/>
                <w:bCs/>
                <w:sz w:val="24"/>
              </w:rPr>
              <w:t>否</w:t>
            </w:r>
          </w:p>
        </w:tc>
      </w:tr>
      <w:tr w14:paraId="5BD5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627" w:type="dxa"/>
            <w:noWrap w:val="0"/>
            <w:vAlign w:val="center"/>
          </w:tcPr>
          <w:p w14:paraId="591A43E9">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23.</w:t>
            </w:r>
          </w:p>
        </w:tc>
        <w:tc>
          <w:tcPr>
            <w:tcW w:w="1005" w:type="dxa"/>
            <w:noWrap w:val="0"/>
            <w:vAlign w:val="center"/>
          </w:tcPr>
          <w:p w14:paraId="6130D0C5">
            <w:pPr>
              <w:spacing w:line="380" w:lineRule="exact"/>
              <w:jc w:val="center"/>
              <w:rPr>
                <w:rFonts w:hint="eastAsia" w:ascii="宋体" w:hAnsi="宋体" w:cs="宋体"/>
                <w:bCs/>
                <w:sz w:val="24"/>
              </w:rPr>
            </w:pPr>
            <w:r>
              <w:rPr>
                <w:rFonts w:hint="eastAsia" w:ascii="宋体" w:hAnsi="宋体" w:cs="宋体"/>
                <w:bCs/>
                <w:sz w:val="24"/>
              </w:rPr>
              <w:t>#</w:t>
            </w:r>
          </w:p>
        </w:tc>
        <w:tc>
          <w:tcPr>
            <w:tcW w:w="1290" w:type="dxa"/>
            <w:vMerge w:val="restart"/>
            <w:noWrap w:val="0"/>
            <w:vAlign w:val="center"/>
          </w:tcPr>
          <w:p w14:paraId="3BFFD23C">
            <w:pPr>
              <w:widowControl/>
              <w:rPr>
                <w:rFonts w:hint="eastAsia" w:ascii="宋体" w:hAnsi="宋体" w:cs="宋体"/>
                <w:bCs/>
                <w:sz w:val="24"/>
                <w:highlight w:val="none"/>
              </w:rPr>
            </w:pPr>
            <w:r>
              <w:rPr>
                <w:rFonts w:hint="eastAsia" w:ascii="宋体" w:hAnsi="宋体" w:cs="宋体"/>
                <w:bCs/>
                <w:sz w:val="24"/>
                <w:highlight w:val="none"/>
              </w:rPr>
              <w:t>系统对接要求</w:t>
            </w:r>
          </w:p>
        </w:tc>
        <w:tc>
          <w:tcPr>
            <w:tcW w:w="4605" w:type="dxa"/>
            <w:noWrap w:val="0"/>
            <w:vAlign w:val="center"/>
          </w:tcPr>
          <w:p w14:paraId="03565FC0">
            <w:pPr>
              <w:adjustRightInd w:val="0"/>
              <w:snapToGrid w:val="0"/>
              <w:rPr>
                <w:rFonts w:hint="default" w:ascii="宋体" w:hAnsi="宋体" w:eastAsia="宋体" w:cs="宋体"/>
                <w:sz w:val="24"/>
                <w:highlight w:val="none"/>
                <w:lang w:val="en-US" w:eastAsia="zh-CN"/>
              </w:rPr>
            </w:pPr>
            <w:r>
              <w:rPr>
                <w:rFonts w:hint="eastAsia" w:ascii="宋体" w:hAnsi="宋体" w:cs="宋体"/>
                <w:b w:val="0"/>
                <w:bCs w:val="0"/>
                <w:sz w:val="24"/>
                <w:szCs w:val="24"/>
                <w:highlight w:val="none"/>
                <w:lang w:val="en-US" w:eastAsia="zh-CN"/>
              </w:rPr>
              <w:t>具备通过API接口</w:t>
            </w:r>
            <w:r>
              <w:rPr>
                <w:rFonts w:ascii="宋体" w:hAnsi="宋体" w:eastAsia="宋体" w:cs="宋体"/>
                <w:b w:val="0"/>
                <w:bCs w:val="0"/>
                <w:sz w:val="24"/>
                <w:szCs w:val="24"/>
                <w:highlight w:val="none"/>
              </w:rPr>
              <w:t>对接现网中</w:t>
            </w:r>
            <w:r>
              <w:rPr>
                <w:rStyle w:val="11"/>
                <w:rFonts w:ascii="宋体" w:hAnsi="宋体" w:eastAsia="宋体" w:cs="宋体"/>
                <w:b w:val="0"/>
                <w:bCs w:val="0"/>
                <w:color w:val="000000"/>
                <w:sz w:val="24"/>
                <w:szCs w:val="24"/>
                <w:highlight w:val="none"/>
              </w:rPr>
              <w:t>多源威胁检测与响应系统</w:t>
            </w:r>
            <w:r>
              <w:rPr>
                <w:rStyle w:val="11"/>
                <w:rFonts w:hint="eastAsia" w:ascii="宋体" w:hAnsi="宋体" w:cs="宋体"/>
                <w:b w:val="0"/>
                <w:bCs w:val="0"/>
                <w:color w:val="000000"/>
                <w:sz w:val="24"/>
                <w:szCs w:val="24"/>
                <w:highlight w:val="none"/>
                <w:lang w:val="en-US" w:eastAsia="zh-CN"/>
              </w:rPr>
              <w:t>的能力，能够</w:t>
            </w:r>
            <w:r>
              <w:rPr>
                <w:rFonts w:ascii="宋体" w:hAnsi="宋体" w:eastAsia="宋体" w:cs="宋体"/>
                <w:b w:val="0"/>
                <w:bCs w:val="0"/>
                <w:sz w:val="24"/>
                <w:szCs w:val="24"/>
                <w:highlight w:val="none"/>
              </w:rPr>
              <w:t>融入现网统一调度体系，实现出口威胁与内网威胁数据的联动分析，将边界告警与内网异常行为关联研判</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中标方需提供相应的双向接口对接费用院方无需支付相应费用。</w:t>
            </w:r>
          </w:p>
        </w:tc>
        <w:tc>
          <w:tcPr>
            <w:tcW w:w="1824" w:type="dxa"/>
            <w:noWrap w:val="0"/>
            <w:vAlign w:val="center"/>
          </w:tcPr>
          <w:p w14:paraId="14ED65B3">
            <w:pPr>
              <w:spacing w:line="380" w:lineRule="exact"/>
              <w:jc w:val="center"/>
              <w:rPr>
                <w:rFonts w:hint="eastAsia" w:ascii="宋体" w:hAnsi="宋体" w:cs="宋体"/>
                <w:bCs/>
                <w:sz w:val="24"/>
                <w:highlight w:val="none"/>
              </w:rPr>
            </w:pPr>
            <w:r>
              <w:rPr>
                <w:rFonts w:hint="eastAsia" w:ascii="宋体" w:hAnsi="宋体" w:cs="宋体"/>
                <w:bCs/>
                <w:sz w:val="24"/>
                <w:highlight w:val="none"/>
              </w:rPr>
              <w:t>提供加盖原厂公章的承诺函，承诺：“</w:t>
            </w:r>
            <w:r>
              <w:rPr>
                <w:rFonts w:hint="eastAsia" w:ascii="宋体" w:hAnsi="宋体" w:cs="宋体"/>
                <w:b w:val="0"/>
                <w:bCs w:val="0"/>
                <w:sz w:val="24"/>
                <w:szCs w:val="24"/>
                <w:highlight w:val="none"/>
                <w:lang w:val="en-US" w:eastAsia="zh-CN"/>
              </w:rPr>
              <w:t>具备通过API接口</w:t>
            </w:r>
            <w:r>
              <w:rPr>
                <w:rFonts w:ascii="宋体" w:hAnsi="宋体" w:eastAsia="宋体" w:cs="宋体"/>
                <w:b w:val="0"/>
                <w:bCs w:val="0"/>
                <w:sz w:val="24"/>
                <w:szCs w:val="24"/>
                <w:highlight w:val="none"/>
              </w:rPr>
              <w:t>对接现网中</w:t>
            </w:r>
            <w:r>
              <w:rPr>
                <w:rStyle w:val="11"/>
                <w:rFonts w:ascii="宋体" w:hAnsi="宋体" w:eastAsia="宋体" w:cs="宋体"/>
                <w:b w:val="0"/>
                <w:bCs w:val="0"/>
                <w:color w:val="000000"/>
                <w:sz w:val="24"/>
                <w:szCs w:val="24"/>
                <w:highlight w:val="none"/>
              </w:rPr>
              <w:t>多源威胁检测与响应系统</w:t>
            </w:r>
            <w:r>
              <w:rPr>
                <w:rStyle w:val="11"/>
                <w:rFonts w:hint="eastAsia" w:ascii="宋体" w:hAnsi="宋体" w:cs="宋体"/>
                <w:b w:val="0"/>
                <w:bCs w:val="0"/>
                <w:color w:val="000000"/>
                <w:sz w:val="24"/>
                <w:szCs w:val="24"/>
                <w:highlight w:val="none"/>
                <w:lang w:val="en-US" w:eastAsia="zh-CN"/>
              </w:rPr>
              <w:t>的能力</w:t>
            </w:r>
            <w:r>
              <w:rPr>
                <w:rStyle w:val="11"/>
                <w:rFonts w:hint="eastAsia" w:ascii="宋体" w:hAnsi="宋体" w:cs="宋体"/>
                <w:b w:val="0"/>
                <w:color w:val="000000"/>
                <w:sz w:val="24"/>
                <w:highlight w:val="none"/>
              </w:rPr>
              <w:t>，</w:t>
            </w:r>
            <w:r>
              <w:rPr>
                <w:rFonts w:ascii="宋体" w:hAnsi="宋体" w:cs="宋体"/>
                <w:sz w:val="24"/>
                <w:highlight w:val="none"/>
              </w:rPr>
              <w:t>融入现网统一调度体系</w:t>
            </w:r>
            <w:r>
              <w:rPr>
                <w:rFonts w:hint="eastAsia" w:ascii="宋体" w:hAnsi="宋体" w:cs="宋体"/>
                <w:bCs/>
                <w:sz w:val="24"/>
                <w:highlight w:val="none"/>
              </w:rPr>
              <w:t>”</w:t>
            </w:r>
          </w:p>
        </w:tc>
      </w:tr>
      <w:tr w14:paraId="0BBF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627" w:type="dxa"/>
            <w:noWrap w:val="0"/>
            <w:vAlign w:val="center"/>
          </w:tcPr>
          <w:p w14:paraId="58F3D132">
            <w:pPr>
              <w:widowControl/>
              <w:numPr>
                <w:ilvl w:val="0"/>
                <w:numId w:val="0"/>
              </w:numPr>
              <w:adjustRightInd w:val="0"/>
              <w:spacing w:line="380" w:lineRule="exact"/>
              <w:ind w:left="420" w:leftChars="0" w:hanging="420" w:firstLineChars="0"/>
              <w:jc w:val="center"/>
              <w:textAlignment w:val="baseline"/>
              <w:rPr>
                <w:rFonts w:hint="eastAsia" w:ascii="宋体" w:hAnsi="宋体" w:cs="宋体"/>
                <w:bCs/>
                <w:sz w:val="24"/>
              </w:rPr>
            </w:pPr>
            <w:r>
              <w:rPr>
                <w:rFonts w:hint="default" w:ascii="Times New Roman" w:hAnsi="Times New Roman" w:eastAsia="宋体" w:cs="Times New Roman"/>
                <w:bCs/>
                <w:kern w:val="2"/>
                <w:sz w:val="24"/>
                <w:szCs w:val="24"/>
                <w:lang w:val="en-US" w:eastAsia="zh-CN" w:bidi="ar-SA"/>
              </w:rPr>
              <w:t>24.</w:t>
            </w:r>
          </w:p>
        </w:tc>
        <w:tc>
          <w:tcPr>
            <w:tcW w:w="1005" w:type="dxa"/>
            <w:noWrap w:val="0"/>
            <w:vAlign w:val="center"/>
          </w:tcPr>
          <w:p w14:paraId="04D459DD">
            <w:pPr>
              <w:spacing w:line="380" w:lineRule="exact"/>
              <w:jc w:val="center"/>
              <w:rPr>
                <w:rFonts w:hint="eastAsia" w:ascii="宋体" w:hAnsi="宋体" w:cs="宋体"/>
                <w:bCs/>
                <w:sz w:val="24"/>
              </w:rPr>
            </w:pPr>
            <w:r>
              <w:rPr>
                <w:rFonts w:hint="eastAsia" w:ascii="宋体" w:hAnsi="宋体" w:cs="宋体"/>
                <w:bCs/>
                <w:sz w:val="24"/>
              </w:rPr>
              <w:t>#</w:t>
            </w:r>
          </w:p>
        </w:tc>
        <w:tc>
          <w:tcPr>
            <w:tcW w:w="1290" w:type="dxa"/>
            <w:vMerge w:val="continue"/>
            <w:noWrap w:val="0"/>
            <w:vAlign w:val="center"/>
          </w:tcPr>
          <w:p w14:paraId="4ABDDD10">
            <w:pPr>
              <w:widowControl/>
              <w:rPr>
                <w:rFonts w:hint="eastAsia" w:ascii="宋体" w:hAnsi="宋体" w:cs="宋体"/>
                <w:bCs/>
                <w:sz w:val="24"/>
                <w:highlight w:val="none"/>
              </w:rPr>
            </w:pPr>
          </w:p>
        </w:tc>
        <w:tc>
          <w:tcPr>
            <w:tcW w:w="4605" w:type="dxa"/>
            <w:noWrap w:val="0"/>
            <w:vAlign w:val="center"/>
          </w:tcPr>
          <w:p w14:paraId="2A28D7F2">
            <w:pPr>
              <w:adjustRightInd w:val="0"/>
              <w:snapToGrid w:val="0"/>
              <w:rPr>
                <w:rFonts w:hint="eastAsia" w:ascii="宋体" w:hAnsi="宋体" w:cs="宋体"/>
                <w:sz w:val="24"/>
                <w:highlight w:val="none"/>
              </w:rPr>
            </w:pPr>
            <w:r>
              <w:rPr>
                <w:rFonts w:hint="eastAsia" w:ascii="宋体" w:hAnsi="宋体" w:cs="宋体"/>
                <w:b w:val="0"/>
                <w:bCs w:val="0"/>
                <w:sz w:val="24"/>
                <w:szCs w:val="24"/>
                <w:highlight w:val="none"/>
                <w:lang w:val="en-US" w:eastAsia="zh-CN"/>
              </w:rPr>
              <w:t>具备通过snmp</w:t>
            </w:r>
            <w:r>
              <w:rPr>
                <w:rFonts w:ascii="宋体" w:hAnsi="宋体" w:eastAsia="宋体" w:cs="宋体"/>
                <w:b w:val="0"/>
                <w:bCs w:val="0"/>
                <w:sz w:val="24"/>
                <w:szCs w:val="24"/>
                <w:highlight w:val="none"/>
              </w:rPr>
              <w:t>对接现网中</w:t>
            </w:r>
            <w:r>
              <w:rPr>
                <w:rStyle w:val="11"/>
                <w:rFonts w:ascii="宋体" w:hAnsi="宋体" w:eastAsia="宋体" w:cs="宋体"/>
                <w:b w:val="0"/>
                <w:bCs w:val="0"/>
                <w:color w:val="000000"/>
                <w:sz w:val="24"/>
                <w:szCs w:val="24"/>
                <w:highlight w:val="none"/>
              </w:rPr>
              <w:t>安全管理中心平台</w:t>
            </w:r>
            <w:r>
              <w:rPr>
                <w:rStyle w:val="11"/>
                <w:rFonts w:hint="eastAsia" w:ascii="宋体" w:hAnsi="宋体" w:eastAsia="宋体" w:cs="宋体"/>
                <w:b w:val="0"/>
                <w:bCs w:val="0"/>
                <w:color w:val="000000"/>
                <w:sz w:val="24"/>
                <w:szCs w:val="24"/>
                <w:highlight w:val="none"/>
                <w:lang w:val="en-US" w:eastAsia="zh-CN"/>
              </w:rPr>
              <w:t>的能力</w:t>
            </w:r>
            <w:r>
              <w:rPr>
                <w:rFonts w:ascii="宋体" w:hAnsi="宋体" w:eastAsia="宋体" w:cs="宋体"/>
                <w:b w:val="0"/>
                <w:bCs w:val="0"/>
                <w:sz w:val="24"/>
                <w:szCs w:val="24"/>
                <w:highlight w:val="none"/>
              </w:rPr>
              <w:t>，融入现网安全管理体系，实现</w:t>
            </w:r>
            <w:r>
              <w:rPr>
                <w:rFonts w:hint="eastAsia" w:ascii="宋体" w:hAnsi="宋体" w:cs="宋体"/>
                <w:b w:val="0"/>
                <w:bCs w:val="0"/>
                <w:sz w:val="24"/>
                <w:szCs w:val="24"/>
                <w:highlight w:val="none"/>
                <w:lang w:val="en-US" w:eastAsia="zh-CN"/>
              </w:rPr>
              <w:t>威胁防御系统</w:t>
            </w:r>
            <w:r>
              <w:rPr>
                <w:rFonts w:ascii="宋体" w:hAnsi="宋体" w:eastAsia="宋体" w:cs="宋体"/>
                <w:b w:val="0"/>
                <w:bCs w:val="0"/>
                <w:sz w:val="24"/>
                <w:szCs w:val="24"/>
                <w:highlight w:val="none"/>
              </w:rPr>
              <w:t>设备</w:t>
            </w:r>
            <w:r>
              <w:rPr>
                <w:rFonts w:hint="eastAsia" w:ascii="宋体" w:hAnsi="宋体" w:cs="宋体"/>
                <w:b w:val="0"/>
                <w:bCs w:val="0"/>
                <w:sz w:val="24"/>
                <w:szCs w:val="24"/>
                <w:highlight w:val="none"/>
                <w:lang w:val="en-US" w:eastAsia="zh-CN"/>
              </w:rPr>
              <w:t>状态监控管理</w:t>
            </w:r>
            <w:r>
              <w:rPr>
                <w:rFonts w:ascii="宋体" w:hAnsi="宋体" w:eastAsia="宋体" w:cs="宋体"/>
                <w:b w:val="0"/>
                <w:bCs w:val="0"/>
                <w:sz w:val="24"/>
                <w:szCs w:val="24"/>
                <w:highlight w:val="none"/>
              </w:rPr>
              <w:t>、</w:t>
            </w:r>
            <w:r>
              <w:rPr>
                <w:rFonts w:hint="eastAsia" w:ascii="宋体" w:hAnsi="宋体" w:cs="宋体"/>
                <w:b w:val="0"/>
                <w:bCs w:val="0"/>
                <w:sz w:val="24"/>
                <w:szCs w:val="24"/>
                <w:highlight w:val="none"/>
                <w:lang w:val="en-US" w:eastAsia="zh-CN"/>
              </w:rPr>
              <w:t>日志集中处置，中标方需提供相应的双向接口对接费用院方无需支付相应费用，</w:t>
            </w:r>
          </w:p>
        </w:tc>
        <w:tc>
          <w:tcPr>
            <w:tcW w:w="1824" w:type="dxa"/>
            <w:noWrap w:val="0"/>
            <w:vAlign w:val="center"/>
          </w:tcPr>
          <w:p w14:paraId="523881B5">
            <w:pPr>
              <w:spacing w:line="380" w:lineRule="exact"/>
              <w:jc w:val="center"/>
              <w:rPr>
                <w:rFonts w:hint="eastAsia" w:ascii="宋体" w:hAnsi="宋体" w:cs="宋体"/>
                <w:bCs/>
                <w:sz w:val="24"/>
                <w:highlight w:val="none"/>
              </w:rPr>
            </w:pPr>
            <w:r>
              <w:rPr>
                <w:rFonts w:hint="eastAsia" w:ascii="宋体" w:hAnsi="宋体" w:cs="宋体"/>
                <w:bCs/>
                <w:sz w:val="24"/>
                <w:highlight w:val="none"/>
              </w:rPr>
              <w:t>提供加盖原厂公章的承诺函，承诺：“</w:t>
            </w:r>
            <w:r>
              <w:rPr>
                <w:rFonts w:hint="eastAsia" w:ascii="宋体" w:hAnsi="宋体" w:cs="宋体"/>
                <w:b w:val="0"/>
                <w:bCs w:val="0"/>
                <w:sz w:val="24"/>
                <w:szCs w:val="24"/>
                <w:highlight w:val="none"/>
                <w:lang w:val="en-US" w:eastAsia="zh-CN"/>
              </w:rPr>
              <w:t>具备通过snmp</w:t>
            </w:r>
            <w:r>
              <w:rPr>
                <w:rFonts w:ascii="宋体" w:hAnsi="宋体" w:eastAsia="宋体" w:cs="宋体"/>
                <w:b w:val="0"/>
                <w:bCs w:val="0"/>
                <w:sz w:val="24"/>
                <w:szCs w:val="24"/>
                <w:highlight w:val="none"/>
              </w:rPr>
              <w:t>对接现网中</w:t>
            </w:r>
            <w:r>
              <w:rPr>
                <w:rStyle w:val="11"/>
                <w:rFonts w:ascii="宋体" w:hAnsi="宋体" w:eastAsia="宋体" w:cs="宋体"/>
                <w:b w:val="0"/>
                <w:bCs w:val="0"/>
                <w:color w:val="000000"/>
                <w:sz w:val="24"/>
                <w:szCs w:val="24"/>
                <w:highlight w:val="none"/>
              </w:rPr>
              <w:t>安全管理中心平台</w:t>
            </w:r>
            <w:r>
              <w:rPr>
                <w:rStyle w:val="11"/>
                <w:rFonts w:hint="eastAsia" w:ascii="宋体" w:hAnsi="宋体" w:eastAsia="宋体" w:cs="宋体"/>
                <w:b w:val="0"/>
                <w:bCs w:val="0"/>
                <w:color w:val="000000"/>
                <w:sz w:val="24"/>
                <w:szCs w:val="24"/>
                <w:highlight w:val="none"/>
                <w:lang w:val="en-US" w:eastAsia="zh-CN"/>
              </w:rPr>
              <w:t>的能力</w:t>
            </w:r>
            <w:r>
              <w:rPr>
                <w:rFonts w:hint="eastAsia" w:ascii="宋体" w:hAnsi="宋体" w:cs="宋体"/>
                <w:bCs/>
                <w:sz w:val="24"/>
                <w:highlight w:val="none"/>
              </w:rPr>
              <w:t>”</w:t>
            </w:r>
          </w:p>
        </w:tc>
      </w:tr>
      <w:tr w14:paraId="2099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627" w:type="dxa"/>
            <w:noWrap w:val="0"/>
            <w:vAlign w:val="center"/>
          </w:tcPr>
          <w:p w14:paraId="562A5315">
            <w:pPr>
              <w:widowControl/>
              <w:numPr>
                <w:ilvl w:val="0"/>
                <w:numId w:val="0"/>
              </w:numPr>
              <w:adjustRightInd w:val="0"/>
              <w:spacing w:line="380" w:lineRule="exact"/>
              <w:ind w:leftChars="0"/>
              <w:jc w:val="center"/>
              <w:textAlignment w:val="baseline"/>
              <w:rPr>
                <w:rFonts w:hint="default" w:ascii="宋体" w:hAnsi="宋体" w:eastAsia="宋体" w:cs="宋体"/>
                <w:bCs/>
                <w:sz w:val="24"/>
                <w:lang w:val="en-US" w:eastAsia="zh-CN"/>
              </w:rPr>
            </w:pPr>
            <w:r>
              <w:rPr>
                <w:rFonts w:hint="eastAsia" w:ascii="宋体" w:hAnsi="宋体" w:cs="宋体"/>
                <w:bCs/>
                <w:sz w:val="24"/>
                <w:lang w:val="en-US" w:eastAsia="zh-CN"/>
              </w:rPr>
              <w:t>25</w:t>
            </w:r>
          </w:p>
        </w:tc>
        <w:tc>
          <w:tcPr>
            <w:tcW w:w="1005" w:type="dxa"/>
            <w:noWrap w:val="0"/>
            <w:vAlign w:val="center"/>
          </w:tcPr>
          <w:p w14:paraId="365338DA">
            <w:pPr>
              <w:spacing w:line="380" w:lineRule="exact"/>
              <w:jc w:val="center"/>
              <w:rPr>
                <w:rFonts w:hint="eastAsia" w:ascii="宋体" w:hAnsi="宋体" w:cs="宋体"/>
                <w:bCs/>
                <w:sz w:val="24"/>
              </w:rPr>
            </w:pPr>
          </w:p>
        </w:tc>
        <w:tc>
          <w:tcPr>
            <w:tcW w:w="1290" w:type="dxa"/>
            <w:noWrap w:val="0"/>
            <w:vAlign w:val="center"/>
          </w:tcPr>
          <w:p w14:paraId="415D6704">
            <w:pPr>
              <w:widowControl/>
              <w:rPr>
                <w:rFonts w:hint="eastAsia" w:ascii="宋体" w:hAnsi="宋体" w:cs="宋体"/>
                <w:bCs/>
                <w:sz w:val="24"/>
              </w:rPr>
            </w:pPr>
            <w:r>
              <w:rPr>
                <w:rFonts w:hint="eastAsia" w:ascii="宋体" w:hAnsi="宋体" w:cs="宋体"/>
                <w:bCs/>
                <w:sz w:val="24"/>
              </w:rPr>
              <w:t>质保维保</w:t>
            </w:r>
          </w:p>
        </w:tc>
        <w:tc>
          <w:tcPr>
            <w:tcW w:w="4605" w:type="dxa"/>
            <w:noWrap w:val="0"/>
            <w:vAlign w:val="center"/>
          </w:tcPr>
          <w:p w14:paraId="6C910882">
            <w:pPr>
              <w:adjustRightInd w:val="0"/>
              <w:snapToGrid w:val="0"/>
              <w:rPr>
                <w:rFonts w:hint="eastAsia" w:ascii="宋体" w:hAnsi="宋体" w:cs="宋体"/>
                <w:sz w:val="24"/>
              </w:rPr>
            </w:pPr>
            <w:r>
              <w:rPr>
                <w:rFonts w:hint="eastAsia" w:ascii="宋体" w:hAnsi="宋体" w:cs="宋体"/>
                <w:sz w:val="24"/>
              </w:rPr>
              <w:t>提供三年产品硬件质保和</w:t>
            </w:r>
            <w:r>
              <w:rPr>
                <w:rFonts w:hint="eastAsia" w:ascii="宋体" w:hAnsi="宋体" w:cs="宋体"/>
                <w:sz w:val="24"/>
                <w:lang w:val="en-US" w:eastAsia="zh-CN"/>
              </w:rPr>
              <w:t>升级</w:t>
            </w:r>
            <w:r>
              <w:rPr>
                <w:rFonts w:hint="eastAsia" w:ascii="宋体" w:hAnsi="宋体" w:cs="宋体"/>
                <w:sz w:val="24"/>
              </w:rPr>
              <w:t>维护服务，</w:t>
            </w:r>
            <w:r>
              <w:rPr>
                <w:rFonts w:hint="eastAsia" w:ascii="宋体" w:hAnsi="宋体" w:cs="宋体"/>
                <w:sz w:val="24"/>
                <w:lang w:val="en-US" w:eastAsia="zh-CN"/>
              </w:rPr>
              <w:t>质保期自设备验收合格之日起计算，质保期内，提供7×24小时技术支持，</w:t>
            </w:r>
            <w:r>
              <w:rPr>
                <w:rFonts w:hint="eastAsia" w:ascii="宋体" w:hAnsi="宋体" w:cs="宋体"/>
                <w:sz w:val="24"/>
              </w:rPr>
              <w:t>提供不少于6次安全态势报告。</w:t>
            </w:r>
          </w:p>
        </w:tc>
        <w:tc>
          <w:tcPr>
            <w:tcW w:w="1824" w:type="dxa"/>
            <w:noWrap w:val="0"/>
            <w:vAlign w:val="center"/>
          </w:tcPr>
          <w:p w14:paraId="3B92C8EC">
            <w:pPr>
              <w:spacing w:line="380" w:lineRule="exact"/>
              <w:jc w:val="center"/>
              <w:rPr>
                <w:rFonts w:hint="eastAsia" w:ascii="宋体" w:hAnsi="宋体" w:cs="宋体"/>
                <w:bCs/>
                <w:sz w:val="24"/>
              </w:rPr>
            </w:pPr>
            <w:r>
              <w:rPr>
                <w:rFonts w:hint="eastAsia" w:ascii="宋体" w:hAnsi="宋体" w:cs="宋体"/>
                <w:bCs/>
                <w:sz w:val="24"/>
              </w:rPr>
              <w:t>否</w:t>
            </w:r>
          </w:p>
        </w:tc>
      </w:tr>
    </w:tbl>
    <w:p w14:paraId="7BD7E94C">
      <w:pPr>
        <w:widowControl/>
        <w:adjustRightInd w:val="0"/>
        <w:snapToGrid w:val="0"/>
        <w:spacing w:before="120" w:beforeLines="50" w:line="360" w:lineRule="auto"/>
        <w:ind w:firstLine="562" w:firstLineChars="200"/>
        <w:jc w:val="center"/>
        <w:rPr>
          <w:rFonts w:hint="eastAsia"/>
          <w:b/>
          <w:bCs/>
          <w:sz w:val="28"/>
          <w:szCs w:val="28"/>
          <w:highlight w:val="none"/>
          <w:lang w:eastAsia="zh-CN"/>
        </w:rPr>
      </w:pPr>
    </w:p>
    <w:p w14:paraId="3F86417F">
      <w:pPr>
        <w:widowControl/>
        <w:adjustRightInd w:val="0"/>
        <w:snapToGrid w:val="0"/>
        <w:spacing w:before="120" w:beforeLines="50" w:line="360" w:lineRule="auto"/>
        <w:rPr>
          <w:rFonts w:hint="eastAsia"/>
          <w:b/>
          <w:bCs/>
          <w:sz w:val="24"/>
          <w:szCs w:val="24"/>
          <w:lang w:eastAsia="zh-CN"/>
        </w:rPr>
      </w:pPr>
      <w:r>
        <w:rPr>
          <w:rFonts w:hint="eastAsia"/>
          <w:b/>
          <w:bCs/>
          <w:sz w:val="24"/>
          <w:szCs w:val="24"/>
          <w:lang w:eastAsia="zh-CN"/>
        </w:rPr>
        <w:t>2.2 采购标的需满足的服务标准、期限、效率等要求；</w:t>
      </w:r>
    </w:p>
    <w:p w14:paraId="1C8B6E58">
      <w:pPr>
        <w:tabs>
          <w:tab w:val="left" w:pos="900"/>
        </w:tabs>
        <w:autoSpaceDE/>
        <w:autoSpaceDN/>
        <w:spacing w:line="360" w:lineRule="auto"/>
        <w:rPr>
          <w:rFonts w:hint="eastAsia"/>
          <w:sz w:val="24"/>
          <w:szCs w:val="24"/>
          <w:lang w:eastAsia="zh-CN"/>
        </w:rPr>
      </w:pPr>
      <w:r>
        <w:rPr>
          <w:rFonts w:hint="eastAsia"/>
          <w:sz w:val="24"/>
          <w:szCs w:val="24"/>
          <w:lang w:eastAsia="zh-CN"/>
        </w:rPr>
        <w:t>（1）采购标的需满足的服务标准、效率要求</w:t>
      </w:r>
    </w:p>
    <w:p w14:paraId="2C14EB34">
      <w:pPr>
        <w:spacing w:before="50" w:line="360" w:lineRule="auto"/>
        <w:ind w:firstLine="480" w:firstLineChars="200"/>
        <w:rPr>
          <w:rFonts w:hint="eastAsia"/>
          <w:sz w:val="24"/>
          <w:szCs w:val="24"/>
          <w:lang w:eastAsia="zh-CN"/>
        </w:rPr>
      </w:pPr>
      <w:r>
        <w:rPr>
          <w:rFonts w:hint="eastAsia"/>
          <w:sz w:val="24"/>
          <w:szCs w:val="24"/>
          <w:lang w:eastAsia="zh-CN"/>
        </w:rPr>
        <w:t>1.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398FFD70">
      <w:pPr>
        <w:spacing w:before="50" w:line="360" w:lineRule="auto"/>
        <w:ind w:firstLine="480" w:firstLineChars="200"/>
        <w:rPr>
          <w:rFonts w:hint="eastAsia"/>
          <w:sz w:val="24"/>
          <w:szCs w:val="24"/>
          <w:lang w:eastAsia="zh-CN"/>
        </w:rPr>
      </w:pPr>
      <w:r>
        <w:rPr>
          <w:rFonts w:hint="eastAsia"/>
          <w:sz w:val="24"/>
          <w:szCs w:val="24"/>
          <w:lang w:eastAsia="zh-CN"/>
        </w:rPr>
        <w:t>2.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63FA7978">
      <w:pPr>
        <w:spacing w:before="50" w:line="360" w:lineRule="auto"/>
        <w:ind w:firstLine="480" w:firstLineChars="200"/>
        <w:rPr>
          <w:rFonts w:hint="eastAsia"/>
          <w:sz w:val="24"/>
          <w:szCs w:val="24"/>
          <w:lang w:eastAsia="zh-CN"/>
        </w:rPr>
      </w:pPr>
      <w:r>
        <w:rPr>
          <w:rFonts w:hint="eastAsia"/>
          <w:sz w:val="24"/>
          <w:szCs w:val="24"/>
          <w:lang w:eastAsia="zh-CN"/>
        </w:rPr>
        <w:t>3.供应商应有能力做好售后服务工作和提供技术保障。供应商或投标产品制造商应设有专业的售后服务维修机构，有充足的零件储备和能力相当的技术服务人员。</w:t>
      </w:r>
    </w:p>
    <w:p w14:paraId="1B12CAE3">
      <w:pPr>
        <w:spacing w:before="50" w:line="360" w:lineRule="auto"/>
        <w:ind w:firstLine="480" w:firstLineChars="200"/>
        <w:rPr>
          <w:rFonts w:hint="eastAsia"/>
          <w:sz w:val="24"/>
          <w:szCs w:val="24"/>
          <w:lang w:eastAsia="zh-CN"/>
        </w:rPr>
      </w:pPr>
      <w:r>
        <w:rPr>
          <w:rFonts w:hint="eastAsia"/>
          <w:sz w:val="24"/>
          <w:szCs w:val="24"/>
          <w:lang w:eastAsia="zh-CN"/>
        </w:rPr>
        <w:t>4.应提供原厂维修配件明细表及报价单(如提供公开信息渠道可查询到的，可免提供，但须注明查询方法及来源)。</w:t>
      </w:r>
    </w:p>
    <w:p w14:paraId="3AFE1539">
      <w:pPr>
        <w:pStyle w:val="6"/>
        <w:spacing w:before="50" w:line="360" w:lineRule="auto"/>
        <w:ind w:firstLine="480" w:firstLineChars="200"/>
        <w:rPr>
          <w:rFonts w:hint="eastAsia" w:hAnsi="宋体" w:cs="宋体"/>
          <w:szCs w:val="24"/>
          <w:lang w:eastAsia="zh-CN"/>
        </w:rPr>
      </w:pPr>
      <w:r>
        <w:rPr>
          <w:rFonts w:hint="eastAsia" w:hAnsi="宋体" w:cs="宋体"/>
          <w:szCs w:val="24"/>
          <w:lang w:eastAsia="zh-CN"/>
        </w:rPr>
        <w:t>5.供应商应负责投标货物质量保证期内的免费维修和配件供应，供应商售后服务维修机构应备有所购货物及时维修所需的关键零部件。</w:t>
      </w:r>
    </w:p>
    <w:p w14:paraId="4080EC5F">
      <w:pPr>
        <w:pStyle w:val="6"/>
        <w:spacing w:before="50" w:line="360" w:lineRule="auto"/>
        <w:ind w:firstLine="480" w:firstLineChars="200"/>
        <w:rPr>
          <w:rFonts w:hint="eastAsia" w:hAnsi="宋体" w:cs="宋体"/>
          <w:szCs w:val="24"/>
          <w:lang w:eastAsia="zh-CN"/>
        </w:rPr>
      </w:pPr>
      <w:r>
        <w:rPr>
          <w:rFonts w:hint="eastAsia" w:hAnsi="宋体" w:cs="宋体"/>
          <w:szCs w:val="24"/>
          <w:lang w:eastAsia="zh-CN"/>
        </w:rPr>
        <w:t>6.供应商应保证在质量保证期内提供投标货物专用的软件和相应数据库资料的免费升级服务。（如果有）</w:t>
      </w:r>
    </w:p>
    <w:p w14:paraId="2CF8C8FC">
      <w:pPr>
        <w:pStyle w:val="6"/>
        <w:spacing w:before="50" w:line="360" w:lineRule="auto"/>
        <w:ind w:firstLine="480" w:firstLineChars="200"/>
        <w:rPr>
          <w:rFonts w:hint="eastAsia" w:hAnsi="宋体" w:cs="宋体"/>
          <w:szCs w:val="24"/>
          <w:lang w:eastAsia="zh-CN"/>
        </w:rPr>
      </w:pPr>
      <w:r>
        <w:rPr>
          <w:rFonts w:hint="eastAsia" w:hAnsi="宋体" w:cs="宋体"/>
          <w:szCs w:val="24"/>
          <w:lang w:eastAsia="zh-CN"/>
        </w:rPr>
        <w:t>7.在合同执行期和质量保证期内，供应商应保证在收到要求提供维修服务的通知后及时给予反馈并派合格的技术人员赴现场提供免费服务解决问题。如不能按采购人要求的时间予以修复，供应商应保证免费提供同类备用设备，供采购人使用。</w:t>
      </w:r>
    </w:p>
    <w:p w14:paraId="5F434888">
      <w:pPr>
        <w:pStyle w:val="6"/>
        <w:spacing w:before="50" w:line="360" w:lineRule="auto"/>
        <w:ind w:firstLine="480" w:firstLineChars="200"/>
        <w:rPr>
          <w:rFonts w:hint="eastAsia" w:hAnsi="宋体" w:cs="宋体"/>
          <w:szCs w:val="24"/>
          <w:lang w:eastAsia="zh-CN"/>
        </w:rPr>
      </w:pPr>
      <w:r>
        <w:rPr>
          <w:rFonts w:hint="eastAsia" w:hAnsi="宋体" w:cs="宋体"/>
          <w:szCs w:val="24"/>
          <w:lang w:eastAsia="zh-CN"/>
        </w:rPr>
        <w:t>8.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33427335">
      <w:pPr>
        <w:pStyle w:val="6"/>
        <w:spacing w:before="50" w:line="360" w:lineRule="auto"/>
        <w:ind w:firstLine="480" w:firstLineChars="200"/>
        <w:rPr>
          <w:rFonts w:hint="eastAsia" w:hAnsi="宋体" w:cs="宋体"/>
          <w:szCs w:val="24"/>
          <w:lang w:eastAsia="zh-CN"/>
        </w:rPr>
      </w:pPr>
      <w:r>
        <w:rPr>
          <w:rFonts w:hint="eastAsia" w:hAnsi="宋体" w:cs="宋体"/>
          <w:szCs w:val="24"/>
          <w:lang w:eastAsia="zh-CN"/>
        </w:rPr>
        <w:t>9.货物运输符合相关国际惯例，运达所产生的费用由供应商负责。运输途中的货物破损及损失风险由供应商承担，供应商承担运费。</w:t>
      </w:r>
    </w:p>
    <w:p w14:paraId="174A7E04">
      <w:pPr>
        <w:pStyle w:val="6"/>
        <w:spacing w:before="50" w:line="360" w:lineRule="auto"/>
        <w:ind w:firstLine="480" w:firstLineChars="200"/>
        <w:rPr>
          <w:rFonts w:hint="eastAsia" w:hAnsi="宋体" w:cs="宋体"/>
          <w:szCs w:val="24"/>
          <w:lang w:eastAsia="zh-CN"/>
        </w:rPr>
      </w:pPr>
      <w:r>
        <w:rPr>
          <w:rFonts w:hint="eastAsia" w:hAnsi="宋体" w:cs="宋体"/>
          <w:szCs w:val="24"/>
          <w:lang w:eastAsia="zh-CN"/>
        </w:rPr>
        <w:t>（2）采购标的需满足的服务期限要求</w:t>
      </w:r>
    </w:p>
    <w:p w14:paraId="1FD1170D">
      <w:pPr>
        <w:pStyle w:val="6"/>
        <w:spacing w:line="360" w:lineRule="auto"/>
        <w:ind w:firstLine="720" w:firstLineChars="300"/>
        <w:rPr>
          <w:rFonts w:hint="eastAsia" w:hAnsi="宋体" w:cs="宋体"/>
          <w:b/>
          <w:bCs/>
          <w:szCs w:val="24"/>
          <w:highlight w:val="none"/>
          <w:lang w:eastAsia="zh-CN"/>
        </w:rPr>
      </w:pPr>
      <w:r>
        <w:rPr>
          <w:rFonts w:hint="eastAsia" w:hAnsi="宋体" w:cs="宋体"/>
          <w:szCs w:val="24"/>
          <w:highlight w:val="none"/>
          <w:lang w:eastAsia="zh-CN"/>
        </w:rPr>
        <w:t>质量保证期（保修期）：</w:t>
      </w:r>
      <w:r>
        <w:rPr>
          <w:rFonts w:hint="eastAsia"/>
          <w:sz w:val="24"/>
          <w:szCs w:val="24"/>
          <w:highlight w:val="none"/>
          <w:lang w:val="en-US" w:eastAsia="zh-CN"/>
        </w:rPr>
        <w:t>自验收合格之日起不少于36个月。</w:t>
      </w:r>
    </w:p>
    <w:p w14:paraId="336E1F05">
      <w:pPr>
        <w:tabs>
          <w:tab w:val="left" w:pos="900"/>
        </w:tabs>
        <w:spacing w:before="120" w:beforeLines="50" w:line="360" w:lineRule="auto"/>
        <w:ind w:firstLine="482" w:firstLineChars="200"/>
        <w:rPr>
          <w:rFonts w:hint="eastAsia"/>
          <w:b/>
          <w:bCs/>
          <w:sz w:val="24"/>
          <w:szCs w:val="24"/>
          <w:lang w:eastAsia="zh-CN"/>
        </w:rPr>
      </w:pPr>
      <w:r>
        <w:rPr>
          <w:rFonts w:hint="eastAsia"/>
          <w:b/>
          <w:bCs/>
          <w:sz w:val="24"/>
          <w:szCs w:val="24"/>
          <w:lang w:eastAsia="zh-CN"/>
        </w:rPr>
        <w:t>2.3为落实政府采购政策需满足的要求；</w:t>
      </w:r>
    </w:p>
    <w:p w14:paraId="22A8DFBB">
      <w:pPr>
        <w:tabs>
          <w:tab w:val="left" w:pos="900"/>
        </w:tabs>
        <w:spacing w:line="360" w:lineRule="auto"/>
        <w:ind w:firstLine="480" w:firstLineChars="200"/>
        <w:rPr>
          <w:rFonts w:hint="eastAsia"/>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39BC567">
      <w:pPr>
        <w:tabs>
          <w:tab w:val="left" w:pos="900"/>
        </w:tabs>
        <w:spacing w:line="360" w:lineRule="auto"/>
        <w:ind w:firstLine="480" w:firstLineChars="200"/>
        <w:rPr>
          <w:rFonts w:hint="eastAsia"/>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49F0CA4C">
      <w:pPr>
        <w:tabs>
          <w:tab w:val="left" w:pos="900"/>
        </w:tabs>
        <w:spacing w:line="360" w:lineRule="auto"/>
        <w:ind w:firstLine="480" w:firstLineChars="200"/>
        <w:rPr>
          <w:rFonts w:hint="eastAsia"/>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58DA332">
      <w:pPr>
        <w:autoSpaceDE/>
        <w:autoSpaceDN/>
        <w:spacing w:line="360" w:lineRule="auto"/>
        <w:ind w:firstLine="480" w:firstLineChars="200"/>
        <w:rPr>
          <w:rFonts w:hint="eastAsia"/>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15BA89FC">
      <w:pPr>
        <w:autoSpaceDE/>
        <w:autoSpaceDN/>
        <w:spacing w:before="20" w:line="360" w:lineRule="auto"/>
        <w:ind w:firstLine="480" w:firstLineChars="200"/>
        <w:rPr>
          <w:rFonts w:hint="eastAsia"/>
          <w:b/>
          <w:bCs/>
          <w:sz w:val="24"/>
          <w:szCs w:val="24"/>
          <w:lang w:eastAsia="zh-CN"/>
        </w:rPr>
      </w:pPr>
      <w:r>
        <w:rPr>
          <w:rFonts w:hint="eastAsia"/>
          <w:sz w:val="24"/>
          <w:szCs w:val="24"/>
          <w:lang w:eastAsia="zh-CN"/>
        </w:rPr>
        <w:t>5）实施本国产品标准及相关政策：依据《</w:t>
      </w:r>
      <w:r>
        <w:rPr>
          <w:rFonts w:hint="eastAsia"/>
          <w:color w:val="000000"/>
          <w:sz w:val="24"/>
          <w:szCs w:val="24"/>
          <w:shd w:val="clear" w:color="auto" w:fill="FFFFFF"/>
          <w:lang w:eastAsia="zh-CN"/>
        </w:rPr>
        <w:t>国务院办公厅关于在政府采购中实施本国产品标准及相关政策的通知</w:t>
      </w:r>
      <w:r>
        <w:rPr>
          <w:rFonts w:hint="eastAsia"/>
          <w:sz w:val="24"/>
          <w:szCs w:val="24"/>
          <w:lang w:eastAsia="zh-CN"/>
        </w:rPr>
        <w:t>》（国办发〔2025〕34号）规定，本项目供应商所投产品</w:t>
      </w:r>
      <w:r>
        <w:rPr>
          <w:rFonts w:hint="eastAsia"/>
          <w:color w:val="00000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sz w:val="24"/>
          <w:szCs w:val="24"/>
          <w:lang w:eastAsia="zh-CN"/>
        </w:rPr>
        <w:t>，</w:t>
      </w:r>
      <w:r>
        <w:rPr>
          <w:rFonts w:hint="eastAsia"/>
          <w:color w:val="000000"/>
          <w:sz w:val="24"/>
          <w:szCs w:val="24"/>
          <w:shd w:val="clear" w:color="auto" w:fill="FFFFFF"/>
          <w:lang w:eastAsia="zh-CN"/>
        </w:rPr>
        <w:t>依法对本国产品给予价格评审优惠，对本国产品的报价给予20%的价格扣除，用扣除后的价格参与评审。</w:t>
      </w:r>
      <w:r>
        <w:rPr>
          <w:rFonts w:hint="eastAsia"/>
          <w:b/>
          <w:bCs/>
          <w:sz w:val="24"/>
          <w:szCs w:val="24"/>
          <w:lang w:eastAsia="zh-CN"/>
        </w:rPr>
        <w:t>供应商应出具招标文件要求的证明材料给予证明，否则评标时不予认可</w:t>
      </w:r>
      <w:r>
        <w:rPr>
          <w:rFonts w:hint="eastAsia"/>
          <w:sz w:val="24"/>
          <w:szCs w:val="24"/>
          <w:lang w:eastAsia="zh-CN"/>
        </w:rPr>
        <w:t>。</w:t>
      </w:r>
      <w:r>
        <w:rPr>
          <w:rFonts w:hint="eastAsia"/>
          <w:b/>
          <w:bCs/>
          <w:sz w:val="24"/>
          <w:szCs w:val="24"/>
          <w:lang w:eastAsia="zh-CN"/>
        </w:rPr>
        <w:t>供应商应对提交的证明材料真实性负责，</w:t>
      </w:r>
      <w:r>
        <w:rPr>
          <w:rFonts w:hint="eastAsia"/>
          <w:sz w:val="24"/>
          <w:szCs w:val="24"/>
          <w:lang w:eastAsia="zh-CN"/>
        </w:rPr>
        <w:t>提交证明材料不真实的，应承担相应的法律责任。</w:t>
      </w:r>
    </w:p>
    <w:p w14:paraId="304C53B4">
      <w:pPr>
        <w:autoSpaceDE/>
        <w:autoSpaceDN/>
        <w:spacing w:before="20" w:line="360" w:lineRule="auto"/>
        <w:ind w:firstLine="482" w:firstLineChars="200"/>
        <w:rPr>
          <w:rFonts w:hint="eastAsia"/>
          <w:b/>
          <w:bCs/>
          <w:sz w:val="24"/>
          <w:szCs w:val="24"/>
          <w:lang w:eastAsia="zh-CN"/>
        </w:rPr>
      </w:pPr>
      <w:r>
        <w:rPr>
          <w:rFonts w:hint="eastAsia"/>
          <w:b/>
          <w:bCs/>
          <w:sz w:val="24"/>
          <w:szCs w:val="24"/>
          <w:lang w:eastAsia="zh-CN"/>
        </w:rPr>
        <w:t>2.4采购标的的其他技术、服务等要求；</w:t>
      </w:r>
    </w:p>
    <w:p w14:paraId="7B33DAFB">
      <w:pPr>
        <w:tabs>
          <w:tab w:val="left" w:pos="900"/>
        </w:tabs>
        <w:spacing w:line="360" w:lineRule="auto"/>
        <w:ind w:firstLine="482" w:firstLineChars="200"/>
        <w:rPr>
          <w:rFonts w:hint="eastAsia"/>
          <w:b/>
          <w:bCs/>
          <w:iCs/>
          <w:sz w:val="24"/>
          <w:szCs w:val="24"/>
          <w:lang w:eastAsia="zh-CN"/>
        </w:rPr>
      </w:pPr>
      <w:bookmarkStart w:id="12" w:name="_Toc7340"/>
      <w:r>
        <w:rPr>
          <w:rFonts w:hint="eastAsia"/>
          <w:b/>
          <w:bCs/>
          <w:sz w:val="24"/>
          <w:szCs w:val="24"/>
          <w:lang w:eastAsia="zh-CN"/>
        </w:rPr>
        <w:t>（1）对于技术规格中标注“★”号的技术参数代表实质性指标，不满足该指标项将直接导致投标被拒绝。</w:t>
      </w:r>
    </w:p>
    <w:p w14:paraId="0F64D10A">
      <w:pPr>
        <w:tabs>
          <w:tab w:val="left" w:pos="900"/>
        </w:tabs>
        <w:spacing w:line="360" w:lineRule="auto"/>
        <w:ind w:firstLine="482" w:firstLineChars="200"/>
        <w:rPr>
          <w:rFonts w:hint="eastAsia"/>
          <w:b/>
          <w:bCs/>
          <w:sz w:val="24"/>
          <w:szCs w:val="24"/>
          <w:lang w:eastAsia="zh-CN"/>
        </w:rPr>
      </w:pPr>
      <w:r>
        <w:rPr>
          <w:rFonts w:hint="eastAsia"/>
          <w:b/>
          <w:bCs/>
          <w:sz w:val="24"/>
          <w:szCs w:val="24"/>
          <w:lang w:eastAsia="zh-CN"/>
        </w:rPr>
        <w:t>（2）须在投标文件中提供所投设备油印彩页并加盖公章。</w:t>
      </w:r>
    </w:p>
    <w:p w14:paraId="29B417DE">
      <w:pPr>
        <w:tabs>
          <w:tab w:val="left" w:pos="900"/>
        </w:tabs>
        <w:spacing w:line="360" w:lineRule="auto"/>
        <w:ind w:firstLine="482" w:firstLineChars="200"/>
        <w:rPr>
          <w:rFonts w:hint="eastAsia"/>
          <w:b/>
          <w:bCs/>
          <w:iCs/>
          <w:sz w:val="24"/>
          <w:szCs w:val="24"/>
          <w:lang w:eastAsia="zh-CN"/>
        </w:rPr>
      </w:pPr>
      <w:r>
        <w:rPr>
          <w:rFonts w:hint="eastAsia"/>
          <w:b/>
          <w:bCs/>
          <w:sz w:val="24"/>
          <w:szCs w:val="24"/>
          <w:lang w:eastAsia="zh-CN"/>
        </w:rPr>
        <w:t>（3）投标人需要提供投标产品技术支持资料（或证明材料），并需要加盖投标人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val="0"/>
          <w:bCs w:val="0"/>
          <w:sz w:val="24"/>
          <w:szCs w:val="24"/>
          <w:highlight w:val="none"/>
        </w:rPr>
        <w:t>“</w:t>
      </w:r>
      <w:r>
        <w:rPr>
          <w:rFonts w:hint="eastAsia" w:ascii="宋体" w:hAnsi="宋体" w:eastAsia="宋体" w:cs="宋体"/>
          <w:b w:val="0"/>
          <w:bCs w:val="0"/>
          <w:color w:val="333333"/>
          <w:sz w:val="24"/>
          <w:szCs w:val="24"/>
          <w:highlight w:val="none"/>
          <w:shd w:val="clear" w:color="auto" w:fill="FFFFFF"/>
        </w:rPr>
        <w:t>▲</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或</w:t>
      </w:r>
      <w:r>
        <w:rPr>
          <w:rFonts w:hint="eastAsia"/>
          <w:b/>
          <w:bCs/>
          <w:sz w:val="24"/>
          <w:szCs w:val="24"/>
          <w:lang w:eastAsia="zh-CN"/>
        </w:rPr>
        <w:t>“#”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加盖投标人公章的，评标委员会可不予承认，并可认为该技术应答不符合招标文件要求。由此产生的评标风险，由投标人承担</w:t>
      </w:r>
      <w:r>
        <w:rPr>
          <w:rFonts w:hint="eastAsia"/>
          <w:b/>
          <w:bCs/>
          <w:iCs/>
          <w:sz w:val="24"/>
          <w:szCs w:val="24"/>
          <w:lang w:eastAsia="zh-CN"/>
        </w:rPr>
        <w:t xml:space="preserve">。 </w:t>
      </w:r>
    </w:p>
    <w:p w14:paraId="7D047211">
      <w:pPr>
        <w:tabs>
          <w:tab w:val="left" w:pos="900"/>
        </w:tabs>
        <w:spacing w:line="360" w:lineRule="auto"/>
        <w:ind w:firstLine="482" w:firstLineChars="200"/>
        <w:rPr>
          <w:rFonts w:hint="eastAsia"/>
          <w:b/>
          <w:bCs/>
          <w:iCs/>
          <w:sz w:val="24"/>
          <w:szCs w:val="24"/>
          <w:lang w:eastAsia="zh-CN"/>
        </w:rPr>
      </w:pPr>
      <w:r>
        <w:rPr>
          <w:rFonts w:hint="eastAsia"/>
          <w:b/>
          <w:bCs/>
          <w:sz w:val="24"/>
          <w:szCs w:val="24"/>
          <w:lang w:eastAsia="zh-CN"/>
        </w:rPr>
        <w:t>（4）</w:t>
      </w:r>
      <w:r>
        <w:rPr>
          <w:rFonts w:hint="eastAsia"/>
          <w:b/>
          <w:bCs/>
          <w:iCs/>
          <w:sz w:val="24"/>
          <w:szCs w:val="24"/>
          <w:lang w:eastAsia="zh-CN"/>
        </w:rPr>
        <w:t xml:space="preserve">投标人所提供的部件之间及设备之间的连线或接插件均视为设备内部部件，应包含在相应的配置中。 </w:t>
      </w:r>
    </w:p>
    <w:p w14:paraId="3C1145EB">
      <w:pPr>
        <w:tabs>
          <w:tab w:val="left" w:pos="900"/>
        </w:tabs>
        <w:spacing w:line="360" w:lineRule="auto"/>
        <w:ind w:firstLine="482" w:firstLineChars="200"/>
        <w:rPr>
          <w:rFonts w:hint="eastAsia"/>
          <w:iCs/>
          <w:sz w:val="24"/>
          <w:szCs w:val="24"/>
          <w:lang w:eastAsia="zh-CN"/>
        </w:rPr>
      </w:pPr>
      <w:r>
        <w:rPr>
          <w:rFonts w:hint="eastAsia"/>
          <w:b/>
          <w:bCs/>
          <w:sz w:val="24"/>
          <w:szCs w:val="24"/>
          <w:lang w:eastAsia="zh-CN"/>
        </w:rPr>
        <w:t>（5）</w:t>
      </w:r>
      <w:r>
        <w:rPr>
          <w:rFonts w:hint="eastAsia"/>
          <w:b/>
          <w:bCs/>
          <w:iCs/>
          <w:sz w:val="24"/>
          <w:szCs w:val="24"/>
          <w:lang w:eastAsia="zh-CN"/>
        </w:rPr>
        <w:t>工作条件：</w:t>
      </w:r>
      <w:r>
        <w:rPr>
          <w:rFonts w:hint="eastAsia"/>
          <w:iCs/>
          <w:sz w:val="24"/>
          <w:szCs w:val="24"/>
          <w:lang w:eastAsia="zh-CN"/>
        </w:rPr>
        <w:t>除了在技术规格中另有规定外，投标人提供的一切仪器、设备和系统，应符合下列条件：</w:t>
      </w:r>
    </w:p>
    <w:p w14:paraId="7DB41ED6">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 xml:space="preserve">1）仪器设备的插头要符合中国电工标准。如不符合，则应提供适合仪器插头的插座，必须要有接地。 </w:t>
      </w:r>
    </w:p>
    <w:p w14:paraId="020FE91D">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2）如果仪器设备需特殊的工作条件（如：水、电源、磁场强度、特殊温度、湿度、震动强度等），投标人应在有关投标文件中加以说明。</w:t>
      </w:r>
    </w:p>
    <w:p w14:paraId="2B86DD68">
      <w:pPr>
        <w:tabs>
          <w:tab w:val="left" w:pos="900"/>
        </w:tabs>
        <w:spacing w:line="360" w:lineRule="auto"/>
        <w:ind w:firstLine="482" w:firstLineChars="200"/>
        <w:rPr>
          <w:rFonts w:hint="eastAsia"/>
          <w:iCs/>
          <w:color w:val="FF0000"/>
          <w:sz w:val="24"/>
          <w:szCs w:val="24"/>
          <w:lang w:eastAsia="zh-CN"/>
        </w:rPr>
      </w:pPr>
      <w:r>
        <w:rPr>
          <w:rFonts w:hint="eastAsia"/>
          <w:b/>
          <w:bCs/>
          <w:iCs/>
          <w:sz w:val="24"/>
          <w:szCs w:val="24"/>
          <w:lang w:eastAsia="zh-CN"/>
        </w:rPr>
        <w:t>（6）培训要求：</w:t>
      </w:r>
      <w:r>
        <w:rPr>
          <w:rFonts w:hint="eastAsia"/>
          <w:iCs/>
          <w:sz w:val="24"/>
          <w:szCs w:val="24"/>
          <w:lang w:eastAsia="zh-CN"/>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w:t>
      </w:r>
    </w:p>
    <w:bookmarkEnd w:id="12"/>
    <w:p w14:paraId="7647528B">
      <w:pPr>
        <w:tabs>
          <w:tab w:val="left" w:pos="900"/>
        </w:tabs>
        <w:spacing w:before="120" w:beforeLines="50" w:line="360" w:lineRule="auto"/>
        <w:ind w:firstLine="482" w:firstLineChars="200"/>
        <w:rPr>
          <w:rFonts w:hint="eastAsia"/>
          <w:b/>
          <w:sz w:val="24"/>
          <w:szCs w:val="24"/>
          <w:lang w:eastAsia="zh-CN"/>
        </w:rPr>
      </w:pPr>
      <w:r>
        <w:rPr>
          <w:rFonts w:hint="eastAsia"/>
          <w:b/>
          <w:sz w:val="24"/>
          <w:szCs w:val="24"/>
          <w:lang w:eastAsia="zh-CN"/>
        </w:rPr>
        <w:t>3.采购标的的验收标准</w:t>
      </w:r>
    </w:p>
    <w:p w14:paraId="2C9F6DAD">
      <w:pPr>
        <w:autoSpaceDE/>
        <w:autoSpaceDN/>
        <w:spacing w:line="360" w:lineRule="auto"/>
        <w:ind w:firstLine="480" w:firstLineChars="200"/>
        <w:rPr>
          <w:rFonts w:hint="eastAsia"/>
          <w:sz w:val="24"/>
          <w:szCs w:val="24"/>
          <w:lang w:eastAsia="zh-CN"/>
        </w:rPr>
      </w:pPr>
      <w:r>
        <w:rPr>
          <w:rFonts w:hint="eastAsia"/>
          <w:sz w:val="24"/>
          <w:szCs w:val="24"/>
          <w:lang w:eastAsia="zh-CN"/>
        </w:rPr>
        <w:t>(一)货物交付前，乙方应对货物进行全面自检，符合交付条件后，由甲方组织验收。</w:t>
      </w:r>
    </w:p>
    <w:p w14:paraId="2B89FA6D">
      <w:pPr>
        <w:autoSpaceDE/>
        <w:autoSpaceDN/>
        <w:spacing w:line="360" w:lineRule="auto"/>
        <w:ind w:firstLine="480" w:firstLineChars="200"/>
        <w:rPr>
          <w:rFonts w:hint="eastAsia"/>
          <w:sz w:val="24"/>
          <w:szCs w:val="24"/>
          <w:lang w:eastAsia="zh-CN"/>
        </w:rPr>
      </w:pPr>
      <w:r>
        <w:rPr>
          <w:rFonts w:hint="eastAsia"/>
          <w:sz w:val="24"/>
          <w:szCs w:val="24"/>
          <w:lang w:eastAsia="zh-CN"/>
        </w:rPr>
        <w:t>(二)在交货时乙方应对所提供的产品出具国家标准规定的产品质量检验合格证或国家认</w:t>
      </w:r>
    </w:p>
    <w:p w14:paraId="22F58C6C">
      <w:pPr>
        <w:autoSpaceDE/>
        <w:autoSpaceDN/>
        <w:spacing w:line="360" w:lineRule="auto"/>
        <w:ind w:firstLine="480" w:firstLineChars="200"/>
        <w:rPr>
          <w:rFonts w:hint="eastAsia"/>
          <w:sz w:val="24"/>
          <w:szCs w:val="24"/>
          <w:lang w:eastAsia="zh-CN"/>
        </w:rPr>
      </w:pPr>
      <w:r>
        <w:rPr>
          <w:rFonts w:hint="eastAsia"/>
          <w:sz w:val="24"/>
          <w:szCs w:val="24"/>
          <w:lang w:eastAsia="zh-CN"/>
        </w:rPr>
        <w:t>可的行业标准规定的产品质量检验合格证。</w:t>
      </w:r>
    </w:p>
    <w:p w14:paraId="09DDD1B9">
      <w:pPr>
        <w:autoSpaceDE/>
        <w:autoSpaceDN/>
        <w:spacing w:line="360" w:lineRule="auto"/>
        <w:ind w:firstLine="480" w:firstLineChars="200"/>
        <w:rPr>
          <w:rFonts w:hint="eastAsia"/>
          <w:sz w:val="24"/>
          <w:szCs w:val="24"/>
          <w:lang w:eastAsia="zh-CN"/>
        </w:rPr>
      </w:pPr>
      <w:r>
        <w:rPr>
          <w:rFonts w:hint="eastAsia"/>
          <w:sz w:val="24"/>
          <w:szCs w:val="24"/>
          <w:lang w:eastAsia="zh-CN"/>
        </w:rPr>
        <w:t>（三）甲方在交货前有权对乙方提供的货物、技术、服务提出异议，并采取相关措施确保质量合格。</w:t>
      </w:r>
    </w:p>
    <w:p w14:paraId="740788BA">
      <w:pPr>
        <w:autoSpaceDE/>
        <w:autoSpaceDN/>
        <w:spacing w:line="360" w:lineRule="auto"/>
        <w:ind w:firstLine="480" w:firstLineChars="200"/>
        <w:rPr>
          <w:rFonts w:hint="eastAsia"/>
          <w:sz w:val="24"/>
          <w:szCs w:val="24"/>
          <w:lang w:eastAsia="zh-CN"/>
        </w:rPr>
      </w:pPr>
      <w:r>
        <w:rPr>
          <w:rFonts w:hint="eastAsia"/>
          <w:sz w:val="24"/>
          <w:szCs w:val="24"/>
          <w:lang w:eastAsia="zh-CN"/>
        </w:rPr>
        <w:t>(四)具体组织程序、验收标准和方法，按甲方规定程序行，乙方配合。</w:t>
      </w:r>
    </w:p>
    <w:p w14:paraId="71FCC65B">
      <w:pPr>
        <w:autoSpaceDE/>
        <w:autoSpaceDN/>
        <w:spacing w:line="360" w:lineRule="auto"/>
        <w:ind w:firstLine="480" w:firstLineChars="200"/>
        <w:rPr>
          <w:rFonts w:hint="eastAsia"/>
          <w:sz w:val="24"/>
          <w:szCs w:val="24"/>
          <w:lang w:eastAsia="zh-CN"/>
        </w:rPr>
      </w:pPr>
      <w:r>
        <w:rPr>
          <w:rFonts w:hint="eastAsia"/>
          <w:sz w:val="24"/>
          <w:szCs w:val="24"/>
          <w:lang w:eastAsia="zh-CN"/>
        </w:rPr>
        <w:t>(五)货物与合同约定不符或出厂验收不合格，甲方有权拒收货物和解除本合同，由此造成的损失，由乙方承担。交货验收过程中，乙方可有1次整改机会，若第一次检验未通过，甲方将书面通知乙方限期整改，整改后进行第二次检验，检验合格后方可出厂但上述整改时间导致乙方交付时间迟延的，应承担迟延交货的违约责任。若第二次检验仍未通过的，甲方有权取消或除本合同，由此造成的损失，由乙方承担。</w:t>
      </w:r>
    </w:p>
    <w:p w14:paraId="0C9AE12C">
      <w:pPr>
        <w:autoSpaceDE/>
        <w:autoSpaceDN/>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六</w:t>
      </w:r>
      <w:r>
        <w:rPr>
          <w:rFonts w:hint="eastAsia"/>
          <w:sz w:val="24"/>
          <w:szCs w:val="24"/>
          <w:lang w:eastAsia="zh-CN"/>
        </w:rPr>
        <w:t>）</w:t>
      </w:r>
      <w:r>
        <w:rPr>
          <w:rFonts w:hint="eastAsia" w:ascii="宋体" w:hAnsi="宋体"/>
          <w:sz w:val="24"/>
          <w:szCs w:val="20"/>
        </w:rPr>
        <w:t>依据货物相应的国家标准、行业标准、规范，结合招标文件要求以及中标人投标文件承诺进行组织验收。</w:t>
      </w:r>
    </w:p>
    <w:p w14:paraId="55D75C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C28B0"/>
    <w:multiLevelType w:val="singleLevel"/>
    <w:tmpl w:val="DC7C28B0"/>
    <w:lvl w:ilvl="0" w:tentative="0">
      <w:start w:val="2"/>
      <w:numFmt w:val="chineseCounting"/>
      <w:suff w:val="nothing"/>
      <w:lvlText w:val="%1、"/>
      <w:lvlJc w:val="left"/>
      <w:rPr>
        <w:rFonts w:hint="eastAsia"/>
      </w:rPr>
    </w:lvl>
  </w:abstractNum>
  <w:abstractNum w:abstractNumId="1">
    <w:nsid w:val="DD63DA5D"/>
    <w:multiLevelType w:val="singleLevel"/>
    <w:tmpl w:val="DD63DA5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11FDA"/>
    <w:rsid w:val="7FB11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qFormat/>
    <w:uiPriority w:val="0"/>
  </w:style>
  <w:style w:type="paragraph" w:styleId="5">
    <w:name w:val="Body Text"/>
    <w:basedOn w:val="1"/>
    <w:qFormat/>
    <w:uiPriority w:val="1"/>
    <w:rPr>
      <w:sz w:val="24"/>
      <w:szCs w:val="24"/>
    </w:rPr>
  </w:style>
  <w:style w:type="paragraph" w:styleId="6">
    <w:name w:val="Plain Text"/>
    <w:basedOn w:val="1"/>
    <w:unhideWhenUsed/>
    <w:qFormat/>
    <w:uiPriority w:val="0"/>
    <w:rPr>
      <w:rFonts w:hAnsi="Courier New" w:cs="Courier New"/>
      <w:sz w:val="24"/>
      <w:szCs w:val="21"/>
    </w:rPr>
  </w:style>
  <w:style w:type="paragraph" w:styleId="7">
    <w:name w:val="Normal (Web)"/>
    <w:basedOn w:val="1"/>
    <w:unhideWhenUsed/>
    <w:qFormat/>
    <w:uiPriority w:val="99"/>
  </w:style>
  <w:style w:type="paragraph" w:styleId="8">
    <w:name w:val="Body Text First Indent"/>
    <w:basedOn w:val="1"/>
    <w:qFormat/>
    <w:uiPriority w:val="0"/>
    <w:pPr>
      <w:tabs>
        <w:tab w:val="left" w:pos="567"/>
      </w:tabs>
      <w:spacing w:line="360" w:lineRule="auto"/>
    </w:pPr>
    <w:rPr>
      <w:rFonts w:ascii="宋体" w:hAnsi="宋体"/>
      <w:sz w:val="24"/>
    </w:rPr>
  </w:style>
  <w:style w:type="character" w:styleId="11">
    <w:name w:val="Strong"/>
    <w:basedOn w:val="10"/>
    <w:qFormat/>
    <w:uiPriority w:val="0"/>
    <w:rPr>
      <w:b/>
    </w:rPr>
  </w:style>
  <w:style w:type="paragraph" w:customStyle="1" w:styleId="12">
    <w:name w:val="列表段落1"/>
    <w:basedOn w:val="1"/>
    <w:qFormat/>
    <w:uiPriority w:val="1"/>
    <w:pPr>
      <w:spacing w:before="134"/>
      <w:ind w:left="1196" w:hanging="720"/>
    </w:pPr>
    <w:rPr>
      <w:sz w:val="20"/>
    </w:rPr>
  </w:style>
  <w:style w:type="paragraph" w:customStyle="1" w:styleId="13">
    <w:name w:val="Table Paragraph"/>
    <w:basedOn w:val="1"/>
    <w:qFormat/>
    <w:uiPriority w:val="1"/>
  </w:style>
  <w:style w:type="paragraph" w:customStyle="1" w:styleId="14">
    <w:name w:val="列出段落1"/>
    <w:basedOn w:val="1"/>
    <w:qFormat/>
    <w:uiPriority w:val="1"/>
    <w:pPr>
      <w:spacing w:before="134"/>
      <w:ind w:left="1196" w:hanging="720"/>
    </w:pPr>
    <w:rPr>
      <w:sz w:val="20"/>
    </w:rPr>
  </w:style>
  <w:style w:type="paragraph" w:styleId="15">
    <w:name w:val="List Paragraph"/>
    <w:basedOn w:val="1"/>
    <w:qFormat/>
    <w:uiPriority w:val="34"/>
    <w:pPr>
      <w:ind w:left="720"/>
      <w:contextualSpacing/>
    </w:pPr>
  </w:style>
  <w:style w:type="paragraph" w:customStyle="1" w:styleId="16">
    <w:name w:val="1范本正文1"/>
    <w:basedOn w:val="1"/>
    <w:qFormat/>
    <w:uiPriority w:val="0"/>
    <w:pPr>
      <w:spacing w:line="380" w:lineRule="exact"/>
    </w:pPr>
    <w:rPr>
      <w:rFonts w:ascii="微软雅黑" w:hAnsi="微软雅黑" w:eastAsia="微软雅黑"/>
      <w:color w:val="00000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2026-04-28T05:04:00Z</dcterms:created>
  <dc:creator>王崴</dc:creator>
  <cp:lastModifiedBy>王崴</cp:lastModifiedBy>
  <dcterms:modified xsi:type="dcterms:W3CDTF">2026-04-28T05:05:26Z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3DA2A42D9BD848B68D8A42CBC92564B8_11</vt:lpwstr>
  </property>
  <property fmtid="{D5CDD505-2E9C-101B-9397-08002B2CF9AE}" pid="4" name="KSOTemplateDocerSaveRecord">
    <vt:lpwstr>eyJoZGlkIjoiNTU3MWFmY2JmYjBmNTA2M2Q0ZWY5MzgxYzE5YjliMzUiLCJ1c2VySWQiOiI4NDYxOTIwMTUifQ==</vt:lpwstr>
  </property>
</Properties>
</file>