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51" w:rsidRDefault="00A64451" w:rsidP="00A64451">
      <w:pPr>
        <w:snapToGrid w:val="0"/>
        <w:spacing w:line="360" w:lineRule="auto"/>
        <w:jc w:val="center"/>
        <w:outlineLvl w:val="0"/>
        <w:rPr>
          <w:rFonts w:ascii="仿宋" w:eastAsia="仿宋" w:hAnsi="仿宋" w:cs="仿宋"/>
          <w:b/>
          <w:sz w:val="40"/>
          <w:szCs w:val="40"/>
        </w:rPr>
      </w:pPr>
      <w:bookmarkStart w:id="0" w:name="_Toc226016196"/>
      <w:r>
        <w:rPr>
          <w:rFonts w:ascii="仿宋" w:eastAsia="仿宋" w:hAnsi="仿宋" w:cs="仿宋" w:hint="eastAsia"/>
          <w:b/>
          <w:sz w:val="40"/>
          <w:szCs w:val="40"/>
        </w:rPr>
        <w:t>第五章   采购需求</w:t>
      </w:r>
      <w:bookmarkEnd w:id="0"/>
    </w:p>
    <w:p w:rsidR="00A64451" w:rsidRDefault="00A64451" w:rsidP="00A6445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A64451" w:rsidRDefault="00A64451" w:rsidP="00A64451">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A64451" w:rsidRDefault="00A64451" w:rsidP="00A64451">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A64451" w:rsidRDefault="00A64451" w:rsidP="00A6445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A64451" w:rsidRDefault="00A64451" w:rsidP="00A6445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A64451" w:rsidRDefault="00A64451" w:rsidP="00A6445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A64451" w:rsidRDefault="00A64451" w:rsidP="00A6445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A64451" w:rsidRDefault="00A64451" w:rsidP="00A64451">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A64451" w:rsidRDefault="00A64451" w:rsidP="00A64451">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A64451" w:rsidTr="001D55D3">
        <w:trPr>
          <w:trHeight w:val="57"/>
        </w:trPr>
        <w:tc>
          <w:tcPr>
            <w:tcW w:w="383" w:type="pct"/>
            <w:vAlign w:val="center"/>
          </w:tcPr>
          <w:p w:rsidR="00A64451" w:rsidRDefault="00A64451" w:rsidP="001D55D3">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A64451" w:rsidRDefault="00A64451" w:rsidP="001D55D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A64451" w:rsidRDefault="00A64451" w:rsidP="001D55D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A64451" w:rsidRDefault="00A64451" w:rsidP="001D55D3">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A64451" w:rsidRDefault="00A64451" w:rsidP="001D55D3">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3" w:type="pct"/>
            <w:vAlign w:val="center"/>
          </w:tcPr>
          <w:p w:rsidR="00A64451" w:rsidRDefault="00A64451" w:rsidP="001D55D3">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A64451" w:rsidTr="001D55D3">
        <w:trPr>
          <w:trHeight w:val="535"/>
        </w:trPr>
        <w:tc>
          <w:tcPr>
            <w:tcW w:w="383" w:type="pct"/>
            <w:vMerge w:val="restart"/>
            <w:noWrap/>
            <w:vAlign w:val="center"/>
          </w:tcPr>
          <w:p w:rsidR="00A64451" w:rsidRDefault="00A64451" w:rsidP="001D55D3">
            <w:pPr>
              <w:snapToGrid w:val="0"/>
              <w:jc w:val="center"/>
              <w:rPr>
                <w:rFonts w:ascii="仿宋" w:eastAsia="仿宋" w:hAnsi="仿宋" w:cs="仿宋"/>
                <w:bCs/>
                <w:sz w:val="24"/>
              </w:rPr>
            </w:pPr>
            <w:r>
              <w:rPr>
                <w:rFonts w:ascii="仿宋" w:eastAsia="仿宋" w:hAnsi="仿宋" w:cs="仿宋" w:hint="eastAsia"/>
                <w:bCs/>
                <w:sz w:val="24"/>
              </w:rPr>
              <w:t>1</w:t>
            </w:r>
          </w:p>
        </w:tc>
        <w:tc>
          <w:tcPr>
            <w:tcW w:w="52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2013" w:type="pct"/>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内镜清洗消毒机</w:t>
            </w:r>
          </w:p>
        </w:tc>
        <w:tc>
          <w:tcPr>
            <w:tcW w:w="500" w:type="pct"/>
            <w:vAlign w:val="center"/>
          </w:tcPr>
          <w:p w:rsidR="00A64451" w:rsidRDefault="00A64451" w:rsidP="001D55D3">
            <w:pPr>
              <w:jc w:val="center"/>
              <w:rPr>
                <w:rFonts w:ascii="仿宋" w:eastAsia="仿宋" w:hAnsi="仿宋" w:cs="宋体"/>
                <w:color w:val="000000"/>
                <w:sz w:val="24"/>
              </w:rPr>
            </w:pPr>
            <w:r>
              <w:rPr>
                <w:rFonts w:ascii="仿宋" w:eastAsia="仿宋" w:hAnsi="仿宋" w:hint="eastAsia"/>
                <w:color w:val="000000"/>
                <w:sz w:val="24"/>
              </w:rPr>
              <w:t>6</w:t>
            </w:r>
          </w:p>
        </w:tc>
        <w:tc>
          <w:tcPr>
            <w:tcW w:w="50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kern w:val="0"/>
                <w:sz w:val="24"/>
                <w:lang w:bidi="ar"/>
              </w:rPr>
              <w:t>台</w:t>
            </w:r>
          </w:p>
        </w:tc>
        <w:tc>
          <w:tcPr>
            <w:tcW w:w="1083" w:type="pct"/>
            <w:vAlign w:val="center"/>
          </w:tcPr>
          <w:p w:rsidR="00A64451" w:rsidRDefault="00A64451" w:rsidP="001D55D3">
            <w:pPr>
              <w:jc w:val="center"/>
              <w:rPr>
                <w:rFonts w:ascii="仿宋" w:eastAsia="仿宋" w:hAnsi="仿宋"/>
                <w:sz w:val="24"/>
              </w:rPr>
            </w:pPr>
            <w:r>
              <w:rPr>
                <w:rFonts w:ascii="仿宋" w:eastAsia="仿宋" w:hAnsi="仿宋" w:cs="宋体" w:hint="eastAsia"/>
                <w:kern w:val="0"/>
                <w:sz w:val="24"/>
              </w:rPr>
              <w:t>否</w:t>
            </w:r>
          </w:p>
        </w:tc>
      </w:tr>
      <w:tr w:rsidR="00A64451" w:rsidTr="001D55D3">
        <w:trPr>
          <w:trHeight w:val="535"/>
        </w:trPr>
        <w:tc>
          <w:tcPr>
            <w:tcW w:w="383" w:type="pct"/>
            <w:vMerge/>
            <w:noWrap/>
            <w:vAlign w:val="center"/>
          </w:tcPr>
          <w:p w:rsidR="00A64451" w:rsidRDefault="00A64451" w:rsidP="001D55D3">
            <w:pPr>
              <w:snapToGrid w:val="0"/>
              <w:jc w:val="center"/>
              <w:rPr>
                <w:rFonts w:ascii="仿宋" w:eastAsia="仿宋" w:hAnsi="仿宋" w:cs="仿宋"/>
                <w:bCs/>
                <w:sz w:val="24"/>
              </w:rPr>
            </w:pPr>
          </w:p>
        </w:tc>
        <w:tc>
          <w:tcPr>
            <w:tcW w:w="52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1-2</w:t>
            </w:r>
          </w:p>
        </w:tc>
        <w:tc>
          <w:tcPr>
            <w:tcW w:w="2013" w:type="pct"/>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吊塔</w:t>
            </w:r>
          </w:p>
        </w:tc>
        <w:tc>
          <w:tcPr>
            <w:tcW w:w="500" w:type="pct"/>
            <w:vAlign w:val="center"/>
          </w:tcPr>
          <w:p w:rsidR="00A64451" w:rsidRDefault="00A64451" w:rsidP="001D55D3">
            <w:pPr>
              <w:jc w:val="center"/>
              <w:rPr>
                <w:rFonts w:ascii="仿宋" w:eastAsia="仿宋" w:hAnsi="仿宋" w:cs="宋体"/>
                <w:color w:val="000000"/>
                <w:sz w:val="24"/>
              </w:rPr>
            </w:pPr>
            <w:r>
              <w:rPr>
                <w:rFonts w:ascii="仿宋" w:eastAsia="仿宋" w:hAnsi="仿宋" w:hint="eastAsia"/>
                <w:color w:val="000000"/>
                <w:sz w:val="24"/>
              </w:rPr>
              <w:t>19</w:t>
            </w:r>
          </w:p>
        </w:tc>
        <w:tc>
          <w:tcPr>
            <w:tcW w:w="50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083" w:type="pct"/>
            <w:vAlign w:val="center"/>
          </w:tcPr>
          <w:p w:rsidR="00A64451" w:rsidRDefault="00A64451" w:rsidP="001D55D3">
            <w:pPr>
              <w:jc w:val="center"/>
              <w:rPr>
                <w:rFonts w:ascii="仿宋" w:eastAsia="仿宋" w:hAnsi="仿宋" w:cs="宋体"/>
                <w:kern w:val="0"/>
                <w:sz w:val="24"/>
              </w:rPr>
            </w:pPr>
            <w:r>
              <w:rPr>
                <w:rFonts w:ascii="仿宋" w:eastAsia="仿宋" w:hAnsi="仿宋" w:cs="宋体" w:hint="eastAsia"/>
                <w:kern w:val="0"/>
                <w:sz w:val="24"/>
              </w:rPr>
              <w:t>否</w:t>
            </w:r>
          </w:p>
        </w:tc>
      </w:tr>
      <w:tr w:rsidR="00A64451" w:rsidTr="001D55D3">
        <w:trPr>
          <w:trHeight w:val="535"/>
        </w:trPr>
        <w:tc>
          <w:tcPr>
            <w:tcW w:w="383" w:type="pct"/>
            <w:vMerge/>
            <w:noWrap/>
            <w:vAlign w:val="center"/>
          </w:tcPr>
          <w:p w:rsidR="00A64451" w:rsidRDefault="00A64451" w:rsidP="001D55D3">
            <w:pPr>
              <w:snapToGrid w:val="0"/>
              <w:jc w:val="center"/>
              <w:rPr>
                <w:rFonts w:ascii="仿宋" w:eastAsia="仿宋" w:hAnsi="仿宋" w:cs="仿宋"/>
                <w:bCs/>
                <w:sz w:val="24"/>
              </w:rPr>
            </w:pPr>
          </w:p>
        </w:tc>
        <w:tc>
          <w:tcPr>
            <w:tcW w:w="52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1-3</w:t>
            </w:r>
          </w:p>
        </w:tc>
        <w:tc>
          <w:tcPr>
            <w:tcW w:w="2013" w:type="pct"/>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内镜干燥储存柜</w:t>
            </w:r>
          </w:p>
        </w:tc>
        <w:tc>
          <w:tcPr>
            <w:tcW w:w="500" w:type="pct"/>
            <w:vAlign w:val="center"/>
          </w:tcPr>
          <w:p w:rsidR="00A64451" w:rsidRDefault="00A64451" w:rsidP="001D55D3">
            <w:pPr>
              <w:jc w:val="center"/>
              <w:rPr>
                <w:rFonts w:ascii="仿宋" w:eastAsia="仿宋" w:hAnsi="仿宋" w:cs="宋体"/>
                <w:color w:val="000000"/>
                <w:sz w:val="24"/>
              </w:rPr>
            </w:pPr>
            <w:r>
              <w:rPr>
                <w:rFonts w:ascii="仿宋" w:eastAsia="仿宋" w:hAnsi="仿宋" w:hint="eastAsia"/>
                <w:color w:val="000000"/>
                <w:sz w:val="24"/>
              </w:rPr>
              <w:t>21</w:t>
            </w:r>
          </w:p>
        </w:tc>
        <w:tc>
          <w:tcPr>
            <w:tcW w:w="50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kern w:val="0"/>
                <w:sz w:val="24"/>
                <w:lang w:bidi="ar"/>
              </w:rPr>
              <w:t>台</w:t>
            </w:r>
          </w:p>
        </w:tc>
        <w:tc>
          <w:tcPr>
            <w:tcW w:w="1083" w:type="pct"/>
            <w:vAlign w:val="center"/>
          </w:tcPr>
          <w:p w:rsidR="00A64451" w:rsidRDefault="00A64451" w:rsidP="001D55D3">
            <w:pPr>
              <w:jc w:val="center"/>
              <w:rPr>
                <w:rFonts w:ascii="仿宋" w:eastAsia="仿宋" w:hAnsi="仿宋" w:cs="宋体"/>
                <w:kern w:val="0"/>
                <w:sz w:val="24"/>
              </w:rPr>
            </w:pPr>
            <w:r>
              <w:rPr>
                <w:rFonts w:ascii="仿宋" w:eastAsia="仿宋" w:hAnsi="仿宋" w:cs="宋体" w:hint="eastAsia"/>
                <w:kern w:val="0"/>
                <w:sz w:val="24"/>
              </w:rPr>
              <w:t>否</w:t>
            </w:r>
          </w:p>
        </w:tc>
      </w:tr>
      <w:tr w:rsidR="00A64451" w:rsidTr="001D55D3">
        <w:trPr>
          <w:trHeight w:val="535"/>
        </w:trPr>
        <w:tc>
          <w:tcPr>
            <w:tcW w:w="383" w:type="pct"/>
            <w:vMerge/>
            <w:noWrap/>
            <w:vAlign w:val="center"/>
          </w:tcPr>
          <w:p w:rsidR="00A64451" w:rsidRDefault="00A64451" w:rsidP="001D55D3">
            <w:pPr>
              <w:snapToGrid w:val="0"/>
              <w:jc w:val="center"/>
              <w:rPr>
                <w:rFonts w:ascii="仿宋" w:eastAsia="仿宋" w:hAnsi="仿宋" w:cs="仿宋"/>
                <w:bCs/>
                <w:sz w:val="24"/>
              </w:rPr>
            </w:pPr>
          </w:p>
        </w:tc>
        <w:tc>
          <w:tcPr>
            <w:tcW w:w="52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1-4</w:t>
            </w:r>
          </w:p>
        </w:tc>
        <w:tc>
          <w:tcPr>
            <w:tcW w:w="2013" w:type="pct"/>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清洗工作站</w:t>
            </w:r>
          </w:p>
        </w:tc>
        <w:tc>
          <w:tcPr>
            <w:tcW w:w="500" w:type="pct"/>
            <w:vAlign w:val="center"/>
          </w:tcPr>
          <w:p w:rsidR="00A64451" w:rsidRDefault="00A64451" w:rsidP="001D55D3">
            <w:pPr>
              <w:jc w:val="center"/>
              <w:rPr>
                <w:rFonts w:ascii="仿宋" w:eastAsia="仿宋" w:hAnsi="仿宋" w:cs="宋体"/>
                <w:color w:val="000000"/>
                <w:sz w:val="24"/>
              </w:rPr>
            </w:pPr>
            <w:r>
              <w:rPr>
                <w:rFonts w:ascii="仿宋" w:eastAsia="仿宋" w:hAnsi="仿宋" w:hint="eastAsia"/>
                <w:color w:val="000000"/>
                <w:sz w:val="24"/>
              </w:rPr>
              <w:t>4</w:t>
            </w:r>
          </w:p>
        </w:tc>
        <w:tc>
          <w:tcPr>
            <w:tcW w:w="500" w:type="pct"/>
            <w:noWrap/>
            <w:vAlign w:val="center"/>
          </w:tcPr>
          <w:p w:rsidR="00A64451" w:rsidRDefault="00A6445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083" w:type="pct"/>
            <w:vAlign w:val="center"/>
          </w:tcPr>
          <w:p w:rsidR="00A64451" w:rsidRDefault="00A64451" w:rsidP="001D55D3">
            <w:pPr>
              <w:jc w:val="center"/>
              <w:rPr>
                <w:rFonts w:ascii="仿宋" w:eastAsia="仿宋" w:hAnsi="仿宋" w:cs="宋体"/>
                <w:kern w:val="0"/>
                <w:sz w:val="24"/>
              </w:rPr>
            </w:pPr>
            <w:r>
              <w:rPr>
                <w:rFonts w:ascii="仿宋" w:eastAsia="仿宋" w:hAnsi="仿宋" w:cs="宋体" w:hint="eastAsia"/>
                <w:kern w:val="0"/>
                <w:sz w:val="24"/>
              </w:rPr>
              <w:t>否</w:t>
            </w:r>
          </w:p>
        </w:tc>
      </w:tr>
    </w:tbl>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品目1-1</w:t>
      </w:r>
      <w:r>
        <w:rPr>
          <w:rFonts w:ascii="仿宋" w:eastAsia="仿宋" w:hAnsi="仿宋" w:cs="仿宋" w:hint="eastAsia"/>
          <w:kern w:val="0"/>
          <w:sz w:val="24"/>
          <w:lang w:bidi="ar"/>
        </w:rPr>
        <w:t>内镜清洗消毒机：用于各种软式内窥镜及手术器械的清洗、消毒、干燥。</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品目1-2吊塔：用于内镜中心。</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品目1-3内镜干燥储存柜：用于内镜中心软式内镜无菌储存。</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品目1-4清洗工作站：用于内镜中心。</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1、交付时间：签订合同后45个工作日内。</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预付款：本合同签订生效且甲方收到乙方提交的预付款保函确认无误后，甲方通知乙方开具发票，甲方收到乙方合格的等额发票后30日内向乙方预付75%合同价款；尾款：在货物到货进行安装、调试、验收合格后，并且乙方不存在本合同约定的其他违约条款，及甲方收到乙方提交的履约保函与合格的等额发票确认无误后30日内，甲方向乙方支付25%合同价款。（详见合同）</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品目1-1内镜清洗消毒机：</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验收完成之日起，质保期≥6年（含滤芯），提供原厂质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w:t>
      </w:r>
      <w:r>
        <w:rPr>
          <w:rFonts w:ascii="仿宋" w:eastAsia="仿宋" w:hAnsi="仿宋" w:cs="仿宋" w:hint="eastAsia"/>
          <w:bCs/>
          <w:sz w:val="24"/>
        </w:rPr>
        <w:lastRenderedPageBreak/>
        <w:t>章文件，质保期内依原厂规定执行定期保养与校正，制造商提供保养工具及设备。</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4、提供重要零件编号及价格， 零件供应≥10年。</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品目1-2吊塔：</w:t>
      </w:r>
    </w:p>
    <w:p w:rsidR="00A64451" w:rsidRDefault="00A64451" w:rsidP="00A64451">
      <w:pPr>
        <w:snapToGrid w:val="0"/>
        <w:spacing w:line="360" w:lineRule="auto"/>
        <w:ind w:firstLineChars="200" w:firstLine="480"/>
        <w:rPr>
          <w:rFonts w:ascii="仿宋" w:eastAsia="仿宋" w:hAnsi="仿宋" w:cs="仿宋"/>
          <w:bCs/>
          <w:sz w:val="24"/>
        </w:rPr>
      </w:pP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72个月免费保修。所有原机装配附带的零配件均免费更换，保修期内并依原厂规定执行定期保养（含耗材）与校正，制造商提供保养工具及设备。24小时不能排除故障要求提供备品服务，备品满足同样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品目1-3内镜干燥储存柜：</w:t>
      </w:r>
    </w:p>
    <w:p w:rsidR="00A64451" w:rsidRDefault="00A64451" w:rsidP="00A64451">
      <w:pPr>
        <w:snapToGrid w:val="0"/>
        <w:spacing w:line="360" w:lineRule="auto"/>
        <w:ind w:firstLineChars="200" w:firstLine="480"/>
        <w:rPr>
          <w:rFonts w:ascii="仿宋" w:eastAsia="仿宋" w:hAnsi="仿宋" w:cs="仿宋"/>
          <w:bCs/>
          <w:sz w:val="24"/>
        </w:rPr>
      </w:pP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72个月免费保修。所有原机装配附带的零配件均免费更换，保修期内并依原厂规定执行定期保养（含耗材）与校正，制造商提供保养工具及设备。24小时不能排除故障要求提供备品服务，备品满足同样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品目1-4清洗工作站：</w:t>
      </w:r>
    </w:p>
    <w:p w:rsidR="00A64451" w:rsidRDefault="00A64451" w:rsidP="00A64451">
      <w:pPr>
        <w:snapToGrid w:val="0"/>
        <w:spacing w:line="360" w:lineRule="auto"/>
        <w:ind w:firstLineChars="200" w:firstLine="480"/>
        <w:rPr>
          <w:rFonts w:ascii="仿宋" w:eastAsia="仿宋" w:hAnsi="仿宋" w:cs="仿宋"/>
          <w:bCs/>
          <w:sz w:val="24"/>
        </w:rPr>
      </w:pP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72个月免费保修。所有原机装配附带的零配件均免费更换，保修期内并依原厂规定执行定期保养（含耗材）与校正，制造商提供保养工具及设备。24小时不能排除故障要求提供备品服务，备品满足同样要求。</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lastRenderedPageBreak/>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A64451" w:rsidRDefault="00A64451" w:rsidP="00A64451">
      <w:pPr>
        <w:pStyle w:val="a0"/>
        <w:rPr>
          <w:rFonts w:ascii="仿宋" w:eastAsia="仿宋" w:hAnsi="仿宋"/>
        </w:rPr>
      </w:pP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A64451" w:rsidRDefault="00A64451" w:rsidP="00A64451">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1-1内镜清洗消毒机</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设备</w:t>
      </w:r>
      <w:proofErr w:type="gramStart"/>
      <w:r>
        <w:rPr>
          <w:rFonts w:ascii="仿宋" w:eastAsia="仿宋" w:hAnsi="仿宋" w:cs="仿宋" w:hint="eastAsia"/>
          <w:bCs/>
          <w:sz w:val="24"/>
        </w:rPr>
        <w:t>一</w:t>
      </w:r>
      <w:proofErr w:type="gramEnd"/>
      <w:r>
        <w:rPr>
          <w:rFonts w:ascii="仿宋" w:eastAsia="仿宋" w:hAnsi="仿宋" w:cs="仿宋" w:hint="eastAsia"/>
          <w:bCs/>
          <w:sz w:val="24"/>
        </w:rPr>
        <w:t>：内镜清洗消毒机（6台）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1.1、技术参数：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1.1.1、功能要求：设备为隔断式全自动软式内镜清洗消毒器，符合建筑要求，物品</w:t>
      </w:r>
      <w:proofErr w:type="gramStart"/>
      <w:r>
        <w:rPr>
          <w:rFonts w:ascii="仿宋" w:eastAsia="仿宋" w:hAnsi="仿宋" w:cs="仿宋" w:hint="eastAsia"/>
          <w:bCs/>
          <w:sz w:val="24"/>
        </w:rPr>
        <w:t>由污到洁</w:t>
      </w:r>
      <w:proofErr w:type="gramEnd"/>
      <w:r>
        <w:rPr>
          <w:rFonts w:ascii="仿宋" w:eastAsia="仿宋" w:hAnsi="仿宋" w:cs="仿宋" w:hint="eastAsia"/>
          <w:bCs/>
          <w:sz w:val="24"/>
        </w:rPr>
        <w:t>，不交叉，</w:t>
      </w:r>
      <w:proofErr w:type="gramStart"/>
      <w:r>
        <w:rPr>
          <w:rFonts w:ascii="仿宋" w:eastAsia="仿宋" w:hAnsi="仿宋" w:cs="仿宋" w:hint="eastAsia"/>
          <w:bCs/>
          <w:sz w:val="24"/>
        </w:rPr>
        <w:t>不</w:t>
      </w:r>
      <w:proofErr w:type="gramEnd"/>
      <w:r>
        <w:rPr>
          <w:rFonts w:ascii="仿宋" w:eastAsia="仿宋" w:hAnsi="仿宋" w:cs="仿宋" w:hint="eastAsia"/>
          <w:bCs/>
          <w:sz w:val="24"/>
        </w:rPr>
        <w:t>逆流，洁污分离的隔离型清洗中心，适用于各种型号的软式内窥镜：包括但不限于胃镜、十二指肠镜、结肠镜等内镜及手术器械的清洗、消毒和干燥；</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1.1.2、各项指标要求：</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1.1.2.1、清洗流程具备预洗、清洗、漂洗一、漂洗二、消毒、干燥全过程由控制器自动控制，保证设备稳定、有序的运行。处理内镜时，具备初洗、酶洗、漂洗一、化学消毒、漂洗二、干燥功能；</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★1.1.2.2、密封门为双门通道型、双门可实现互锁，开门方式为自动下开门；（提供图片证明资料并加盖投标人公章）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▲1.1.2.3、容积≥200L(提供设备铭牌证明材料)；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1.1.2.4、舱</w:t>
      </w:r>
      <w:proofErr w:type="gramStart"/>
      <w:r>
        <w:rPr>
          <w:rFonts w:ascii="仿宋" w:eastAsia="仿宋" w:hAnsi="仿宋" w:cs="仿宋" w:hint="eastAsia"/>
          <w:bCs/>
          <w:sz w:val="24"/>
        </w:rPr>
        <w:t>体材</w:t>
      </w:r>
      <w:proofErr w:type="gramEnd"/>
      <w:r>
        <w:rPr>
          <w:rFonts w:ascii="仿宋" w:eastAsia="仿宋" w:hAnsi="仿宋" w:cs="仿宋" w:hint="eastAsia"/>
          <w:bCs/>
          <w:sz w:val="24"/>
        </w:rPr>
        <w:t>质：316不锈钢镜面板；清洗托盘：塑料抑菌材质模具成型；</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1.1.2.5.外装饰罩304不锈钢拉丝板(提供证明材料)；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▲1.1.2.6、灌流压力检测内灌流管</w:t>
      </w:r>
      <w:proofErr w:type="gramStart"/>
      <w:r>
        <w:rPr>
          <w:rFonts w:ascii="仿宋" w:eastAsia="仿宋" w:hAnsi="仿宋" w:cs="仿宋" w:hint="eastAsia"/>
          <w:bCs/>
          <w:sz w:val="24"/>
        </w:rPr>
        <w:t>路独立</w:t>
      </w:r>
      <w:proofErr w:type="gramEnd"/>
      <w:r>
        <w:rPr>
          <w:rFonts w:ascii="仿宋" w:eastAsia="仿宋" w:hAnsi="仿宋" w:cs="仿宋" w:hint="eastAsia"/>
          <w:bCs/>
          <w:sz w:val="24"/>
        </w:rPr>
        <w:t>对接。并且具有流量监测，</w:t>
      </w:r>
      <w:proofErr w:type="gramStart"/>
      <w:r>
        <w:rPr>
          <w:rFonts w:ascii="仿宋" w:eastAsia="仿宋" w:hAnsi="仿宋" w:cs="仿宋" w:hint="eastAsia"/>
          <w:bCs/>
          <w:sz w:val="24"/>
        </w:rPr>
        <w:t>且显</w:t>
      </w:r>
      <w:r>
        <w:rPr>
          <w:rFonts w:ascii="仿宋" w:eastAsia="仿宋" w:hAnsi="仿宋" w:cs="仿宋" w:hint="eastAsia"/>
          <w:bCs/>
          <w:sz w:val="24"/>
        </w:rPr>
        <w:lastRenderedPageBreak/>
        <w:t>示</w:t>
      </w:r>
      <w:proofErr w:type="gramEnd"/>
      <w:r>
        <w:rPr>
          <w:rFonts w:ascii="仿宋" w:eastAsia="仿宋" w:hAnsi="仿宋" w:cs="仿宋" w:hint="eastAsia"/>
          <w:bCs/>
          <w:sz w:val="24"/>
        </w:rPr>
        <w:t>检测数字。（提供运行界面图片）</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1.1.2.7、对接系统专用多对接口，侧对接，一次性对接实现多管路连接；</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1.1.2.8、PLC控制清洗</w:t>
      </w:r>
      <w:proofErr w:type="gramStart"/>
      <w:r>
        <w:rPr>
          <w:rFonts w:ascii="仿宋" w:eastAsia="仿宋" w:hAnsi="仿宋" w:cs="仿宋" w:hint="eastAsia"/>
          <w:bCs/>
          <w:sz w:val="24"/>
        </w:rPr>
        <w:t>消毒全</w:t>
      </w:r>
      <w:proofErr w:type="gramEnd"/>
      <w:r>
        <w:rPr>
          <w:rFonts w:ascii="仿宋" w:eastAsia="仿宋" w:hAnsi="仿宋" w:cs="仿宋" w:hint="eastAsia"/>
          <w:bCs/>
          <w:sz w:val="24"/>
        </w:rPr>
        <w:t>过程，触摸屏显示及操作，免费接入中心</w:t>
      </w:r>
      <w:proofErr w:type="gramStart"/>
      <w:r>
        <w:rPr>
          <w:rFonts w:ascii="仿宋" w:eastAsia="仿宋" w:hAnsi="仿宋" w:cs="仿宋" w:hint="eastAsia"/>
          <w:bCs/>
          <w:sz w:val="24"/>
        </w:rPr>
        <w:t>智慧化洗消</w:t>
      </w:r>
      <w:proofErr w:type="gramEnd"/>
      <w:r>
        <w:rPr>
          <w:rFonts w:ascii="仿宋" w:eastAsia="仿宋" w:hAnsi="仿宋" w:cs="仿宋" w:hint="eastAsia"/>
          <w:bCs/>
          <w:sz w:val="24"/>
        </w:rPr>
        <w:t>系统；</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1.1.2.9、界面显示：≥8英寸彩色触摸屏显示，显示屏显示运行过程的程序名称、洗消日期、运行阶段名称和阶段计时（提供运行界面实物照片）；</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1.1.2.10、记录方式可自动打印过程实时参数、并记录A0值，提供打印记录</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▲1.1.2.11、具备超温自动保护装置、防干烧保护装置，具备故障自动检测、报警及故障记录；</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▲1.1.2.12、具备连接头脱落或管腔堵塞，提供报警提醒功能（提供设备运行界面照片）；</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1.1.2.13、软式内镜程序运行时间：≤25分钟；</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★1.1.2.14、最大装载量：至少装载3条软式内镜或6个DIN标准器械托盘（480×250×50mm）；（提供图片证明资料并加盖投标人公章）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1.1.2.15、外形尺寸≤1000*800*2100mm（宽*深*高）；</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1.1.2.16、舱体尺寸≥600*500*700mm（宽*深*高）；</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1.1.2.17、使用寿命≥10年或≥15000次循环；</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▲1.1.2.18、设备界面实时显示运行状态及故障报警显示；</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1.1.2.19、具有终末漂洗水菌落数检测报告，终末漂洗水菌落数≤5CFU/100ML。（提供第三方检测报告)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▲1.1.2.20、设备消毒方式至少有热力消毒，化学消毒（过氧乙酸，浓度可调）两种，化学消毒试剂、酶洗液为开放式；并且能够对进水滤芯进行自身消毒；</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1.1.2.21、设备具有独立排水泵排水，并且有独立冷却水箱，实现冷却排水。</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1.1.3、每台设备配置：</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1.1.3.1、主机1台；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1.1.3.2、水过滤系统1套；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1.1.3.3、托盘≥3个；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1.1.3.4、电子内镜清洗接头（不限制品牌）≥3套。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设备二：内镜追溯管理系统（1套）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1.2、技术参数：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▲1.2.1、功能要求：可以对内镜清洗工作站、内镜清洗消毒机、储镜柜等各类设备运行数据追溯（提供图片证明资料并加盖投标人公章）。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1.2.2、内镜追溯管理系统：</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▲1.2.2.1、利用RFID技术，对内镜的洗消、存储、使用等各个环节进行跟踪监控；</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1.2.2.2、内镜洗消模块：针对内镜清洗设备，采用RFID技术实现内镜清洗消毒作业数据的动态采集，获取每条内镜清洗、漂洗、消毒、终末漂洗、干燥等各清洗、消毒步骤的实时数据记录。系统支持洗消流程记录信息完整时自动提交数据库保存，无需用户二次操作软件，有效减少用户操作次数并降低洗</w:t>
      </w:r>
      <w:proofErr w:type="gramStart"/>
      <w:r>
        <w:rPr>
          <w:rFonts w:ascii="仿宋" w:eastAsia="仿宋" w:hAnsi="仿宋" w:cs="仿宋" w:hint="eastAsia"/>
          <w:bCs/>
          <w:sz w:val="24"/>
        </w:rPr>
        <w:t>消记录漏</w:t>
      </w:r>
      <w:proofErr w:type="gramEnd"/>
      <w:r>
        <w:rPr>
          <w:rFonts w:ascii="仿宋" w:eastAsia="仿宋" w:hAnsi="仿宋" w:cs="仿宋" w:hint="eastAsia"/>
          <w:bCs/>
          <w:sz w:val="24"/>
        </w:rPr>
        <w:t>保存的概率；</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▲1.2.2.3、具备洗</w:t>
      </w:r>
      <w:proofErr w:type="gramStart"/>
      <w:r>
        <w:rPr>
          <w:rFonts w:ascii="仿宋" w:eastAsia="仿宋" w:hAnsi="仿宋" w:cs="仿宋" w:hint="eastAsia"/>
          <w:bCs/>
          <w:sz w:val="24"/>
        </w:rPr>
        <w:t>消阶段</w:t>
      </w:r>
      <w:proofErr w:type="gramEnd"/>
      <w:r>
        <w:rPr>
          <w:rFonts w:ascii="仿宋" w:eastAsia="仿宋" w:hAnsi="仿宋" w:cs="仿宋" w:hint="eastAsia"/>
          <w:bCs/>
          <w:sz w:val="24"/>
        </w:rPr>
        <w:t>监控，可以实时显示内镜名称、洗消阶段、时间、操作人，辅助用户完成洗</w:t>
      </w:r>
      <w:proofErr w:type="gramStart"/>
      <w:r>
        <w:rPr>
          <w:rFonts w:ascii="仿宋" w:eastAsia="仿宋" w:hAnsi="仿宋" w:cs="仿宋" w:hint="eastAsia"/>
          <w:bCs/>
          <w:sz w:val="24"/>
        </w:rPr>
        <w:t>消工作</w:t>
      </w:r>
      <w:proofErr w:type="gramEnd"/>
      <w:r>
        <w:rPr>
          <w:rFonts w:ascii="仿宋" w:eastAsia="仿宋" w:hAnsi="仿宋" w:cs="仿宋" w:hint="eastAsia"/>
          <w:bCs/>
          <w:sz w:val="24"/>
        </w:rPr>
        <w:t>,自动识别二次清洗、特殊清洗、完结清洗，并在洗消监控进行特殊标记及颜色区分；</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1.2.2.4、具备查询指定日期段的内镜洗消明细功能。查询条件：日期时间、洗消人、洗消类型。查询结果：内镜种类、内镜型号、内镜编号、洗消人、洗消日期、内镜名称、洗消时长、洗消工序。支持打印、导出Excel；</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▲1.2.2.5、具备内镜存储模块，储存阶段采集的数据包括：操作人、出入库内镜名称、出入库内镜型号、出入库内镜钢号、内镜出入库时间、内镜状态、内镜储存柜名称、内镜储存柜编号；</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1.2.2.6、具备内镜出入库查询功能，查询条件包括储存柜名称、储存柜编号、内镜名称、内镜编号、日期；查询结果包括内镜名称、内镜型号、操作人、出入库时间、内镜储存柜名称、内镜储存柜编号；</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▲1.2.2.7、具备诊疗阶段采集的数据功能，包括操作人、内镜名称、检查开始时间、检查结束时间、病人检查号、病人姓名、医生姓名、阳性标识、诊疗房间号；</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1.2.2.8、具备查询病人使用的内镜使用前和使用后的内镜洗</w:t>
      </w:r>
      <w:proofErr w:type="gramStart"/>
      <w:r>
        <w:rPr>
          <w:rFonts w:ascii="仿宋" w:eastAsia="仿宋" w:hAnsi="仿宋" w:cs="仿宋" w:hint="eastAsia"/>
          <w:bCs/>
          <w:sz w:val="24"/>
        </w:rPr>
        <w:t>消过程</w:t>
      </w:r>
      <w:proofErr w:type="gramEnd"/>
      <w:r>
        <w:rPr>
          <w:rFonts w:ascii="仿宋" w:eastAsia="仿宋" w:hAnsi="仿宋" w:cs="仿宋" w:hint="eastAsia"/>
          <w:bCs/>
          <w:sz w:val="24"/>
        </w:rPr>
        <w:t>明细功能。查询条件：病人姓名、检查号、使用日期范围。查询结果：病人姓名、检查号、使用日期、内镜种类、内镜型号、内镜编号、使用前后的洗消人、洗消日期、洗消步骤、洗消时长等；</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1.2.2.9、追溯端口开放，可配合医院对接相关端口。</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1.2.3、每套标准配置：</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1.2.3.1、电脑主机2台；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1.2.3.2、追溯显示屏≥2台；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1.2.3.3、</w:t>
      </w:r>
      <w:proofErr w:type="gramStart"/>
      <w:r>
        <w:rPr>
          <w:rFonts w:ascii="仿宋" w:eastAsia="仿宋" w:hAnsi="仿宋" w:cs="仿宋" w:hint="eastAsia"/>
          <w:bCs/>
          <w:sz w:val="24"/>
        </w:rPr>
        <w:t>追溯卡</w:t>
      </w:r>
      <w:proofErr w:type="gramEnd"/>
      <w:r>
        <w:rPr>
          <w:rFonts w:ascii="仿宋" w:eastAsia="仿宋" w:hAnsi="仿宋" w:cs="仿宋" w:hint="eastAsia"/>
          <w:bCs/>
          <w:sz w:val="24"/>
        </w:rPr>
        <w:t>按需定制≥200个。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设备三：</w:t>
      </w:r>
      <w:proofErr w:type="gramStart"/>
      <w:r>
        <w:rPr>
          <w:rFonts w:ascii="仿宋" w:eastAsia="仿宋" w:hAnsi="仿宋" w:cs="仿宋" w:hint="eastAsia"/>
          <w:bCs/>
          <w:sz w:val="24"/>
        </w:rPr>
        <w:t>洗消用内镜</w:t>
      </w:r>
      <w:proofErr w:type="gramEnd"/>
      <w:r>
        <w:rPr>
          <w:rFonts w:ascii="仿宋" w:eastAsia="仿宋" w:hAnsi="仿宋" w:cs="仿宋" w:hint="eastAsia"/>
          <w:bCs/>
          <w:sz w:val="24"/>
        </w:rPr>
        <w:t>回收转运机器人（6台）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1.3、技术参数：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1.3.1、自主绕障；雷达视野≤170°平面视野≤240°，适应复杂场景，避障反应迅速准确；实现自主绕障；</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1.3.2、导航方式；雷达+视觉；</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1.3.3、摄像头数量；≥3颗RGBD摄像头；</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1.3.4、整机结构；金属框架地盘+二层平台车体；</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1.3.5、门形式；全自动电动四门，旋转半径≤ 80 cm；</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1.3.6、整机尺寸；≤56*53*138cm；</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1.3.7、存储空间；独立存储空间2个，存储空间具备可独立开启；</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1.3.8、托盘功能；每个</w:t>
      </w:r>
      <w:proofErr w:type="gramStart"/>
      <w:r>
        <w:rPr>
          <w:rFonts w:ascii="仿宋" w:eastAsia="仿宋" w:hAnsi="仿宋" w:cs="仿宋" w:hint="eastAsia"/>
          <w:bCs/>
          <w:sz w:val="24"/>
        </w:rPr>
        <w:t>存储空间标配一个</w:t>
      </w:r>
      <w:proofErr w:type="gramEnd"/>
      <w:r>
        <w:rPr>
          <w:rFonts w:ascii="仿宋" w:eastAsia="仿宋" w:hAnsi="仿宋" w:cs="仿宋" w:hint="eastAsia"/>
          <w:bCs/>
          <w:sz w:val="24"/>
        </w:rPr>
        <w:t>，可载重量≥20KG；</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1.3.9、驱动电机；高扭力轮毂电机，可原地360°差速转向；</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1.3.10、运行速度；可进行调控，最高运行速度≥1.2m/s；</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1.3.11、中央控制器；可直接与用户驱动设备交互；</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1.3.12、警示方式；至少具备声音、文字、色彩三种方式；</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1.3.13、语音播报；可根据场景需求编辑语音播报内容；</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1.3.14、控制方式；至少触摸屏、语音识别、刷卡三种方式；</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1.3.15、装载拿取功能；内镜放置在机器人舱室内，机器人自动关门完成内镜回收；</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1.3.16、拿取功能；对应的内镜所在的存储舱室门会自动打开，拿取完成后，机器人自动返回待机位置；</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1.3.17、电池性能；磷酸铁锂电池；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1.3.18、手动充电；接收人员指令归位对接充电；</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1.3.19、自动充电；定时充电+（低电量自动充电）；</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1.3.20、电池容量；≥22.5Ah具有自动充电功能；</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1.3.21、续航时间；≥10小时；</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1.3.22、显示器配置；≥14英寸1080P；</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1.3.23、网络支持；5G（支持TDD-LTE、FDD-LTE），支持2.4G/5G </w:t>
      </w:r>
      <w:proofErr w:type="spellStart"/>
      <w:r>
        <w:rPr>
          <w:rFonts w:ascii="仿宋" w:eastAsia="仿宋" w:hAnsi="仿宋" w:cs="仿宋" w:hint="eastAsia"/>
          <w:bCs/>
          <w:sz w:val="24"/>
        </w:rPr>
        <w:t>Wifi</w:t>
      </w:r>
      <w:proofErr w:type="spellEnd"/>
      <w:r>
        <w:rPr>
          <w:rFonts w:ascii="仿宋" w:eastAsia="仿宋" w:hAnsi="仿宋" w:cs="仿宋" w:hint="eastAsia"/>
          <w:bCs/>
          <w:sz w:val="24"/>
        </w:rPr>
        <w:t>；</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1.3.24、每台配置：</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1.3.24.1、主机1台；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1.3.24.2、磷酸铁锂电池1套；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1.3.24.3、充电装置1套；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1.3.24.4、转运托盘≥2个；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1.3.24.5、识别卡≥3套。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设备四：</w:t>
      </w:r>
      <w:proofErr w:type="gramStart"/>
      <w:r>
        <w:rPr>
          <w:rFonts w:ascii="仿宋" w:eastAsia="仿宋" w:hAnsi="仿宋" w:cs="仿宋" w:hint="eastAsia"/>
          <w:bCs/>
          <w:sz w:val="24"/>
        </w:rPr>
        <w:t>洗消用导引</w:t>
      </w:r>
      <w:proofErr w:type="gramEnd"/>
      <w:r>
        <w:rPr>
          <w:rFonts w:ascii="仿宋" w:eastAsia="仿宋" w:hAnsi="仿宋" w:cs="仿宋" w:hint="eastAsia"/>
          <w:bCs/>
          <w:sz w:val="24"/>
        </w:rPr>
        <w:t>机器人（1台）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1.4、技术参数：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1.4.1、自主绕障；雷达视野≤170°平面视野≤240°，适应复杂场景，避障反应迅速准确；实现自主绕障；</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1.4.2、导航方式；雷达+视觉；</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1.4.3、摄像头数量；≥3颗RGBD摄像头；</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1.4.4、整机结构；金属框架地盘+二层平台车体；</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1.4.5、驱动电机；高扭力轮毂电机，可原地360°差速转向；</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1.4.6、运行速度；可进行调控，最高运行速度≥1.2m/s；</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1.4.7、动力轮；独立悬挂；</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1.4.8、中央控制器；可直接与用户驱动设备交互；</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1.4.9、警示方式；声音；</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1.4.10、语音播报；可根据场景需求编辑语音播报内容；</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1.4.11、解锁方式；至少密码、</w:t>
      </w:r>
      <w:proofErr w:type="gramStart"/>
      <w:r>
        <w:rPr>
          <w:rFonts w:ascii="仿宋" w:eastAsia="仿宋" w:hAnsi="仿宋" w:cs="仿宋" w:hint="eastAsia"/>
          <w:bCs/>
          <w:sz w:val="24"/>
        </w:rPr>
        <w:t>二维码解锁</w:t>
      </w:r>
      <w:proofErr w:type="gramEnd"/>
      <w:r>
        <w:rPr>
          <w:rFonts w:ascii="仿宋" w:eastAsia="仿宋" w:hAnsi="仿宋" w:cs="仿宋" w:hint="eastAsia"/>
          <w:bCs/>
          <w:sz w:val="24"/>
        </w:rPr>
        <w:t>两种方式；</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1.4.12、电池性能；磷酸铁锂电池；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1.4.13、手动充电；接收人员指令归位对接充电；</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1.4.14、自动充电；定时充电+（低电量自动充电）；</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1.4.15、电池容量；≥22.5Ah具有自动充电功能；</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1.4.16、续航时间；≥10小时；</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1.4.17、显示器配置；≥14英寸1080P；</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1.4.18、网络支持；5G（支持TDD-LTE、FDD-LTE），支持2.4G/5G </w:t>
      </w:r>
      <w:proofErr w:type="spellStart"/>
      <w:r>
        <w:rPr>
          <w:rFonts w:ascii="仿宋" w:eastAsia="仿宋" w:hAnsi="仿宋" w:cs="仿宋" w:hint="eastAsia"/>
          <w:bCs/>
          <w:sz w:val="24"/>
        </w:rPr>
        <w:t>Wifi</w:t>
      </w:r>
      <w:proofErr w:type="spellEnd"/>
      <w:r>
        <w:rPr>
          <w:rFonts w:ascii="仿宋" w:eastAsia="仿宋" w:hAnsi="仿宋" w:cs="仿宋" w:hint="eastAsia"/>
          <w:bCs/>
          <w:sz w:val="24"/>
        </w:rPr>
        <w:t>；</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1.4.19、每台配置导引机器人：</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1.4.19.1、主机1台；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1.4.19.2、磷酸铁锂电池1套；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1.4.19.3、充电装置1套。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1.5、网络连接（本品目所有设备均应满足以下要求）</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1.5.1、设备支持与医院HIS、PACS、LIS、RIS等系统数据交互。</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1.5.2、投标报价包括与医院HIS、PACS、LIS、RIS等系统的对接服务，支持包括但不限于以下接口：患者信息获取、医嘱项目获取、结构化结果回传、图片结果回传、附件报告回传、视频输出接口等（含接口开发）。同时，也支持其他经医院认可的对接方式。（响应内容需要列明具体的数据接口实现方案）</w:t>
      </w:r>
    </w:p>
    <w:p w:rsidR="00A64451" w:rsidRDefault="00A64451" w:rsidP="00A64451">
      <w:pPr>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★1.6、投标人需提供所投产品制造商的《消毒产品生产企业卫生许可证》，并加盖制造商公章。</w:t>
      </w:r>
    </w:p>
    <w:p w:rsidR="00A64451" w:rsidRDefault="00A64451" w:rsidP="00A64451">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1-2吊塔</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▲2.1、吊塔主体材料为高强度铝合金型材，圆弧形设计；（提供省级及以上国家相关检测机构出具的检测报告证明并加盖投标人公章）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2.2、吊塔主体表面采用环保抗菌涂层静电喷涂，具有抑制细菌再生的作用，抑菌性能检测结果≥2.0，标准</w:t>
      </w:r>
      <w:proofErr w:type="gramStart"/>
      <w:r>
        <w:rPr>
          <w:rFonts w:ascii="仿宋" w:eastAsia="仿宋" w:hAnsi="仿宋" w:cs="仿宋" w:hint="eastAsia"/>
          <w:bCs/>
          <w:sz w:val="24"/>
        </w:rPr>
        <w:t>耐擦易</w:t>
      </w:r>
      <w:proofErr w:type="gramEnd"/>
      <w:r>
        <w:rPr>
          <w:rFonts w:ascii="仿宋" w:eastAsia="仿宋" w:hAnsi="仿宋" w:cs="仿宋" w:hint="eastAsia"/>
          <w:bCs/>
          <w:sz w:val="24"/>
        </w:rPr>
        <w:t xml:space="preserve">清洁；（提供具有CMA检测资质的第三方机构出具的检测报告）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2.3、配置机械刹车；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▲2.4、吊塔转轴可在300 kg负载下可连续旋转10万次；（提供具有CMA检测资质的第三方机构出具的检测报告）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▲2.5、吊塔预埋支架垂直载荷≥1800kg，扭矩≥9200N.m；（提供具有CMA检测资质的第三方机构出具的检测报告）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2.6、悬臂四腔体一体压铸成型，悬臂</w:t>
      </w:r>
      <w:proofErr w:type="gramStart"/>
      <w:r>
        <w:rPr>
          <w:rFonts w:ascii="仿宋" w:eastAsia="仿宋" w:hAnsi="仿宋" w:cs="仿宋" w:hint="eastAsia"/>
          <w:bCs/>
          <w:sz w:val="24"/>
        </w:rPr>
        <w:t>臂</w:t>
      </w:r>
      <w:proofErr w:type="gramEnd"/>
      <w:r>
        <w:rPr>
          <w:rFonts w:ascii="仿宋" w:eastAsia="仿宋" w:hAnsi="仿宋" w:cs="仿宋" w:hint="eastAsia"/>
          <w:bCs/>
          <w:sz w:val="24"/>
        </w:rPr>
        <w:t>厚≥8mm；（提供有效证明材料）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▲2.7、悬臂最大承载不小于300kg，符合四倍安全承载系数；（提供第三方机构出具的CMA检测报告）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▲2.8、</w:t>
      </w:r>
      <w:proofErr w:type="gramStart"/>
      <w:r>
        <w:rPr>
          <w:rFonts w:ascii="仿宋" w:eastAsia="仿宋" w:hAnsi="仿宋" w:cs="仿宋" w:hint="eastAsia"/>
          <w:bCs/>
          <w:sz w:val="24"/>
        </w:rPr>
        <w:t>功能柱半包围</w:t>
      </w:r>
      <w:proofErr w:type="gramEnd"/>
      <w:r>
        <w:rPr>
          <w:rFonts w:ascii="仿宋" w:eastAsia="仿宋" w:hAnsi="仿宋" w:cs="仿宋" w:hint="eastAsia"/>
          <w:bCs/>
          <w:sz w:val="24"/>
        </w:rPr>
        <w:t>结构设计，托盘内嵌式安装，背板安装操作检修门；（提供有效证明材料）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2.9、气体管路为医疗专用橡胶软管，符合ISO5359-2014标准；（提供有效证明材料）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2.10、托盘为铝合金材质，六腔式结构一体压铸成型，无拼接缝隙，最大承载≥110kg，符合四倍承载安全系数；托盘整体厚度≥28mm，壁厚≥3mm，托盘中间凹陷设计，防止物体滑落；（提供有效证明材料及第三方检测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2.11、医用吊塔配置有四层托盘，第一层为加长加宽设计；其他三层放置设备的托盘尺寸完全匹配内镜设备，有防脱落及防撞设计；</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2.12、功能柱外置一体成型标准滑轨（10mm *25mm），易清洁；方便托盘调节、方便扩展其它附件；（提供有效证明材料）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2.13、具备双关节阻尼可调输液臂定位简单可靠，无任何调节旋钮；（提供有效证明材料）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▲2.14、气体终端、电源插座等均可完全隐藏在吊塔箱体内部，有线</w:t>
      </w:r>
      <w:proofErr w:type="gramStart"/>
      <w:r>
        <w:rPr>
          <w:rFonts w:ascii="仿宋" w:eastAsia="仿宋" w:hAnsi="仿宋" w:cs="仿宋" w:hint="eastAsia"/>
          <w:bCs/>
          <w:sz w:val="24"/>
        </w:rPr>
        <w:t>缆</w:t>
      </w:r>
      <w:proofErr w:type="gramEnd"/>
      <w:r>
        <w:rPr>
          <w:rFonts w:ascii="仿宋" w:eastAsia="仿宋" w:hAnsi="仿宋" w:cs="仿宋" w:hint="eastAsia"/>
          <w:bCs/>
          <w:sz w:val="24"/>
        </w:rPr>
        <w:t>管理模块；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2.15、配置内镜挂架，可悬挂≥2条软镜，挂架可拆下进行清洗、消毒；配置阻尼式关节转动臂，可轻松定位调节位置；配置有光源接头放置模块；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▲2.16、监视器悬挂系统平衡臂结构；上下调节角度-45°~+45°，可升降调节高度≥1000mm；</w:t>
      </w:r>
      <w:r>
        <w:rPr>
          <w:rFonts w:ascii="仿宋" w:eastAsia="仿宋" w:hAnsi="仿宋" w:cs="仿宋"/>
          <w:bCs/>
          <w:sz w:val="24"/>
        </w:rPr>
        <w:t xml:space="preserve">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2.17、配置有专业的光源</w:t>
      </w:r>
      <w:proofErr w:type="gramStart"/>
      <w:r>
        <w:rPr>
          <w:rFonts w:ascii="仿宋" w:eastAsia="仿宋" w:hAnsi="仿宋" w:cs="仿宋" w:hint="eastAsia"/>
          <w:bCs/>
          <w:sz w:val="24"/>
        </w:rPr>
        <w:t>接头卡</w:t>
      </w:r>
      <w:proofErr w:type="gramEnd"/>
      <w:r>
        <w:rPr>
          <w:rFonts w:ascii="仿宋" w:eastAsia="仿宋" w:hAnsi="仿宋" w:cs="仿宋" w:hint="eastAsia"/>
          <w:bCs/>
          <w:sz w:val="24"/>
        </w:rPr>
        <w:t>托，硅胶材质，对镜子起到良好的保护作用，可同时放置两条软镜；</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▲2.18、监视器挂架系统与吊塔同基座安装，5关节万向联动，阻尼可调节，旋转角度≥340°，有限位装置；</w:t>
      </w:r>
      <w:r>
        <w:rPr>
          <w:rFonts w:ascii="仿宋" w:eastAsia="仿宋" w:hAnsi="仿宋" w:cs="仿宋"/>
          <w:bCs/>
          <w:sz w:val="24"/>
        </w:rPr>
        <w:t xml:space="preserve">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▲2.19、监视器挂架四周带有防撞边框；监视器挂架下方带有可拆卸、可高温消毒的调节手柄；</w:t>
      </w:r>
      <w:r>
        <w:rPr>
          <w:rFonts w:ascii="仿宋" w:eastAsia="仿宋" w:hAnsi="仿宋" w:cs="仿宋"/>
          <w:bCs/>
          <w:sz w:val="24"/>
        </w:rPr>
        <w:t xml:space="preserve">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▲2.20、抽屉为钢制抽屉，不接受使用PVC及塑料材质，具备自吸式标准导轨，安装于仪器平台底部，最大承载≥15kg，符合四倍承载安全系数；（提供第三方检测机构出具的CMA检测报告）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2.21、键盘抽屉采用自吸式标准导轨，自动吸合；</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2.22、具备独立弱电视讯模块，预留设备数据接口（BNC、Y/C）及网络接口，且线缆隐藏产品内部；</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▲2.23、预留4条HDMI线、预留线长≥10米，仪器的需预留2条</w:t>
      </w:r>
      <w:proofErr w:type="spellStart"/>
      <w:r>
        <w:rPr>
          <w:rFonts w:ascii="仿宋" w:eastAsia="仿宋" w:hAnsi="仿宋" w:cs="仿宋" w:hint="eastAsia"/>
          <w:bCs/>
          <w:sz w:val="24"/>
        </w:rPr>
        <w:t>sdi</w:t>
      </w:r>
      <w:proofErr w:type="spellEnd"/>
      <w:r>
        <w:rPr>
          <w:rFonts w:ascii="仿宋" w:eastAsia="仿宋" w:hAnsi="仿宋" w:cs="仿宋" w:hint="eastAsia"/>
          <w:bCs/>
          <w:sz w:val="24"/>
        </w:rPr>
        <w:t>线、预留线长≥10米。</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2.24、气源电源内置，可选择预留电刀专用电源；</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▲2.25、医用吊塔外壳防火等级≥UL94-V0级；（提供具有检测资质的第三方机构出具的CMA检测报告）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2.26、吊塔外壳涂膜附着力等级0；（提供具有检测资质的第三方机构出具的CMA检测报告）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2.27、医用吊塔外壳参照ISO9227:2022标准进行中性盐酸试验，外观评级参照ISO10289-1999,评级等级为10；（提供具有CMA资质的第三方机构出具的检测报告）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2.28、负载状态下，功能柱箱体倾角≤0.8°；（提供第三方检测机构出具的CMA检测报告）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2.29、可选配箱体监视器挂架，吸引瓶挂架，患者监护仪支架等。</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2.30、单台/</w:t>
      </w:r>
      <w:proofErr w:type="gramStart"/>
      <w:r>
        <w:rPr>
          <w:rFonts w:ascii="仿宋" w:eastAsia="仿宋" w:hAnsi="仿宋" w:cs="仿宋" w:hint="eastAsia"/>
          <w:bCs/>
          <w:sz w:val="24"/>
        </w:rPr>
        <w:t>套主要</w:t>
      </w:r>
      <w:proofErr w:type="gramEnd"/>
      <w:r>
        <w:rPr>
          <w:rFonts w:ascii="仿宋" w:eastAsia="仿宋" w:hAnsi="仿宋" w:cs="仿宋" w:hint="eastAsia"/>
          <w:bCs/>
          <w:sz w:val="24"/>
        </w:rPr>
        <w:t>配置/组成：</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2.30.1、吊塔主机：1个；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2.30.2、气体终端：1套（每套包括：氧气2个、负压2个、空气1个、二氧化碳1个）；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2.30.3、电源插座：8个；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2.30.4、网口：2个；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2.30.5、视频接口：2个；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2.30.6、平面推力轴承：4套；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2.30.7、平面推力轴承：2套；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2.30.8、托盘：4层；</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2.30.9、双悬臂（600+600mm）：1套；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2.30.10、自吸式抽屉：1套；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2.30.11、内窥镜支架：1套；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2.30.12、单监视器挂架（26寸）：1套。</w:t>
      </w:r>
    </w:p>
    <w:p w:rsidR="00A64451" w:rsidRDefault="00A64451" w:rsidP="00A64451">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1-3内镜干燥储存柜</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▲3.1、单台最大储存容量≥16条内镜；</w:t>
      </w:r>
    </w:p>
    <w:p w:rsidR="00A64451" w:rsidRDefault="00A64451" w:rsidP="00A64451">
      <w:pPr>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★3.2、托盘式存放系统;储存方式：内镜采用水平盘式进行储存,拿取方式：托盘抽拉拿取，拿取时向上微抬篮筐，抽拉取出（需提供厂家技术支持白皮书，并加盖厂家公章）；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3.3、控制系统;显示屏采用≥7寸彩色触摸屏。显示屏显示内容包括温度、湿度、风压、时间，过程阶段和报警信息等；</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3.4、功能要求:控制系统内设不少于三套标准程序，可分别实现长效储存、智能储存、强化干燥三个功能；</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▲3.5、开门方式：采用自动开门器开门，具备脚</w:t>
      </w:r>
      <w:proofErr w:type="gramStart"/>
      <w:r>
        <w:rPr>
          <w:rFonts w:ascii="仿宋" w:eastAsia="仿宋" w:hAnsi="仿宋" w:cs="仿宋" w:hint="eastAsia"/>
          <w:bCs/>
          <w:sz w:val="24"/>
        </w:rPr>
        <w:t>踢开关</w:t>
      </w:r>
      <w:proofErr w:type="gramEnd"/>
      <w:r>
        <w:rPr>
          <w:rFonts w:ascii="仿宋" w:eastAsia="仿宋" w:hAnsi="仿宋" w:cs="仿宋" w:hint="eastAsia"/>
          <w:bCs/>
          <w:sz w:val="24"/>
        </w:rPr>
        <w:t>控制开关门；</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▲3.6、通风干燥系统：空气过滤器：H13级，效率≥99.99%，过滤精度≤0.2 um；</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▲3.7、内镜存储：对清洗消毒合格后的内镜进行储存，存储≥72小时后内镜腔体及外表菌落需≤ 20CFU/件的要求，提供CMA检测报告或相关证明材料；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3.8、LED冷光照明灯；</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▲3.9、氧化铝板内胆，整体吸塑成型，表面光滑，</w:t>
      </w:r>
      <w:proofErr w:type="gramStart"/>
      <w:r>
        <w:rPr>
          <w:rFonts w:ascii="仿宋" w:eastAsia="仿宋" w:hAnsi="仿宋" w:cs="仿宋" w:hint="eastAsia"/>
          <w:bCs/>
          <w:sz w:val="24"/>
        </w:rPr>
        <w:t>不</w:t>
      </w:r>
      <w:proofErr w:type="gramEnd"/>
      <w:r>
        <w:rPr>
          <w:rFonts w:ascii="仿宋" w:eastAsia="仿宋" w:hAnsi="仿宋" w:cs="仿宋" w:hint="eastAsia"/>
          <w:bCs/>
          <w:sz w:val="24"/>
        </w:rPr>
        <w:t>残留细菌，无死角易清洁；</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3.10、外罩采用型材式外观；</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3.11、可对储存环境参数进行实时监测，可对储存温度、风压、湿度等环境参数进行实时的监测，保证储存环境的安全；</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3.12、整体参数：外形尺寸≤（W*H*D）1400*1850*600mm。</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3.13、单台/</w:t>
      </w:r>
      <w:proofErr w:type="gramStart"/>
      <w:r>
        <w:rPr>
          <w:rFonts w:ascii="仿宋" w:eastAsia="仿宋" w:hAnsi="仿宋" w:cs="仿宋" w:hint="eastAsia"/>
          <w:bCs/>
          <w:sz w:val="24"/>
        </w:rPr>
        <w:t>套主要</w:t>
      </w:r>
      <w:proofErr w:type="gramEnd"/>
      <w:r>
        <w:rPr>
          <w:rFonts w:ascii="仿宋" w:eastAsia="仿宋" w:hAnsi="仿宋" w:cs="仿宋" w:hint="eastAsia"/>
          <w:bCs/>
          <w:sz w:val="24"/>
        </w:rPr>
        <w:t>配置/组成：</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3.13.1、主机：1台</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3.13.2、托盘：16个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3.13.3、内镜链接管路：16套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3.13.4、电源线：1根</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3.13.5、合格证：1个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3.13.6、设备资料：1套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3.13.7、说明书：1本</w:t>
      </w:r>
    </w:p>
    <w:p w:rsidR="00A64451" w:rsidRDefault="00A64451" w:rsidP="00A64451">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品目</w:t>
      </w:r>
      <w:r>
        <w:rPr>
          <w:rFonts w:ascii="仿宋" w:eastAsia="仿宋" w:hAnsi="仿宋" w:cs="仿宋" w:hint="eastAsia"/>
          <w:b/>
          <w:bCs/>
          <w:sz w:val="24"/>
        </w:rPr>
        <w:t>1-4清洗工作站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▲4.1、材质要求：采用高分子复合材料整体热合吸塑成型,灰色，板材厚度≥5MM，表面光亮平滑、耐磨、耐酸碱、易清洗，提供国家药品监督管理局提供的耐腐蚀性测试检验报告。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4.2、清洗槽形状要求：采用“前后高中间低”的大斜角防泛水设计，防止台面积水，且不倒流到柜门或室内楼地面，并且前端设计有倒角斜度。</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4.3、清洗槽规格尺寸要求：双方槽≤长1200mm×宽750mm，内径≥长500mm×宽450mm×深200mm；（提供有效证明材料）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4.4、功能背板形状材质要求：背板采用与清洗</w:t>
      </w:r>
      <w:proofErr w:type="gramStart"/>
      <w:r>
        <w:rPr>
          <w:rFonts w:ascii="仿宋" w:eastAsia="仿宋" w:hAnsi="仿宋" w:cs="仿宋" w:hint="eastAsia"/>
          <w:bCs/>
          <w:sz w:val="24"/>
        </w:rPr>
        <w:t>槽相同</w:t>
      </w:r>
      <w:proofErr w:type="gramEnd"/>
      <w:r>
        <w:rPr>
          <w:rFonts w:ascii="仿宋" w:eastAsia="仿宋" w:hAnsi="仿宋" w:cs="仿宋" w:hint="eastAsia"/>
          <w:bCs/>
          <w:sz w:val="24"/>
        </w:rPr>
        <w:t>的材质，整体一次成型，无接缝，抗压强度高，抗氧化，耐强酸强碱；表面光滑，易清洗；耐磨损，对人体无毒性等。</w:t>
      </w:r>
    </w:p>
    <w:p w:rsidR="00A64451" w:rsidRDefault="00A64451" w:rsidP="00A64451">
      <w:pPr>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★4.5、储物空间：采用上、下吊柜，且上吊柜采用高密度欧松板材质（需提供厂家技术支持白皮书，并加盖厂家公章）。</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▲4.6、管道自身消毒功能：可对终末漂洗用水管道定期消毒，消毒对象包括0.2μm过滤滤芯、终末漂洗水枪及水枪管道、水龙头</w:t>
      </w:r>
      <w:proofErr w:type="gramStart"/>
      <w:r>
        <w:rPr>
          <w:rFonts w:ascii="仿宋" w:eastAsia="仿宋" w:hAnsi="仿宋" w:cs="仿宋" w:hint="eastAsia"/>
          <w:bCs/>
          <w:sz w:val="24"/>
        </w:rPr>
        <w:t>及灌流系统</w:t>
      </w:r>
      <w:proofErr w:type="gramEnd"/>
      <w:r>
        <w:rPr>
          <w:rFonts w:ascii="仿宋" w:eastAsia="仿宋" w:hAnsi="仿宋" w:cs="仿宋" w:hint="eastAsia"/>
          <w:bCs/>
          <w:sz w:val="24"/>
        </w:rPr>
        <w:t>管道，保障内镜清洗用水水质符合WS507-2016中菌落数≤10cuf/100mL的要求。管道自身消毒结束后可自动冲洗内部管道，防止消毒液残留。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4.7、水/气“一次性”全自动灌注主机要求：一键式操作，方便快捷；注水注气系统采用分离式设计，脉冲注水功能，并且在注水完成后自动实现注气的切换，系统采用“一次性”注水，避免交叉感染；电压24V，压力0.2～0.3MPa，注气压力小于0.16MPa。</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4.8、</w:t>
      </w:r>
      <w:proofErr w:type="gramStart"/>
      <w:r>
        <w:rPr>
          <w:rFonts w:ascii="仿宋" w:eastAsia="仿宋" w:hAnsi="仿宋" w:cs="仿宋" w:hint="eastAsia"/>
          <w:bCs/>
          <w:sz w:val="24"/>
        </w:rPr>
        <w:t>酶液</w:t>
      </w:r>
      <w:proofErr w:type="gramEnd"/>
      <w:r>
        <w:rPr>
          <w:rFonts w:ascii="仿宋" w:eastAsia="仿宋" w:hAnsi="仿宋" w:cs="仿宋" w:hint="eastAsia"/>
          <w:bCs/>
          <w:sz w:val="24"/>
        </w:rPr>
        <w:t xml:space="preserve">/消毒液全自动循环灌注主机要求：一键式操作，方便快捷；注液注气系统采用分离式设计，脉冲注液功能，并且在注液完成后自动实现注气的切换，系统采用循环注液，避免交叉感染；电压24V，压力0.2～0.3MPa，注气压力小于0.16MPa。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▲4.9、控制器要求：采用液晶电容式触摸屏，非按键式触摸设计，控制每</w:t>
      </w:r>
      <w:proofErr w:type="gramStart"/>
      <w:r>
        <w:rPr>
          <w:rFonts w:ascii="仿宋" w:eastAsia="仿宋" w:hAnsi="仿宋" w:cs="仿宋" w:hint="eastAsia"/>
          <w:bCs/>
          <w:sz w:val="24"/>
        </w:rPr>
        <w:t>槽实际</w:t>
      </w:r>
      <w:proofErr w:type="gramEnd"/>
      <w:r>
        <w:rPr>
          <w:rFonts w:ascii="仿宋" w:eastAsia="仿宋" w:hAnsi="仿宋" w:cs="仿宋" w:hint="eastAsia"/>
          <w:bCs/>
          <w:sz w:val="24"/>
        </w:rPr>
        <w:t>操作流程，均按照屏幕提示进行清洗，并具备对多条内镜分别定时、倒计时功能。控制器可控制灌流时间，调节灌流清洗时间时可通过控制屏按键增加、减少。（提供有效证明材料）。</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4.10、快速接头材质及功能要求：快速接头的底座与插头部分全部采用耐酸碱的高分子塑料，防止酸碱腐蚀，只需单手操作就可完成。</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4.11、酒精灌注系统要求:酒精自动灌注内镜管腔，自动注气辅助干燥，方便快捷，采用蠕动泵定量控制，进酒精速度大于等于5ml/s。应符合医药行业标准YY0992-2016《内镜清洗工作站》要求：具备酒精不足提示报警功能，并在控制屏上显示“酒精不足”。</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4.12、自动供酶系统：采用蠕动泵自动添加清洗酶，具备液位检测功能，清</w:t>
      </w:r>
      <w:r>
        <w:rPr>
          <w:rFonts w:ascii="仿宋" w:eastAsia="仿宋" w:hAnsi="仿宋" w:cs="仿宋" w:hint="eastAsia"/>
          <w:bCs/>
          <w:sz w:val="24"/>
        </w:rPr>
        <w:lastRenderedPageBreak/>
        <w:t>洗酶用完后，自动报警提示，</w:t>
      </w:r>
      <w:proofErr w:type="gramStart"/>
      <w:r>
        <w:rPr>
          <w:rFonts w:ascii="仿宋" w:eastAsia="仿宋" w:hAnsi="仿宋" w:cs="仿宋" w:hint="eastAsia"/>
          <w:bCs/>
          <w:sz w:val="24"/>
        </w:rPr>
        <w:t>进酶量</w:t>
      </w:r>
      <w:proofErr w:type="gramEnd"/>
      <w:r>
        <w:rPr>
          <w:rFonts w:ascii="仿宋" w:eastAsia="仿宋" w:hAnsi="仿宋" w:cs="仿宋" w:hint="eastAsia"/>
          <w:bCs/>
          <w:sz w:val="24"/>
        </w:rPr>
        <w:t>5mL/s，一键启动，操作简便。</w:t>
      </w:r>
      <w:proofErr w:type="gramStart"/>
      <w:r>
        <w:rPr>
          <w:rFonts w:ascii="仿宋" w:eastAsia="仿宋" w:hAnsi="仿宋" w:cs="仿宋" w:hint="eastAsia"/>
          <w:bCs/>
          <w:sz w:val="24"/>
        </w:rPr>
        <w:t>供酶时间</w:t>
      </w:r>
      <w:proofErr w:type="gramEnd"/>
      <w:r>
        <w:rPr>
          <w:rFonts w:ascii="仿宋" w:eastAsia="仿宋" w:hAnsi="仿宋" w:cs="仿宋" w:hint="eastAsia"/>
          <w:bCs/>
          <w:sz w:val="24"/>
        </w:rPr>
        <w:t>0-99min可调，应符合医药行业标准YY0992-2016《内镜清洗工作站》要求；</w:t>
      </w:r>
      <w:proofErr w:type="gramStart"/>
      <w:r>
        <w:rPr>
          <w:rFonts w:ascii="仿宋" w:eastAsia="仿宋" w:hAnsi="仿宋" w:cs="仿宋" w:hint="eastAsia"/>
          <w:bCs/>
          <w:sz w:val="24"/>
        </w:rPr>
        <w:t>具备酶液不足</w:t>
      </w:r>
      <w:proofErr w:type="gramEnd"/>
      <w:r>
        <w:rPr>
          <w:rFonts w:ascii="仿宋" w:eastAsia="仿宋" w:hAnsi="仿宋" w:cs="仿宋" w:hint="eastAsia"/>
          <w:bCs/>
          <w:sz w:val="24"/>
        </w:rPr>
        <w:t>提示报警功能，并在控制屏上显示“清洗液不足”。（提供控制屏“清洗液不足”照片佐证材料及国家药品监督管理局提供的检验报告）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▲4.13、全自动内镜测漏器：内镜专用气泵，多种测漏压力可选，测漏完成后自动排气，隐藏式后置设计，一键启动。</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4.14、供水管路要求：所有给水管采用SUS304不锈钢冷、热水管材和管件，采用卡压式连接。</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▲4.15、终末漂洗水质要求:终末漂洗槽水龙头、水枪、灌流器出水水质细菌总数≤10CFU/100mL，细菌内毒素不大于0.25EU/mL的要求。提供国家药品监督管理局提供的检验报告，第三方水质合格检测报告；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4.16、不锈钢水龙头：选用SUS304不锈钢材质，出水口设有蓄水与花</w:t>
      </w:r>
      <w:proofErr w:type="gramStart"/>
      <w:r>
        <w:rPr>
          <w:rFonts w:ascii="仿宋" w:eastAsia="仿宋" w:hAnsi="仿宋" w:cs="仿宋" w:hint="eastAsia"/>
          <w:bCs/>
          <w:sz w:val="24"/>
        </w:rPr>
        <w:t>洒两种</w:t>
      </w:r>
      <w:proofErr w:type="gramEnd"/>
      <w:r>
        <w:rPr>
          <w:rFonts w:ascii="仿宋" w:eastAsia="仿宋" w:hAnsi="仿宋" w:cs="仿宋" w:hint="eastAsia"/>
          <w:bCs/>
          <w:sz w:val="24"/>
        </w:rPr>
        <w:t>模式，可任意切换，360度旋转式设计，任意角度弯曲，恒温出水，多层防腐防锈处理。</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4.17、</w:t>
      </w:r>
      <w:proofErr w:type="gramStart"/>
      <w:r>
        <w:rPr>
          <w:rFonts w:ascii="仿宋" w:eastAsia="仿宋" w:hAnsi="仿宋" w:cs="仿宋" w:hint="eastAsia"/>
          <w:bCs/>
          <w:sz w:val="24"/>
        </w:rPr>
        <w:t>干燥台</w:t>
      </w:r>
      <w:proofErr w:type="gramEnd"/>
      <w:r>
        <w:rPr>
          <w:rFonts w:ascii="仿宋" w:eastAsia="仿宋" w:hAnsi="仿宋" w:cs="仿宋" w:hint="eastAsia"/>
          <w:bCs/>
          <w:sz w:val="24"/>
        </w:rPr>
        <w:t>要求：</w:t>
      </w:r>
      <w:proofErr w:type="gramStart"/>
      <w:r>
        <w:rPr>
          <w:rFonts w:ascii="仿宋" w:eastAsia="仿宋" w:hAnsi="仿宋" w:cs="仿宋" w:hint="eastAsia"/>
          <w:bCs/>
          <w:sz w:val="24"/>
        </w:rPr>
        <w:t>干燥台</w:t>
      </w:r>
      <w:proofErr w:type="gramEnd"/>
      <w:r>
        <w:rPr>
          <w:rFonts w:ascii="仿宋" w:eastAsia="仿宋" w:hAnsi="仿宋" w:cs="仿宋" w:hint="eastAsia"/>
          <w:bCs/>
          <w:sz w:val="24"/>
        </w:rPr>
        <w:t>采用内凹式平台倒角设计，干燥平台台面设计有条形凸起，干燥平台台面低于前端，并且在</w:t>
      </w:r>
      <w:proofErr w:type="gramStart"/>
      <w:r>
        <w:rPr>
          <w:rFonts w:ascii="仿宋" w:eastAsia="仿宋" w:hAnsi="仿宋" w:cs="仿宋" w:hint="eastAsia"/>
          <w:bCs/>
          <w:sz w:val="24"/>
        </w:rPr>
        <w:t>干燥台</w:t>
      </w:r>
      <w:proofErr w:type="gramEnd"/>
      <w:r>
        <w:rPr>
          <w:rFonts w:ascii="仿宋" w:eastAsia="仿宋" w:hAnsi="仿宋" w:cs="仿宋" w:hint="eastAsia"/>
          <w:bCs/>
          <w:sz w:val="24"/>
        </w:rPr>
        <w:t>并且前端设计有倒角斜度，两端设计挡水台,尺寸≤长1800mm×宽750mm。</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4.18、医用洁净气源要求：提供医用级洁净气源，集成无油空气压缩机、气体处理及气体过滤。符合GB50751-2012《医用气体工程技术规范》及WS507-2016《软式内镜清洗消毒技术规范》要求。过滤精度0.01微米，可置于在干燥台下，噪音≦60dB，容积流量≥150L/min；具备自动排水功能。</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4.19、医用高压气枪要求：枪体采用SUS304不锈钢，配备不少于八个螺旋式清洗喷嘴，清洗喷嘴与枪体之间可以任意更换，耐受压力0-0.7MPa。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4.20、医用高压水枪要求：枪体采用SUS304不锈钢，配备不少于八个螺旋式清洗喷嘴，清洗喷嘴与枪体之间可以任意更换，适合不同类型的内镜管道，耐受压力0-0.7MPa。 </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▲4.21、超声波清洗要求：采用内嵌式设计，SUS304不锈钢材质，四周有橡胶减震胶条，工作频率：38～41KHz。</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4.22、单台/</w:t>
      </w:r>
      <w:proofErr w:type="gramStart"/>
      <w:r>
        <w:rPr>
          <w:rFonts w:ascii="仿宋" w:eastAsia="仿宋" w:hAnsi="仿宋" w:cs="仿宋" w:hint="eastAsia"/>
          <w:bCs/>
          <w:sz w:val="24"/>
        </w:rPr>
        <w:t>套主要</w:t>
      </w:r>
      <w:proofErr w:type="gramEnd"/>
      <w:r>
        <w:rPr>
          <w:rFonts w:ascii="仿宋" w:eastAsia="仿宋" w:hAnsi="仿宋" w:cs="仿宋" w:hint="eastAsia"/>
          <w:bCs/>
          <w:sz w:val="24"/>
        </w:rPr>
        <w:t>配置/组成：</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4.22.1、清洗槽：5个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4.22.2、干燥台：1个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4.22.3、自动供酶系统：3套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4.22.4、超声系统：1套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4.22.5、全自动内镜侧漏器：2个</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4.22.6、折叠水龙头：5套</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4.22.7、高压水枪：3把</w:t>
      </w:r>
    </w:p>
    <w:p w:rsidR="00A64451" w:rsidRDefault="00A64451" w:rsidP="00A64451">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4.22.8、高压气枪：2把</w:t>
      </w:r>
    </w:p>
    <w:p w:rsidR="00A64451" w:rsidRDefault="00A64451" w:rsidP="00A64451">
      <w:pPr>
        <w:snapToGrid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w:t>
      </w:r>
      <w:r>
        <w:rPr>
          <w:rFonts w:ascii="仿宋" w:eastAsia="仿宋" w:hAnsi="仿宋" w:cs="仿宋"/>
          <w:b/>
          <w:bCs/>
          <w:sz w:val="24"/>
        </w:rPr>
        <w:t>4.2</w:t>
      </w:r>
      <w:r>
        <w:rPr>
          <w:rFonts w:ascii="仿宋" w:eastAsia="仿宋" w:hAnsi="仿宋" w:cs="仿宋" w:hint="eastAsia"/>
          <w:b/>
          <w:bCs/>
          <w:sz w:val="24"/>
        </w:rPr>
        <w:t>4、投标人需提供所投产品制造商的《消毒产品生产企业卫生许可证》，并加盖制造商公章。</w:t>
      </w:r>
    </w:p>
    <w:p w:rsidR="00A64451" w:rsidRDefault="00A64451" w:rsidP="00A64451">
      <w:pPr>
        <w:pStyle w:val="a0"/>
      </w:pPr>
    </w:p>
    <w:p w:rsidR="00A64451" w:rsidRDefault="00A64451" w:rsidP="00A64451">
      <w:pPr>
        <w:snapToGrid w:val="0"/>
        <w:spacing w:line="360" w:lineRule="auto"/>
        <w:ind w:firstLineChars="200" w:firstLine="482"/>
        <w:jc w:val="center"/>
        <w:rPr>
          <w:rFonts w:ascii="仿宋" w:eastAsia="仿宋" w:hAnsi="仿宋" w:cs="仿宋"/>
          <w:b/>
          <w:bCs/>
          <w:sz w:val="24"/>
        </w:rPr>
      </w:pP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w:t>
      </w:r>
      <w:r>
        <w:rPr>
          <w:rFonts w:ascii="仿宋" w:eastAsia="仿宋" w:hAnsi="仿宋" w:cs="仿宋" w:hint="eastAsia"/>
          <w:bCs/>
          <w:sz w:val="24"/>
        </w:rPr>
        <w:lastRenderedPageBreak/>
        <w:t>局（含新疆生产建设兵团）出具的属于监狱企业的证明文件。投标人应对提交的属于监狱企业的证明文件的真实性负责，提交的监狱企业的证明文件不真实的，应承担相应的法律责任。</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A64451" w:rsidRDefault="00A64451" w:rsidP="00A64451">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5"/>
      <w:bookmarkStart w:id="5" w:name="OLE_LINK56"/>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品目1-1内镜清洗消毒机：</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4.4.1、装机完成，中标人需配合采购人安排，免费指导使用人员进行操作训练，直至完全熟练掌握操作流程及日常保养流程。</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4.4.4、维修手册：2份中文或英文原版手册；内容需包含：电子控制线路图、电子控制线路解说、功能测试步骤与调整校正说明、零件分布图、保养校正</w:t>
      </w:r>
      <w:r>
        <w:rPr>
          <w:rFonts w:ascii="仿宋" w:eastAsia="仿宋" w:hAnsi="仿宋" w:cs="仿宋" w:hint="eastAsia"/>
          <w:bCs/>
          <w:sz w:val="24"/>
        </w:rPr>
        <w:lastRenderedPageBreak/>
        <w:t>作业内容、故障原因与排除方式解说。</w:t>
      </w:r>
    </w:p>
    <w:p w:rsidR="00A64451" w:rsidRDefault="00A64451" w:rsidP="00A64451">
      <w:pPr>
        <w:snapToGrid w:val="0"/>
        <w:spacing w:line="360" w:lineRule="auto"/>
        <w:ind w:firstLineChars="200" w:firstLine="480"/>
        <w:rPr>
          <w:rFonts w:ascii="仿宋" w:eastAsia="仿宋" w:hAnsi="仿宋" w:cs="仿宋"/>
          <w:bCs/>
          <w:sz w:val="24"/>
        </w:rPr>
      </w:pP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A64451" w:rsidRDefault="00A64451" w:rsidP="00A64451">
      <w:pPr>
        <w:pStyle w:val="a0"/>
        <w:rPr>
          <w:rFonts w:ascii="仿宋" w:eastAsia="仿宋" w:hAnsi="仿宋"/>
        </w:rPr>
      </w:pPr>
    </w:p>
    <w:p w:rsidR="00A64451" w:rsidRDefault="00A64451" w:rsidP="00A64451">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品目1-1内镜清洗消毒机：</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2、如现场条件无法安装，中标人负责调整设备以满足现场条件；</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4、规格书经中标人填报后，为合约之一部分，验收时依规格书逐项比对；</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品目1-2吊塔：</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1、中标人配合采购人进行场地规划、搬运、安装、调试，包括设备到货至安装期间之搬运；</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2、中标人负责安装；</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4、规格书经中标人填报后，为合约之一部分，验收时依规格书逐项比对；</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5、中标人需负责清理安装所产生的废弃物；</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6、中标人需负责安装现场整洁，若有损坏需负责恢复原状。</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品目1-3内镜干燥储存柜：</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1、中标人配合采购人进行场地规划、搬运、安装、调试，包括设备到货至</w:t>
      </w:r>
      <w:r>
        <w:rPr>
          <w:rFonts w:ascii="仿宋" w:eastAsia="仿宋" w:hAnsi="仿宋" w:cs="仿宋" w:hint="eastAsia"/>
          <w:bCs/>
          <w:sz w:val="24"/>
        </w:rPr>
        <w:lastRenderedPageBreak/>
        <w:t>安装期间之搬运；</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2、中标人负责安装；</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4、规格书经中标人填报后，为合约之一部分，验收时依规格书逐项比对；</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5、中标人需负责清理安装所产生的废弃物；</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6、中标人需负责安装现场整洁; 若有损坏需负责恢复原状。</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品目1-4清洗工作站：</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1、中标人配合采购人进行场地规划、搬运、安装、调试，包括设备到货至安装期间之搬运；</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2、中标人负责安装；</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4、规格书经中标人填报后，为合约之一部分，验收时依规格书逐项比对；</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5、中标人需负责清理安装所产生的废弃物；</w:t>
      </w:r>
    </w:p>
    <w:p w:rsidR="00A64451" w:rsidRDefault="00A64451" w:rsidP="00A6445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6、中标人需负责安装现场整洁; 若有损坏需负责恢复原状。</w:t>
      </w:r>
    </w:p>
    <w:p w:rsidR="00A64451" w:rsidRDefault="00A64451" w:rsidP="00A64451">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A64451" w:rsidRDefault="00A64451" w:rsidP="00A6445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A3DE4" w:rsidRPr="00A64451" w:rsidRDefault="00BA3DE4" w:rsidP="00A64451">
      <w:bookmarkStart w:id="6" w:name="_GoBack"/>
      <w:bookmarkEnd w:id="6"/>
    </w:p>
    <w:sectPr w:rsidR="00BA3DE4" w:rsidRPr="00A644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FF" w:rsidRDefault="002566FF" w:rsidP="002E6B6B">
      <w:r>
        <w:separator/>
      </w:r>
    </w:p>
  </w:endnote>
  <w:endnote w:type="continuationSeparator" w:id="0">
    <w:p w:rsidR="002566FF" w:rsidRDefault="002566FF" w:rsidP="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FF" w:rsidRDefault="002566FF" w:rsidP="002E6B6B">
      <w:r>
        <w:separator/>
      </w:r>
    </w:p>
  </w:footnote>
  <w:footnote w:type="continuationSeparator" w:id="0">
    <w:p w:rsidR="002566FF" w:rsidRDefault="002566FF" w:rsidP="002E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AD"/>
    <w:rsid w:val="00027BD4"/>
    <w:rsid w:val="000D70AD"/>
    <w:rsid w:val="00207777"/>
    <w:rsid w:val="002566FF"/>
    <w:rsid w:val="002E6B6B"/>
    <w:rsid w:val="003D3DA2"/>
    <w:rsid w:val="00A64451"/>
    <w:rsid w:val="00BA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2128</Words>
  <Characters>12130</Characters>
  <Application>Microsoft Office Word</Application>
  <DocSecurity>0</DocSecurity>
  <Lines>101</Lines>
  <Paragraphs>28</Paragraphs>
  <ScaleCrop>false</ScaleCrop>
  <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4</cp:revision>
  <dcterms:created xsi:type="dcterms:W3CDTF">2026-04-08T09:57:00Z</dcterms:created>
  <dcterms:modified xsi:type="dcterms:W3CDTF">2026-04-17T10:13:00Z</dcterms:modified>
</cp:coreProperties>
</file>