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2F39">
      <w:pPr>
        <w:spacing w:line="360" w:lineRule="auto"/>
        <w:jc w:val="center"/>
        <w:outlineLvl w:val="0"/>
        <w:rPr>
          <w:b/>
          <w:sz w:val="36"/>
          <w:szCs w:val="36"/>
          <w:highlight w:val="none"/>
        </w:rPr>
      </w:pPr>
      <w:r>
        <w:rPr>
          <w:b/>
          <w:sz w:val="36"/>
          <w:szCs w:val="36"/>
          <w:highlight w:val="none"/>
        </w:rPr>
        <w:t>采购需求</w:t>
      </w:r>
    </w:p>
    <w:p w14:paraId="4DB590C9">
      <w:pPr>
        <w:jc w:val="center"/>
        <w:rPr>
          <w:rFonts w:hint="eastAsia" w:ascii="宋体" w:hAnsi="宋体" w:eastAsia="宋体" w:cs="宋体"/>
          <w:kern w:val="0"/>
          <w:sz w:val="24"/>
          <w:szCs w:val="24"/>
          <w:highlight w:val="none"/>
        </w:rPr>
      </w:pPr>
      <w:bookmarkStart w:id="0" w:name="_GoBack"/>
      <w:bookmarkEnd w:id="0"/>
    </w:p>
    <w:p w14:paraId="0ACD6FA2">
      <w:pPr>
        <w:pStyle w:val="7"/>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14:paraId="19E25A02">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采购标的（货物需求一览表或简要服务内容及数量）</w:t>
      </w:r>
    </w:p>
    <w:tbl>
      <w:tblPr>
        <w:tblStyle w:val="5"/>
        <w:tblpPr w:leftFromText="180" w:rightFromText="180" w:vertAnchor="text" w:horzAnchor="page" w:tblpX="2083" w:tblpY="455"/>
        <w:tblOverlap w:val="never"/>
        <w:tblW w:w="8513" w:type="dxa"/>
        <w:tblInd w:w="0" w:type="dxa"/>
        <w:tblLayout w:type="fixed"/>
        <w:tblCellMar>
          <w:top w:w="0" w:type="dxa"/>
          <w:left w:w="108" w:type="dxa"/>
          <w:bottom w:w="0" w:type="dxa"/>
          <w:right w:w="108" w:type="dxa"/>
        </w:tblCellMar>
      </w:tblPr>
      <w:tblGrid>
        <w:gridCol w:w="1221"/>
        <w:gridCol w:w="3946"/>
        <w:gridCol w:w="1335"/>
        <w:gridCol w:w="2011"/>
      </w:tblGrid>
      <w:tr w14:paraId="1F5F27FC">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40244160">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3946" w:type="dxa"/>
            <w:tcBorders>
              <w:top w:val="single" w:color="auto" w:sz="4" w:space="0"/>
              <w:left w:val="nil"/>
              <w:bottom w:val="single" w:color="auto" w:sz="4" w:space="0"/>
              <w:right w:val="single" w:color="auto" w:sz="4" w:space="0"/>
            </w:tcBorders>
            <w:noWrap/>
            <w:vAlign w:val="center"/>
          </w:tcPr>
          <w:p w14:paraId="22613818">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名称</w:t>
            </w:r>
          </w:p>
        </w:tc>
        <w:tc>
          <w:tcPr>
            <w:tcW w:w="1335" w:type="dxa"/>
            <w:tcBorders>
              <w:top w:val="single" w:color="auto" w:sz="4" w:space="0"/>
              <w:left w:val="nil"/>
              <w:bottom w:val="single" w:color="auto" w:sz="4" w:space="0"/>
              <w:right w:val="single" w:color="auto" w:sz="4" w:space="0"/>
            </w:tcBorders>
            <w:noWrap/>
            <w:vAlign w:val="center"/>
          </w:tcPr>
          <w:p w14:paraId="713DDF88">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2011" w:type="dxa"/>
            <w:tcBorders>
              <w:top w:val="single" w:color="auto" w:sz="4" w:space="0"/>
              <w:left w:val="nil"/>
              <w:bottom w:val="single" w:color="auto" w:sz="4" w:space="0"/>
              <w:right w:val="single" w:color="auto" w:sz="4" w:space="0"/>
            </w:tcBorders>
            <w:noWrap/>
            <w:vAlign w:val="center"/>
          </w:tcPr>
          <w:p w14:paraId="5BD6AE02">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r>
      <w:tr w14:paraId="01FCDC5D">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06499E4C">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946" w:type="dxa"/>
            <w:tcBorders>
              <w:top w:val="single" w:color="auto" w:sz="4" w:space="0"/>
              <w:left w:val="nil"/>
              <w:bottom w:val="single" w:color="auto" w:sz="4" w:space="0"/>
              <w:right w:val="single" w:color="auto" w:sz="4" w:space="0"/>
            </w:tcBorders>
            <w:noWrap/>
            <w:vAlign w:val="center"/>
          </w:tcPr>
          <w:p w14:paraId="540BECAD">
            <w:pPr>
              <w:widowControl/>
              <w:spacing w:line="390" w:lineRule="exact"/>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▲触控一体机（含电子黑板）</w:t>
            </w:r>
          </w:p>
        </w:tc>
        <w:tc>
          <w:tcPr>
            <w:tcW w:w="1335" w:type="dxa"/>
            <w:tcBorders>
              <w:top w:val="single" w:color="auto" w:sz="4" w:space="0"/>
              <w:left w:val="nil"/>
              <w:bottom w:val="single" w:color="auto" w:sz="4" w:space="0"/>
              <w:right w:val="single" w:color="auto" w:sz="4" w:space="0"/>
            </w:tcBorders>
            <w:noWrap/>
            <w:vAlign w:val="center"/>
          </w:tcPr>
          <w:p w14:paraId="53ED1457">
            <w:pPr>
              <w:widowControl/>
              <w:spacing w:line="39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套</w:t>
            </w:r>
          </w:p>
        </w:tc>
        <w:tc>
          <w:tcPr>
            <w:tcW w:w="2011" w:type="dxa"/>
            <w:tcBorders>
              <w:top w:val="single" w:color="auto" w:sz="4" w:space="0"/>
              <w:left w:val="nil"/>
              <w:bottom w:val="single" w:color="auto" w:sz="4" w:space="0"/>
              <w:right w:val="single" w:color="auto" w:sz="4" w:space="0"/>
            </w:tcBorders>
            <w:noWrap/>
            <w:vAlign w:val="center"/>
          </w:tcPr>
          <w:p w14:paraId="00010C5A">
            <w:pPr>
              <w:widowControl/>
              <w:spacing w:line="39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48</w:t>
            </w:r>
          </w:p>
        </w:tc>
      </w:tr>
    </w:tbl>
    <w:p w14:paraId="6AE563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接受进口产品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□是  ■否。</w:t>
      </w:r>
    </w:p>
    <w:p w14:paraId="74384908">
      <w:pPr>
        <w:spacing w:line="360" w:lineRule="auto"/>
        <w:ind w:firstLine="480" w:firstLineChars="200"/>
        <w:contextualSpacing/>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本项目是否接受联合体投标：□是  ■否</w:t>
      </w:r>
    </w:p>
    <w:p w14:paraId="2E268144">
      <w:pPr>
        <w:spacing w:line="360" w:lineRule="auto"/>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Cs/>
          <w:sz w:val="24"/>
          <w:szCs w:val="24"/>
          <w:highlight w:val="none"/>
        </w:rPr>
        <w:t>表明核心产品。</w:t>
      </w:r>
    </w:p>
    <w:p w14:paraId="59550788">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2. 项目背景/项目概述（如有）</w:t>
      </w:r>
    </w:p>
    <w:p w14:paraId="00D119DC">
      <w:pPr>
        <w:pStyle w:val="8"/>
        <w:tabs>
          <w:tab w:val="clear" w:pos="9031"/>
        </w:tabs>
        <w:spacing w:line="400" w:lineRule="exact"/>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北京交通运输职业学院</w:t>
      </w:r>
      <w:r>
        <w:rPr>
          <w:rFonts w:hint="eastAsia" w:ascii="宋体" w:hAnsi="宋体" w:eastAsia="宋体" w:cs="宋体"/>
          <w:sz w:val="24"/>
          <w:szCs w:val="24"/>
          <w:highlight w:val="none"/>
          <w:lang w:val="en-US" w:eastAsia="zh-CN"/>
        </w:rPr>
        <w:t>大兴校区教室多媒体，大兴校区教室多媒体共建设68间，2015年完成更换，已使用10年。原建设“投影+电脑+幕布”方式49间（其中1间改造为思政会客室），“黑板内嵌大屏”方式19间。目前“黑板内嵌大屏”基本正常。“投影+电脑+幕布”问题比较多，投影亮度变暗，虽然进行过全面除尘，但效果不佳，投影出现偏差；电脑运行慢；幕布主要是讲台遮挡问题，院系反应强烈。本项目拟对48间传统多媒体教室进行升级改造。</w:t>
      </w:r>
    </w:p>
    <w:p w14:paraId="3096E5B3">
      <w:pPr>
        <w:pStyle w:val="8"/>
        <w:tabs>
          <w:tab w:val="clear" w:pos="9031"/>
        </w:tabs>
        <w:spacing w:line="400" w:lineRule="exact"/>
        <w:ind w:left="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本项目在立足学院</w:t>
      </w:r>
      <w:r>
        <w:rPr>
          <w:rFonts w:hint="eastAsia" w:ascii="宋体" w:hAnsi="宋体" w:eastAsia="宋体" w:cs="宋体"/>
          <w:sz w:val="24"/>
          <w:szCs w:val="24"/>
          <w:highlight w:val="none"/>
          <w:lang w:val="en-US" w:eastAsia="zh-CN"/>
        </w:rPr>
        <w:t>的状况，同时适应提升教学设备的智能化、满足师生的使用要求，提供人工智能+的环境，完善功能，</w:t>
      </w:r>
      <w:r>
        <w:rPr>
          <w:rFonts w:hint="eastAsia" w:ascii="宋体" w:hAnsi="宋体" w:eastAsia="宋体" w:cs="宋体"/>
          <w:sz w:val="24"/>
          <w:szCs w:val="24"/>
          <w:highlight w:val="none"/>
        </w:rPr>
        <w:t>以满足学院业务系统发展需求</w:t>
      </w:r>
      <w:r>
        <w:rPr>
          <w:rFonts w:hint="eastAsia" w:ascii="宋体" w:hAnsi="宋体" w:eastAsia="宋体" w:cs="宋体"/>
          <w:sz w:val="24"/>
          <w:szCs w:val="24"/>
          <w:highlight w:val="none"/>
          <w:lang w:eastAsia="zh-CN"/>
        </w:rPr>
        <w:t>。</w:t>
      </w:r>
    </w:p>
    <w:p w14:paraId="121DD178">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本项目通过</w:t>
      </w:r>
      <w:r>
        <w:rPr>
          <w:rFonts w:hint="eastAsia" w:ascii="宋体" w:hAnsi="宋体" w:eastAsia="宋体" w:cs="宋体"/>
          <w:sz w:val="24"/>
          <w:szCs w:val="24"/>
          <w:highlight w:val="none"/>
          <w:lang w:val="en-US" w:eastAsia="zh-CN"/>
        </w:rPr>
        <w:t>多媒体设备</w:t>
      </w:r>
      <w:r>
        <w:rPr>
          <w:rFonts w:hint="eastAsia" w:ascii="宋体" w:hAnsi="宋体" w:eastAsia="宋体" w:cs="宋体"/>
          <w:sz w:val="24"/>
          <w:szCs w:val="24"/>
          <w:highlight w:val="none"/>
        </w:rPr>
        <w:t>的升级改造，提供安全可靠、灵活弹性等</w:t>
      </w:r>
      <w:r>
        <w:rPr>
          <w:rFonts w:hint="eastAsia" w:ascii="宋体" w:hAnsi="宋体" w:eastAsia="宋体" w:cs="宋体"/>
          <w:sz w:val="24"/>
          <w:szCs w:val="24"/>
          <w:highlight w:val="none"/>
          <w:lang w:val="en-US" w:eastAsia="zh-CN"/>
        </w:rPr>
        <w:t>设备能满足.操作方便，无需进入内置电脑，开机即可操作，平板操作习惯；一屏双用，分出两个屏分别显示不同内容，不用来回切换；支持有线无线投屏；板书扫码带走教师上课板书；支持超广角巡课：支持接入学院巡课系统一路摄像头；同时配套管理软件，支持大屏远程管理，能一键开关机，能一键断电，确保安全。</w:t>
      </w:r>
      <w:r>
        <w:rPr>
          <w:rFonts w:hint="eastAsia" w:ascii="宋体" w:hAnsi="宋体" w:eastAsia="宋体" w:cs="宋体"/>
          <w:sz w:val="24"/>
          <w:szCs w:val="24"/>
          <w:highlight w:val="none"/>
        </w:rPr>
        <w:t>有效保障学院字化转型工作的开展。</w:t>
      </w:r>
    </w:p>
    <w:p w14:paraId="04DD0FA7">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本次改造，</w:t>
      </w:r>
      <w:r>
        <w:rPr>
          <w:rFonts w:hint="eastAsia" w:ascii="宋体" w:hAnsi="宋体" w:eastAsia="宋体" w:cs="宋体"/>
          <w:sz w:val="24"/>
          <w:szCs w:val="24"/>
          <w:highlight w:val="none"/>
          <w:lang w:val="en-US" w:eastAsia="zh-CN"/>
        </w:rPr>
        <w:t>既要更新设备，同时还要考虑原设备的统一集中管理，</w:t>
      </w:r>
      <w:r>
        <w:rPr>
          <w:rFonts w:hint="eastAsia" w:ascii="宋体" w:hAnsi="宋体" w:eastAsia="宋体" w:cs="宋体"/>
          <w:sz w:val="24"/>
          <w:szCs w:val="24"/>
          <w:highlight w:val="none"/>
        </w:rPr>
        <w:t>有效降低重复建设投资、实现节能环保，提高学院硬件基础设施资源的利用率。达到信息化基础设施资源的统一规划、统一建设、统一运管，按需调配、即需即用、有效共享的目的。通过合理规划、小步快跑的方式，在实现建设集约化、信息共享化、服务标准化、效益最大化，满足应用需求。</w:t>
      </w:r>
    </w:p>
    <w:p w14:paraId="36FA465B">
      <w:pPr>
        <w:spacing w:line="360" w:lineRule="auto"/>
        <w:ind w:firstLine="482"/>
        <w:contextualSpacing/>
        <w:rPr>
          <w:rFonts w:hint="eastAsia" w:ascii="宋体" w:hAnsi="宋体" w:eastAsia="宋体" w:cs="宋体"/>
          <w:b/>
          <w:sz w:val="24"/>
          <w:szCs w:val="24"/>
          <w:highlight w:val="none"/>
        </w:rPr>
      </w:pPr>
    </w:p>
    <w:p w14:paraId="18BB9C2C">
      <w:pPr>
        <w:pStyle w:val="7"/>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14:paraId="2392833A">
      <w:pPr>
        <w:spacing w:line="360" w:lineRule="auto"/>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 交付（实施）的时间（期限）和地点（范围）</w:t>
      </w:r>
    </w:p>
    <w:p w14:paraId="321E914C">
      <w:pPr>
        <w:spacing w:line="460" w:lineRule="exact"/>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合同履行期限（交货期）：</w:t>
      </w:r>
      <w:r>
        <w:rPr>
          <w:rFonts w:hint="eastAsia" w:ascii="宋体" w:hAnsi="宋体" w:eastAsia="宋体" w:cs="宋体"/>
          <w:sz w:val="24"/>
          <w:szCs w:val="24"/>
          <w:highlight w:val="none"/>
        </w:rPr>
        <w:t>合同签订日起</w:t>
      </w:r>
      <w:r>
        <w:rPr>
          <w:rFonts w:hint="eastAsia" w:ascii="宋体" w:hAnsi="宋体" w:eastAsia="宋体" w:cs="宋体"/>
          <w:sz w:val="24"/>
          <w:szCs w:val="24"/>
          <w:highlight w:val="none"/>
          <w:lang w:val="en-US" w:eastAsia="zh-CN"/>
        </w:rPr>
        <w:t>150</w:t>
      </w:r>
      <w:r>
        <w:rPr>
          <w:rFonts w:hint="eastAsia" w:ascii="宋体" w:hAnsi="宋体" w:eastAsia="宋体" w:cs="宋体"/>
          <w:sz w:val="24"/>
          <w:szCs w:val="24"/>
          <w:highlight w:val="none"/>
        </w:rPr>
        <w:t>个日历日，自签订合同之日起计算直至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签署终验报告，其中含具体包括系统安装、部署、调试、参数设置；设备安装、调试，并完成不少于30个日历日的试运行。</w:t>
      </w:r>
    </w:p>
    <w:p w14:paraId="5B80E37A">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交货地点：采购人指定地点</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大兴校区</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w:t>
      </w:r>
    </w:p>
    <w:p w14:paraId="11AE68E7">
      <w:pPr>
        <w:spacing w:line="360" w:lineRule="auto"/>
        <w:contextualSpacing/>
        <w:rPr>
          <w:rFonts w:hint="eastAsia" w:ascii="宋体" w:hAnsi="宋体" w:eastAsia="宋体" w:cs="宋体"/>
          <w:sz w:val="24"/>
          <w:szCs w:val="24"/>
          <w:highlight w:val="none"/>
        </w:rPr>
      </w:pPr>
    </w:p>
    <w:p w14:paraId="36B45C95">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付款条件（进度和方式）</w:t>
      </w:r>
    </w:p>
    <w:p w14:paraId="69C8BB31">
      <w:pPr>
        <w:spacing w:before="12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双方合同签订后 </w:t>
      </w:r>
      <w:r>
        <w:rPr>
          <w:rFonts w:hint="eastAsia" w:ascii="宋体" w:hAnsi="宋体" w:eastAsia="宋体" w:cs="宋体"/>
          <w:b w:val="0"/>
          <w:bCs w:val="0"/>
          <w:sz w:val="24"/>
          <w:szCs w:val="24"/>
          <w:highlight w:val="none"/>
          <w:u w:val="single"/>
        </w:rPr>
        <w:t>5</w:t>
      </w:r>
      <w:r>
        <w:rPr>
          <w:rFonts w:hint="eastAsia" w:ascii="宋体" w:hAnsi="宋体" w:eastAsia="宋体" w:cs="宋体"/>
          <w:b w:val="0"/>
          <w:bCs w:val="0"/>
          <w:sz w:val="24"/>
          <w:szCs w:val="24"/>
          <w:highlight w:val="none"/>
        </w:rPr>
        <w:t>个工作日内，</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支付</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标人6</w:t>
      </w:r>
      <w:r>
        <w:rPr>
          <w:rFonts w:hint="eastAsia" w:ascii="宋体" w:hAnsi="宋体" w:eastAsia="宋体" w:cs="宋体"/>
          <w:b w:val="0"/>
          <w:bCs w:val="0"/>
          <w:sz w:val="24"/>
          <w:szCs w:val="24"/>
          <w:highlight w:val="none"/>
        </w:rPr>
        <w:t>0%合同款</w:t>
      </w:r>
      <w:r>
        <w:rPr>
          <w:rFonts w:hint="eastAsia" w:ascii="宋体" w:hAnsi="宋体" w:eastAsia="宋体" w:cs="宋体"/>
          <w:b w:val="0"/>
          <w:bCs w:val="0"/>
          <w:sz w:val="24"/>
          <w:szCs w:val="24"/>
          <w:highlight w:val="none"/>
          <w:lang w:eastAsia="zh-CN"/>
        </w:rPr>
        <w:t>；</w:t>
      </w:r>
    </w:p>
    <w:p w14:paraId="57634E70">
      <w:pPr>
        <w:spacing w:before="12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w:t>
      </w:r>
      <w:r>
        <w:rPr>
          <w:rFonts w:hint="eastAsia" w:ascii="宋体" w:hAnsi="宋体" w:eastAsia="宋体" w:cs="宋体"/>
          <w:b w:val="0"/>
          <w:bCs w:val="0"/>
          <w:sz w:val="24"/>
          <w:szCs w:val="24"/>
          <w:highlight w:val="none"/>
        </w:rPr>
        <w:t>完成本合同项下硬件设备安装，系统安装、部署、调试、参数设置等工作，且完成试运行</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个日历日且经</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最终验收合格后1</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个工作日内支付</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标人4</w:t>
      </w:r>
      <w:r>
        <w:rPr>
          <w:rFonts w:hint="eastAsia" w:ascii="宋体" w:hAnsi="宋体" w:eastAsia="宋体" w:cs="宋体"/>
          <w:b w:val="0"/>
          <w:bCs w:val="0"/>
          <w:sz w:val="24"/>
          <w:szCs w:val="24"/>
          <w:highlight w:val="none"/>
        </w:rPr>
        <w:t>0%合同款</w:t>
      </w:r>
      <w:r>
        <w:rPr>
          <w:rFonts w:hint="eastAsia" w:ascii="宋体" w:hAnsi="宋体" w:eastAsia="宋体" w:cs="宋体"/>
          <w:b w:val="0"/>
          <w:bCs w:val="0"/>
          <w:sz w:val="24"/>
          <w:szCs w:val="24"/>
          <w:highlight w:val="none"/>
          <w:lang w:eastAsia="zh-CN"/>
        </w:rPr>
        <w:t>；</w:t>
      </w:r>
    </w:p>
    <w:p w14:paraId="3BD482DC">
      <w:pPr>
        <w:adjustRightInd w:val="0"/>
        <w:snapToGrid w:val="0"/>
        <w:spacing w:beforeLines="50"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向</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w:t>
      </w:r>
      <w:r>
        <w:rPr>
          <w:rFonts w:hint="eastAsia" w:ascii="宋体" w:hAnsi="宋体" w:eastAsia="宋体" w:cs="宋体"/>
          <w:b w:val="0"/>
          <w:bCs w:val="0"/>
          <w:sz w:val="24"/>
          <w:szCs w:val="24"/>
          <w:highlight w:val="none"/>
        </w:rPr>
        <w:t>付款前，</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w:t>
      </w:r>
      <w:r>
        <w:rPr>
          <w:rFonts w:hint="eastAsia" w:ascii="宋体" w:hAnsi="宋体" w:eastAsia="宋体" w:cs="宋体"/>
          <w:b w:val="0"/>
          <w:bCs w:val="0"/>
          <w:sz w:val="24"/>
          <w:szCs w:val="24"/>
          <w:highlight w:val="none"/>
        </w:rPr>
        <w:t>应向</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提供等额</w:t>
      </w:r>
      <w:r>
        <w:rPr>
          <w:rFonts w:hint="eastAsia" w:ascii="宋体" w:hAnsi="宋体" w:eastAsia="宋体" w:cs="宋体"/>
          <w:b w:val="0"/>
          <w:bCs w:val="0"/>
          <w:sz w:val="24"/>
          <w:szCs w:val="24"/>
          <w:highlight w:val="none"/>
          <w:lang w:val="en-US" w:eastAsia="zh-CN"/>
        </w:rPr>
        <w:t>增值税</w:t>
      </w:r>
      <w:r>
        <w:rPr>
          <w:rFonts w:hint="eastAsia" w:ascii="宋体" w:hAnsi="宋体" w:eastAsia="宋体" w:cs="宋体"/>
          <w:b w:val="0"/>
          <w:bCs w:val="0"/>
          <w:sz w:val="24"/>
          <w:szCs w:val="24"/>
          <w:highlight w:val="none"/>
        </w:rPr>
        <w:t>发票。</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标人</w:t>
      </w:r>
      <w:r>
        <w:rPr>
          <w:rFonts w:hint="eastAsia" w:ascii="宋体" w:hAnsi="宋体" w:eastAsia="宋体" w:cs="宋体"/>
          <w:b w:val="0"/>
          <w:bCs w:val="0"/>
          <w:sz w:val="24"/>
          <w:szCs w:val="24"/>
          <w:highlight w:val="none"/>
        </w:rPr>
        <w:t>不提供发票的，</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rPr>
        <w:t>有权拒绝付款且不承担任何违约责任。</w:t>
      </w:r>
    </w:p>
    <w:p w14:paraId="72A40C78">
      <w:pPr>
        <w:spacing w:line="360" w:lineRule="auto"/>
        <w:contextualSpacing/>
        <w:rPr>
          <w:rFonts w:hint="eastAsia" w:ascii="宋体" w:hAnsi="宋体" w:eastAsia="宋体" w:cs="宋体"/>
          <w:bCs/>
          <w:sz w:val="24"/>
          <w:szCs w:val="24"/>
          <w:highlight w:val="none"/>
        </w:rPr>
      </w:pPr>
    </w:p>
    <w:p w14:paraId="2EBB4DEB">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包装和运输（须满足《关于印发〈商品包装政府采购需求标准（试行）〉、〈快递包装政府采购需求标准（试行）〉的通知》（财办库﹝2020﹞123号））</w:t>
      </w:r>
    </w:p>
    <w:p w14:paraId="2E1C6202">
      <w:pPr>
        <w:widowControl/>
        <w:adjustRightInd w:val="0"/>
        <w:snapToGrid w:val="0"/>
        <w:spacing w:before="12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包装：</w:t>
      </w:r>
      <w:r>
        <w:rPr>
          <w:rFonts w:hint="eastAsia" w:ascii="宋体" w:hAnsi="宋体" w:eastAsia="宋体" w:cs="宋体"/>
          <w:color w:val="000000"/>
          <w:sz w:val="24"/>
          <w:szCs w:val="24"/>
          <w:highlight w:val="none"/>
        </w:rPr>
        <w:t>除合同另有约定外,</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承担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每件包装箱内应附一份详细装箱单和质量合格证。</w:t>
      </w:r>
    </w:p>
    <w:p w14:paraId="1B1213F8">
      <w:p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运输：</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负责办理运输和保险，将货物运抵现场。有关运输和保险的一切费用由</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承担。所有货物运抵现场的日期为交货日期</w:t>
      </w:r>
    </w:p>
    <w:p w14:paraId="633FABE3">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售后服务（质保期）（如适用）</w:t>
      </w:r>
    </w:p>
    <w:p w14:paraId="27021121">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投标人应按国家相关要求进行质量管理。</w:t>
      </w:r>
    </w:p>
    <w:p w14:paraId="215E6E4E">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投标人应在履行合同的全过程（从开始供货到最终验收）中，保证并负责所有供货和服务的质量，即要保证所供设备和服务的质量符合合同中有关技术、交付、验收和价格规定的要求。</w:t>
      </w:r>
    </w:p>
    <w:p w14:paraId="637791ED">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投标人应提供与本项目有关设备的技术文件，并负责培训</w:t>
      </w:r>
      <w:r>
        <w:rPr>
          <w:rFonts w:hint="eastAsia" w:ascii="宋体" w:hAnsi="宋体" w:cs="宋体"/>
          <w:b w:val="0"/>
          <w:bCs w:val="0"/>
          <w:color w:val="000000"/>
          <w:sz w:val="24"/>
          <w:szCs w:val="24"/>
          <w:highlight w:val="none"/>
          <w:lang w:val="en-US" w:eastAsia="zh-CN"/>
        </w:rPr>
        <w:t>采购</w:t>
      </w:r>
      <w:r>
        <w:rPr>
          <w:rFonts w:hint="eastAsia" w:ascii="宋体" w:hAnsi="宋体" w:eastAsia="宋体" w:cs="宋体"/>
          <w:b w:val="0"/>
          <w:bCs w:val="0"/>
          <w:color w:val="000000"/>
          <w:sz w:val="24"/>
          <w:szCs w:val="24"/>
          <w:highlight w:val="none"/>
        </w:rPr>
        <w:t>人的相关技术管理人员，使其能较熟练使用本工程设备。</w:t>
      </w:r>
    </w:p>
    <w:p w14:paraId="3A31FD69">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投标人负责所投软件的安装、调试、培训，如出现软件质量问题由投标人负责包换或送退，并自行承担相应费用。</w:t>
      </w:r>
    </w:p>
    <w:p w14:paraId="77C30C46">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投标人应提供最短的设备供货和工程完工时间，但工期最长不得超过合同签订后</w:t>
      </w:r>
      <w:r>
        <w:rPr>
          <w:rFonts w:hint="eastAsia" w:ascii="宋体" w:hAnsi="宋体" w:cs="宋体"/>
          <w:b w:val="0"/>
          <w:bCs w:val="0"/>
          <w:color w:val="000000"/>
          <w:sz w:val="24"/>
          <w:szCs w:val="24"/>
          <w:highlight w:val="none"/>
          <w:lang w:val="en-US" w:eastAsia="zh-CN"/>
        </w:rPr>
        <w:t>150</w:t>
      </w:r>
      <w:r>
        <w:rPr>
          <w:rFonts w:hint="eastAsia" w:ascii="宋体" w:hAnsi="宋体" w:eastAsia="宋体" w:cs="宋体"/>
          <w:b w:val="0"/>
          <w:bCs w:val="0"/>
          <w:color w:val="000000"/>
          <w:sz w:val="24"/>
          <w:szCs w:val="24"/>
          <w:highlight w:val="none"/>
        </w:rPr>
        <w:t>日历日。（采购人原因除外）</w:t>
      </w:r>
    </w:p>
    <w:p w14:paraId="2517E013">
      <w:pPr>
        <w:spacing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设备</w:t>
      </w:r>
      <w:r>
        <w:rPr>
          <w:rFonts w:hint="eastAsia" w:ascii="宋体" w:hAnsi="宋体" w:eastAsia="宋体" w:cs="宋体"/>
          <w:b w:val="0"/>
          <w:bCs w:val="0"/>
          <w:color w:val="000000"/>
          <w:sz w:val="24"/>
          <w:szCs w:val="24"/>
          <w:highlight w:val="none"/>
        </w:rPr>
        <w:t>终验合格后进入</w:t>
      </w:r>
      <w:r>
        <w:rPr>
          <w:rFonts w:hint="eastAsia" w:ascii="宋体" w:hAnsi="宋体" w:eastAsia="宋体" w:cs="宋体"/>
          <w:b w:val="0"/>
          <w:bCs w:val="0"/>
          <w:color w:val="000000"/>
          <w:sz w:val="24"/>
          <w:szCs w:val="24"/>
          <w:highlight w:val="none"/>
          <w:lang w:val="en-US" w:eastAsia="zh-CN"/>
        </w:rPr>
        <w:t>设备</w:t>
      </w:r>
      <w:r>
        <w:rPr>
          <w:rFonts w:hint="eastAsia" w:ascii="宋体" w:hAnsi="宋体" w:eastAsia="宋体" w:cs="宋体"/>
          <w:b w:val="0"/>
          <w:bCs w:val="0"/>
          <w:color w:val="000000"/>
          <w:sz w:val="24"/>
          <w:szCs w:val="24"/>
          <w:highlight w:val="none"/>
        </w:rPr>
        <w:t>质量保证期，自双方代表在终验合格单上签字之日起计算，质保期为3年。</w:t>
      </w:r>
    </w:p>
    <w:p w14:paraId="5565549E">
      <w:pPr>
        <w:spacing w:line="360" w:lineRule="auto"/>
        <w:contextualSpacing/>
        <w:rPr>
          <w:rFonts w:hint="eastAsia" w:ascii="宋体" w:hAnsi="宋体" w:eastAsia="宋体" w:cs="宋体"/>
          <w:sz w:val="24"/>
          <w:szCs w:val="24"/>
          <w:highlight w:val="none"/>
        </w:rPr>
      </w:pPr>
    </w:p>
    <w:p w14:paraId="02839002">
      <w:pPr>
        <w:spacing w:line="360" w:lineRule="auto"/>
        <w:contextualSpacing/>
        <w:rPr>
          <w:rFonts w:hint="eastAsia" w:ascii="宋体" w:hAnsi="宋体" w:eastAsia="宋体" w:cs="宋体"/>
          <w:b/>
          <w:i/>
          <w:sz w:val="24"/>
          <w:szCs w:val="24"/>
          <w:highlight w:val="none"/>
        </w:rPr>
      </w:pPr>
      <w:r>
        <w:rPr>
          <w:rFonts w:hint="eastAsia" w:ascii="宋体" w:hAnsi="宋体" w:eastAsia="宋体" w:cs="宋体"/>
          <w:sz w:val="24"/>
          <w:szCs w:val="24"/>
          <w:highlight w:val="none"/>
        </w:rPr>
        <w:t>5. 保险（如适用）</w:t>
      </w:r>
    </w:p>
    <w:p w14:paraId="2896460C">
      <w:pPr>
        <w:widowControl/>
        <w:adjustRightInd w:val="0"/>
        <w:snapToGrid w:val="0"/>
        <w:spacing w:before="120"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如果货物是按现场交货方式或工厂交货方式报价的，由</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办理保险，按照发票金额的110％办理“一切险”，保险范围包括</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承诺装运的货物；如果货物是按</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自提货物方式报价的，其保险由</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办理。</w:t>
      </w:r>
    </w:p>
    <w:p w14:paraId="246B1455">
      <w:pPr>
        <w:spacing w:line="360" w:lineRule="auto"/>
        <w:contextualSpacing/>
        <w:rPr>
          <w:rFonts w:hint="eastAsia" w:ascii="宋体" w:hAnsi="宋体" w:eastAsia="宋体" w:cs="宋体"/>
          <w:b/>
          <w:i/>
          <w:sz w:val="24"/>
          <w:szCs w:val="24"/>
          <w:highlight w:val="none"/>
        </w:rPr>
      </w:pPr>
    </w:p>
    <w:p w14:paraId="101A59FC">
      <w:pPr>
        <w:pStyle w:val="7"/>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14:paraId="13A2010E">
      <w:pPr>
        <w:widowControl/>
        <w:spacing w:line="360" w:lineRule="auto"/>
        <w:ind w:firstLine="480" w:firstLineChars="200"/>
        <w:contextualSpacing/>
        <w:rPr>
          <w:rFonts w:hint="eastAsia" w:ascii="宋体" w:hAnsi="宋体" w:eastAsia="宋体" w:cs="宋体"/>
          <w:sz w:val="24"/>
          <w:szCs w:val="24"/>
          <w:highlight w:val="none"/>
        </w:rPr>
      </w:pPr>
    </w:p>
    <w:p w14:paraId="0397194A">
      <w:pPr>
        <w:widowControl/>
        <w:spacing w:line="360" w:lineRule="auto"/>
        <w:ind w:firstLine="480" w:firstLineChars="200"/>
        <w:contextualSpacing/>
        <w:rPr>
          <w:rFonts w:hint="eastAsia" w:ascii="宋体" w:hAnsi="宋体" w:eastAsia="宋体" w:cs="宋体"/>
          <w:sz w:val="24"/>
          <w:szCs w:val="24"/>
          <w:highlight w:val="none"/>
        </w:rPr>
      </w:pPr>
    </w:p>
    <w:p w14:paraId="5BF0F65F">
      <w:pPr>
        <w:widowControl/>
        <w:spacing w:line="360" w:lineRule="auto"/>
        <w:ind w:firstLine="480" w:firstLineChars="200"/>
        <w:contextualSpacing/>
        <w:rPr>
          <w:rFonts w:hint="eastAsia" w:ascii="宋体" w:hAnsi="宋体" w:eastAsia="宋体" w:cs="宋体"/>
          <w:sz w:val="24"/>
          <w:szCs w:val="24"/>
          <w:highlight w:val="none"/>
        </w:rPr>
      </w:pPr>
    </w:p>
    <w:p w14:paraId="3D552601">
      <w:pPr>
        <w:widowControl/>
        <w:spacing w:line="360" w:lineRule="auto"/>
        <w:ind w:firstLine="480" w:firstLineChars="200"/>
        <w:contextualSpacing/>
        <w:rPr>
          <w:rFonts w:hint="eastAsia" w:ascii="宋体" w:hAnsi="宋体" w:eastAsia="宋体" w:cs="宋体"/>
          <w:sz w:val="24"/>
          <w:szCs w:val="24"/>
          <w:highlight w:val="none"/>
        </w:rPr>
      </w:pPr>
    </w:p>
    <w:p w14:paraId="6122BC3C">
      <w:pPr>
        <w:widowControl/>
        <w:spacing w:line="360" w:lineRule="auto"/>
        <w:ind w:firstLine="480" w:firstLineChars="200"/>
        <w:contextualSpacing/>
        <w:rPr>
          <w:rFonts w:hint="eastAsia" w:ascii="宋体" w:hAnsi="宋体" w:eastAsia="宋体" w:cs="宋体"/>
          <w:sz w:val="24"/>
          <w:szCs w:val="24"/>
          <w:highlight w:val="none"/>
        </w:rPr>
      </w:pPr>
    </w:p>
    <w:p w14:paraId="489032B9">
      <w:pPr>
        <w:widowControl/>
        <w:spacing w:line="360" w:lineRule="auto"/>
        <w:ind w:firstLine="480" w:firstLineChars="200"/>
        <w:contextualSpacing/>
        <w:rPr>
          <w:rFonts w:hint="eastAsia" w:ascii="宋体" w:hAnsi="宋体" w:eastAsia="宋体" w:cs="宋体"/>
          <w:sz w:val="24"/>
          <w:szCs w:val="24"/>
          <w:highlight w:val="none"/>
        </w:rPr>
      </w:pPr>
    </w:p>
    <w:p w14:paraId="4F37E402">
      <w:pPr>
        <w:widowControl/>
        <w:spacing w:line="360" w:lineRule="auto"/>
        <w:ind w:firstLine="480" w:firstLineChars="200"/>
        <w:contextualSpacing/>
        <w:rPr>
          <w:rFonts w:hint="eastAsia" w:ascii="宋体" w:hAnsi="宋体" w:eastAsia="宋体" w:cs="宋体"/>
          <w:sz w:val="24"/>
          <w:szCs w:val="24"/>
          <w:highlight w:val="none"/>
        </w:rPr>
      </w:pPr>
    </w:p>
    <w:p w14:paraId="1481A490">
      <w:pPr>
        <w:widowControl/>
        <w:spacing w:line="360" w:lineRule="auto"/>
        <w:ind w:firstLine="480" w:firstLineChars="200"/>
        <w:contextualSpacing/>
        <w:rPr>
          <w:rFonts w:hint="eastAsia" w:ascii="宋体" w:hAnsi="宋体" w:eastAsia="宋体" w:cs="宋体"/>
          <w:sz w:val="24"/>
          <w:szCs w:val="24"/>
          <w:highlight w:val="none"/>
        </w:rPr>
      </w:pPr>
    </w:p>
    <w:p w14:paraId="729DDD65">
      <w:pPr>
        <w:widowControl/>
        <w:spacing w:line="360" w:lineRule="auto"/>
        <w:ind w:firstLine="480" w:firstLineChars="200"/>
        <w:contextualSpacing/>
        <w:rPr>
          <w:rFonts w:hint="eastAsia" w:ascii="宋体" w:hAnsi="宋体" w:eastAsia="宋体" w:cs="宋体"/>
          <w:sz w:val="24"/>
          <w:szCs w:val="24"/>
          <w:highlight w:val="none"/>
        </w:rPr>
      </w:pPr>
    </w:p>
    <w:p w14:paraId="4DCBF3D5">
      <w:pPr>
        <w:widowControl/>
        <w:spacing w:line="360" w:lineRule="auto"/>
        <w:ind w:firstLine="480" w:firstLineChars="200"/>
        <w:contextualSpacing/>
        <w:rPr>
          <w:rFonts w:hint="eastAsia" w:ascii="宋体" w:hAnsi="宋体" w:eastAsia="宋体" w:cs="宋体"/>
          <w:sz w:val="24"/>
          <w:szCs w:val="24"/>
          <w:highlight w:val="none"/>
        </w:rPr>
        <w:sectPr>
          <w:pgSz w:w="11910" w:h="16840"/>
          <w:pgMar w:top="1418" w:right="1701" w:bottom="1418" w:left="1701" w:header="720" w:footer="720" w:gutter="0"/>
          <w:cols w:space="720" w:num="1"/>
        </w:sectPr>
      </w:pPr>
    </w:p>
    <w:tbl>
      <w:tblPr>
        <w:tblStyle w:val="5"/>
        <w:tblW w:w="14357" w:type="dxa"/>
        <w:jc w:val="center"/>
        <w:tblLayout w:type="fixed"/>
        <w:tblCellMar>
          <w:top w:w="0" w:type="dxa"/>
          <w:left w:w="108" w:type="dxa"/>
          <w:bottom w:w="0" w:type="dxa"/>
          <w:right w:w="108" w:type="dxa"/>
        </w:tblCellMar>
      </w:tblPr>
      <w:tblGrid>
        <w:gridCol w:w="709"/>
        <w:gridCol w:w="1976"/>
        <w:gridCol w:w="1088"/>
        <w:gridCol w:w="1167"/>
        <w:gridCol w:w="9417"/>
      </w:tblGrid>
      <w:tr w14:paraId="16D62E3F">
        <w:tblPrEx>
          <w:tblCellMar>
            <w:top w:w="0" w:type="dxa"/>
            <w:left w:w="108" w:type="dxa"/>
            <w:bottom w:w="0" w:type="dxa"/>
            <w:right w:w="108" w:type="dxa"/>
          </w:tblCellMar>
        </w:tblPrEx>
        <w:trPr>
          <w:trHeight w:val="64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734B099">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76" w:type="dxa"/>
            <w:tcBorders>
              <w:top w:val="single" w:color="auto" w:sz="4" w:space="0"/>
              <w:left w:val="nil"/>
              <w:bottom w:val="single" w:color="auto" w:sz="4" w:space="0"/>
              <w:right w:val="single" w:color="auto" w:sz="4" w:space="0"/>
            </w:tcBorders>
            <w:noWrap/>
            <w:vAlign w:val="center"/>
          </w:tcPr>
          <w:p w14:paraId="6F7D049B">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名称</w:t>
            </w:r>
          </w:p>
        </w:tc>
        <w:tc>
          <w:tcPr>
            <w:tcW w:w="1088" w:type="dxa"/>
            <w:tcBorders>
              <w:top w:val="single" w:color="auto" w:sz="4" w:space="0"/>
              <w:left w:val="nil"/>
              <w:bottom w:val="single" w:color="auto" w:sz="4" w:space="0"/>
              <w:right w:val="single" w:color="auto" w:sz="4" w:space="0"/>
            </w:tcBorders>
            <w:noWrap/>
            <w:vAlign w:val="center"/>
          </w:tcPr>
          <w:p w14:paraId="72A791E5">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1167" w:type="dxa"/>
            <w:tcBorders>
              <w:top w:val="single" w:color="auto" w:sz="4" w:space="0"/>
              <w:left w:val="nil"/>
              <w:bottom w:val="single" w:color="auto" w:sz="4" w:space="0"/>
              <w:right w:val="single" w:color="auto" w:sz="4" w:space="0"/>
            </w:tcBorders>
            <w:noWrap/>
            <w:vAlign w:val="center"/>
          </w:tcPr>
          <w:p w14:paraId="68D4ABE0">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9417" w:type="dxa"/>
            <w:tcBorders>
              <w:top w:val="single" w:color="auto" w:sz="4" w:space="0"/>
              <w:left w:val="nil"/>
              <w:bottom w:val="single" w:color="auto" w:sz="4" w:space="0"/>
              <w:right w:val="single" w:color="auto" w:sz="4" w:space="0"/>
            </w:tcBorders>
            <w:noWrap/>
            <w:vAlign w:val="center"/>
          </w:tcPr>
          <w:p w14:paraId="7E07470F">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技术指标要求</w:t>
            </w:r>
          </w:p>
        </w:tc>
      </w:tr>
      <w:tr w14:paraId="0A5589F2">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7B70C36">
            <w:pPr>
              <w:widowControl/>
              <w:spacing w:line="39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976" w:type="dxa"/>
            <w:tcBorders>
              <w:top w:val="single" w:color="auto" w:sz="4" w:space="0"/>
              <w:left w:val="nil"/>
              <w:bottom w:val="single" w:color="auto" w:sz="4" w:space="0"/>
              <w:right w:val="single" w:color="auto" w:sz="4" w:space="0"/>
            </w:tcBorders>
            <w:noWrap/>
            <w:vAlign w:val="center"/>
          </w:tcPr>
          <w:p w14:paraId="1346C8CD">
            <w:pPr>
              <w:widowControl/>
              <w:spacing w:line="390" w:lineRule="exact"/>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触控一体机（含电子黑板）</w:t>
            </w:r>
          </w:p>
        </w:tc>
        <w:tc>
          <w:tcPr>
            <w:tcW w:w="1088" w:type="dxa"/>
            <w:tcBorders>
              <w:top w:val="single" w:color="auto" w:sz="4" w:space="0"/>
              <w:left w:val="nil"/>
              <w:bottom w:val="single" w:color="auto" w:sz="4" w:space="0"/>
              <w:right w:val="single" w:color="auto" w:sz="4" w:space="0"/>
            </w:tcBorders>
            <w:noWrap/>
            <w:vAlign w:val="center"/>
          </w:tcPr>
          <w:p w14:paraId="549766EE">
            <w:pPr>
              <w:widowControl/>
              <w:spacing w:line="39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台</w:t>
            </w:r>
          </w:p>
        </w:tc>
        <w:tc>
          <w:tcPr>
            <w:tcW w:w="1167" w:type="dxa"/>
            <w:tcBorders>
              <w:top w:val="single" w:color="auto" w:sz="4" w:space="0"/>
              <w:left w:val="nil"/>
              <w:bottom w:val="single" w:color="auto" w:sz="4" w:space="0"/>
              <w:right w:val="single" w:color="auto" w:sz="4" w:space="0"/>
            </w:tcBorders>
            <w:noWrap/>
            <w:vAlign w:val="center"/>
          </w:tcPr>
          <w:p w14:paraId="74B210DC">
            <w:pPr>
              <w:widowControl/>
              <w:spacing w:line="39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48</w:t>
            </w:r>
          </w:p>
        </w:tc>
        <w:tc>
          <w:tcPr>
            <w:tcW w:w="9417" w:type="dxa"/>
            <w:tcBorders>
              <w:top w:val="single" w:color="auto" w:sz="4" w:space="0"/>
              <w:left w:val="nil"/>
              <w:bottom w:val="single" w:color="auto" w:sz="4" w:space="0"/>
              <w:right w:val="single" w:color="auto" w:sz="4" w:space="0"/>
            </w:tcBorders>
            <w:noWrap/>
            <w:vAlign w:val="center"/>
          </w:tcPr>
          <w:p w14:paraId="71C95663">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触控一体机</w:t>
            </w:r>
          </w:p>
          <w:p w14:paraId="1A0DA861">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设备液晶屏显示尺寸≥86英寸，须采用零贴合、红外感应</w:t>
            </w:r>
            <w:r>
              <w:rPr>
                <w:rFonts w:hint="eastAsia" w:ascii="宋体" w:hAnsi="宋体" w:cs="宋体"/>
                <w:color w:val="000000"/>
                <w:kern w:val="0"/>
                <w:sz w:val="24"/>
                <w:szCs w:val="24"/>
                <w:highlight w:val="none"/>
                <w:lang w:val="en-US" w:eastAsia="zh-CN"/>
              </w:rPr>
              <w:t>技术</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屏幕背光均匀，无漏光、白斑；总坏点数</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3个</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达到A规屏标准，</w:t>
            </w:r>
            <w:r>
              <w:rPr>
                <w:rFonts w:hint="eastAsia" w:ascii="宋体" w:hAnsi="宋体" w:eastAsia="宋体" w:cs="宋体"/>
                <w:color w:val="000000"/>
                <w:kern w:val="0"/>
                <w:sz w:val="24"/>
                <w:szCs w:val="24"/>
                <w:highlight w:val="none"/>
              </w:rPr>
              <w:t>显示比例16:9，分辨率≥3840*2160，色域≥85%NTSC，防眩光，触摸高度≤2mm。</w:t>
            </w:r>
          </w:p>
          <w:p w14:paraId="2BA750B8">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2设备</w:t>
            </w:r>
            <w:r>
              <w:rPr>
                <w:rFonts w:hint="eastAsia" w:ascii="宋体" w:hAnsi="宋体" w:eastAsia="宋体" w:cs="宋体"/>
                <w:color w:val="000000"/>
                <w:kern w:val="0"/>
                <w:sz w:val="24"/>
                <w:szCs w:val="24"/>
                <w:highlight w:val="none"/>
                <w:lang w:val="en-US" w:eastAsia="zh-CN"/>
              </w:rPr>
              <w:t>内</w:t>
            </w:r>
            <w:r>
              <w:rPr>
                <w:rFonts w:hint="eastAsia" w:ascii="宋体" w:hAnsi="宋体" w:eastAsia="宋体" w:cs="宋体"/>
                <w:color w:val="000000"/>
                <w:kern w:val="0"/>
                <w:sz w:val="24"/>
                <w:szCs w:val="24"/>
                <w:highlight w:val="none"/>
              </w:rPr>
              <w:t>置国产系统</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不采用可插拔电脑模块</w:t>
            </w:r>
            <w:r>
              <w:rPr>
                <w:rFonts w:hint="eastAsia" w:ascii="宋体" w:hAnsi="宋体" w:eastAsia="宋体" w:cs="宋体"/>
                <w:color w:val="000000"/>
                <w:kern w:val="0"/>
                <w:sz w:val="24"/>
                <w:szCs w:val="24"/>
                <w:highlight w:val="none"/>
              </w:rPr>
              <w:t>，内存≥12GB，存储空间≥128GB</w:t>
            </w:r>
            <w:r>
              <w:rPr>
                <w:rFonts w:hint="eastAsia" w:ascii="宋体" w:hAnsi="宋体" w:eastAsia="宋体" w:cs="宋体"/>
                <w:color w:val="000000"/>
                <w:kern w:val="0"/>
                <w:sz w:val="24"/>
                <w:szCs w:val="24"/>
                <w:highlight w:val="none"/>
                <w:lang w:eastAsia="zh-CN"/>
              </w:rPr>
              <w:t>。</w:t>
            </w:r>
          </w:p>
          <w:p w14:paraId="2AB93623">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3设备须内置白板，支持≥2种书写笔头，书写延时≤16ms，支持</w:t>
            </w:r>
            <w:r>
              <w:rPr>
                <w:rFonts w:hint="eastAsia" w:ascii="宋体" w:hAnsi="宋体" w:eastAsia="宋体" w:cs="宋体"/>
                <w:color w:val="000000"/>
                <w:kern w:val="0"/>
                <w:sz w:val="24"/>
                <w:szCs w:val="24"/>
                <w:highlight w:val="none"/>
                <w:lang w:val="en-US" w:eastAsia="zh-CN"/>
              </w:rPr>
              <w:t>书写</w:t>
            </w:r>
            <w:r>
              <w:rPr>
                <w:rFonts w:hint="eastAsia" w:ascii="宋体" w:hAnsi="宋体" w:eastAsia="宋体" w:cs="宋体"/>
                <w:color w:val="000000"/>
                <w:kern w:val="0"/>
                <w:sz w:val="24"/>
                <w:szCs w:val="24"/>
                <w:highlight w:val="none"/>
              </w:rPr>
              <w:t>本地保存、邮件分享、浏览器等第三方应用扫码带走功能，方便老师实时保存课堂书写内容。</w:t>
            </w:r>
          </w:p>
          <w:p w14:paraId="2826CBE9">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4设备前面板独立物理按钮数量≤1，须实现包括但不限于开机、关机、息屏、唤醒的功能。</w:t>
            </w:r>
          </w:p>
          <w:p w14:paraId="212B1A35">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5设备须内置无线网卡，支持在内置系统下接入2.4G/5G双频无线网络，支持802.11a/b/g/n/ac/ax无线网络协议</w:t>
            </w:r>
            <w:r>
              <w:rPr>
                <w:rFonts w:hint="eastAsia" w:ascii="宋体" w:hAnsi="宋体" w:eastAsia="宋体" w:cs="宋体"/>
                <w:color w:val="000000"/>
                <w:kern w:val="0"/>
                <w:sz w:val="24"/>
                <w:szCs w:val="24"/>
                <w:highlight w:val="none"/>
                <w:lang w:eastAsia="zh-CN"/>
              </w:rPr>
              <w:t>。</w:t>
            </w:r>
          </w:p>
          <w:p w14:paraId="325C75FA">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6设备内置操作系统下，支持两个应用分屏同时显示，支持通过拖拉改变窗口大小。如一侧白板，一侧打开网页，可以通过拖拉调节分割线以改变窗口大小，方便一边书写一边查看资料。</w:t>
            </w:r>
            <w:r>
              <w:rPr>
                <w:rFonts w:hint="eastAsia" w:ascii="宋体" w:hAnsi="宋体" w:eastAsia="宋体" w:cs="宋体"/>
                <w:color w:val="000000"/>
                <w:kern w:val="0"/>
                <w:sz w:val="24"/>
                <w:szCs w:val="24"/>
                <w:highlight w:val="none"/>
                <w:lang w:val="en-US" w:eastAsia="zh-CN"/>
              </w:rPr>
              <w:t>支持将单个应用的界面分为多个窗口展示，并自动匹配合适的显示模式。</w:t>
            </w:r>
          </w:p>
          <w:p w14:paraId="476C4659">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7设备须内置应用市场，</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应用市场自主安装应用，应用市场内须适配不少于40个第三方应用。</w:t>
            </w:r>
          </w:p>
          <w:p w14:paraId="40EE2D9F">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支持在无外接OPS电脑状态下，无需打开APP即可实现欢迎屏功能，须提供</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3个内置模版，可通过本地存储或U盘自定义模版背景图</w:t>
            </w:r>
            <w:r>
              <w:rPr>
                <w:rFonts w:hint="eastAsia" w:ascii="宋体" w:hAnsi="宋体" w:eastAsia="宋体" w:cs="宋体"/>
                <w:color w:val="000000"/>
                <w:kern w:val="0"/>
                <w:sz w:val="24"/>
                <w:szCs w:val="24"/>
                <w:highlight w:val="none"/>
              </w:rPr>
              <w:t>。</w:t>
            </w:r>
          </w:p>
          <w:p w14:paraId="41768DB1">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9设备须支持外接使用标准模块化</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可插拔</w:t>
            </w:r>
            <w:r>
              <w:rPr>
                <w:rFonts w:hint="eastAsia" w:ascii="宋体" w:hAnsi="宋体" w:eastAsia="宋体" w:cs="宋体"/>
                <w:color w:val="000000"/>
                <w:kern w:val="0"/>
                <w:sz w:val="24"/>
                <w:szCs w:val="24"/>
                <w:highlight w:val="none"/>
              </w:rPr>
              <w:t>电</w:t>
            </w:r>
            <w:r>
              <w:rPr>
                <w:rFonts w:hint="eastAsia" w:ascii="宋体" w:hAnsi="宋体" w:cs="宋体"/>
                <w:color w:val="000000"/>
                <w:kern w:val="0"/>
                <w:sz w:val="24"/>
                <w:szCs w:val="24"/>
                <w:highlight w:val="none"/>
                <w:lang w:val="en-US" w:eastAsia="zh-CN"/>
              </w:rPr>
              <w:t>脑条件下</w:t>
            </w:r>
            <w:r>
              <w:rPr>
                <w:rFonts w:hint="eastAsia" w:ascii="宋体" w:hAnsi="宋体" w:eastAsia="宋体" w:cs="宋体"/>
                <w:color w:val="000000"/>
                <w:kern w:val="0"/>
                <w:sz w:val="24"/>
                <w:szCs w:val="24"/>
                <w:highlight w:val="none"/>
              </w:rPr>
              <w:t>的操作系统，提供标准模块化</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可插拔</w:t>
            </w:r>
            <w:r>
              <w:rPr>
                <w:rFonts w:hint="eastAsia" w:ascii="宋体" w:hAnsi="宋体" w:eastAsia="宋体" w:cs="宋体"/>
                <w:color w:val="000000"/>
                <w:kern w:val="0"/>
                <w:sz w:val="24"/>
                <w:szCs w:val="24"/>
                <w:highlight w:val="none"/>
              </w:rPr>
              <w:t>电</w:t>
            </w:r>
            <w:r>
              <w:rPr>
                <w:rFonts w:hint="eastAsia" w:ascii="宋体" w:hAnsi="宋体" w:cs="宋体"/>
                <w:color w:val="000000"/>
                <w:kern w:val="0"/>
                <w:sz w:val="24"/>
                <w:szCs w:val="24"/>
                <w:highlight w:val="none"/>
                <w:lang w:val="en-US" w:eastAsia="zh-CN"/>
              </w:rPr>
              <w:t>脑</w:t>
            </w:r>
            <w:r>
              <w:rPr>
                <w:rFonts w:hint="eastAsia" w:ascii="宋体" w:hAnsi="宋体" w:eastAsia="宋体" w:cs="宋体"/>
                <w:color w:val="000000"/>
                <w:kern w:val="0"/>
                <w:sz w:val="24"/>
                <w:szCs w:val="24"/>
                <w:highlight w:val="none"/>
              </w:rPr>
              <w:t>通用的80针接口，拒绝专用接口，以满足后续模块化电脑配置升级的需求。</w:t>
            </w:r>
          </w:p>
          <w:p w14:paraId="0F0051D2">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10设备须支持音频调节功能，可根据不同教室空间的大小进行手动调节低频/中频/高频均衡，支持智能降噪、回声抑制、UAC增益、混响抑制等设置。</w:t>
            </w:r>
          </w:p>
          <w:p w14:paraId="168938BB">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11设备内置白板须支持文字和图形智能识别功能，可将手写体识别为标准打印体，支持中英文识别</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断网状态下实现上述操作。</w:t>
            </w:r>
          </w:p>
          <w:p w14:paraId="5D8FA53A">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12须提供不低于4T</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OPS的AI算力，支持突发噪声抑制，具备教室去混响能力，从而有效提升拾音效果。</w:t>
            </w:r>
          </w:p>
          <w:p w14:paraId="45E61BB8">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13</w:t>
            </w:r>
            <w:r>
              <w:rPr>
                <w:rFonts w:hint="eastAsia" w:ascii="宋体" w:hAnsi="宋体" w:eastAsia="宋体" w:cs="宋体"/>
                <w:color w:val="000000"/>
                <w:kern w:val="0"/>
                <w:sz w:val="24"/>
                <w:szCs w:val="24"/>
                <w:highlight w:val="none"/>
                <w:lang w:val="en-US" w:eastAsia="zh-CN"/>
              </w:rPr>
              <w:t>设备内置专业硬件检修软件，须支持一键快速自检，硬件类、投屏类、白板类等单个模块进行检测，给出问题原因提示和修复建议</w:t>
            </w:r>
            <w:r>
              <w:rPr>
                <w:rFonts w:hint="eastAsia" w:ascii="宋体" w:hAnsi="宋体" w:eastAsia="宋体" w:cs="宋体"/>
                <w:color w:val="000000"/>
                <w:kern w:val="0"/>
                <w:sz w:val="24"/>
                <w:szCs w:val="24"/>
                <w:highlight w:val="none"/>
                <w:lang w:eastAsia="zh-CN"/>
              </w:rPr>
              <w:t>。</w:t>
            </w:r>
          </w:p>
          <w:p w14:paraId="223A34C2">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14</w:t>
            </w:r>
            <w:r>
              <w:rPr>
                <w:rFonts w:hint="eastAsia" w:ascii="宋体" w:hAnsi="宋体" w:eastAsia="宋体" w:cs="宋体"/>
                <w:color w:val="000000"/>
                <w:kern w:val="0"/>
                <w:sz w:val="24"/>
                <w:szCs w:val="24"/>
                <w:highlight w:val="none"/>
                <w:lang w:val="en-US" w:eastAsia="zh-CN"/>
              </w:rPr>
              <w:t>设备</w:t>
            </w:r>
            <w:r>
              <w:rPr>
                <w:rFonts w:hint="eastAsia" w:ascii="宋体" w:hAnsi="宋体" w:eastAsia="宋体" w:cs="宋体"/>
                <w:color w:val="000000"/>
                <w:kern w:val="0"/>
                <w:sz w:val="24"/>
                <w:szCs w:val="24"/>
                <w:highlight w:val="none"/>
              </w:rPr>
              <w:t>支持通过投屏软件进行音视频投屏共享。支持</w:t>
            </w:r>
            <w:r>
              <w:rPr>
                <w:rFonts w:hint="eastAsia" w:ascii="宋体" w:hAnsi="宋体" w:eastAsia="宋体" w:cs="宋体"/>
                <w:color w:val="000000"/>
                <w:kern w:val="0"/>
                <w:sz w:val="24"/>
                <w:szCs w:val="24"/>
                <w:highlight w:val="none"/>
                <w:lang w:val="en-US" w:eastAsia="zh-CN"/>
              </w:rPr>
              <w:t>反向触控功能，在设备上可反向控制投屏设备的共享桌面</w:t>
            </w:r>
            <w:r>
              <w:rPr>
                <w:rFonts w:hint="eastAsia" w:ascii="宋体" w:hAnsi="宋体" w:eastAsia="宋体" w:cs="宋体"/>
                <w:color w:val="000000"/>
                <w:kern w:val="0"/>
                <w:sz w:val="24"/>
                <w:szCs w:val="24"/>
                <w:highlight w:val="none"/>
              </w:rPr>
              <w:t>。</w:t>
            </w:r>
          </w:p>
          <w:p w14:paraId="6995E4EE">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15前置须具有以下无转接接口：≥1*USB Type-C、≥2*USB Type-A；侧置须具有以下无转接接口：≥2*HDMI IN、≥1*HDMI OUT、≥1*Line IN、≥1*Line OUT、≥1*RJ45、≥1*控制串口、≥3*USB Type-A、≥1*USB Type-B。</w:t>
            </w:r>
          </w:p>
          <w:p w14:paraId="0C56DE7B">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电子黑板</w:t>
            </w:r>
          </w:p>
          <w:p w14:paraId="310FB749">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ABA结构，与大屏形成三拼结构。</w:t>
            </w:r>
          </w:p>
          <w:p w14:paraId="2B8B07B0">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两侧采用红外感应可实现智能书写，并实现电子化，左右副板采用下侧居中笔拖结构；</w:t>
            </w:r>
          </w:p>
          <w:p w14:paraId="288F48B9">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纳米书写板面，可采用粉笔等</w:t>
            </w:r>
            <w:r>
              <w:rPr>
                <w:rFonts w:hint="eastAsia" w:ascii="宋体" w:hAnsi="宋体" w:eastAsia="宋体" w:cs="宋体"/>
                <w:color w:val="000000"/>
                <w:kern w:val="0"/>
                <w:sz w:val="24"/>
                <w:szCs w:val="24"/>
                <w:highlight w:val="none"/>
                <w:lang w:val="en-US" w:eastAsia="zh-CN"/>
              </w:rPr>
              <w:t>多种</w:t>
            </w:r>
            <w:r>
              <w:rPr>
                <w:rFonts w:hint="eastAsia" w:ascii="宋体" w:hAnsi="宋体" w:eastAsia="宋体" w:cs="宋体"/>
                <w:color w:val="000000"/>
                <w:kern w:val="0"/>
                <w:sz w:val="24"/>
                <w:szCs w:val="24"/>
                <w:highlight w:val="none"/>
              </w:rPr>
              <w:t>书写；</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干布或板擦擦拭</w:t>
            </w:r>
            <w:r>
              <w:rPr>
                <w:rFonts w:hint="eastAsia" w:ascii="宋体" w:hAnsi="宋体" w:eastAsia="宋体" w:cs="宋体"/>
                <w:color w:val="000000"/>
                <w:kern w:val="0"/>
                <w:sz w:val="24"/>
                <w:szCs w:val="24"/>
                <w:highlight w:val="none"/>
                <w:lang w:eastAsia="zh-CN"/>
              </w:rPr>
              <w:t>。</w:t>
            </w:r>
          </w:p>
          <w:p w14:paraId="6904F87C">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4采用红外触控技术，可以设置临界值</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当小于临界值时默认的是设备的是书写轨迹，如果大于临界值时实现的是擦除功能。</w:t>
            </w:r>
          </w:p>
          <w:p w14:paraId="53FF07B9">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5双侧板面提供上下居中的快捷键，可以进行书写内容预览、板书上下页翻页、红、白、黄三色笔迹选择、扫码分享、投票、一键清屏等快捷按键。</w:t>
            </w:r>
          </w:p>
          <w:p w14:paraId="461367EF">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黑板软件在后台运行时，书写</w:t>
            </w:r>
            <w:r>
              <w:rPr>
                <w:rFonts w:hint="eastAsia" w:ascii="宋体" w:hAnsi="宋体" w:cs="宋体"/>
                <w:color w:val="000000"/>
                <w:kern w:val="0"/>
                <w:sz w:val="24"/>
                <w:szCs w:val="24"/>
                <w:highlight w:val="none"/>
                <w:lang w:val="en-US" w:eastAsia="zh-CN"/>
              </w:rPr>
              <w:t>内</w:t>
            </w:r>
            <w:r>
              <w:rPr>
                <w:rFonts w:hint="eastAsia" w:ascii="宋体" w:hAnsi="宋体" w:eastAsia="宋体" w:cs="宋体"/>
                <w:color w:val="000000"/>
                <w:kern w:val="0"/>
                <w:sz w:val="24"/>
                <w:szCs w:val="24"/>
                <w:highlight w:val="none"/>
              </w:rPr>
              <w:t>容，显示设备可以同时进行交互式操作，在书写完毕后通过一键预览可以实现显示端显示，也可以通过预览直接调出记录内容实现板书和显示同步。</w:t>
            </w:r>
          </w:p>
          <w:p w14:paraId="4CA72FFD">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黑板软件可以设置2种板书记录模式，支持一块</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黑板记录为一页页面</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也可</w:t>
            </w:r>
            <w:r>
              <w:rPr>
                <w:rFonts w:hint="eastAsia" w:ascii="宋体" w:hAnsi="宋体" w:eastAsia="宋体" w:cs="宋体"/>
                <w:color w:val="000000"/>
                <w:kern w:val="0"/>
                <w:sz w:val="24"/>
                <w:szCs w:val="24"/>
                <w:highlight w:val="none"/>
              </w:rPr>
              <w:t>支持双</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黑板同时书写时在显示端同时显示。</w:t>
            </w:r>
          </w:p>
          <w:p w14:paraId="0C6127E6">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8支持16:9/4:3或自定义模式。</w:t>
            </w:r>
          </w:p>
          <w:p w14:paraId="30AFE85E">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9显示提示：</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黑板需采用后台记录，在未点击预览时所有操作与显示端无互动，但是显示端需提供</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黑板工作状态提示，查看</w:t>
            </w:r>
            <w:r>
              <w:rPr>
                <w:rFonts w:hint="eastAsia" w:ascii="宋体" w:hAnsi="宋体" w:eastAsia="宋体" w:cs="宋体"/>
                <w:color w:val="000000"/>
                <w:kern w:val="0"/>
                <w:sz w:val="24"/>
                <w:szCs w:val="24"/>
                <w:highlight w:val="none"/>
                <w:lang w:val="en-US" w:eastAsia="zh-CN"/>
              </w:rPr>
              <w:t>电子黑板</w:t>
            </w:r>
            <w:r>
              <w:rPr>
                <w:rFonts w:hint="eastAsia" w:ascii="宋体" w:hAnsi="宋体" w:eastAsia="宋体" w:cs="宋体"/>
                <w:color w:val="000000"/>
                <w:kern w:val="0"/>
                <w:sz w:val="24"/>
                <w:szCs w:val="24"/>
                <w:highlight w:val="none"/>
              </w:rPr>
              <w:t>状态。在点击预览后书写的内容显示</w:t>
            </w:r>
            <w:r>
              <w:rPr>
                <w:rFonts w:hint="eastAsia" w:ascii="宋体" w:hAnsi="宋体" w:eastAsia="宋体" w:cs="宋体"/>
                <w:color w:val="000000"/>
                <w:kern w:val="0"/>
                <w:sz w:val="24"/>
                <w:szCs w:val="24"/>
                <w:highlight w:val="none"/>
                <w:lang w:val="en-US" w:eastAsia="zh-CN"/>
              </w:rPr>
              <w:t>端显示</w:t>
            </w:r>
            <w:r>
              <w:rPr>
                <w:rFonts w:hint="eastAsia" w:ascii="宋体" w:hAnsi="宋体" w:eastAsia="宋体" w:cs="宋体"/>
                <w:color w:val="000000"/>
                <w:kern w:val="0"/>
                <w:sz w:val="24"/>
                <w:szCs w:val="24"/>
                <w:highlight w:val="none"/>
              </w:rPr>
              <w:t>，进行互动操作。</w:t>
            </w:r>
          </w:p>
          <w:p w14:paraId="1189E976">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10</w:t>
            </w:r>
            <w:r>
              <w:rPr>
                <w:rFonts w:hint="eastAsia" w:ascii="宋体" w:hAnsi="宋体" w:eastAsia="宋体" w:cs="宋体"/>
                <w:color w:val="000000"/>
                <w:kern w:val="0"/>
                <w:sz w:val="24"/>
                <w:szCs w:val="24"/>
                <w:highlight w:val="none"/>
                <w:lang w:val="en-US" w:eastAsia="zh-CN"/>
              </w:rPr>
              <w:t>支持</w:t>
            </w:r>
            <w:r>
              <w:rPr>
                <w:rFonts w:hint="eastAsia" w:ascii="宋体" w:hAnsi="宋体" w:eastAsia="宋体" w:cs="宋体"/>
                <w:color w:val="000000"/>
                <w:kern w:val="0"/>
                <w:sz w:val="24"/>
                <w:szCs w:val="24"/>
                <w:highlight w:val="none"/>
              </w:rPr>
              <w:t>书写不同颜色粉笔时点击快捷键红、白、黄可以选择书写记录的笔迹颜色。</w:t>
            </w:r>
          </w:p>
          <w:p w14:paraId="7AA12853">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11</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黑板左右板可以任意安装在显示端左右，无需固定方位，在双板书写同时显示时可以根据需要左右切换在显示端的位置。</w:t>
            </w:r>
          </w:p>
          <w:p w14:paraId="71596AB3">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12</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黑板软件提供标准协议在对接后可把板书内容通过一键插入到该台设备常用的白板软件中。</w:t>
            </w:r>
          </w:p>
          <w:p w14:paraId="69AB83B6">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13</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黑板板书内容可本地保存为图片、PDF，也可采用移动设备扫描二维码直接带走。</w:t>
            </w:r>
          </w:p>
          <w:p w14:paraId="4EA0C5A5">
            <w:pPr>
              <w:widowControl/>
              <w:numPr>
                <w:ilvl w:val="0"/>
                <w:numId w:val="0"/>
              </w:numPr>
              <w:tabs>
                <w:tab w:val="left" w:pos="1392"/>
              </w:tabs>
              <w:spacing w:line="390" w:lineRule="exact"/>
              <w:jc w:val="left"/>
              <w:rPr>
                <w:rFonts w:hint="eastAsia" w:ascii="宋体" w:hAnsi="宋体" w:eastAsia="宋体" w:cs="宋体"/>
                <w:color w:val="000000"/>
                <w:kern w:val="0"/>
                <w:sz w:val="24"/>
                <w:szCs w:val="24"/>
                <w:highlight w:val="none"/>
              </w:rPr>
            </w:pPr>
            <w:r>
              <w:rPr>
                <w:rFonts w:hint="eastAsia" w:ascii="宋体" w:hAnsi="宋体" w:eastAsia="宋体" w:cs="宋体"/>
                <w:highlight w:val="none"/>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14</w:t>
            </w:r>
            <w:r>
              <w:rPr>
                <w:rFonts w:hint="eastAsia" w:ascii="宋体" w:hAnsi="宋体" w:eastAsia="宋体" w:cs="宋体"/>
                <w:color w:val="000000"/>
                <w:kern w:val="0"/>
                <w:sz w:val="24"/>
                <w:szCs w:val="24"/>
                <w:highlight w:val="none"/>
                <w:lang w:val="en-US" w:eastAsia="zh-CN"/>
              </w:rPr>
              <w:t>电子</w:t>
            </w:r>
            <w:r>
              <w:rPr>
                <w:rFonts w:hint="eastAsia" w:ascii="宋体" w:hAnsi="宋体" w:eastAsia="宋体" w:cs="宋体"/>
                <w:color w:val="000000"/>
                <w:kern w:val="0"/>
                <w:sz w:val="24"/>
                <w:szCs w:val="24"/>
                <w:highlight w:val="none"/>
              </w:rPr>
              <w:t>黑板支持单项投票、多项投票或表决等三种模式快速投票功能</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扫描二维码快速投票，投票无需下载安装专用软件，自动统计数据并展示投票的结果。</w:t>
            </w:r>
          </w:p>
          <w:p w14:paraId="4254AF6F">
            <w:pPr>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说明：投标人负责设备的安装、调试，网络线路的安装、调试及使用培训等。</w:t>
            </w:r>
          </w:p>
        </w:tc>
      </w:tr>
    </w:tbl>
    <w:p w14:paraId="7B0CD721">
      <w:pPr>
        <w:pStyle w:val="3"/>
        <w:rPr>
          <w:rFonts w:hint="eastAsia" w:ascii="宋体" w:hAnsi="宋体" w:eastAsia="宋体" w:cs="宋体"/>
          <w:sz w:val="24"/>
          <w:szCs w:val="24"/>
          <w:highlight w:val="none"/>
        </w:rPr>
      </w:pPr>
    </w:p>
    <w:p w14:paraId="5045F3AA">
      <w:pPr>
        <w:pStyle w:val="3"/>
        <w:rPr>
          <w:rFonts w:hint="eastAsia" w:ascii="宋体" w:hAnsi="宋体" w:eastAsia="宋体" w:cs="宋体"/>
          <w:sz w:val="24"/>
          <w:szCs w:val="24"/>
          <w:highlight w:val="none"/>
        </w:rPr>
      </w:pPr>
    </w:p>
    <w:p w14:paraId="27FFA156">
      <w:pPr>
        <w:spacing w:line="360" w:lineRule="auto"/>
        <w:contextualSpacing/>
        <w:rPr>
          <w:rFonts w:hint="eastAsia" w:ascii="宋体" w:hAnsi="宋体" w:eastAsia="宋体" w:cs="宋体"/>
          <w:i/>
          <w:iCs/>
          <w:sz w:val="24"/>
          <w:szCs w:val="24"/>
          <w:highlight w:val="none"/>
        </w:rPr>
      </w:pPr>
      <w:r>
        <w:rPr>
          <w:rFonts w:hint="eastAsia" w:ascii="宋体" w:hAnsi="宋体" w:eastAsia="宋体" w:cs="宋体"/>
          <w:sz w:val="24"/>
          <w:szCs w:val="24"/>
          <w:highlight w:val="none"/>
        </w:rPr>
        <w:t>3. 验收标准</w:t>
      </w:r>
    </w:p>
    <w:p w14:paraId="47053F29">
      <w:pPr>
        <w:pStyle w:val="4"/>
        <w:spacing w:line="460" w:lineRule="exact"/>
        <w:ind w:left="0" w:leftChars="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项目全部安装调试实施完成后，中标</w:t>
      </w:r>
      <w:r>
        <w:rPr>
          <w:rFonts w:hint="eastAsia" w:ascii="宋体" w:hAnsi="宋体" w:eastAsia="宋体" w:cs="宋体"/>
          <w:b w:val="0"/>
          <w:bCs w:val="0"/>
          <w:sz w:val="24"/>
          <w:szCs w:val="24"/>
          <w:highlight w:val="none"/>
          <w:lang w:val="en-US" w:eastAsia="zh-CN"/>
        </w:rPr>
        <w:t>人</w:t>
      </w:r>
      <w:r>
        <w:rPr>
          <w:rFonts w:hint="eastAsia" w:ascii="宋体" w:hAnsi="宋体" w:eastAsia="宋体" w:cs="宋体"/>
          <w:b w:val="0"/>
          <w:bCs w:val="0"/>
          <w:sz w:val="24"/>
          <w:szCs w:val="24"/>
          <w:highlight w:val="none"/>
        </w:rPr>
        <w:t>对采购</w:t>
      </w:r>
      <w:r>
        <w:rPr>
          <w:rFonts w:hint="eastAsia" w:ascii="宋体" w:hAnsi="宋体" w:eastAsia="宋体" w:cs="宋体"/>
          <w:b w:val="0"/>
          <w:bCs w:val="0"/>
          <w:sz w:val="24"/>
          <w:szCs w:val="24"/>
          <w:highlight w:val="none"/>
          <w:lang w:val="en-US" w:eastAsia="zh-CN"/>
        </w:rPr>
        <w:t>人</w:t>
      </w:r>
      <w:r>
        <w:rPr>
          <w:rFonts w:hint="eastAsia" w:ascii="宋体" w:hAnsi="宋体" w:eastAsia="宋体" w:cs="宋体"/>
          <w:b w:val="0"/>
          <w:bCs w:val="0"/>
          <w:sz w:val="24"/>
          <w:szCs w:val="24"/>
          <w:highlight w:val="none"/>
        </w:rPr>
        <w:t>进行全面的使用培训，包含日常使用、简单故障排除、使用技巧等方面培训，直至采购</w:t>
      </w:r>
      <w:r>
        <w:rPr>
          <w:rFonts w:hint="eastAsia" w:ascii="宋体" w:hAnsi="宋体" w:eastAsia="宋体" w:cs="宋体"/>
          <w:b w:val="0"/>
          <w:bCs w:val="0"/>
          <w:sz w:val="24"/>
          <w:szCs w:val="24"/>
          <w:highlight w:val="none"/>
          <w:lang w:val="en-US" w:eastAsia="zh-CN"/>
        </w:rPr>
        <w:t>人</w:t>
      </w:r>
      <w:r>
        <w:rPr>
          <w:rFonts w:hint="eastAsia" w:ascii="宋体" w:hAnsi="宋体" w:eastAsia="宋体" w:cs="宋体"/>
          <w:b w:val="0"/>
          <w:bCs w:val="0"/>
          <w:sz w:val="24"/>
          <w:szCs w:val="24"/>
          <w:highlight w:val="none"/>
        </w:rPr>
        <w:t>能够掌握日常操作。</w:t>
      </w:r>
    </w:p>
    <w:p w14:paraId="08FFAD8E">
      <w:pPr>
        <w:pStyle w:val="4"/>
        <w:spacing w:line="460" w:lineRule="exact"/>
        <w:ind w:left="0" w:leftChars="0" w:firstLine="0" w:firstLineChars="0"/>
        <w:rPr>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项目实施完成后采购</w:t>
      </w:r>
      <w:r>
        <w:rPr>
          <w:rFonts w:hint="eastAsia" w:ascii="宋体" w:hAnsi="宋体" w:eastAsia="宋体" w:cs="宋体"/>
          <w:b w:val="0"/>
          <w:bCs w:val="0"/>
          <w:sz w:val="24"/>
          <w:szCs w:val="24"/>
          <w:highlight w:val="none"/>
          <w:lang w:val="en-US" w:eastAsia="zh-CN"/>
        </w:rPr>
        <w:t>人</w:t>
      </w:r>
      <w:r>
        <w:rPr>
          <w:rFonts w:hint="eastAsia" w:ascii="宋体" w:hAnsi="宋体" w:eastAsia="宋体" w:cs="宋体"/>
          <w:b w:val="0"/>
          <w:bCs w:val="0"/>
          <w:sz w:val="24"/>
          <w:szCs w:val="24"/>
          <w:highlight w:val="none"/>
        </w:rPr>
        <w:t>对系统进行全面功能检查，包含</w:t>
      </w:r>
      <w:r>
        <w:rPr>
          <w:rFonts w:hint="eastAsia" w:ascii="宋体" w:hAnsi="宋体" w:eastAsia="宋体" w:cs="宋体"/>
          <w:b w:val="0"/>
          <w:bCs w:val="0"/>
          <w:sz w:val="24"/>
          <w:szCs w:val="24"/>
          <w:highlight w:val="none"/>
          <w:lang w:val="en-US" w:eastAsia="zh-CN"/>
        </w:rPr>
        <w:t>智慧屏</w:t>
      </w:r>
      <w:r>
        <w:rPr>
          <w:rFonts w:hint="eastAsia" w:ascii="宋体" w:hAnsi="宋体" w:eastAsia="宋体" w:cs="宋体"/>
          <w:b w:val="0"/>
          <w:bCs w:val="0"/>
          <w:sz w:val="24"/>
          <w:szCs w:val="24"/>
          <w:highlight w:val="none"/>
        </w:rPr>
        <w:t>建设数量、是否实现统一管理、建设数量与采购数量是否一致</w:t>
      </w:r>
      <w:r>
        <w:rPr>
          <w:rFonts w:hint="eastAsia" w:ascii="宋体" w:hAnsi="宋体" w:eastAsia="宋体" w:cs="宋体"/>
          <w:b w:val="0"/>
          <w:bCs w:val="0"/>
          <w:sz w:val="24"/>
          <w:szCs w:val="24"/>
          <w:highlight w:val="none"/>
          <w:lang w:val="en-US" w:eastAsia="zh-CN"/>
        </w:rPr>
        <w:t>等</w:t>
      </w:r>
      <w:r>
        <w:rPr>
          <w:rFonts w:hint="eastAsia" w:ascii="宋体" w:hAnsi="宋体" w:eastAsia="宋体" w:cs="宋体"/>
          <w:b w:val="0"/>
          <w:bCs w:val="0"/>
          <w:sz w:val="24"/>
          <w:szCs w:val="24"/>
          <w:highlight w:val="none"/>
        </w:rPr>
        <w:t>。</w:t>
      </w:r>
    </w:p>
    <w:p w14:paraId="3582A705">
      <w:pPr>
        <w:spacing w:line="360" w:lineRule="auto"/>
        <w:jc w:val="both"/>
        <w:outlineLvl w:val="0"/>
        <w:rPr>
          <w:b/>
          <w:sz w:val="36"/>
          <w:szCs w:val="36"/>
          <w:highlight w:val="none"/>
        </w:rPr>
        <w:sectPr>
          <w:pgSz w:w="16840" w:h="11907" w:orient="landscape"/>
          <w:pgMar w:top="1701" w:right="1418" w:bottom="1134" w:left="1418" w:header="851" w:footer="851" w:gutter="0"/>
          <w:cols w:space="720" w:num="1"/>
          <w:docGrid w:linePitch="462" w:charSpace="0"/>
        </w:sectPr>
      </w:pPr>
    </w:p>
    <w:p w14:paraId="3D686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6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Block Text"/>
    <w:basedOn w:val="1"/>
    <w:qFormat/>
    <w:uiPriority w:val="0"/>
    <w:pPr>
      <w:widowControl/>
      <w:ind w:left="480" w:right="-341" w:firstLine="513"/>
    </w:pPr>
    <w:rPr>
      <w:kern w:val="0"/>
      <w:sz w:val="24"/>
      <w:szCs w:val="20"/>
    </w:rPr>
  </w:style>
  <w:style w:type="paragraph" w:styleId="4">
    <w:name w:val="Body Text Indent 2"/>
    <w:basedOn w:val="1"/>
    <w:qFormat/>
    <w:uiPriority w:val="0"/>
    <w:pPr>
      <w:ind w:firstLine="480" w:firstLineChars="200"/>
    </w:pPr>
    <w:rPr>
      <w:rFonts w:ascii="仿宋_GB2312" w:eastAsia="仿宋_GB2312"/>
      <w:sz w:val="24"/>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正文（SANGFOR）"/>
    <w:basedOn w:val="1"/>
    <w:qFormat/>
    <w:uiPriority w:val="0"/>
    <w:pPr>
      <w:tabs>
        <w:tab w:val="right" w:pos="9031"/>
      </w:tabs>
      <w:autoSpaceDE w:val="0"/>
      <w:autoSpaceDN w:val="0"/>
      <w:adjustRightInd w:val="0"/>
      <w:spacing w:before="80" w:after="80" w:line="300" w:lineRule="auto"/>
      <w:ind w:left="567" w:firstLine="420" w:firstLineChars="200"/>
    </w:pPr>
    <w:rPr>
      <w:rFonts w:ascii="Arial" w:hAnsi="Arial" w:cs="Arial"/>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2026-04-27T06:36:58Z</dcterms:created>
  <dc:creator>zhhx</dc:creator>
  <cp:lastModifiedBy>高</cp:lastModifiedBy>
  <dcterms:modified xsi:type="dcterms:W3CDTF">2026-04-27T06:37:39Z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8B52B8C07AEA4B2DBB7B5687023D7E20_12</vt:lpwstr>
  </property>
</Properties>
</file>