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bCs/>
          <w:sz w:val="36"/>
          <w:szCs w:val="36"/>
        </w:rPr>
      </w:pPr>
      <w:r>
        <w:rPr>
          <w:rFonts w:ascii="宋体" w:hAnsi="宋体"/>
          <w:b/>
          <w:bCs/>
          <w:sz w:val="36"/>
          <w:szCs w:val="36"/>
        </w:rPr>
        <w:t>北京市文化和旅游局宣传中心 （北京市旅游运行监测中心）2026年文化和旅游局办公及业务系统</w:t>
      </w:r>
    </w:p>
    <w:p>
      <w:pPr>
        <w:spacing w:line="360" w:lineRule="auto"/>
        <w:jc w:val="center"/>
        <w:outlineLvl w:val="0"/>
        <w:rPr>
          <w:rFonts w:ascii="宋体" w:hAnsi="宋体"/>
          <w:b/>
          <w:bCs/>
          <w:sz w:val="36"/>
          <w:szCs w:val="36"/>
        </w:rPr>
      </w:pPr>
      <w:r>
        <w:rPr>
          <w:rFonts w:ascii="宋体" w:hAnsi="宋体"/>
          <w:b/>
          <w:bCs/>
          <w:sz w:val="36"/>
          <w:szCs w:val="36"/>
        </w:rPr>
        <w:t>信息基础支撑项目（第一包：云计算服务）</w:t>
      </w:r>
    </w:p>
    <w:p>
      <w:pPr>
        <w:spacing w:line="360" w:lineRule="auto"/>
        <w:jc w:val="center"/>
        <w:outlineLvl w:val="0"/>
        <w:rPr>
          <w:b/>
          <w:bCs/>
          <w:sz w:val="36"/>
          <w:szCs w:val="36"/>
        </w:rPr>
      </w:pPr>
      <w:r>
        <w:rPr>
          <w:rFonts w:ascii="宋体" w:hAnsi="宋体"/>
          <w:b/>
          <w:bCs/>
          <w:sz w:val="36"/>
          <w:szCs w:val="36"/>
        </w:rPr>
        <w:t>采购需求</w:t>
      </w:r>
      <w:bookmarkStart w:id="0" w:name="_GoBack"/>
      <w:bookmarkEnd w:id="0"/>
    </w:p>
    <w:p>
      <w:pPr>
        <w:pStyle w:val="3"/>
        <w:numPr>
          <w:ilvl w:val="0"/>
          <w:numId w:val="1"/>
        </w:numPr>
        <w:rPr>
          <w:rFonts w:ascii="黑体" w:hAnsi="黑体" w:eastAsia="黑体"/>
          <w:bCs/>
          <w:sz w:val="24"/>
          <w:szCs w:val="24"/>
        </w:rPr>
      </w:pPr>
      <w:r>
        <w:rPr>
          <w:rFonts w:hint="eastAsia" w:ascii="黑体" w:hAnsi="黑体" w:eastAsia="黑体"/>
          <w:sz w:val="24"/>
          <w:szCs w:val="24"/>
        </w:rPr>
        <w:t>采购标的</w:t>
      </w:r>
    </w:p>
    <w:p>
      <w:pPr>
        <w:pStyle w:val="4"/>
        <w:ind w:firstLine="241" w:firstLineChars="100"/>
        <w:rPr>
          <w:rFonts w:hint="eastAsia" w:ascii="楷体" w:hAnsi="楷体" w:eastAsia="楷体"/>
          <w:sz w:val="24"/>
          <w:szCs w:val="24"/>
        </w:rPr>
      </w:pPr>
      <w:r>
        <w:rPr>
          <w:rFonts w:hint="eastAsia" w:ascii="楷体" w:hAnsi="楷体" w:eastAsia="楷体"/>
          <w:sz w:val="24"/>
          <w:szCs w:val="24"/>
        </w:rPr>
        <w:t>1 项目基本情况</w:t>
      </w:r>
    </w:p>
    <w:p>
      <w:pPr>
        <w:adjustRightInd w:val="0"/>
        <w:snapToGrid w:val="0"/>
        <w:spacing w:line="360" w:lineRule="auto"/>
        <w:rPr>
          <w:rFonts w:hint="eastAsia" w:ascii="宋体" w:hAnsi="宋体"/>
          <w:sz w:val="24"/>
        </w:rPr>
      </w:pPr>
      <w:r>
        <w:rPr>
          <w:rFonts w:hint="eastAsia" w:ascii="宋体" w:hAnsi="宋体"/>
          <w:sz w:val="24"/>
        </w:rPr>
        <w:t>1.项目名称：</w:t>
      </w:r>
      <w:r>
        <w:rPr>
          <w:rFonts w:hint="eastAsia" w:ascii="宋体" w:hAnsi="宋体"/>
          <w:sz w:val="24"/>
          <w:u w:val="single"/>
        </w:rPr>
        <w:t>北京市文化和旅游局宣传中心（北京市旅游运行监测中心）2026年文化和旅游局办公及业务系统信息基础支撑项目（第一包：云计算服务）</w:t>
      </w:r>
    </w:p>
    <w:p>
      <w:pPr>
        <w:adjustRightInd w:val="0"/>
        <w:snapToGrid w:val="0"/>
        <w:spacing w:line="360" w:lineRule="auto"/>
        <w:rPr>
          <w:rFonts w:hint="eastAsia" w:ascii="宋体" w:hAnsi="宋体"/>
          <w:sz w:val="24"/>
        </w:rPr>
      </w:pPr>
      <w:r>
        <w:rPr>
          <w:rFonts w:hint="eastAsia" w:ascii="宋体" w:hAnsi="宋体"/>
          <w:sz w:val="24"/>
        </w:rPr>
        <w:t>2.项目预算金额：</w:t>
      </w:r>
      <w:r>
        <w:rPr>
          <w:rFonts w:hint="eastAsia" w:ascii="宋体" w:hAnsi="宋体"/>
          <w:sz w:val="24"/>
          <w:u w:val="single"/>
        </w:rPr>
        <w:t>668.336304</w:t>
      </w:r>
      <w:r>
        <w:rPr>
          <w:rFonts w:hint="eastAsia" w:ascii="宋体" w:hAnsi="宋体"/>
          <w:sz w:val="24"/>
        </w:rPr>
        <w:t>万元、项目最高限价（如有）：</w:t>
      </w:r>
      <w:r>
        <w:rPr>
          <w:rFonts w:hint="eastAsia" w:ascii="宋体" w:hAnsi="宋体"/>
          <w:sz w:val="24"/>
          <w:u w:val="single"/>
        </w:rPr>
        <w:t>668.336304</w:t>
      </w:r>
      <w:r>
        <w:rPr>
          <w:rFonts w:hint="eastAsia" w:ascii="宋体" w:hAnsi="宋体"/>
          <w:sz w:val="24"/>
        </w:rPr>
        <w:t>万元</w:t>
      </w:r>
    </w:p>
    <w:p>
      <w:pPr>
        <w:adjustRightInd w:val="0"/>
        <w:snapToGrid w:val="0"/>
        <w:spacing w:line="360" w:lineRule="auto"/>
        <w:rPr>
          <w:rFonts w:hint="eastAsia" w:ascii="宋体" w:hAnsi="宋体"/>
          <w:sz w:val="24"/>
        </w:rPr>
      </w:pPr>
      <w:r>
        <w:rPr>
          <w:rFonts w:hint="eastAsia" w:ascii="宋体" w:hAnsi="宋体"/>
          <w:sz w:val="24"/>
        </w:rPr>
        <w:t>3.采购包情况：</w:t>
      </w:r>
    </w:p>
    <w:tbl>
      <w:tblPr>
        <w:tblStyle w:val="12"/>
        <w:tblW w:w="87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740"/>
        <w:gridCol w:w="299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包号</w:t>
            </w:r>
          </w:p>
        </w:tc>
        <w:tc>
          <w:tcPr>
            <w:tcW w:w="274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标的名称</w:t>
            </w:r>
          </w:p>
        </w:tc>
        <w:tc>
          <w:tcPr>
            <w:tcW w:w="299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采购包预算金额</w:t>
            </w:r>
          </w:p>
          <w:p>
            <w:pPr>
              <w:adjustRightInd w:val="0"/>
              <w:snapToGrid w:val="0"/>
              <w:spacing w:line="360" w:lineRule="auto"/>
              <w:jc w:val="center"/>
              <w:rPr>
                <w:rFonts w:hint="eastAsia" w:ascii="宋体" w:hAnsi="宋体"/>
                <w:sz w:val="24"/>
              </w:rPr>
            </w:pPr>
            <w:r>
              <w:rPr>
                <w:rFonts w:hint="eastAsia" w:ascii="宋体" w:hAnsi="宋体"/>
                <w:sz w:val="24"/>
              </w:rPr>
              <w:t>（万元）</w:t>
            </w:r>
          </w:p>
        </w:tc>
        <w:tc>
          <w:tcPr>
            <w:tcW w:w="175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01</w:t>
            </w:r>
          </w:p>
        </w:tc>
        <w:tc>
          <w:tcPr>
            <w:tcW w:w="274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宋体" w:hAnsi="宋体"/>
                <w:sz w:val="24"/>
              </w:rPr>
            </w:pPr>
            <w:r>
              <w:rPr>
                <w:rFonts w:hint="eastAsia" w:ascii="宋体" w:hAnsi="宋体"/>
              </w:rPr>
              <w:t>北京市文化和旅游局宣传中心（北京市旅游运行监测中心）</w:t>
            </w:r>
            <w:r>
              <w:rPr>
                <w:rFonts w:hint="eastAsia"/>
              </w:rPr>
              <w:t>202</w:t>
            </w:r>
            <w:r>
              <w:rPr>
                <w:rFonts w:hint="eastAsia" w:ascii="宋体" w:hAnsi="宋体"/>
              </w:rPr>
              <w:t>6年文化和旅游局办公及业务系统信息基础支撑项目（第一包：云计算服务）</w:t>
            </w:r>
          </w:p>
        </w:tc>
        <w:tc>
          <w:tcPr>
            <w:tcW w:w="299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宋体" w:hAnsi="宋体"/>
                <w:sz w:val="24"/>
              </w:rPr>
            </w:pPr>
            <w:r>
              <w:rPr>
                <w:rFonts w:hint="eastAsia" w:ascii="宋体" w:hAnsi="宋体"/>
                <w:sz w:val="24"/>
              </w:rPr>
              <w:t>668.336304</w:t>
            </w:r>
          </w:p>
        </w:tc>
        <w:tc>
          <w:tcPr>
            <w:tcW w:w="175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1</w:t>
            </w:r>
          </w:p>
        </w:tc>
      </w:tr>
    </w:tbl>
    <w:p>
      <w:pPr>
        <w:adjustRightInd w:val="0"/>
        <w:snapToGrid w:val="0"/>
        <w:spacing w:line="360" w:lineRule="auto"/>
        <w:rPr>
          <w:rFonts w:hint="eastAsia" w:ascii="宋体" w:hAnsi="宋体"/>
          <w:sz w:val="24"/>
        </w:rPr>
      </w:pPr>
      <w:r>
        <w:rPr>
          <w:rFonts w:hint="eastAsia" w:ascii="宋体" w:hAnsi="宋体"/>
          <w:sz w:val="24"/>
        </w:rPr>
        <w:t>4.合同履行期限：</w:t>
      </w:r>
      <w:r>
        <w:rPr>
          <w:rFonts w:hint="eastAsia" w:ascii="宋体" w:hAnsi="宋体"/>
          <w:sz w:val="24"/>
          <w:u w:val="single"/>
        </w:rPr>
        <w:t>12个月</w:t>
      </w:r>
    </w:p>
    <w:p>
      <w:pPr>
        <w:adjustRightInd w:val="0"/>
        <w:snapToGrid w:val="0"/>
        <w:spacing w:line="360" w:lineRule="auto"/>
        <w:rPr>
          <w:rFonts w:hint="eastAsia" w:ascii="宋体" w:hAnsi="宋体"/>
          <w:sz w:val="24"/>
        </w:rPr>
      </w:pPr>
      <w:r>
        <w:rPr>
          <w:rFonts w:hint="eastAsia" w:ascii="宋体" w:hAnsi="宋体"/>
          <w:sz w:val="24"/>
        </w:rPr>
        <w:t xml:space="preserve">5.本项目是否接受联合体投标：□是  </w:t>
      </w:r>
      <w:r>
        <w:rPr>
          <w:rFonts w:ascii="Segoe UI Symbol" w:hAnsi="Segoe UI Symbol" w:cs="Segoe UI Symbol"/>
          <w:sz w:val="24"/>
        </w:rPr>
        <w:t>☑</w:t>
      </w:r>
      <w:r>
        <w:rPr>
          <w:rFonts w:hint="eastAsia" w:ascii="宋体" w:hAnsi="宋体" w:cs="宋体"/>
          <w:sz w:val="24"/>
        </w:rPr>
        <w:t>否。</w:t>
      </w:r>
    </w:p>
    <w:p>
      <w:pPr>
        <w:pStyle w:val="4"/>
        <w:rPr>
          <w:rFonts w:hint="eastAsia" w:ascii="楷体" w:hAnsi="楷体" w:eastAsia="楷体" w:cs="黑体"/>
          <w:sz w:val="24"/>
          <w:szCs w:val="24"/>
        </w:rPr>
      </w:pPr>
      <w:r>
        <w:rPr>
          <w:rFonts w:hint="eastAsia" w:ascii="楷体" w:hAnsi="楷体" w:eastAsia="楷体" w:cs="黑体"/>
          <w:sz w:val="24"/>
          <w:szCs w:val="24"/>
        </w:rPr>
        <w:t>2 项目背景或概况</w:t>
      </w:r>
    </w:p>
    <w:p>
      <w:pPr>
        <w:snapToGrid w:val="0"/>
        <w:spacing w:line="360" w:lineRule="auto"/>
        <w:ind w:firstLine="480" w:firstLineChars="200"/>
        <w:rPr>
          <w:rFonts w:hint="eastAsia" w:ascii="宋体" w:hAnsi="宋体"/>
          <w:sz w:val="24"/>
        </w:rPr>
      </w:pPr>
      <w:r>
        <w:rPr>
          <w:rFonts w:hint="eastAsia" w:ascii="宋体" w:hAnsi="宋体"/>
          <w:sz w:val="24"/>
        </w:rPr>
        <w:t>按照《北京市市级政务云管理办法》中“除公安、国家安全等部门以及涉密和国家网络安全等级保护四级（含）以上信息系统外，各单位新建信息系统应部署到政务云，现有信息系统应逐步迁移至政务云，凡政务云已具备服务能力的相关软、硬件原则上不再新购”的要求，我局已完成将在用信息化系统迁移至北京市级政务云平台的相关工作。2026年根据系统运行需求，采购市级政务云服务，为业务系统运行提供基础及安全支持。</w:t>
      </w:r>
    </w:p>
    <w:p>
      <w:pPr>
        <w:snapToGrid w:val="0"/>
        <w:spacing w:line="360" w:lineRule="auto"/>
        <w:ind w:firstLine="480" w:firstLineChars="200"/>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br w:type="page"/>
      </w:r>
    </w:p>
    <w:p>
      <w:pPr>
        <w:pStyle w:val="3"/>
        <w:numPr>
          <w:ilvl w:val="0"/>
          <w:numId w:val="1"/>
        </w:numPr>
        <w:rPr>
          <w:rFonts w:hint="eastAsia" w:ascii="黑体" w:hAnsi="黑体" w:eastAsia="黑体"/>
          <w:sz w:val="24"/>
          <w:szCs w:val="24"/>
        </w:rPr>
      </w:pPr>
      <w:r>
        <w:rPr>
          <w:rFonts w:hint="eastAsia" w:ascii="黑体" w:hAnsi="黑体" w:eastAsia="黑体"/>
          <w:sz w:val="24"/>
          <w:szCs w:val="24"/>
        </w:rPr>
        <w:t>商务要求</w:t>
      </w:r>
    </w:p>
    <w:p>
      <w:pPr>
        <w:pStyle w:val="4"/>
        <w:rPr>
          <w:rFonts w:hint="eastAsia" w:ascii="楷体" w:hAnsi="楷体" w:eastAsia="楷体"/>
          <w:sz w:val="24"/>
          <w:szCs w:val="24"/>
        </w:rPr>
      </w:pPr>
      <w:r>
        <w:rPr>
          <w:rFonts w:hint="eastAsia" w:ascii="楷体" w:hAnsi="楷体" w:eastAsia="楷体"/>
          <w:sz w:val="24"/>
          <w:szCs w:val="24"/>
        </w:rPr>
        <w:t>1 服务地点</w:t>
      </w:r>
    </w:p>
    <w:p>
      <w:pPr>
        <w:spacing w:line="360" w:lineRule="auto"/>
        <w:ind w:firstLine="480" w:firstLineChars="200"/>
        <w:rPr>
          <w:rFonts w:hint="eastAsia" w:ascii="宋体" w:hAnsi="宋体"/>
          <w:sz w:val="24"/>
        </w:rPr>
      </w:pPr>
      <w:r>
        <w:rPr>
          <w:rFonts w:hint="eastAsia" w:ascii="宋体" w:hAnsi="宋体"/>
          <w:sz w:val="24"/>
        </w:rPr>
        <w:t>北京市政务服务中心六里桥机房、副中心政务云机房</w:t>
      </w:r>
    </w:p>
    <w:p>
      <w:pPr>
        <w:pStyle w:val="4"/>
        <w:rPr>
          <w:rFonts w:hint="eastAsia" w:ascii="楷体" w:hAnsi="楷体" w:eastAsia="楷体"/>
          <w:sz w:val="24"/>
          <w:szCs w:val="24"/>
        </w:rPr>
      </w:pPr>
      <w:r>
        <w:rPr>
          <w:rFonts w:hint="eastAsia" w:ascii="楷体" w:hAnsi="楷体" w:eastAsia="楷体"/>
          <w:sz w:val="24"/>
          <w:szCs w:val="24"/>
        </w:rPr>
        <w:t>2 服务期限</w:t>
      </w:r>
    </w:p>
    <w:p>
      <w:pPr>
        <w:spacing w:line="360" w:lineRule="auto"/>
        <w:ind w:firstLine="480" w:firstLineChars="200"/>
        <w:rPr>
          <w:rFonts w:hint="eastAsia" w:ascii="宋体" w:hAnsi="宋体"/>
          <w:sz w:val="24"/>
        </w:rPr>
      </w:pPr>
      <w:r>
        <w:rPr>
          <w:rFonts w:hint="eastAsia" w:ascii="宋体" w:hAnsi="宋体"/>
          <w:sz w:val="24"/>
        </w:rPr>
        <w:t>12个月</w:t>
      </w:r>
    </w:p>
    <w:p>
      <w:pPr>
        <w:pStyle w:val="4"/>
        <w:rPr>
          <w:rFonts w:hint="eastAsia" w:ascii="楷体" w:hAnsi="楷体" w:eastAsia="楷体"/>
          <w:sz w:val="24"/>
          <w:szCs w:val="24"/>
        </w:rPr>
      </w:pPr>
      <w:r>
        <w:rPr>
          <w:rFonts w:hint="eastAsia" w:ascii="楷体" w:hAnsi="楷体" w:eastAsia="楷体"/>
          <w:sz w:val="24"/>
          <w:szCs w:val="24"/>
        </w:rPr>
        <w:t>3 支付方式</w:t>
      </w:r>
    </w:p>
    <w:p>
      <w:pPr>
        <w:ind w:firstLine="480" w:firstLineChars="200"/>
        <w:rPr>
          <w:rFonts w:hint="eastAsia" w:ascii="宋体" w:hAnsi="宋体"/>
          <w:sz w:val="24"/>
        </w:rPr>
      </w:pPr>
      <w:r>
        <w:rPr>
          <w:rFonts w:hint="eastAsia" w:ascii="宋体" w:hAnsi="宋体"/>
          <w:sz w:val="24"/>
        </w:rPr>
        <w:t>第一笔：自合同签署之日，且政府采购财政资金拨付到账后15个工作日内，支付服务费的（60%）；第二笔：项目执行过程中通过采购人中期检查后15个工作日内，支付服务费的（20%）；第三笔：项目通过验收后15个工作日，支付服务费的（20%）。支付方式详见合同。</w:t>
      </w:r>
    </w:p>
    <w:p>
      <w:pPr>
        <w:pStyle w:val="3"/>
        <w:numPr>
          <w:ilvl w:val="0"/>
          <w:numId w:val="1"/>
        </w:numPr>
        <w:rPr>
          <w:rFonts w:hint="eastAsia" w:ascii="黑体" w:hAnsi="黑体" w:eastAsia="黑体"/>
          <w:sz w:val="24"/>
          <w:szCs w:val="24"/>
        </w:rPr>
      </w:pPr>
      <w:r>
        <w:rPr>
          <w:rFonts w:hint="eastAsia" w:ascii="黑体" w:hAnsi="黑体" w:eastAsia="黑体"/>
          <w:sz w:val="24"/>
          <w:szCs w:val="24"/>
        </w:rPr>
        <w:t>技术要求</w:t>
      </w:r>
    </w:p>
    <w:p>
      <w:pPr>
        <w:pStyle w:val="4"/>
        <w:rPr>
          <w:rFonts w:hint="eastAsia" w:ascii="楷体" w:hAnsi="楷体" w:eastAsia="楷体"/>
          <w:sz w:val="24"/>
          <w:szCs w:val="24"/>
        </w:rPr>
      </w:pPr>
      <w:r>
        <w:rPr>
          <w:rFonts w:hint="eastAsia" w:ascii="楷体" w:hAnsi="楷体" w:eastAsia="楷体"/>
          <w:sz w:val="24"/>
          <w:szCs w:val="24"/>
        </w:rPr>
        <w:t>1 基本要求</w:t>
      </w:r>
    </w:p>
    <w:p>
      <w:pPr>
        <w:pStyle w:val="5"/>
        <w:rPr>
          <w:rFonts w:hint="eastAsia" w:ascii="楷体" w:hAnsi="楷体" w:eastAsia="楷体" w:cs="黑体"/>
          <w:szCs w:val="24"/>
        </w:rPr>
      </w:pPr>
      <w:r>
        <w:rPr>
          <w:rFonts w:hint="eastAsia" w:ascii="楷体" w:hAnsi="楷体" w:eastAsia="楷体" w:cs="黑体"/>
        </w:rPr>
        <w:t>1.1采购目标</w:t>
      </w:r>
    </w:p>
    <w:p>
      <w:pPr>
        <w:snapToGrid w:val="0"/>
        <w:ind w:firstLine="480" w:firstLineChars="200"/>
        <w:rPr>
          <w:rFonts w:hint="eastAsia" w:ascii="宋体" w:hAnsi="宋体"/>
          <w:sz w:val="24"/>
        </w:rPr>
      </w:pPr>
      <w:r>
        <w:rPr>
          <w:rFonts w:hint="eastAsia" w:ascii="宋体" w:hAnsi="宋体"/>
          <w:sz w:val="24"/>
        </w:rPr>
        <w:t>本项目的总体目标是通过租用政务云平台基础服务与扩展服务，系统在政务云平台正常运行，保障信息系统安全。</w:t>
      </w:r>
    </w:p>
    <w:p>
      <w:pPr>
        <w:pStyle w:val="5"/>
        <w:rPr>
          <w:rFonts w:hint="eastAsia" w:ascii="楷体" w:hAnsi="楷体" w:eastAsia="楷体" w:cs="黑体"/>
          <w:szCs w:val="24"/>
        </w:rPr>
      </w:pPr>
      <w:r>
        <w:rPr>
          <w:rFonts w:hint="eastAsia" w:ascii="楷体" w:hAnsi="楷体" w:eastAsia="楷体" w:cs="黑体"/>
        </w:rPr>
        <w:t>1.2规范性引用文件</w:t>
      </w:r>
    </w:p>
    <w:p>
      <w:pPr>
        <w:pStyle w:val="6"/>
        <w:rPr>
          <w:rFonts w:hint="eastAsia" w:ascii="楷体" w:hAnsi="楷体" w:eastAsia="楷体"/>
          <w:b/>
          <w:bCs/>
        </w:rPr>
      </w:pPr>
      <w:r>
        <w:rPr>
          <w:rFonts w:hint="eastAsia" w:ascii="楷体" w:hAnsi="楷体" w:eastAsia="楷体"/>
          <w:b/>
          <w:bCs/>
        </w:rPr>
        <w:t>1.2.1 国家及北京市有关政策</w:t>
      </w:r>
    </w:p>
    <w:p>
      <w:pPr>
        <w:snapToGrid w:val="0"/>
        <w:spacing w:line="360" w:lineRule="auto"/>
        <w:ind w:firstLine="480" w:firstLineChars="200"/>
        <w:rPr>
          <w:rFonts w:hint="eastAsia" w:ascii="宋体" w:hAnsi="宋体"/>
          <w:sz w:val="24"/>
        </w:rPr>
      </w:pPr>
      <w:r>
        <w:rPr>
          <w:rFonts w:hint="eastAsia" w:ascii="宋体" w:hAnsi="宋体"/>
          <w:sz w:val="24"/>
        </w:rPr>
        <w:t>1.《关键信息基础设施安全保护条例》（中华人民共和国国务院令第745号）</w:t>
      </w:r>
    </w:p>
    <w:p>
      <w:pPr>
        <w:pStyle w:val="7"/>
        <w:snapToGrid w:val="0"/>
        <w:ind w:firstLine="480"/>
        <w:rPr>
          <w:rFonts w:hint="eastAsia" w:hAnsi="宋体"/>
        </w:rPr>
      </w:pPr>
      <w:r>
        <w:rPr>
          <w:rFonts w:hint="eastAsia"/>
        </w:rPr>
        <w:t>2.《国家政务信息化项目建设管理办法》（国办发〔2019〕57号）</w:t>
      </w:r>
    </w:p>
    <w:p>
      <w:pPr>
        <w:snapToGrid w:val="0"/>
        <w:spacing w:line="360" w:lineRule="auto"/>
        <w:ind w:firstLine="480" w:firstLineChars="200"/>
        <w:rPr>
          <w:rFonts w:hint="eastAsia" w:ascii="宋体" w:hAnsi="宋体"/>
          <w:sz w:val="24"/>
        </w:rPr>
      </w:pPr>
      <w:r>
        <w:rPr>
          <w:rFonts w:hint="eastAsia" w:ascii="宋体" w:hAnsi="宋体"/>
          <w:sz w:val="24"/>
        </w:rPr>
        <w:t>3.《政府采购需求管理办法》(财库〔2021〕22号)</w:t>
      </w:r>
    </w:p>
    <w:p>
      <w:pPr>
        <w:snapToGrid w:val="0"/>
        <w:spacing w:line="360" w:lineRule="auto"/>
        <w:ind w:firstLine="480" w:firstLineChars="200"/>
        <w:rPr>
          <w:rFonts w:hint="eastAsia" w:ascii="宋体" w:hAnsi="宋体"/>
          <w:sz w:val="24"/>
        </w:rPr>
      </w:pPr>
      <w:r>
        <w:rPr>
          <w:rFonts w:hint="eastAsia" w:ascii="宋体" w:hAnsi="宋体"/>
          <w:sz w:val="24"/>
        </w:rPr>
        <w:t>4.《关于促进政府采购公平竞争优化营商环境的通知》（财库〔2019〕38号）</w:t>
      </w:r>
    </w:p>
    <w:p>
      <w:pPr>
        <w:snapToGrid w:val="0"/>
        <w:spacing w:line="360" w:lineRule="auto"/>
        <w:ind w:firstLine="480" w:firstLineChars="200"/>
        <w:rPr>
          <w:rFonts w:hint="eastAsia" w:ascii="宋体" w:hAnsi="宋体"/>
          <w:sz w:val="24"/>
        </w:rPr>
      </w:pPr>
      <w:r>
        <w:rPr>
          <w:rFonts w:hint="eastAsia" w:ascii="宋体" w:hAnsi="宋体"/>
          <w:sz w:val="24"/>
        </w:rPr>
        <w:t>5.《关于进一步提高政府采购透明度和采购效率相关事项的通知》（财办库〔2023〕243号）</w:t>
      </w:r>
    </w:p>
    <w:p>
      <w:pPr>
        <w:snapToGrid w:val="0"/>
        <w:spacing w:line="360" w:lineRule="auto"/>
        <w:ind w:firstLine="480" w:firstLineChars="200"/>
        <w:rPr>
          <w:rFonts w:hint="eastAsia" w:ascii="宋体" w:hAnsi="宋体"/>
          <w:sz w:val="24"/>
        </w:rPr>
      </w:pPr>
      <w:r>
        <w:rPr>
          <w:rFonts w:hint="eastAsia" w:ascii="宋体" w:hAnsi="宋体"/>
          <w:sz w:val="24"/>
        </w:rPr>
        <w:t>6.《工业和信息化部信息通信管理局关于督促互联网网络接入服务企业依法持证经营的通知》（工信管函〔2018〕84号）</w:t>
      </w:r>
    </w:p>
    <w:p>
      <w:pPr>
        <w:snapToGrid w:val="0"/>
        <w:spacing w:line="360" w:lineRule="auto"/>
        <w:ind w:firstLine="480" w:firstLineChars="200"/>
        <w:rPr>
          <w:rFonts w:hint="eastAsia" w:ascii="宋体" w:hAnsi="宋体"/>
          <w:sz w:val="24"/>
        </w:rPr>
      </w:pPr>
      <w:r>
        <w:rPr>
          <w:rFonts w:hint="eastAsia" w:ascii="宋体" w:hAnsi="宋体"/>
          <w:sz w:val="24"/>
        </w:rPr>
        <w:t>7.《云计算服务安全评估办法》（国家互联网信息办公室、国家发展和改革委员会、工业和信息化部、财政部公告2019年2号）</w:t>
      </w:r>
    </w:p>
    <w:p>
      <w:pPr>
        <w:snapToGrid w:val="0"/>
        <w:spacing w:line="360" w:lineRule="auto"/>
        <w:ind w:firstLine="480" w:firstLineChars="200"/>
        <w:rPr>
          <w:rFonts w:hint="eastAsia" w:ascii="宋体" w:hAnsi="宋体"/>
          <w:sz w:val="24"/>
        </w:rPr>
      </w:pPr>
      <w:r>
        <w:rPr>
          <w:rFonts w:hint="eastAsia" w:ascii="宋体" w:hAnsi="宋体"/>
          <w:sz w:val="24"/>
        </w:rPr>
        <w:t>8.《关于加强党政部门云计算服务网络安全管理的意见》（中网办发文〔2014〕14号）</w:t>
      </w:r>
    </w:p>
    <w:p>
      <w:pPr>
        <w:snapToGrid w:val="0"/>
        <w:spacing w:line="360" w:lineRule="auto"/>
        <w:ind w:firstLine="480" w:firstLineChars="200"/>
        <w:rPr>
          <w:rFonts w:hint="eastAsia"/>
          <w:szCs w:val="21"/>
        </w:rPr>
      </w:pPr>
      <w:r>
        <w:rPr>
          <w:rFonts w:hint="eastAsia" w:ascii="宋体" w:hAnsi="宋体"/>
          <w:sz w:val="24"/>
        </w:rPr>
        <w:t>9.《基于云计算的电子政务公共平台顶层设计指南》</w:t>
      </w:r>
    </w:p>
    <w:p>
      <w:pPr>
        <w:snapToGrid w:val="0"/>
        <w:spacing w:line="360" w:lineRule="auto"/>
        <w:ind w:firstLine="480" w:firstLineChars="200"/>
        <w:rPr>
          <w:rFonts w:ascii="宋体" w:hAnsi="宋体"/>
          <w:sz w:val="24"/>
        </w:rPr>
      </w:pPr>
      <w:r>
        <w:rPr>
          <w:rFonts w:hint="eastAsia" w:ascii="宋体" w:hAnsi="宋体"/>
          <w:sz w:val="24"/>
        </w:rPr>
        <w:t>10.《北京市财政局关于印发&lt;北京市政府采购负面清单&gt;的通知》（京财采购〔2020〕1345号）</w:t>
      </w:r>
    </w:p>
    <w:p>
      <w:pPr>
        <w:snapToGrid w:val="0"/>
        <w:spacing w:line="360" w:lineRule="auto"/>
        <w:ind w:firstLine="480" w:firstLineChars="200"/>
        <w:rPr>
          <w:rFonts w:hint="eastAsia" w:ascii="宋体" w:hAnsi="宋体"/>
          <w:sz w:val="24"/>
        </w:rPr>
      </w:pPr>
      <w:r>
        <w:rPr>
          <w:rFonts w:hint="eastAsia" w:ascii="宋体" w:hAnsi="宋体"/>
          <w:sz w:val="24"/>
        </w:rPr>
        <w:t>11.《北京市财政局关于落实好政府采购支持中小企业发展的通知（京财采购〔2022〕1143号）</w:t>
      </w:r>
    </w:p>
    <w:p>
      <w:pPr>
        <w:pStyle w:val="7"/>
        <w:snapToGrid w:val="0"/>
        <w:ind w:firstLine="480"/>
        <w:rPr>
          <w:rFonts w:hint="eastAsia" w:hAnsi="宋体"/>
        </w:rPr>
      </w:pPr>
      <w:r>
        <w:rPr>
          <w:rFonts w:hint="eastAsia"/>
        </w:rPr>
        <w:t>12.</w:t>
      </w:r>
      <w:r>
        <w:rPr>
          <w:rFonts w:hint="eastAsia"/>
          <w:color w:val="000000"/>
        </w:rPr>
        <w:t>《关于印发&lt;关于推进我市政务信息系统整合共享的实施方案&gt;的通知》（京经信委发〔2017〕89号）</w:t>
      </w:r>
    </w:p>
    <w:p>
      <w:pPr>
        <w:pStyle w:val="7"/>
        <w:snapToGrid w:val="0"/>
        <w:ind w:firstLine="480"/>
        <w:rPr>
          <w:rFonts w:hint="eastAsia"/>
        </w:rPr>
      </w:pPr>
      <w:r>
        <w:rPr>
          <w:rFonts w:hint="eastAsia"/>
        </w:rPr>
        <w:t>13.</w:t>
      </w:r>
      <w:r>
        <w:rPr>
          <w:rFonts w:hint="eastAsia"/>
          <w:color w:val="000000"/>
        </w:rPr>
        <w:t>《北京市人民政府关于印发&lt;北京市政务信息资源管理办法（试行）&gt;的通知》（京政发〔2017〕37号）</w:t>
      </w:r>
    </w:p>
    <w:p>
      <w:pPr>
        <w:pStyle w:val="7"/>
        <w:snapToGrid w:val="0"/>
        <w:ind w:firstLine="480"/>
        <w:rPr>
          <w:rFonts w:hint="eastAsia"/>
        </w:rPr>
      </w:pPr>
      <w:r>
        <w:rPr>
          <w:rFonts w:hint="eastAsia"/>
        </w:rPr>
        <w:t>14.</w:t>
      </w:r>
      <w:r>
        <w:rPr>
          <w:rFonts w:hint="eastAsia"/>
          <w:color w:val="000000"/>
        </w:rPr>
        <w:t>《关于印发&lt;北京市市级政务云管理办法&gt;的通知》（京经信函〔2019〕150号）</w:t>
      </w:r>
    </w:p>
    <w:p>
      <w:pPr>
        <w:pStyle w:val="7"/>
        <w:snapToGrid w:val="0"/>
        <w:ind w:firstLine="480"/>
        <w:rPr>
          <w:rFonts w:hint="eastAsia"/>
        </w:rPr>
      </w:pPr>
      <w:r>
        <w:rPr>
          <w:rFonts w:hint="eastAsia"/>
        </w:rPr>
        <w:t>15.《北京市政务网络和数据安全管理办法》（京经信发〔2023〕57号）</w:t>
      </w:r>
    </w:p>
    <w:p>
      <w:pPr>
        <w:pStyle w:val="7"/>
        <w:snapToGrid w:val="0"/>
        <w:ind w:firstLine="480"/>
        <w:rPr>
          <w:rFonts w:hint="eastAsia"/>
        </w:rPr>
      </w:pPr>
      <w:r>
        <w:rPr>
          <w:rFonts w:hint="eastAsia"/>
        </w:rPr>
        <w:t>16.《北京市“十四五”时期智慧城市建设控制性规划要求（试行）》（京大数据发〔2021〕2号）</w:t>
      </w:r>
    </w:p>
    <w:p>
      <w:pPr>
        <w:pStyle w:val="6"/>
        <w:rPr>
          <w:rFonts w:hint="eastAsia" w:ascii="楷体" w:hAnsi="楷体" w:eastAsia="楷体"/>
          <w:b/>
          <w:bCs/>
        </w:rPr>
      </w:pPr>
      <w:r>
        <w:rPr>
          <w:rFonts w:hint="eastAsia" w:ascii="楷体" w:hAnsi="楷体" w:eastAsia="楷体"/>
          <w:b/>
          <w:bCs/>
        </w:rPr>
        <w:t>1.2.2 国家相关标准</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《国家电子政务外网安全接入平台技术规范》</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《信息技术—云计算—云服务质量评价指标》（GB/T 37738-2019）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《信息技术—云计算—云服务计量指标》（GB/T 37735-2019）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《信息技术—云计算—云服务采购指南》（GB/T 37734-2019）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《信息技术—云计算—云存储系统服务接口功能》（GB/T 37732-2019）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《信息技术—云计算—云资源监控通用要求》（GB/T 37736-2019）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《信息技术—云计算—云平台间应用和数据迁移指南》（GB/T 37740-2019）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《信息技术—云计算—云服务交付要求》（GB/T 37741-2019）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《信息系统灾难恢复规范》（GB/T 20988-2007）</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云计算服务安全能力要求》（GB/T 31168-2014）</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网络安全等级保护定级指南》（GB/T 22240-2020）</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网络安全等级保护基本要求》（GB/T 22239-2019）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网络安全等级保护测评要求》（GB/T 28448-2019）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信息系统密码应用基本要求》（GB/T39786-2021）</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信息安全风险评估方法》（GB/T 20984-2022）</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云计算服务安全指南》（GB/T 31167-2014）</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政府网站云计算服务安全指南》（GB/T 38249—2019）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云计算安全参考架构》（GB/T 35279—2017）</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云计算服务安全能力评估方法》GB/T 34942—2017</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《信息安全技术 云计算服务运行监管框架》（GB/T 37972—2019）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《信息技术 云资源监控指标体系》（GB/T 37938-2019）</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《电子信息系统机房设计规范》（GB50174-2017）</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《数据中心电信基础设施标准》（ANSI/TIA-942）</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《综合布线系统工程设计规范》（GB 50311—2016）</w:t>
      </w:r>
    </w:p>
    <w:p>
      <w:pPr>
        <w:numPr>
          <w:ilvl w:val="0"/>
          <w:numId w:val="2"/>
        </w:numPr>
        <w:snapToGrid w:val="0"/>
        <w:spacing w:line="360" w:lineRule="auto"/>
        <w:ind w:left="0" w:firstLine="425"/>
        <w:rPr>
          <w:rFonts w:hint="eastAsia" w:ascii="宋体" w:hAnsi="宋体"/>
          <w:sz w:val="24"/>
        </w:rPr>
      </w:pPr>
      <w:r>
        <w:rPr>
          <w:rFonts w:hint="eastAsia" w:ascii="宋体" w:hAnsi="宋体"/>
          <w:sz w:val="24"/>
        </w:rPr>
        <w:t>《云计算关键领域安全指南V4.0》</w:t>
      </w:r>
    </w:p>
    <w:p>
      <w:pPr>
        <w:rPr>
          <w:rFonts w:hint="eastAsia" w:ascii="宋体" w:hAnsi="宋体"/>
          <w:sz w:val="24"/>
        </w:rPr>
      </w:pPr>
      <w:r>
        <w:rPr>
          <w:rFonts w:hint="eastAsia" w:ascii="宋体" w:hAnsi="宋体"/>
          <w:sz w:val="24"/>
        </w:rPr>
        <w:t>……</w:t>
      </w:r>
    </w:p>
    <w:p>
      <w:pPr>
        <w:pStyle w:val="6"/>
        <w:rPr>
          <w:rFonts w:hint="eastAsia" w:ascii="楷体" w:hAnsi="楷体" w:eastAsia="楷体"/>
          <w:b/>
          <w:bCs/>
          <w:szCs w:val="24"/>
        </w:rPr>
      </w:pPr>
      <w:r>
        <w:rPr>
          <w:rFonts w:hint="eastAsia" w:ascii="楷体" w:hAnsi="楷体" w:eastAsia="楷体"/>
          <w:b/>
          <w:bCs/>
        </w:rPr>
        <w:t>1.2.3 北京市相关标准</w:t>
      </w:r>
    </w:p>
    <w:p>
      <w:pPr>
        <w:pStyle w:val="7"/>
        <w:numPr>
          <w:ilvl w:val="0"/>
          <w:numId w:val="3"/>
        </w:numPr>
        <w:snapToGrid w:val="0"/>
        <w:ind w:left="0" w:firstLine="425"/>
        <w:rPr>
          <w:rFonts w:hint="eastAsia" w:hAnsi="宋体"/>
        </w:rPr>
      </w:pPr>
      <w:r>
        <w:rPr>
          <w:rFonts w:hint="eastAsia"/>
        </w:rPr>
        <w:t>《政务云平台建设技术要求》（DB11/T 2169-2023）</w:t>
      </w:r>
    </w:p>
    <w:p>
      <w:pPr>
        <w:numPr>
          <w:ilvl w:val="0"/>
          <w:numId w:val="3"/>
        </w:numPr>
        <w:snapToGrid w:val="0"/>
        <w:spacing w:line="360" w:lineRule="auto"/>
        <w:ind w:left="0" w:firstLine="425"/>
        <w:rPr>
          <w:rFonts w:hint="eastAsia" w:ascii="宋体" w:hAnsi="宋体"/>
          <w:sz w:val="24"/>
        </w:rPr>
      </w:pPr>
      <w:r>
        <w:rPr>
          <w:rFonts w:hint="eastAsia" w:ascii="宋体" w:hAnsi="宋体"/>
          <w:sz w:val="24"/>
        </w:rPr>
        <w:t>《北京市政务云安全技术规范 IaaS云计算平台分册》</w:t>
      </w:r>
    </w:p>
    <w:p>
      <w:pPr>
        <w:numPr>
          <w:ilvl w:val="0"/>
          <w:numId w:val="3"/>
        </w:numPr>
        <w:snapToGrid w:val="0"/>
        <w:spacing w:line="360" w:lineRule="auto"/>
        <w:ind w:left="0" w:firstLine="425"/>
        <w:rPr>
          <w:rFonts w:hint="eastAsia" w:ascii="宋体" w:hAnsi="宋体"/>
          <w:sz w:val="24"/>
        </w:rPr>
      </w:pPr>
      <w:r>
        <w:rPr>
          <w:rFonts w:hint="eastAsia" w:ascii="宋体" w:hAnsi="宋体"/>
          <w:sz w:val="24"/>
        </w:rPr>
        <w:t>《北京市政务云安全技术规范 IaaS云计算平台安全监管接口分册》</w:t>
      </w:r>
    </w:p>
    <w:p>
      <w:pPr>
        <w:numPr>
          <w:ilvl w:val="0"/>
          <w:numId w:val="3"/>
        </w:numPr>
        <w:snapToGrid w:val="0"/>
        <w:spacing w:line="360" w:lineRule="auto"/>
        <w:ind w:left="0" w:firstLine="425"/>
        <w:rPr>
          <w:rFonts w:hint="eastAsia" w:ascii="宋体" w:hAnsi="宋体"/>
          <w:sz w:val="24"/>
        </w:rPr>
      </w:pPr>
      <w:r>
        <w:rPr>
          <w:rFonts w:hint="eastAsia" w:ascii="宋体" w:hAnsi="宋体"/>
          <w:sz w:val="24"/>
        </w:rPr>
        <w:t>《北京市政务云安全技术规范 信息安全服务接口分册》</w:t>
      </w:r>
    </w:p>
    <w:p>
      <w:pPr>
        <w:rPr>
          <w:rFonts w:hint="eastAsia" w:ascii="宋体" w:hAnsi="宋体"/>
          <w:sz w:val="24"/>
        </w:rPr>
      </w:pPr>
      <w:r>
        <w:rPr>
          <w:rFonts w:hint="eastAsia" w:ascii="宋体" w:hAnsi="宋体"/>
          <w:sz w:val="24"/>
        </w:rPr>
        <w:t>……</w:t>
      </w:r>
    </w:p>
    <w:p>
      <w:pPr>
        <w:pStyle w:val="6"/>
        <w:rPr>
          <w:rFonts w:hint="eastAsia" w:ascii="楷体" w:hAnsi="楷体" w:eastAsia="楷体"/>
          <w:b/>
          <w:bCs/>
          <w:szCs w:val="24"/>
        </w:rPr>
      </w:pPr>
      <w:r>
        <w:rPr>
          <w:rFonts w:hint="eastAsia" w:ascii="楷体" w:hAnsi="楷体" w:eastAsia="楷体"/>
          <w:b/>
          <w:bCs/>
        </w:rPr>
        <w:t>1.2.4 其他</w:t>
      </w:r>
    </w:p>
    <w:p>
      <w:pPr>
        <w:numPr>
          <w:ilvl w:val="0"/>
          <w:numId w:val="4"/>
        </w:numPr>
        <w:snapToGrid w:val="0"/>
        <w:spacing w:line="360" w:lineRule="auto"/>
        <w:ind w:left="0" w:firstLine="425"/>
        <w:rPr>
          <w:rFonts w:hint="eastAsia" w:ascii="宋体" w:hAnsi="宋体"/>
          <w:sz w:val="24"/>
        </w:rPr>
      </w:pPr>
      <w:r>
        <w:rPr>
          <w:rFonts w:hint="eastAsia" w:ascii="宋体" w:hAnsi="宋体"/>
          <w:sz w:val="24"/>
        </w:rPr>
        <w:t>《北京市市级行政事业单位云计算服务框架协议采购项目（2023 年度）》征集文件第四部分采购需求中技术要求</w:t>
      </w:r>
    </w:p>
    <w:p>
      <w:pPr>
        <w:pStyle w:val="8"/>
        <w:adjustRightInd w:val="0"/>
        <w:snapToGrid w:val="0"/>
        <w:spacing w:line="360" w:lineRule="auto"/>
        <w:ind w:left="425"/>
        <w:rPr>
          <w:rFonts w:hint="eastAsia" w:ascii="楷体" w:hAnsi="楷体" w:eastAsia="楷体" w:cs="宋体"/>
          <w:b/>
          <w:bCs/>
          <w:szCs w:val="21"/>
        </w:rPr>
      </w:pPr>
      <w:r>
        <w:rPr>
          <w:rFonts w:hint="eastAsia" w:ascii="楷体" w:hAnsi="楷体" w:eastAsia="楷体" w:cs="宋体"/>
          <w:b/>
          <w:bCs/>
        </w:rPr>
        <w:t>注：服务标准涉及的国家标准及北京市标准有更新的，执行最新标准。</w:t>
      </w:r>
    </w:p>
    <w:p>
      <w:pPr>
        <w:rPr>
          <w:rFonts w:hint="eastAsia" w:ascii="宋体" w:hAnsi="宋体"/>
          <w:sz w:val="24"/>
        </w:rPr>
      </w:pPr>
      <w:r>
        <w:rPr>
          <w:rFonts w:hint="eastAsia" w:ascii="宋体" w:hAnsi="宋体"/>
          <w:sz w:val="24"/>
        </w:rPr>
        <w:t xml:space="preserve"> </w:t>
      </w:r>
    </w:p>
    <w:p>
      <w:pPr>
        <w:pStyle w:val="4"/>
        <w:jc w:val="both"/>
        <w:rPr>
          <w:rFonts w:hint="eastAsia" w:ascii="楷体" w:hAnsi="楷体" w:eastAsia="楷体"/>
          <w:sz w:val="24"/>
          <w:szCs w:val="24"/>
        </w:rPr>
      </w:pPr>
      <w:r>
        <w:rPr>
          <w:rFonts w:hint="eastAsia" w:ascii="楷体" w:hAnsi="楷体" w:eastAsia="楷体"/>
          <w:sz w:val="24"/>
          <w:szCs w:val="24"/>
        </w:rPr>
        <w:t>2 服务内容及要求/货物技术要求</w:t>
      </w:r>
    </w:p>
    <w:p>
      <w:pPr>
        <w:pStyle w:val="5"/>
        <w:rPr>
          <w:rFonts w:hint="eastAsia" w:ascii="楷体" w:hAnsi="楷体" w:eastAsia="楷体"/>
          <w:szCs w:val="24"/>
        </w:rPr>
      </w:pPr>
      <w:r>
        <w:rPr>
          <w:rFonts w:hint="eastAsia" w:ascii="楷体" w:hAnsi="楷体" w:eastAsia="楷体"/>
        </w:rPr>
        <w:t>2.1 服务清单</w:t>
      </w:r>
    </w:p>
    <w:p>
      <w:pPr>
        <w:pStyle w:val="7"/>
        <w:ind w:firstLine="480"/>
        <w:rPr>
          <w:rStyle w:val="14"/>
          <w:rFonts w:hint="default"/>
          <w:sz w:val="24"/>
          <w:szCs w:val="24"/>
        </w:rPr>
      </w:pPr>
      <w:r>
        <w:rPr>
          <w:rStyle w:val="14"/>
          <w:rFonts w:hint="default"/>
          <w:sz w:val="24"/>
          <w:szCs w:val="24"/>
        </w:rPr>
        <w:t>1、政务云基础服务</w:t>
      </w:r>
    </w:p>
    <w:tbl>
      <w:tblPr>
        <w:tblStyle w:val="12"/>
        <w:tblW w:w="9189" w:type="dxa"/>
        <w:tblInd w:w="113" w:type="dxa"/>
        <w:tblLayout w:type="fixed"/>
        <w:tblCellMar>
          <w:top w:w="0" w:type="dxa"/>
          <w:left w:w="108" w:type="dxa"/>
          <w:bottom w:w="0" w:type="dxa"/>
          <w:right w:w="108" w:type="dxa"/>
        </w:tblCellMar>
      </w:tblPr>
      <w:tblGrid>
        <w:gridCol w:w="1413"/>
        <w:gridCol w:w="4086"/>
        <w:gridCol w:w="1200"/>
        <w:gridCol w:w="600"/>
        <w:gridCol w:w="900"/>
        <w:gridCol w:w="990"/>
      </w:tblGrid>
      <w:tr>
        <w:tblPrEx>
          <w:tblLayout w:type="fixed"/>
          <w:tblCellMar>
            <w:top w:w="0" w:type="dxa"/>
            <w:left w:w="108" w:type="dxa"/>
            <w:bottom w:w="0" w:type="dxa"/>
            <w:right w:w="108" w:type="dxa"/>
          </w:tblCellMar>
        </w:tblPrEx>
        <w:trPr>
          <w:trHeight w:val="280"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b/>
                <w:bCs/>
                <w:kern w:val="0"/>
              </w:rPr>
            </w:pPr>
            <w:r>
              <w:rPr>
                <w:rFonts w:hint="eastAsia" w:ascii="宋体" w:hAnsi="宋体"/>
                <w:b/>
                <w:bCs/>
                <w:color w:val="000000"/>
                <w:kern w:val="0"/>
                <w:sz w:val="24"/>
              </w:rPr>
              <w:t>服务子类</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服务项</w:t>
            </w:r>
          </w:p>
        </w:tc>
        <w:tc>
          <w:tcPr>
            <w:tcW w:w="12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计价单位</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b/>
                <w:bCs/>
                <w:kern w:val="0"/>
                <w:sz w:val="24"/>
              </w:rPr>
            </w:pPr>
            <w:r>
              <w:rPr>
                <w:rFonts w:hint="eastAsia" w:ascii="宋体" w:hAnsi="宋体"/>
                <w:b/>
                <w:bCs/>
                <w:kern w:val="0"/>
                <w:sz w:val="24"/>
              </w:rPr>
              <w:t>单位</w:t>
            </w:r>
          </w:p>
        </w:tc>
        <w:tc>
          <w:tcPr>
            <w:tcW w:w="9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b/>
                <w:bCs/>
                <w:kern w:val="0"/>
                <w:sz w:val="24"/>
              </w:rPr>
            </w:pPr>
            <w:r>
              <w:rPr>
                <w:rFonts w:hint="eastAsia" w:ascii="宋体" w:hAnsi="宋体"/>
                <w:b/>
                <w:bCs/>
                <w:kern w:val="0"/>
                <w:sz w:val="24"/>
              </w:rPr>
              <w:t>数量</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服务期（月）</w:t>
            </w:r>
          </w:p>
        </w:tc>
      </w:tr>
      <w:tr>
        <w:tblPrEx>
          <w:tblLayout w:type="fixed"/>
          <w:tblCellMar>
            <w:top w:w="0" w:type="dxa"/>
            <w:left w:w="108" w:type="dxa"/>
            <w:bottom w:w="0" w:type="dxa"/>
            <w:right w:w="108" w:type="dxa"/>
          </w:tblCellMar>
        </w:tblPrEx>
        <w:trPr>
          <w:trHeight w:val="79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云主机服务</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Vcpu</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元/个/月</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1334</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9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云主机服务</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内存</w:t>
            </w:r>
          </w:p>
        </w:tc>
        <w:tc>
          <w:tcPr>
            <w:tcW w:w="120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元/GB/月</w:t>
            </w:r>
          </w:p>
        </w:tc>
        <w:tc>
          <w:tcPr>
            <w:tcW w:w="600"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GB</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3408</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9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物理服务器租用服务</w:t>
            </w:r>
          </w:p>
        </w:tc>
        <w:tc>
          <w:tcPr>
            <w:tcW w:w="4086"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配置1：双路每CPU核数≥32核，主频 ≥2.0GHz，128G内存，2块600GSAS硕盘，2个HBA卡，2个万兆端口</w:t>
            </w:r>
          </w:p>
        </w:tc>
        <w:tc>
          <w:tcPr>
            <w:tcW w:w="1200" w:type="dxa"/>
            <w:tcBorders>
              <w:top w:val="nil"/>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元/台/月</w:t>
            </w:r>
          </w:p>
        </w:tc>
        <w:tc>
          <w:tcPr>
            <w:tcW w:w="600"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5</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3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物理服务器增配服务</w:t>
            </w:r>
          </w:p>
        </w:tc>
        <w:tc>
          <w:tcPr>
            <w:tcW w:w="4086"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内存-32GB内存</w:t>
            </w:r>
          </w:p>
        </w:tc>
        <w:tc>
          <w:tcPr>
            <w:tcW w:w="12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元/条/月</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20</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3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物理服务器增配服务</w:t>
            </w:r>
          </w:p>
        </w:tc>
        <w:tc>
          <w:tcPr>
            <w:tcW w:w="4086"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硬盘配置1-480GB SSD</w:t>
            </w:r>
          </w:p>
        </w:tc>
        <w:tc>
          <w:tcPr>
            <w:tcW w:w="1200" w:type="dxa"/>
            <w:tcBorders>
              <w:top w:val="nil"/>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元/块/月</w:t>
            </w:r>
          </w:p>
        </w:tc>
        <w:tc>
          <w:tcPr>
            <w:tcW w:w="600"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25</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31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物理服务器增配服务</w:t>
            </w:r>
          </w:p>
        </w:tc>
        <w:tc>
          <w:tcPr>
            <w:tcW w:w="4086"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硬盘配置3-4TBSATA</w:t>
            </w:r>
          </w:p>
        </w:tc>
        <w:tc>
          <w:tcPr>
            <w:tcW w:w="1200" w:type="dxa"/>
            <w:tcBorders>
              <w:top w:val="nil"/>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元/块/月</w:t>
            </w:r>
          </w:p>
        </w:tc>
        <w:tc>
          <w:tcPr>
            <w:tcW w:w="600"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快</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50</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9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普通性能存储</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普通存储（单盘技术指标: 单盘IOPS 2000-5000）</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元/GB/月</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kern w:val="0"/>
                <w:sz w:val="24"/>
              </w:rPr>
            </w:pPr>
            <w:r>
              <w:rPr>
                <w:rFonts w:hint="eastAsia" w:ascii="宋体" w:hAnsi="宋体"/>
                <w:kern w:val="0"/>
                <w:sz w:val="24"/>
              </w:rPr>
              <w:t>GB</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104874</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3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高性能存储</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高性能存储（单盘技术指标：单盘IOPS 10000-25000）</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元/GB/月</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kern w:val="0"/>
                <w:sz w:val="24"/>
              </w:rPr>
            </w:pPr>
            <w:r>
              <w:rPr>
                <w:rFonts w:hint="eastAsia" w:ascii="宋体" w:hAnsi="宋体"/>
                <w:kern w:val="0"/>
                <w:sz w:val="24"/>
              </w:rPr>
              <w:t>GB</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63480</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9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静态存储</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提供大容量、高可靠的数据存储服务，具备PB级线性扩展能力</w:t>
            </w:r>
          </w:p>
        </w:tc>
        <w:tc>
          <w:tcPr>
            <w:tcW w:w="120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元/GB/月</w:t>
            </w:r>
          </w:p>
        </w:tc>
        <w:tc>
          <w:tcPr>
            <w:tcW w:w="600" w:type="dxa"/>
            <w:tcBorders>
              <w:top w:val="nil"/>
              <w:left w:val="nil"/>
              <w:bottom w:val="single" w:color="000000" w:sz="8" w:space="0"/>
              <w:right w:val="single" w:color="000000" w:sz="8" w:space="0"/>
            </w:tcBorders>
            <w:noWrap w:val="0"/>
            <w:vAlign w:val="center"/>
          </w:tcPr>
          <w:p>
            <w:pPr>
              <w:widowControl/>
              <w:jc w:val="center"/>
              <w:rPr>
                <w:rFonts w:hint="eastAsia" w:ascii="宋体" w:hAnsi="宋体"/>
                <w:kern w:val="0"/>
                <w:sz w:val="24"/>
              </w:rPr>
            </w:pPr>
            <w:r>
              <w:rPr>
                <w:rFonts w:hint="eastAsia" w:ascii="宋体" w:hAnsi="宋体"/>
                <w:kern w:val="0"/>
                <w:sz w:val="24"/>
              </w:rPr>
              <w:t>GB</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20000</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61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本地云主机备份服务</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本地备份服务</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元/GB/月</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kern w:val="0"/>
                <w:sz w:val="24"/>
              </w:rPr>
            </w:pPr>
            <w:r>
              <w:rPr>
                <w:rFonts w:hint="eastAsia" w:ascii="宋体" w:hAnsi="宋体"/>
                <w:kern w:val="0"/>
                <w:sz w:val="24"/>
              </w:rPr>
              <w:t>GB</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kern w:val="0"/>
                <w:sz w:val="24"/>
              </w:rPr>
              <w:t>20000</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3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互联网链路带宽</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提供多线运营商接入服务，保证稳定可靠</w:t>
            </w:r>
          </w:p>
        </w:tc>
        <w:tc>
          <w:tcPr>
            <w:tcW w:w="120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元/Mb/月</w:t>
            </w:r>
          </w:p>
        </w:tc>
        <w:tc>
          <w:tcPr>
            <w:tcW w:w="600" w:type="dxa"/>
            <w:tcBorders>
              <w:top w:val="nil"/>
              <w:left w:val="nil"/>
              <w:bottom w:val="single" w:color="000000" w:sz="8" w:space="0"/>
              <w:right w:val="single" w:color="000000" w:sz="8" w:space="0"/>
            </w:tcBorders>
            <w:noWrap w:val="0"/>
            <w:vAlign w:val="center"/>
          </w:tcPr>
          <w:p>
            <w:pPr>
              <w:widowControl/>
              <w:rPr>
                <w:rFonts w:hint="eastAsia" w:ascii="宋体" w:hAnsi="宋体"/>
                <w:kern w:val="0"/>
                <w:sz w:val="24"/>
              </w:rPr>
            </w:pPr>
            <w:r>
              <w:rPr>
                <w:rFonts w:hint="eastAsia" w:ascii="宋体" w:hAnsi="宋体"/>
                <w:kern w:val="0"/>
                <w:sz w:val="24"/>
              </w:rPr>
              <w:t xml:space="preserve">  MB</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color w:val="000000"/>
                <w:kern w:val="0"/>
                <w:sz w:val="24"/>
              </w:rPr>
              <w:t>360</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61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互联网IP地址租用服务</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提供互联网地址租用，并且提供网站域名备案服务</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元/个/月</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kern w:val="0"/>
                <w:sz w:val="24"/>
              </w:rPr>
            </w:pPr>
            <w:r>
              <w:rPr>
                <w:rFonts w:hint="eastAsia" w:ascii="宋体" w:hAnsi="宋体"/>
                <w:kern w:val="0"/>
                <w:sz w:val="24"/>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color w:val="000000"/>
                <w:kern w:val="0"/>
                <w:sz w:val="24"/>
              </w:rPr>
              <w:t>35</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57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主机负载均衡服务</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提供数个主机应用集群负载均衡服务</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元/个/月</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kern w:val="0"/>
                <w:sz w:val="24"/>
              </w:rPr>
            </w:pPr>
            <w:r>
              <w:rPr>
                <w:rFonts w:hint="eastAsia" w:ascii="宋体" w:hAnsi="宋体"/>
                <w:kern w:val="0"/>
                <w:sz w:val="24"/>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color w:val="000000"/>
                <w:kern w:val="0"/>
                <w:sz w:val="24"/>
              </w:rPr>
              <w:t>7</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575" w:hRule="atLeast"/>
        </w:trPr>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远程接入服务</w:t>
            </w:r>
          </w:p>
        </w:tc>
        <w:tc>
          <w:tcPr>
            <w:tcW w:w="4086"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每个账号结合身份验通过VPN远程接入堡垒机维护</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元/个/月</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kern w:val="0"/>
                <w:sz w:val="24"/>
              </w:rPr>
            </w:pPr>
            <w:r>
              <w:rPr>
                <w:rFonts w:hint="eastAsia" w:ascii="宋体" w:hAnsi="宋体"/>
                <w:kern w:val="0"/>
                <w:sz w:val="24"/>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color w:val="000000"/>
                <w:kern w:val="0"/>
                <w:sz w:val="24"/>
              </w:rPr>
              <w:t>23</w:t>
            </w:r>
          </w:p>
        </w:tc>
        <w:tc>
          <w:tcPr>
            <w:tcW w:w="99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575" w:hRule="atLeast"/>
        </w:trPr>
        <w:tc>
          <w:tcPr>
            <w:tcW w:w="141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WAF防护</w:t>
            </w:r>
          </w:p>
        </w:tc>
        <w:tc>
          <w:tcPr>
            <w:tcW w:w="4086" w:type="dxa"/>
            <w:tcBorders>
              <w:top w:val="single" w:color="000000" w:sz="4" w:space="0"/>
              <w:left w:val="nil"/>
              <w:bottom w:val="single" w:color="auto"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为每个ip提供web应用防火墙服务</w:t>
            </w:r>
          </w:p>
        </w:tc>
        <w:tc>
          <w:tcPr>
            <w:tcW w:w="1200"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元/个/月</w:t>
            </w:r>
          </w:p>
        </w:tc>
        <w:tc>
          <w:tcPr>
            <w:tcW w:w="600"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宋体" w:hAnsi="宋体"/>
                <w:kern w:val="0"/>
                <w:sz w:val="24"/>
              </w:rPr>
            </w:pPr>
            <w:r>
              <w:rPr>
                <w:rFonts w:hint="eastAsia" w:ascii="宋体" w:hAnsi="宋体"/>
                <w:kern w:val="0"/>
                <w:sz w:val="24"/>
              </w:rPr>
              <w:t>个</w:t>
            </w:r>
          </w:p>
        </w:tc>
        <w:tc>
          <w:tcPr>
            <w:tcW w:w="90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kern w:val="0"/>
                <w:sz w:val="24"/>
              </w:rPr>
            </w:pPr>
            <w:r>
              <w:rPr>
                <w:rFonts w:hint="eastAsia" w:ascii="宋体" w:hAnsi="宋体"/>
                <w:color w:val="000000"/>
                <w:kern w:val="0"/>
                <w:sz w:val="24"/>
              </w:rPr>
              <w:t>35</w:t>
            </w:r>
          </w:p>
        </w:tc>
        <w:tc>
          <w:tcPr>
            <w:tcW w:w="990" w:type="dxa"/>
            <w:tcBorders>
              <w:top w:val="single" w:color="000000" w:sz="4" w:space="0"/>
              <w:left w:val="nil"/>
              <w:bottom w:val="single" w:color="auto"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bl>
    <w:p>
      <w:pPr>
        <w:rPr>
          <w:rFonts w:hint="eastAsia" w:ascii="宋体" w:hAnsi="宋体"/>
          <w:sz w:val="24"/>
        </w:rPr>
      </w:pPr>
      <w:r>
        <w:rPr>
          <w:rFonts w:hint="eastAsia" w:ascii="宋体" w:hAnsi="宋体"/>
          <w:sz w:val="24"/>
        </w:rPr>
        <w:t xml:space="preserve"> </w:t>
      </w:r>
    </w:p>
    <w:p>
      <w:pPr>
        <w:pStyle w:val="11"/>
        <w:autoSpaceDE w:val="0"/>
        <w:autoSpaceDN w:val="0"/>
        <w:adjustRightInd w:val="0"/>
        <w:ind w:firstLine="480"/>
        <w:rPr>
          <w:rFonts w:hint="eastAsia"/>
        </w:rPr>
      </w:pPr>
      <w:r>
        <w:rPr>
          <w:rFonts w:hint="eastAsia"/>
        </w:rPr>
        <w:t>2、政务云扩展服务</w:t>
      </w:r>
    </w:p>
    <w:tbl>
      <w:tblPr>
        <w:tblStyle w:val="12"/>
        <w:tblW w:w="9130" w:type="dxa"/>
        <w:tblInd w:w="118" w:type="dxa"/>
        <w:tblLayout w:type="fixed"/>
        <w:tblCellMar>
          <w:top w:w="0" w:type="dxa"/>
          <w:left w:w="108" w:type="dxa"/>
          <w:bottom w:w="0" w:type="dxa"/>
          <w:right w:w="108" w:type="dxa"/>
        </w:tblCellMar>
      </w:tblPr>
      <w:tblGrid>
        <w:gridCol w:w="1416"/>
        <w:gridCol w:w="4078"/>
        <w:gridCol w:w="1215"/>
        <w:gridCol w:w="600"/>
        <w:gridCol w:w="885"/>
        <w:gridCol w:w="936"/>
      </w:tblGrid>
      <w:tr>
        <w:tblPrEx>
          <w:tblLayout w:type="fixed"/>
          <w:tblCellMar>
            <w:top w:w="0" w:type="dxa"/>
            <w:left w:w="108" w:type="dxa"/>
            <w:bottom w:w="0" w:type="dxa"/>
            <w:right w:w="108" w:type="dxa"/>
          </w:tblCellMar>
        </w:tblPrEx>
        <w:trPr>
          <w:trHeight w:val="615" w:hRule="atLeast"/>
        </w:trPr>
        <w:tc>
          <w:tcPr>
            <w:tcW w:w="1416"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服务子类</w:t>
            </w:r>
          </w:p>
        </w:tc>
        <w:tc>
          <w:tcPr>
            <w:tcW w:w="4078"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服务项</w:t>
            </w:r>
          </w:p>
        </w:tc>
        <w:tc>
          <w:tcPr>
            <w:tcW w:w="1215"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计价单位</w:t>
            </w:r>
          </w:p>
        </w:tc>
        <w:tc>
          <w:tcPr>
            <w:tcW w:w="60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b/>
                <w:bCs/>
                <w:color w:val="000000"/>
                <w:kern w:val="0"/>
                <w:sz w:val="24"/>
              </w:rPr>
            </w:pPr>
            <w:r>
              <w:rPr>
                <w:rFonts w:hint="eastAsia" w:ascii="宋体" w:hAnsi="宋体"/>
                <w:b/>
                <w:bCs/>
                <w:kern w:val="0"/>
                <w:sz w:val="24"/>
              </w:rPr>
              <w:t>单位</w:t>
            </w:r>
          </w:p>
        </w:tc>
        <w:tc>
          <w:tcPr>
            <w:tcW w:w="885"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b/>
                <w:bCs/>
                <w:color w:val="000000"/>
                <w:kern w:val="0"/>
                <w:sz w:val="24"/>
              </w:rPr>
            </w:pPr>
            <w:r>
              <w:rPr>
                <w:rFonts w:hint="eastAsia" w:ascii="宋体" w:hAnsi="宋体"/>
                <w:b/>
                <w:bCs/>
                <w:kern w:val="0"/>
                <w:sz w:val="24"/>
              </w:rPr>
              <w:t>数量</w:t>
            </w:r>
          </w:p>
        </w:tc>
        <w:tc>
          <w:tcPr>
            <w:tcW w:w="936"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服务期（月）</w:t>
            </w:r>
          </w:p>
        </w:tc>
      </w:tr>
      <w:tr>
        <w:tblPrEx>
          <w:tblLayout w:type="fixed"/>
          <w:tblCellMar>
            <w:top w:w="0" w:type="dxa"/>
            <w:left w:w="108" w:type="dxa"/>
            <w:bottom w:w="0" w:type="dxa"/>
            <w:right w:w="108" w:type="dxa"/>
          </w:tblCellMar>
        </w:tblPrEx>
        <w:trPr>
          <w:trHeight w:val="7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国产商用操作系统套餐</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国产商用操作系统套餐服务</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58</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国产数据库管理系统套餐</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国产数据库管理系统套餐服务</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无/套/月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4</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2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商用操作系统套餐</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Windows Server套餐：Windows Server租用、安装及维护。</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34</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2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云端APT防护服务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对未知攻击威胁进行检测和防护，发现隐蔽威胁、木马后门等异常威胁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2</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30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主机杀毒服务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通过云平台集成的杀毒软件，对云主机进行定期的病毒查杀，杀毒软件采用集中控制，云主机端无需安装代理软件，病毒库升级采取控制端统一下发的方式，对网络性能无影响。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元/vm/月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vm</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119</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487"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主机防护服务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提供符合等保三级要求的主机权限管理及安全防护。可对服务器系统安全涉及的控制点（如身份鉴别、敏感标记、强制访问控制、安全审计、剩余信息保护、入侵防范、恶意代码防和资源控制等）形成立体防护，解决操作系统层面面临的恶意代码执行、越权访问、数据泄露、破坏数据机密性、完整性等各种攻击行为，以保障数据及业务系统的保密性、完整性、可用性、可靠性。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元/台/月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台</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35</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主机安全加固</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针对漏扫或等级测评结果对操作系统进行安全加固，用以解决等级测评结果中所显示的漏洞。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元/次</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次</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119</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网页防篡改服务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提供网页防篡改服务。通过防篡改软件对用户页面进行实时防护，减少用户页面被恶意篡改的可能性。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元/次</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次</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120</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04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重点保障-安全专家服务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主要提供与安全相关的人工服务，安全隐患分析、安全培训、应急处置服务、木马病毒分析、日志隐患分析等服务。分析报告、人工协助解决隐患、解决方案等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元/人天</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人天</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20</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30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安全风险评估</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对现有系统提供非破坏性的远程安全监测与安全风险评估，将外部访问、系统维护、资源使用等信息汇总。提供系统安全分析，包括可疑访问、恶意访问分析等安全隐患的预警性分析。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主机日志分析</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针对操作系统进行日志收集，并且进行分析，并将结果反馈给用户，用于了解主机安全情况及资源使用情况。</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元/次</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次</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119</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2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主机漏洞扫描</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为用户提供针对主机层面的安全扫描服务，并反馈相关结果。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元/次</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次</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476</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2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数据库审计服务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实现数据库操作审计，记录每次数据库操作并整理报告。</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10</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2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数据库许可服务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Sql Server数据库许可服务。</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478"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基于国密算法的远程安全接入</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支持在终端与平台之间建立SSL VPN安全通道，支持对接入网络的终端设备进行安全认证，支持客户端与服务端之间数据加密传输，支持对终端设备的权限控制；支持与安全浏览器建立合规的HTTPS安全通道（3个账号）。</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元/个/月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个</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3</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密钥管理服务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提供密钥生成、密钥更新、密钥备份与恢复、密钥归档、密钥销毁等密钥全生命周期管理。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30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数据加密服务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提供数据加解密和完整性保护服务，实现数据库加解密、文件加解密。支持数据库字段级或表级加密与完整性保护；支持文件数据加密与完整性保护，支持细粒度数据加密控制，支持数据加密吞吐率100Mbps。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04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签名验签服务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提供数字签名与签名验证服务功能，用于身份认证时签名数据验证，基于数字签名技术实现数据的完整性保护，支持SM2签名速度不低于700次/秒。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虚拟密码机（VSM)服务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基于符合国密要求的密码算法和密钥安全管理机制，提供密钥产生、使用以及基础密码运算服务功能，每实例4C8G。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元/VSM/月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VSM</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04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密码API接口服务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把密码调用接口进行业务级封装形成统一密码服务API和SDK，对云平台上所有业务应用提供统一的密码服务，提供多租户的密码服务能力。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元/套/月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30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国密SSL证书</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 xml:space="preserve">国密SM2服务器证书SSL V3型，支持通配，需要IP验证可以是80/443端口，域名验证可以选择邮箱或DNS；根据浏览器识别地址栏显示绿标；证书主题显示：单位名称和所在省市；配套购买RSA算法的SSL证书。         </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元/张/月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张</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7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国密浏览器服务</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提供符合国密要求的国产浏览器服务功能</w:t>
            </w:r>
            <w:r>
              <w:rPr>
                <w:rFonts w:hint="eastAsia" w:ascii="宋体" w:hAnsi="宋体"/>
                <w:color w:val="000000"/>
                <w:kern w:val="0"/>
                <w:sz w:val="24"/>
              </w:rPr>
              <w:br w:type="textWrapping"/>
            </w:r>
            <w:r>
              <w:rPr>
                <w:rFonts w:hint="eastAsia" w:ascii="宋体" w:hAnsi="宋体"/>
                <w:color w:val="000000"/>
                <w:kern w:val="0"/>
                <w:sz w:val="24"/>
              </w:rPr>
              <w:t>安装在用户PC端，通过安全浏览器访问业务系统（3个/月）。</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元/个/月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个</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3</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104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智能密码钥匙（usbkey）</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olor w:val="000000"/>
                <w:kern w:val="0"/>
                <w:sz w:val="24"/>
              </w:rPr>
            </w:pPr>
            <w:r>
              <w:rPr>
                <w:rFonts w:hint="eastAsia" w:ascii="宋体" w:hAnsi="宋体"/>
                <w:color w:val="000000"/>
                <w:kern w:val="0"/>
                <w:sz w:val="24"/>
              </w:rPr>
              <w:t>PC终端密码支撑服务，PC端用户身份认证。</w:t>
            </w:r>
            <w:r>
              <w:rPr>
                <w:rFonts w:hint="eastAsia" w:ascii="宋体" w:hAnsi="宋体"/>
                <w:color w:val="000000"/>
                <w:kern w:val="0"/>
                <w:sz w:val="24"/>
              </w:rPr>
              <w:br w:type="textWrapping"/>
            </w:r>
            <w:r>
              <w:rPr>
                <w:rFonts w:hint="eastAsia" w:ascii="宋体" w:hAnsi="宋体"/>
                <w:color w:val="000000"/>
                <w:kern w:val="0"/>
                <w:sz w:val="24"/>
              </w:rPr>
              <w:t>业务系统每个用户配发一个。</w:t>
            </w:r>
            <w:r>
              <w:rPr>
                <w:rFonts w:hint="eastAsia" w:ascii="宋体" w:hAnsi="宋体"/>
                <w:color w:val="000000"/>
                <w:kern w:val="0"/>
                <w:sz w:val="24"/>
              </w:rPr>
              <w:br w:type="textWrapping"/>
            </w:r>
            <w:r>
              <w:rPr>
                <w:rFonts w:hint="eastAsia" w:ascii="宋体" w:hAnsi="宋体"/>
                <w:color w:val="000000"/>
                <w:kern w:val="0"/>
                <w:sz w:val="24"/>
              </w:rPr>
              <w:t>含数字证书（3个/月）。</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olor w:val="000000"/>
                <w:kern w:val="0"/>
                <w:sz w:val="24"/>
              </w:rPr>
            </w:pPr>
            <w:r>
              <w:rPr>
                <w:rFonts w:hint="eastAsia" w:ascii="宋体" w:hAnsi="宋体"/>
                <w:color w:val="000000"/>
                <w:kern w:val="0"/>
                <w:sz w:val="24"/>
              </w:rPr>
              <w:t>元/个/月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个</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3</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r>
        <w:tblPrEx>
          <w:tblLayout w:type="fixed"/>
          <w:tblCellMar>
            <w:top w:w="0" w:type="dxa"/>
            <w:left w:w="108" w:type="dxa"/>
            <w:bottom w:w="0" w:type="dxa"/>
            <w:right w:w="108" w:type="dxa"/>
          </w:tblCellMar>
        </w:tblPrEx>
        <w:trPr>
          <w:trHeight w:val="52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olor w:val="000000"/>
                <w:kern w:val="0"/>
                <w:sz w:val="24"/>
              </w:rPr>
            </w:pPr>
            <w:r>
              <w:rPr>
                <w:rFonts w:hint="eastAsia" w:ascii="宋体" w:hAnsi="宋体"/>
                <w:color w:val="000000"/>
                <w:kern w:val="0"/>
                <w:sz w:val="24"/>
              </w:rPr>
              <w:t>集中式存储租用</w:t>
            </w:r>
          </w:p>
        </w:tc>
        <w:tc>
          <w:tcPr>
            <w:tcW w:w="4078"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olor w:val="000000"/>
                <w:kern w:val="0"/>
                <w:sz w:val="24"/>
              </w:rPr>
            </w:pPr>
            <w:r>
              <w:rPr>
                <w:rFonts w:hint="eastAsia" w:ascii="宋体" w:hAnsi="宋体"/>
                <w:color w:val="000000"/>
                <w:kern w:val="0"/>
                <w:sz w:val="24"/>
              </w:rPr>
              <w:t>提供集中式存储用于支持Oracle RAC                 5000G/月。</w:t>
            </w:r>
          </w:p>
        </w:tc>
        <w:tc>
          <w:tcPr>
            <w:tcW w:w="121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元/GB/月</w:t>
            </w:r>
          </w:p>
        </w:tc>
        <w:tc>
          <w:tcPr>
            <w:tcW w:w="6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GB</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5000</w:t>
            </w:r>
          </w:p>
        </w:tc>
        <w:tc>
          <w:tcPr>
            <w:tcW w:w="936"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olor w:val="000000"/>
                <w:kern w:val="0"/>
                <w:sz w:val="24"/>
              </w:rPr>
            </w:pPr>
            <w:r>
              <w:rPr>
                <w:rFonts w:hint="eastAsia" w:ascii="宋体" w:hAnsi="宋体"/>
                <w:color w:val="000000"/>
                <w:kern w:val="0"/>
                <w:sz w:val="24"/>
              </w:rPr>
              <w:t>12</w:t>
            </w:r>
          </w:p>
        </w:tc>
      </w:tr>
    </w:tbl>
    <w:p>
      <w:pPr>
        <w:pStyle w:val="15"/>
        <w:rPr>
          <w:rFonts w:hint="eastAsia"/>
          <w:szCs w:val="21"/>
        </w:rPr>
      </w:pPr>
      <w:r>
        <w:t xml:space="preserve"> </w:t>
      </w:r>
    </w:p>
    <w:p>
      <w:pPr>
        <w:pStyle w:val="5"/>
        <w:rPr>
          <w:rFonts w:ascii="楷体" w:hAnsi="楷体" w:eastAsia="楷体" w:cs="黑体"/>
        </w:rPr>
      </w:pPr>
      <w:r>
        <w:rPr>
          <w:rFonts w:hint="eastAsia" w:ascii="楷体" w:hAnsi="楷体" w:eastAsia="楷体" w:cs="黑体"/>
        </w:rPr>
        <w:t>2.2 技术指标</w:t>
      </w:r>
    </w:p>
    <w:p>
      <w:pPr>
        <w:pStyle w:val="6"/>
        <w:rPr>
          <w:rFonts w:hint="eastAsia" w:ascii="楷体" w:hAnsi="楷体" w:eastAsia="楷体"/>
          <w:b/>
          <w:bCs/>
        </w:rPr>
      </w:pPr>
      <w:r>
        <w:rPr>
          <w:rFonts w:hint="eastAsia" w:ascii="楷体" w:hAnsi="楷体" w:eastAsia="楷体"/>
          <w:b/>
          <w:bCs/>
        </w:rPr>
        <w:t>2.2.1 云计算</w:t>
      </w:r>
    </w:p>
    <w:p>
      <w:pPr>
        <w:pStyle w:val="16"/>
        <w:ind w:firstLine="480"/>
        <w:rPr>
          <w:rFonts w:hint="eastAsia" w:hAnsi="宋体"/>
          <w:sz w:val="24"/>
          <w:szCs w:val="24"/>
        </w:rPr>
      </w:pPr>
      <w:r>
        <w:rPr>
          <w:rFonts w:hint="eastAsia"/>
          <w:sz w:val="24"/>
          <w:szCs w:val="24"/>
        </w:rPr>
        <w:t>△按照采购人的有关管理规定及各个应用系统对计算服务的具体需求，提供各应用系统所需计算服务，包含：X86云主机、国产芯片云主机、物理主机。</w:t>
      </w:r>
    </w:p>
    <w:p>
      <w:pPr>
        <w:pStyle w:val="16"/>
        <w:ind w:firstLine="480"/>
        <w:rPr>
          <w:rFonts w:hint="eastAsia"/>
          <w:sz w:val="24"/>
          <w:szCs w:val="24"/>
        </w:rPr>
      </w:pPr>
      <w:r>
        <w:rPr>
          <w:rFonts w:hint="eastAsia"/>
          <w:sz w:val="24"/>
          <w:szCs w:val="24"/>
        </w:rPr>
        <w:t>#云主机符合云计算服务客户信任体系能力要求 第1部分:云主机服务的要求，提供相关证明材料扫描件，证明材料持有人与投标人必须完全一致。</w:t>
      </w:r>
    </w:p>
    <w:p>
      <w:pPr>
        <w:pStyle w:val="6"/>
        <w:rPr>
          <w:rFonts w:hint="eastAsia" w:ascii="楷体" w:hAnsi="楷体" w:eastAsia="楷体"/>
          <w:b/>
          <w:bCs/>
          <w:szCs w:val="24"/>
        </w:rPr>
      </w:pPr>
      <w:r>
        <w:rPr>
          <w:rFonts w:hint="eastAsia" w:ascii="楷体" w:hAnsi="楷体" w:eastAsia="楷体"/>
          <w:b/>
          <w:bCs/>
        </w:rPr>
        <w:t>2.2.2 云存储</w:t>
      </w:r>
    </w:p>
    <w:p>
      <w:pPr>
        <w:pStyle w:val="16"/>
        <w:ind w:firstLine="480"/>
        <w:rPr>
          <w:rFonts w:hint="eastAsia" w:hAnsi="宋体"/>
          <w:sz w:val="24"/>
          <w:szCs w:val="24"/>
        </w:rPr>
      </w:pPr>
      <w:r>
        <w:rPr>
          <w:rFonts w:hint="eastAsia"/>
          <w:sz w:val="24"/>
          <w:szCs w:val="24"/>
        </w:rPr>
        <w:t>△按照采购人的有关管理规定及各个应用系统对存储服务的具体需求，提供各应用系统所需存储服务，包含：块存储，对象存储。</w:t>
      </w:r>
    </w:p>
    <w:p>
      <w:pPr>
        <w:pStyle w:val="16"/>
        <w:ind w:firstLine="480"/>
        <w:rPr>
          <w:rFonts w:hint="eastAsia"/>
          <w:sz w:val="24"/>
          <w:szCs w:val="24"/>
        </w:rPr>
      </w:pPr>
      <w:r>
        <w:rPr>
          <w:rFonts w:hint="eastAsia"/>
          <w:sz w:val="24"/>
          <w:szCs w:val="24"/>
        </w:rPr>
        <w:t>#块存储符合</w:t>
      </w:r>
      <w:r>
        <w:rPr>
          <w:rFonts w:ascii="宋体" w:hAnsi="Times New Roman" w:cs="Times New Roman"/>
          <w:color w:val="auto"/>
          <w:sz w:val="24"/>
          <w:szCs w:val="24"/>
          <w:shd w:val="clear" w:color="auto" w:fill="auto"/>
        </w:rPr>
        <w:t>中国通信标准化协会</w:t>
      </w:r>
      <w:r>
        <w:rPr>
          <w:rFonts w:ascii="宋体" w:hAnsi="Times New Roman" w:cs="Times New Roman"/>
          <w:color w:val="auto"/>
          <w:kern w:val="0"/>
          <w:sz w:val="24"/>
          <w:szCs w:val="24"/>
          <w:shd w:val="clear" w:color="auto" w:fill="auto"/>
        </w:rPr>
        <w:t>‌</w:t>
      </w:r>
      <w:r>
        <w:rPr>
          <w:rFonts w:ascii="宋体" w:hAnsi="Times New Roman" w:cs="Times New Roman"/>
          <w:b w:val="0"/>
          <w:bCs w:val="0"/>
          <w:color w:val="auto"/>
          <w:kern w:val="0"/>
          <w:sz w:val="24"/>
          <w:szCs w:val="24"/>
          <w:shd w:val="clear" w:color="auto" w:fill="auto"/>
        </w:rPr>
        <w:t>《云计算服务客户信任体系能力要求 第5部分：块存储服务》</w:t>
      </w:r>
      <w:r>
        <w:rPr>
          <w:rFonts w:hint="eastAsia"/>
          <w:sz w:val="24"/>
          <w:szCs w:val="24"/>
        </w:rPr>
        <w:t>最新</w:t>
      </w:r>
      <w:r>
        <w:rPr>
          <w:sz w:val="24"/>
          <w:szCs w:val="24"/>
        </w:rPr>
        <w:t>版</w:t>
      </w:r>
      <w:r>
        <w:rPr>
          <w:rFonts w:hint="eastAsia"/>
          <w:sz w:val="24"/>
          <w:szCs w:val="24"/>
        </w:rPr>
        <w:t>要求，提供相关证明材料扫描件，证明材料持有人与投标人必须完全一致。</w:t>
      </w:r>
    </w:p>
    <w:p>
      <w:pPr>
        <w:pStyle w:val="16"/>
        <w:ind w:firstLine="480"/>
        <w:rPr>
          <w:rFonts w:hint="eastAsia"/>
          <w:sz w:val="24"/>
          <w:szCs w:val="24"/>
        </w:rPr>
      </w:pPr>
      <w:r>
        <w:rPr>
          <w:rFonts w:hint="eastAsia"/>
          <w:sz w:val="24"/>
          <w:szCs w:val="24"/>
        </w:rPr>
        <w:t>#对象存储符合</w:t>
      </w:r>
      <w:r>
        <w:rPr>
          <w:sz w:val="24"/>
          <w:szCs w:val="24"/>
        </w:rPr>
        <w:t>中国通信标准化协会‌《云计算服务客户信任体系能力要求 第2部分：</w:t>
      </w:r>
      <w:r>
        <w:rPr>
          <w:rFonts w:hint="eastAsia"/>
          <w:sz w:val="24"/>
          <w:szCs w:val="24"/>
        </w:rPr>
        <w:t>对象</w:t>
      </w:r>
      <w:r>
        <w:rPr>
          <w:sz w:val="24"/>
          <w:szCs w:val="24"/>
        </w:rPr>
        <w:t>存储服务》</w:t>
      </w:r>
      <w:r>
        <w:rPr>
          <w:rFonts w:hint="eastAsia"/>
          <w:sz w:val="24"/>
          <w:szCs w:val="24"/>
        </w:rPr>
        <w:t>最新</w:t>
      </w:r>
      <w:r>
        <w:rPr>
          <w:sz w:val="24"/>
          <w:szCs w:val="24"/>
        </w:rPr>
        <w:t>版</w:t>
      </w:r>
      <w:r>
        <w:rPr>
          <w:rFonts w:hint="eastAsia"/>
          <w:sz w:val="24"/>
          <w:szCs w:val="24"/>
        </w:rPr>
        <w:t>要求，提供相关证明材料扫描件，证明材料持有人与投标人必须完全一致。</w:t>
      </w:r>
    </w:p>
    <w:p>
      <w:pPr>
        <w:pStyle w:val="6"/>
        <w:rPr>
          <w:rFonts w:hint="eastAsia" w:ascii="楷体" w:hAnsi="楷体" w:eastAsia="楷体"/>
          <w:b/>
          <w:bCs/>
          <w:szCs w:val="24"/>
        </w:rPr>
      </w:pPr>
      <w:r>
        <w:rPr>
          <w:rFonts w:hint="eastAsia" w:ascii="楷体" w:hAnsi="楷体" w:eastAsia="楷体"/>
          <w:b/>
          <w:bCs/>
        </w:rPr>
        <w:t>2.2.3 云平台</w:t>
      </w:r>
    </w:p>
    <w:p>
      <w:pPr>
        <w:pStyle w:val="16"/>
        <w:ind w:firstLine="480"/>
        <w:rPr>
          <w:rFonts w:hint="eastAsia" w:hAnsi="宋体"/>
          <w:sz w:val="24"/>
          <w:szCs w:val="24"/>
        </w:rPr>
      </w:pPr>
      <w:r>
        <w:rPr>
          <w:rFonts w:hint="eastAsia"/>
          <w:sz w:val="24"/>
          <w:szCs w:val="24"/>
          <w:highlight w:val="none"/>
        </w:rPr>
        <w:t>△云平台应具备不低于99.99%可用性标准，可支持用户自主配置主机、存储、网络、安全等资源，支持定制化开发依据业务突发性特点</w:t>
      </w:r>
      <w:r>
        <w:rPr>
          <w:rFonts w:hint="eastAsia"/>
          <w:sz w:val="24"/>
          <w:szCs w:val="24"/>
        </w:rPr>
        <w:t>，云平台应保障足够的资源冗余及弹性，实现突发情况下的应急扩容、应急安全保障。</w:t>
      </w:r>
    </w:p>
    <w:p>
      <w:pPr>
        <w:pStyle w:val="16"/>
        <w:ind w:firstLine="480"/>
        <w:rPr>
          <w:rFonts w:hint="eastAsia"/>
          <w:sz w:val="24"/>
          <w:szCs w:val="24"/>
        </w:rPr>
      </w:pPr>
      <w:r>
        <w:rPr>
          <w:rFonts w:hint="eastAsia"/>
          <w:sz w:val="24"/>
          <w:szCs w:val="24"/>
        </w:rPr>
        <w:t>△云平台应支持IPv6地址访问，配合完成IPv6适配改造。</w:t>
      </w:r>
    </w:p>
    <w:p>
      <w:pPr>
        <w:pStyle w:val="16"/>
        <w:ind w:firstLine="480"/>
        <w:rPr>
          <w:rFonts w:hint="eastAsia"/>
          <w:sz w:val="24"/>
          <w:szCs w:val="24"/>
        </w:rPr>
      </w:pPr>
      <w:r>
        <w:rPr>
          <w:rFonts w:hint="eastAsia"/>
          <w:sz w:val="24"/>
          <w:szCs w:val="24"/>
        </w:rPr>
        <w:t>△支持自动生成资源使用的数据报表。</w:t>
      </w:r>
    </w:p>
    <w:p>
      <w:pPr>
        <w:pStyle w:val="6"/>
        <w:rPr>
          <w:rFonts w:hint="eastAsia" w:ascii="楷体" w:hAnsi="楷体" w:eastAsia="楷体"/>
          <w:b/>
          <w:bCs/>
          <w:szCs w:val="24"/>
        </w:rPr>
      </w:pPr>
      <w:r>
        <w:rPr>
          <w:rFonts w:hint="eastAsia" w:ascii="楷体" w:hAnsi="楷体" w:eastAsia="楷体"/>
          <w:b/>
          <w:bCs/>
        </w:rPr>
        <w:t>2.2.4 云运维</w:t>
      </w:r>
    </w:p>
    <w:p>
      <w:pPr>
        <w:pStyle w:val="16"/>
        <w:ind w:firstLine="480"/>
        <w:rPr>
          <w:rFonts w:hint="eastAsia" w:hAnsi="宋体"/>
          <w:sz w:val="24"/>
          <w:szCs w:val="24"/>
        </w:rPr>
      </w:pPr>
      <w:r>
        <w:rPr>
          <w:rFonts w:hint="eastAsia"/>
          <w:sz w:val="24"/>
          <w:szCs w:val="24"/>
        </w:rPr>
        <w:t>△按照采购人的有关管理规定及各个应用系统云主机深度监控的具体需求，提供各应用系统所需云主机深度监控服务。提供云主机深度监控服务需做好与采购人的协调沟通工作。</w:t>
      </w:r>
    </w:p>
    <w:p>
      <w:pPr>
        <w:pStyle w:val="16"/>
        <w:ind w:firstLine="480"/>
        <w:rPr>
          <w:rFonts w:hint="eastAsia"/>
          <w:sz w:val="24"/>
          <w:szCs w:val="24"/>
        </w:rPr>
      </w:pPr>
      <w:r>
        <w:rPr>
          <w:rFonts w:hint="eastAsia"/>
          <w:sz w:val="24"/>
          <w:szCs w:val="24"/>
        </w:rPr>
        <w:t>△投标人的云主机深度监控服务可提供云主机CPU、内存、磁盘、网络相关资源使用率分析，能够清晰判别资源使用率数值及变化情况，如1天内变化；并支持自动巡检能力，可快速获取巡检时刻资源使用率。</w:t>
      </w:r>
    </w:p>
    <w:p>
      <w:pPr>
        <w:pStyle w:val="16"/>
        <w:ind w:firstLine="480"/>
        <w:rPr>
          <w:rFonts w:hint="eastAsia"/>
          <w:sz w:val="24"/>
          <w:szCs w:val="24"/>
        </w:rPr>
      </w:pPr>
      <w:r>
        <w:rPr>
          <w:rFonts w:hint="eastAsia"/>
          <w:sz w:val="24"/>
          <w:szCs w:val="24"/>
        </w:rPr>
        <w:t>△投标人应提供可以独立部署的自动化运维工具和自动化运维平台，自动化运维工具支持自动化巡检、云平台补丁自动分发、批量远程脚本执行等功能；提供的自动化运维平台支持自动告警、运维即时通讯工具、告警升级、工单与故障报告自动分发和认领等功能。</w:t>
      </w:r>
    </w:p>
    <w:p>
      <w:pPr>
        <w:pStyle w:val="16"/>
        <w:ind w:firstLine="480"/>
        <w:rPr>
          <w:rFonts w:hint="eastAsia"/>
          <w:sz w:val="24"/>
          <w:szCs w:val="24"/>
        </w:rPr>
      </w:pPr>
      <w:r>
        <w:rPr>
          <w:rFonts w:hint="eastAsia"/>
          <w:sz w:val="24"/>
          <w:szCs w:val="24"/>
        </w:rPr>
        <w:t>#投标人在云服务过程中应具有应对突发威胁风险处置的能力，具备一套系统化、标准化的管理流程和应急机制。通过有效的运行业务连续性管理体系，并获得认证。提供相关证书扫描件，证书单位名称须与投标人名称完全一致。</w:t>
      </w:r>
    </w:p>
    <w:p>
      <w:pPr>
        <w:pStyle w:val="16"/>
        <w:ind w:firstLine="480"/>
        <w:rPr>
          <w:rFonts w:hint="eastAsia"/>
          <w:sz w:val="24"/>
          <w:szCs w:val="24"/>
        </w:rPr>
      </w:pPr>
      <w:r>
        <w:rPr>
          <w:rFonts w:hint="eastAsia"/>
          <w:sz w:val="24"/>
          <w:szCs w:val="24"/>
        </w:rPr>
        <w:t>△保障云平台整体稳定运行</w:t>
      </w:r>
      <w:r>
        <w:rPr>
          <w:sz w:val="24"/>
          <w:szCs w:val="24"/>
        </w:rPr>
        <w:t>率</w:t>
      </w:r>
      <w:r>
        <w:rPr>
          <w:rFonts w:hint="eastAsia"/>
          <w:sz w:val="24"/>
          <w:szCs w:val="24"/>
        </w:rPr>
        <w:t>不低于99.99%，保障数据可靠性不低于99.9999%。</w:t>
      </w:r>
    </w:p>
    <w:p>
      <w:pPr>
        <w:pStyle w:val="6"/>
        <w:rPr>
          <w:rFonts w:hint="eastAsia" w:ascii="楷体" w:hAnsi="楷体" w:eastAsia="楷体"/>
          <w:b/>
          <w:bCs/>
          <w:szCs w:val="24"/>
        </w:rPr>
      </w:pPr>
      <w:r>
        <w:rPr>
          <w:rFonts w:hint="eastAsia" w:ascii="楷体" w:hAnsi="楷体" w:eastAsia="楷体"/>
          <w:b/>
          <w:bCs/>
        </w:rPr>
        <w:t>2.2.5 云安全</w:t>
      </w:r>
    </w:p>
    <w:p>
      <w:pPr>
        <w:pStyle w:val="16"/>
        <w:adjustRightInd w:val="0"/>
        <w:snapToGrid w:val="0"/>
        <w:ind w:firstLine="424" w:firstLineChars="177"/>
        <w:rPr>
          <w:rFonts w:hint="eastAsia" w:hAnsi="宋体"/>
          <w:sz w:val="24"/>
          <w:szCs w:val="24"/>
        </w:rPr>
      </w:pPr>
      <w:r>
        <w:rPr>
          <w:rFonts w:hint="eastAsia"/>
          <w:sz w:val="24"/>
          <w:szCs w:val="24"/>
        </w:rPr>
        <w:t>（1）△按照采购人的有关管理规定提供云安全服务。提供云安全服务包括：主机杀毒服务、主机安全加固、云端APT防护服务等。</w:t>
      </w:r>
    </w:p>
    <w:p>
      <w:pPr>
        <w:pStyle w:val="16"/>
        <w:adjustRightInd w:val="0"/>
        <w:snapToGrid w:val="0"/>
        <w:ind w:firstLine="424" w:firstLineChars="177"/>
        <w:rPr>
          <w:rFonts w:hint="eastAsia"/>
          <w:sz w:val="24"/>
          <w:szCs w:val="24"/>
        </w:rPr>
      </w:pPr>
      <w:r>
        <w:rPr>
          <w:rFonts w:hint="eastAsia"/>
          <w:sz w:val="24"/>
          <w:szCs w:val="24"/>
        </w:rPr>
        <w:t>（2）#投标人须严格遵守采购人的相关信息安全规定，不得利用系统维护服务时的便利对采购人数据及其他信息擅自修改或透漏给第三方。</w:t>
      </w:r>
    </w:p>
    <w:p>
      <w:pPr>
        <w:pStyle w:val="5"/>
        <w:rPr>
          <w:rFonts w:hint="eastAsia" w:ascii="楷体" w:hAnsi="楷体" w:eastAsia="楷体" w:cs="黑体"/>
          <w:szCs w:val="24"/>
        </w:rPr>
      </w:pPr>
      <w:r>
        <w:rPr>
          <w:rFonts w:hint="eastAsia" w:ascii="楷体" w:hAnsi="楷体" w:eastAsia="楷体" w:cs="黑体"/>
        </w:rPr>
        <w:t>2.3 服务内容与服务标准</w:t>
      </w:r>
    </w:p>
    <w:p>
      <w:pPr>
        <w:pStyle w:val="6"/>
        <w:rPr>
          <w:rFonts w:hint="eastAsia" w:ascii="楷体" w:hAnsi="楷体" w:eastAsia="楷体"/>
          <w:b/>
          <w:bCs/>
        </w:rPr>
      </w:pPr>
      <w:r>
        <w:rPr>
          <w:rFonts w:hint="eastAsia" w:ascii="楷体" w:hAnsi="楷体" w:eastAsia="楷体"/>
          <w:b/>
          <w:bCs/>
        </w:rPr>
        <w:t>2.3.1售后服务与培训要求</w:t>
      </w:r>
    </w:p>
    <w:p>
      <w:pPr>
        <w:ind w:firstLine="480" w:firstLineChars="200"/>
        <w:rPr>
          <w:rFonts w:hint="eastAsia" w:ascii="宋体" w:hAnsi="宋体"/>
          <w:sz w:val="24"/>
        </w:rPr>
      </w:pPr>
      <w:r>
        <w:rPr>
          <w:rFonts w:hint="eastAsia" w:ascii="宋体" w:hAnsi="宋体"/>
          <w:sz w:val="24"/>
        </w:rPr>
        <w:t>投标人须提供服务质量保障措施保障服务期内的服务质量；</w:t>
      </w:r>
    </w:p>
    <w:p>
      <w:pPr>
        <w:ind w:firstLine="480" w:firstLineChars="200"/>
        <w:rPr>
          <w:rFonts w:hint="eastAsia" w:ascii="宋体" w:hAnsi="宋体"/>
          <w:sz w:val="24"/>
        </w:rPr>
      </w:pPr>
      <w:r>
        <w:rPr>
          <w:rFonts w:hint="eastAsia" w:ascii="宋体" w:hAnsi="宋体"/>
          <w:sz w:val="24"/>
        </w:rPr>
        <w:t>投标人须提供重点保障服务方案，包含重要时间节点如春节、两会、国庆等重大时间点的重保服务，加大运维保障力度，保证在业务高峰期内系统平稳运行；</w:t>
      </w:r>
    </w:p>
    <w:p>
      <w:pPr>
        <w:ind w:firstLine="480" w:firstLineChars="200"/>
        <w:rPr>
          <w:rFonts w:hint="eastAsia" w:ascii="宋体" w:hAnsi="宋体"/>
          <w:sz w:val="24"/>
        </w:rPr>
      </w:pPr>
      <w:r>
        <w:rPr>
          <w:rFonts w:hint="eastAsia" w:ascii="宋体" w:hAnsi="宋体"/>
          <w:sz w:val="24"/>
        </w:rPr>
        <w:t>培训要求：投标人应根据本项目的特点制定培训方案并提供培训，培训方案应包括培训目的、培训策略、培训原则、培训对象、培训形式、培训计划等内容。</w:t>
      </w:r>
    </w:p>
    <w:p>
      <w:pPr>
        <w:pStyle w:val="6"/>
        <w:rPr>
          <w:rFonts w:hint="eastAsia" w:ascii="楷体" w:hAnsi="楷体" w:eastAsia="楷体"/>
          <w:b/>
          <w:bCs/>
          <w:szCs w:val="24"/>
        </w:rPr>
      </w:pPr>
      <w:r>
        <w:rPr>
          <w:rFonts w:hint="eastAsia" w:ascii="楷体" w:hAnsi="楷体" w:eastAsia="楷体"/>
          <w:b/>
          <w:bCs/>
        </w:rPr>
        <w:t>2.3.2安全及保密要求</w:t>
      </w:r>
    </w:p>
    <w:p>
      <w:pPr>
        <w:ind w:firstLine="480" w:firstLineChars="200"/>
        <w:rPr>
          <w:rFonts w:hint="eastAsia" w:ascii="宋体" w:hAnsi="宋体"/>
          <w:sz w:val="24"/>
        </w:rPr>
      </w:pPr>
      <w:r>
        <w:rPr>
          <w:rFonts w:hint="eastAsia" w:ascii="宋体" w:hAnsi="宋体"/>
          <w:sz w:val="24"/>
        </w:rPr>
        <w:t>投标人应保证业务应用系统的支撑环境，包括但不限于服务器、网络、存储等相关物理环境能满足安全三级等保要求，依据采购需求向采购人提供本次项目中所涉及安全服务内容。</w:t>
      </w:r>
    </w:p>
    <w:p>
      <w:pPr>
        <w:ind w:firstLine="480" w:firstLineChars="200"/>
        <w:rPr>
          <w:rFonts w:hint="eastAsia" w:ascii="宋体" w:hAnsi="宋体"/>
          <w:sz w:val="24"/>
        </w:rPr>
      </w:pPr>
      <w:r>
        <w:rPr>
          <w:rFonts w:hint="eastAsia" w:ascii="宋体" w:hAnsi="宋体"/>
          <w:sz w:val="24"/>
        </w:rPr>
        <w:t>投标人须严格遵守采购人的相关信息安全规定，不得利用系统维护服务时的便利对采购人数据及其他信息擅自修改或透漏给第三方。</w:t>
      </w:r>
    </w:p>
    <w:p>
      <w:pPr>
        <w:ind w:firstLine="480" w:firstLineChars="200"/>
        <w:rPr>
          <w:rFonts w:hint="eastAsia" w:ascii="宋体" w:hAnsi="宋体"/>
          <w:sz w:val="24"/>
        </w:rPr>
      </w:pPr>
      <w:r>
        <w:rPr>
          <w:rFonts w:hint="eastAsia" w:ascii="宋体" w:hAnsi="宋体"/>
          <w:sz w:val="24"/>
        </w:rPr>
        <w:t>投标人应提供安全防护方案包含项目安全需求分析、安全服务方案。</w:t>
      </w:r>
    </w:p>
    <w:p>
      <w:pPr>
        <w:pStyle w:val="6"/>
        <w:rPr>
          <w:rFonts w:hint="eastAsia" w:ascii="楷体" w:hAnsi="楷体" w:eastAsia="楷体"/>
          <w:b/>
          <w:bCs/>
          <w:szCs w:val="24"/>
        </w:rPr>
      </w:pPr>
      <w:r>
        <w:rPr>
          <w:rFonts w:hint="eastAsia" w:ascii="楷体" w:hAnsi="楷体" w:eastAsia="楷体"/>
          <w:b/>
          <w:bCs/>
        </w:rPr>
        <w:t>2.3.3运维服务要求</w:t>
      </w:r>
    </w:p>
    <w:p>
      <w:pPr>
        <w:ind w:firstLine="480" w:firstLineChars="200"/>
        <w:rPr>
          <w:rFonts w:hint="eastAsia" w:ascii="宋体" w:hAnsi="宋体"/>
          <w:sz w:val="24"/>
        </w:rPr>
      </w:pPr>
      <w:r>
        <w:rPr>
          <w:rFonts w:hint="eastAsia" w:ascii="宋体" w:hAnsi="宋体"/>
          <w:sz w:val="24"/>
        </w:rPr>
        <w:t>投标人需利用监控系统或人工对机房环境、硬件设备及应用系统的运行情况进行7×24小时的不间断巡检监控，及时发现安全隐患，通知相关人员及时处理，并形成监控报告。</w:t>
      </w:r>
    </w:p>
    <w:p>
      <w:pPr>
        <w:ind w:firstLine="480" w:firstLineChars="200"/>
        <w:rPr>
          <w:rFonts w:hint="eastAsia" w:ascii="宋体" w:hAnsi="宋体"/>
          <w:sz w:val="24"/>
        </w:rPr>
      </w:pPr>
      <w:r>
        <w:rPr>
          <w:rFonts w:hint="eastAsia" w:ascii="宋体" w:hAnsi="宋体"/>
          <w:sz w:val="24"/>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pPr>
        <w:ind w:firstLine="480" w:firstLineChars="200"/>
        <w:rPr>
          <w:rFonts w:hint="eastAsia" w:ascii="宋体" w:hAnsi="宋体"/>
          <w:sz w:val="24"/>
        </w:rPr>
      </w:pPr>
      <w:r>
        <w:rPr>
          <w:rFonts w:hint="eastAsia" w:ascii="宋体" w:hAnsi="宋体"/>
          <w:sz w:val="24"/>
        </w:rPr>
        <w:t>投标人应提供高效的系统维护服务，有效防范系统风险，保证7×24小时电话畅通，发生故障应在15分钟内响应；能够在系统发生除宕机外的其他故障问题时，能够协调人力资源在1小时内到达运维现场提供服务。系统发生宕机问题时，投标人应在30分钟内响应，在4个小时之内使系统恢复正常。具备故障快速定位和恢复能力，故障定位排除时限不超过 30 分钟。故障处理完毕后提供相关系统宕机报告。</w:t>
      </w:r>
    </w:p>
    <w:p>
      <w:pPr>
        <w:ind w:firstLine="480" w:firstLineChars="200"/>
        <w:rPr>
          <w:rFonts w:hint="eastAsia" w:ascii="宋体" w:hAnsi="宋体"/>
          <w:sz w:val="24"/>
        </w:rPr>
      </w:pPr>
      <w:r>
        <w:rPr>
          <w:rFonts w:hint="eastAsia" w:ascii="宋体" w:hAnsi="宋体"/>
          <w:sz w:val="24"/>
        </w:rPr>
        <w:t>投标人须每周和每月提供政务云服务报告，对当月政务云服务情况进行总结，包括各类云资源调整、使用及服务情况，以及日常维护、应急值守、故障处置等情况。</w:t>
      </w:r>
    </w:p>
    <w:p>
      <w:pPr>
        <w:ind w:firstLine="480" w:firstLineChars="200"/>
        <w:rPr>
          <w:rFonts w:hint="eastAsia" w:ascii="宋体" w:hAnsi="宋体"/>
          <w:sz w:val="24"/>
        </w:rPr>
      </w:pPr>
      <w:r>
        <w:rPr>
          <w:rFonts w:hint="eastAsia" w:ascii="宋体" w:hAnsi="宋体"/>
          <w:sz w:val="24"/>
        </w:rPr>
        <w:t>投标人需出具项目日常运维服务方案包含运维管理制度、管理流程、运维服务方案。</w:t>
      </w:r>
    </w:p>
    <w:p>
      <w:pPr>
        <w:pStyle w:val="6"/>
        <w:rPr>
          <w:rFonts w:hint="eastAsia" w:ascii="楷体" w:hAnsi="楷体" w:eastAsia="楷体"/>
          <w:b/>
          <w:bCs/>
          <w:szCs w:val="24"/>
        </w:rPr>
      </w:pPr>
      <w:r>
        <w:rPr>
          <w:rFonts w:hint="eastAsia" w:ascii="楷体" w:hAnsi="楷体" w:eastAsia="楷体"/>
          <w:b/>
          <w:bCs/>
        </w:rPr>
        <w:t>2.3.4 项目实施要求</w:t>
      </w:r>
    </w:p>
    <w:p>
      <w:pPr>
        <w:ind w:firstLine="480" w:firstLineChars="200"/>
        <w:rPr>
          <w:rFonts w:hint="eastAsia" w:ascii="宋体" w:hAnsi="宋体"/>
          <w:sz w:val="24"/>
        </w:rPr>
      </w:pPr>
      <w:r>
        <w:rPr>
          <w:rFonts w:hint="eastAsia" w:ascii="宋体" w:hAnsi="宋体"/>
          <w:sz w:val="24"/>
        </w:rPr>
        <w:t>因本项目技术复杂、涉及面较大，为保证在规定时间内完成云平台交付，要求投标人需具备政务云项目的实施能力，能够顺利开展项目实施工作.</w:t>
      </w:r>
    </w:p>
    <w:p>
      <w:pPr>
        <w:ind w:firstLine="480" w:firstLineChars="200"/>
        <w:rPr>
          <w:rFonts w:hint="eastAsia" w:ascii="宋体" w:hAnsi="宋体"/>
          <w:sz w:val="24"/>
        </w:rPr>
      </w:pPr>
      <w:r>
        <w:rPr>
          <w:rFonts w:hint="eastAsia" w:ascii="宋体" w:hAnsi="宋体"/>
          <w:sz w:val="24"/>
        </w:rPr>
        <w:t>投标人需出具项目的组织实施方案，包含基础服务与扩展服务实施方案。并提出本项目的风险分析及应对措施以及项目的工作管理制度。</w:t>
      </w:r>
    </w:p>
    <w:p>
      <w:pPr>
        <w:pStyle w:val="6"/>
        <w:rPr>
          <w:rFonts w:hint="eastAsia" w:ascii="楷体" w:hAnsi="楷体" w:eastAsia="楷体"/>
          <w:b/>
          <w:bCs/>
          <w:szCs w:val="24"/>
        </w:rPr>
      </w:pPr>
      <w:r>
        <w:rPr>
          <w:rFonts w:hint="eastAsia" w:ascii="楷体" w:hAnsi="楷体" w:eastAsia="楷体"/>
          <w:b/>
          <w:bCs/>
        </w:rPr>
        <w:t>2.3.5 迁移服务要求</w:t>
      </w:r>
    </w:p>
    <w:p>
      <w:pPr>
        <w:pStyle w:val="16"/>
        <w:ind w:firstLine="480"/>
        <w:rPr>
          <w:rFonts w:hint="eastAsia" w:hAnsi="宋体"/>
          <w:sz w:val="24"/>
          <w:szCs w:val="24"/>
        </w:rPr>
      </w:pPr>
      <w:r>
        <w:rPr>
          <w:rFonts w:hint="eastAsia"/>
          <w:sz w:val="24"/>
          <w:szCs w:val="24"/>
        </w:rPr>
        <w:t>业务系统属于生产系统，已部署在云平台平稳运行。保障业务系统连续性是关键。如涉及业务迁移，需在不中断业务的前提下，自合同生效之日起7个工作日内完成全部系统迁移。投标人需根据业务特点制定应用系统迁移部署方案及数据迁移部署方案，配合采购人完成系统迁移部署、运行和安全保障，最终保证现有业务系统可平滑迁移。具体要求如下：</w:t>
      </w:r>
    </w:p>
    <w:p>
      <w:pPr>
        <w:ind w:firstLine="480" w:firstLineChars="200"/>
        <w:rPr>
          <w:rFonts w:hint="eastAsia" w:ascii="宋体" w:hAnsi="宋体"/>
          <w:sz w:val="24"/>
        </w:rPr>
      </w:pPr>
      <w:r>
        <w:rPr>
          <w:rFonts w:hint="eastAsia" w:ascii="宋体" w:hAnsi="宋体"/>
          <w:sz w:val="24"/>
        </w:rPr>
        <w:t>提供业务系统应用迁移部署方案，完成应用系统的迁移部署。</w:t>
      </w:r>
    </w:p>
    <w:p>
      <w:pPr>
        <w:ind w:firstLine="480" w:firstLineChars="200"/>
        <w:rPr>
          <w:rFonts w:hint="eastAsia" w:ascii="宋体" w:hAnsi="宋体"/>
          <w:sz w:val="24"/>
        </w:rPr>
      </w:pPr>
      <w:r>
        <w:rPr>
          <w:rFonts w:hint="eastAsia" w:ascii="宋体" w:hAnsi="宋体"/>
          <w:sz w:val="24"/>
        </w:rPr>
        <w:t>提供数据迁移部署方案，确保数据迁移后业务系统的可用性，降低数据迁移对应用系统正常运行所带来的风险。</w:t>
      </w:r>
    </w:p>
    <w:p>
      <w:pPr>
        <w:ind w:firstLine="480" w:firstLineChars="200"/>
        <w:rPr>
          <w:rFonts w:hint="eastAsia" w:ascii="宋体" w:hAnsi="宋体"/>
          <w:sz w:val="24"/>
        </w:rPr>
      </w:pPr>
      <w:r>
        <w:rPr>
          <w:rFonts w:hint="eastAsia" w:ascii="宋体" w:hAnsi="宋体"/>
          <w:sz w:val="24"/>
        </w:rPr>
        <w:t>招标人无额外费用，投标人需自行考虑应用系统迁移及此项工作产生的相关费用，包括但不限于迁移产生的资源费用、系统开发商费用、原服务商迁出相关费用。</w:t>
      </w:r>
    </w:p>
    <w:p>
      <w:pPr>
        <w:ind w:firstLine="480" w:firstLineChars="200"/>
        <w:rPr>
          <w:rFonts w:hint="eastAsia" w:ascii="宋体" w:hAnsi="宋体"/>
          <w:sz w:val="24"/>
        </w:rPr>
      </w:pPr>
      <w:r>
        <w:rPr>
          <w:rFonts w:hint="eastAsia" w:ascii="宋体" w:hAnsi="宋体"/>
          <w:sz w:val="24"/>
        </w:rPr>
        <w:t>投标人承诺根据采购人需求完成系统迁移工作，并且不能改变和影响原有系统的功能、技术状态以及采购人的使用习惯。未按时完成系统迁移工作，影响生产系统运行，采购人有权解除合同并有权要求投标人按合同首付款的双倍支付违约金。</w:t>
      </w:r>
    </w:p>
    <w:p>
      <w:pPr>
        <w:pStyle w:val="6"/>
        <w:rPr>
          <w:rFonts w:hint="eastAsia" w:ascii="楷体" w:hAnsi="楷体" w:eastAsia="楷体" w:cs="黑体"/>
          <w:b/>
          <w:bCs/>
          <w:szCs w:val="24"/>
        </w:rPr>
      </w:pPr>
      <w:r>
        <w:rPr>
          <w:rFonts w:hint="eastAsia" w:ascii="楷体" w:hAnsi="楷体" w:eastAsia="楷体" w:cs="黑体"/>
          <w:b/>
          <w:bCs/>
        </w:rPr>
        <w:t>2.3.6 运维团队要求</w:t>
      </w:r>
    </w:p>
    <w:p>
      <w:pPr>
        <w:pStyle w:val="16"/>
        <w:ind w:firstLine="480"/>
        <w:rPr>
          <w:rFonts w:hint="eastAsia" w:hAnsi="宋体" w:cs="宋体"/>
          <w:sz w:val="24"/>
          <w:szCs w:val="24"/>
        </w:rPr>
      </w:pPr>
      <w:r>
        <w:rPr>
          <w:rFonts w:hint="eastAsia"/>
          <w:sz w:val="24"/>
          <w:szCs w:val="24"/>
        </w:rPr>
        <w:t>(1)投标人需提供1名专职项目经理。项目经理需具备信息系统项目管理师（高级）证书（投标人提供劳动合同扫描件，证书等材料）。</w:t>
      </w:r>
    </w:p>
    <w:p>
      <w:pPr>
        <w:pStyle w:val="16"/>
        <w:ind w:firstLine="480"/>
        <w:rPr>
          <w:rFonts w:hint="eastAsia"/>
          <w:sz w:val="24"/>
          <w:szCs w:val="24"/>
        </w:rPr>
      </w:pPr>
      <w:r>
        <w:rPr>
          <w:rFonts w:hint="eastAsia"/>
          <w:sz w:val="24"/>
          <w:szCs w:val="24"/>
        </w:rPr>
        <w:t>(2)本项目运维团队人员不少于4人，并提供运维团队人员清单、简历及合同扫描件。</w:t>
      </w:r>
    </w:p>
    <w:p>
      <w:pPr>
        <w:pStyle w:val="16"/>
        <w:ind w:firstLine="480"/>
        <w:rPr>
          <w:rFonts w:hint="eastAsia"/>
          <w:sz w:val="24"/>
          <w:szCs w:val="24"/>
        </w:rPr>
      </w:pPr>
      <w:r>
        <w:rPr>
          <w:rFonts w:hint="eastAsia"/>
          <w:sz w:val="24"/>
          <w:szCs w:val="24"/>
        </w:rPr>
        <w:t>(3)项目服务团队成员需提供（1）CISP证书、（2）网络规划设计师（高级）证书、（3）信息系统项目管理师证书、（4）数据库系统工程师证书。（投标人提供劳动合同扫描件，证书等材料）。</w:t>
      </w:r>
    </w:p>
    <w:p>
      <w:pPr>
        <w:pStyle w:val="6"/>
        <w:rPr>
          <w:rFonts w:hint="eastAsia" w:ascii="楷体" w:hAnsi="楷体" w:eastAsia="楷体"/>
          <w:b/>
          <w:bCs/>
          <w:szCs w:val="24"/>
        </w:rPr>
      </w:pPr>
      <w:r>
        <w:rPr>
          <w:rFonts w:hint="eastAsia" w:ascii="楷体" w:hAnsi="楷体" w:eastAsia="楷体"/>
          <w:b/>
          <w:bCs/>
        </w:rPr>
        <w:t>2.3.7 其他要求</w:t>
      </w:r>
    </w:p>
    <w:p>
      <w:pPr>
        <w:ind w:firstLine="480" w:firstLineChars="200"/>
        <w:rPr>
          <w:rFonts w:hint="eastAsia" w:ascii="宋体" w:hAnsi="宋体"/>
          <w:sz w:val="24"/>
        </w:rPr>
      </w:pPr>
      <w:r>
        <w:rPr>
          <w:rFonts w:hint="eastAsia" w:ascii="宋体" w:hAnsi="宋体"/>
          <w:sz w:val="24"/>
        </w:rPr>
        <w:t>投标人需具备有效的质量管理体系、环境管理体系、职业健康安全管理体系标准认证、信息安全管理体系认证、隐私信息管理体系认证。证书单位名称须与投标人名称完全一致。</w:t>
      </w:r>
    </w:p>
    <w:p>
      <w:pPr>
        <w:ind w:firstLine="480" w:firstLineChars="200"/>
        <w:rPr>
          <w:rFonts w:hint="eastAsia" w:ascii="宋体" w:hAnsi="宋体"/>
          <w:sz w:val="24"/>
        </w:rPr>
      </w:pPr>
      <w:r>
        <w:rPr>
          <w:rFonts w:hint="eastAsia" w:ascii="宋体" w:hAnsi="宋体"/>
          <w:sz w:val="24"/>
        </w:rPr>
        <w:t>投标人本次项目提供服务的云平台应通过网络安全等级保护（GB/T 22239-2019）第三级测评，评测报告持有人与投标人必须完全一致，提供</w:t>
      </w:r>
      <w:r>
        <w:rPr>
          <w:rFonts w:hint="eastAsia" w:ascii="宋体" w:hAnsi="宋体" w:cs="Times New Roman"/>
          <w:color w:val="auto"/>
          <w:kern w:val="2"/>
          <w:sz w:val="24"/>
          <w:szCs w:val="24"/>
        </w:rPr>
        <w:t>202</w:t>
      </w:r>
      <w:r>
        <w:rPr>
          <w:rFonts w:ascii="宋体" w:hAnsi="宋体"/>
          <w:sz w:val="24"/>
        </w:rPr>
        <w:t>3</w:t>
      </w:r>
      <w:r>
        <w:rPr>
          <w:rFonts w:hint="eastAsia" w:ascii="宋体" w:hAnsi="宋体" w:cs="Times New Roman"/>
          <w:color w:val="auto"/>
          <w:kern w:val="2"/>
          <w:sz w:val="24"/>
          <w:szCs w:val="24"/>
        </w:rPr>
        <w:t>年4月1日至投标文件递交截止时间</w:t>
      </w:r>
      <w:r>
        <w:rPr>
          <w:rFonts w:hint="eastAsia" w:ascii="宋体" w:hAnsi="宋体"/>
          <w:sz w:val="24"/>
        </w:rPr>
        <w:t>通过网络安全等级保护（GB/T 22239-2019）第三级的测评报告（至少包括报告首页、网络安全等级测评基本信息表页、等级测评结论页）。</w:t>
      </w:r>
    </w:p>
    <w:p>
      <w:pPr>
        <w:ind w:firstLine="480" w:firstLineChars="200"/>
        <w:rPr>
          <w:rFonts w:hint="eastAsia" w:ascii="宋体" w:hAnsi="宋体"/>
          <w:sz w:val="24"/>
        </w:rPr>
      </w:pPr>
      <w:r>
        <w:rPr>
          <w:rFonts w:hint="eastAsia" w:ascii="宋体" w:hAnsi="宋体"/>
          <w:sz w:val="24"/>
        </w:rPr>
        <w:t>投标人本次项目提供服务的云平台通过《中央网信办云计算服务安全评估》证明，以证明投标人具备提高云计算服务的安全可控水平，降低云计算服务带来的网络安全风险的能力。须提供中央网信办网站公示截图。单位名称须与投标人名称完全一致并加盖投标人公章。</w:t>
      </w:r>
    </w:p>
    <w:p>
      <w:pPr>
        <w:ind w:firstLine="480" w:firstLineChars="200"/>
        <w:rPr>
          <w:rFonts w:hint="eastAsia" w:ascii="宋体" w:hAnsi="宋体"/>
          <w:sz w:val="24"/>
        </w:rPr>
      </w:pPr>
      <w:r>
        <w:rPr>
          <w:rFonts w:hint="eastAsia" w:ascii="宋体" w:hAnsi="宋体"/>
          <w:sz w:val="24"/>
        </w:rPr>
        <w:t>投标人本次项目提供服务的云平台提供2025年4月1日至投标文件递交截止时间云平台商业密码安全性评估报告，评估结果符合密评第三级信息系统要求，评测报告持有人与投标人必须完全一致，提供商用密码应用安全性评估报告关键页（至少包括报告首页、被测系统基本信息表页、商用密码应用安全性评估结论页）</w:t>
      </w:r>
    </w:p>
    <w:p>
      <w:pPr>
        <w:ind w:firstLine="480" w:firstLineChars="200"/>
        <w:rPr>
          <w:rFonts w:hint="eastAsia" w:ascii="宋体" w:hAnsi="宋体"/>
          <w:szCs w:val="21"/>
        </w:rPr>
      </w:pPr>
      <w:r>
        <w:rPr>
          <w:rFonts w:hint="eastAsia" w:ascii="宋体" w:hAnsi="宋体"/>
          <w:sz w:val="24"/>
        </w:rPr>
        <w:t>投标人应提供2021年1月1日至投标文件递交截止时间政务云服务合同（含合同首页、服务内容页、双方盖章签字页等关键页），合同签署单位名称须与投标人名称完全一致。</w:t>
      </w:r>
    </w:p>
    <w:p>
      <w:pPr>
        <w:rPr>
          <w:rFonts w:hint="eastAsia" w:ascii="宋体" w:hAnsi="宋体"/>
          <w:color w:val="000000"/>
          <w:sz w:val="24"/>
        </w:rPr>
      </w:pPr>
      <w:r>
        <w:rPr>
          <w:rFonts w:hint="eastAsia" w:ascii="宋体" w:hAnsi="宋体"/>
          <w:color w:val="000000"/>
          <w:sz w:val="24"/>
        </w:rPr>
        <w:t xml:space="preserve"> </w:t>
      </w:r>
    </w:p>
    <w:p>
      <w:pPr>
        <w:pStyle w:val="4"/>
        <w:jc w:val="left"/>
        <w:rPr>
          <w:rFonts w:hint="eastAsia" w:ascii="楷体" w:hAnsi="楷体" w:eastAsia="楷体"/>
          <w:sz w:val="24"/>
          <w:szCs w:val="24"/>
        </w:rPr>
      </w:pPr>
      <w:r>
        <w:rPr>
          <w:rFonts w:hint="eastAsia" w:ascii="楷体" w:hAnsi="楷体" w:eastAsia="楷体"/>
          <w:sz w:val="24"/>
          <w:szCs w:val="24"/>
        </w:rPr>
        <w:t>2.4 验收服务标准</w:t>
      </w:r>
    </w:p>
    <w:p>
      <w:pPr>
        <w:snapToGrid w:val="0"/>
        <w:spacing w:line="360" w:lineRule="auto"/>
        <w:ind w:firstLine="480" w:firstLineChars="200"/>
        <w:rPr>
          <w:rFonts w:hint="eastAsia" w:ascii="宋体" w:hAnsi="宋体"/>
          <w:sz w:val="24"/>
        </w:rPr>
      </w:pPr>
      <w:r>
        <w:rPr>
          <w:rFonts w:hint="eastAsia" w:ascii="宋体" w:hAnsi="宋体"/>
          <w:sz w:val="24"/>
        </w:rPr>
        <w:t>1．服务绩效指标</w:t>
      </w:r>
    </w:p>
    <w:p>
      <w:pPr>
        <w:pStyle w:val="9"/>
        <w:snapToGrid w:val="0"/>
        <w:ind w:firstLine="480"/>
        <w:rPr>
          <w:rFonts w:hint="eastAsia"/>
        </w:rPr>
      </w:pPr>
      <w:r>
        <w:rPr>
          <w:rFonts w:hint="eastAsia"/>
        </w:rPr>
        <w:t>（1）云服务全年整体可用性≥99.9%；</w:t>
      </w:r>
    </w:p>
    <w:p>
      <w:pPr>
        <w:pStyle w:val="9"/>
        <w:snapToGrid w:val="0"/>
        <w:ind w:firstLine="480"/>
        <w:rPr>
          <w:rFonts w:hint="eastAsia"/>
        </w:rPr>
      </w:pPr>
      <w:r>
        <w:rPr>
          <w:rFonts w:hint="eastAsia"/>
        </w:rPr>
        <w:t>（2）故障响应率100%；</w:t>
      </w:r>
    </w:p>
    <w:p>
      <w:pPr>
        <w:pStyle w:val="9"/>
        <w:snapToGrid w:val="0"/>
        <w:ind w:firstLine="480"/>
        <w:rPr>
          <w:rFonts w:hint="eastAsia"/>
        </w:rPr>
      </w:pPr>
      <w:r>
        <w:rPr>
          <w:rFonts w:hint="eastAsia"/>
        </w:rPr>
        <w:t>（3）应急响应时间≤15分钟；</w:t>
      </w:r>
    </w:p>
    <w:p>
      <w:pPr>
        <w:snapToGrid w:val="0"/>
        <w:spacing w:line="360" w:lineRule="auto"/>
        <w:ind w:firstLine="480" w:firstLineChars="200"/>
        <w:rPr>
          <w:rFonts w:hint="eastAsia" w:ascii="宋体" w:hAnsi="宋体"/>
          <w:sz w:val="24"/>
        </w:rPr>
      </w:pPr>
      <w:r>
        <w:rPr>
          <w:rFonts w:hint="eastAsia" w:ascii="宋体" w:hAnsi="宋体"/>
          <w:sz w:val="24"/>
        </w:rPr>
        <w:t>2．项目验收要求</w:t>
      </w:r>
    </w:p>
    <w:p>
      <w:pPr>
        <w:pStyle w:val="7"/>
        <w:snapToGrid w:val="0"/>
        <w:ind w:firstLine="480"/>
        <w:rPr>
          <w:rFonts w:hint="eastAsia" w:hAnsi="宋体"/>
        </w:rPr>
      </w:pPr>
      <w:r>
        <w:rPr>
          <w:rFonts w:hint="eastAsia"/>
        </w:rPr>
        <w:t>投标人应当在采购人指定的验收日前向采购人提交验收报告。验收报告的内容包括但不限于，合同规定的各项服务清单，各系统设备运行情况。项目完成后，由采购人组织验收，并作为支付尾款的参考。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Times New Roman Bold">
    <w:altName w:val="Times New Roman"/>
    <w:panose1 w:val="02020803070505020304"/>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B62A3"/>
    <w:multiLevelType w:val="multilevel"/>
    <w:tmpl w:val="2FBB62A3"/>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4F4425C"/>
    <w:multiLevelType w:val="multilevel"/>
    <w:tmpl w:val="34F4425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791B7A"/>
    <w:multiLevelType w:val="multilevel"/>
    <w:tmpl w:val="5A791B7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F1E71B6"/>
    <w:multiLevelType w:val="multilevel"/>
    <w:tmpl w:val="7F1E71B6"/>
    <w:lvl w:ilvl="0" w:tentative="0">
      <w:start w:val="1"/>
      <w:numFmt w:val="chineseCountingThousand"/>
      <w:lvlText w:val="%1、"/>
      <w:lvlJc w:val="left"/>
      <w:pPr>
        <w:ind w:left="420" w:hanging="420"/>
      </w:pPr>
      <w:rPr>
        <w:rFonts w:hint="eastAsia" w:ascii="Times New Roman Bold" w:hAnsi="Times New Roman Bold" w:eastAsia="宋体" w:cs="Times New Roman Bold"/>
        <w:b/>
        <w:bCs/>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11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hAnsi="宋体" w:eastAsia="仿宋_GB2312"/>
      <w:color w:val="000000"/>
      <w:sz w:val="24"/>
    </w:rPr>
  </w:style>
  <w:style w:type="paragraph" w:styleId="7">
    <w:name w:val="Normal Indent"/>
    <w:basedOn w:val="1"/>
    <w:qFormat/>
    <w:uiPriority w:val="99"/>
    <w:pPr>
      <w:autoSpaceDE w:val="0"/>
      <w:autoSpaceDN w:val="0"/>
      <w:adjustRightInd w:val="0"/>
      <w:ind w:firstLine="420"/>
      <w:jc w:val="left"/>
    </w:pPr>
    <w:rPr>
      <w:rFonts w:ascii="宋体"/>
      <w:sz w:val="24"/>
    </w:rPr>
  </w:style>
  <w:style w:type="paragraph" w:styleId="8">
    <w:name w:val="Salutation"/>
    <w:basedOn w:val="1"/>
    <w:next w:val="1"/>
    <w:qFormat/>
    <w:uiPriority w:val="99"/>
    <w:rPr>
      <w:rFonts w:ascii="Calibri" w:hAnsi="Calibri" w:eastAsia="宋体" w:cs="Times New Roman"/>
    </w:r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customStyle="1" w:styleId="10">
    <w:name w:val="目录 11"/>
    <w:next w:val="1"/>
    <w:qFormat/>
    <w:uiPriority w:val="0"/>
    <w:pPr>
      <w:wordWrap w:val="0"/>
      <w:jc w:val="both"/>
    </w:pPr>
    <w:rPr>
      <w:rFonts w:ascii="Calibri" w:hAnsi="Calibri" w:eastAsia="宋体" w:cs="Calibri"/>
      <w:sz w:val="21"/>
      <w:szCs w:val="22"/>
      <w:lang w:val="en-US" w:eastAsia="zh-CN" w:bidi="ar-SA"/>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4">
    <w:name w:val="15"/>
    <w:qFormat/>
    <w:uiPriority w:val="0"/>
    <w:rPr>
      <w:rFonts w:hint="eastAsia" w:ascii="宋体" w:hAnsi="宋体" w:eastAsia="宋体"/>
      <w:color w:val="000000"/>
      <w:sz w:val="32"/>
      <w:szCs w:val="32"/>
    </w:rPr>
  </w:style>
  <w:style w:type="paragraph" w:customStyle="1" w:styleId="15">
    <w:name w:val="1"/>
    <w:qFormat/>
    <w:uiPriority w:val="0"/>
    <w:rPr>
      <w:rFonts w:ascii="Times New Roman" w:hAnsi="Times New Roman" w:eastAsia="宋体" w:cs="Times New Roman"/>
      <w:kern w:val="2"/>
      <w:sz w:val="21"/>
      <w:szCs w:val="24"/>
      <w:lang w:val="zh-CN"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2026-04-10T08:52:57Z</dcterms:created>
  <dc:creator>user</dc:creator>
  <cp:lastModifiedBy>11</cp:lastModifiedBy>
  <dcterms:modified xsi:type="dcterms:W3CDTF">2026-04-10T08:54:31Z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