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89EE6">
      <w:pPr>
        <w:spacing w:line="360" w:lineRule="auto"/>
        <w:jc w:val="center"/>
        <w:outlineLvl w:val="0"/>
        <w:rPr>
          <w:b/>
          <w:sz w:val="36"/>
          <w:szCs w:val="36"/>
        </w:rPr>
      </w:pPr>
      <w:r>
        <w:rPr>
          <w:b/>
          <w:sz w:val="36"/>
          <w:szCs w:val="36"/>
        </w:rPr>
        <w:t>第五章   采购需求</w:t>
      </w:r>
    </w:p>
    <w:p w14:paraId="0C879E2B">
      <w:pPr>
        <w:numPr>
          <w:ilvl w:val="0"/>
          <w:numId w:val="1"/>
        </w:numPr>
        <w:adjustRightInd w:val="0"/>
        <w:spacing w:line="560" w:lineRule="exact"/>
        <w:ind w:firstLine="482"/>
        <w:jc w:val="left"/>
        <w:textAlignment w:val="baseline"/>
        <w:rPr>
          <w:b/>
          <w:sz w:val="24"/>
        </w:rPr>
      </w:pPr>
      <w:r>
        <w:rPr>
          <w:rFonts w:hint="eastAsia"/>
          <w:b/>
          <w:sz w:val="24"/>
        </w:rPr>
        <w:t>采购标的</w:t>
      </w:r>
    </w:p>
    <w:p w14:paraId="4AA825BA">
      <w:pPr>
        <w:numPr>
          <w:ilvl w:val="0"/>
          <w:numId w:val="2"/>
        </w:numPr>
        <w:spacing w:line="560" w:lineRule="exact"/>
        <w:ind w:firstLine="420"/>
        <w:jc w:val="left"/>
        <w:rPr>
          <w:rFonts w:ascii="宋体" w:hAnsi="宋体"/>
          <w:sz w:val="24"/>
        </w:rPr>
      </w:pPr>
      <w:r>
        <w:rPr>
          <w:rFonts w:hint="eastAsia" w:ascii="宋体" w:hAnsi="宋体"/>
          <w:sz w:val="24"/>
        </w:rPr>
        <w:t>采购标的</w:t>
      </w:r>
    </w:p>
    <w:p w14:paraId="6209E2DB">
      <w:pPr>
        <w:spacing w:line="560" w:lineRule="exact"/>
        <w:ind w:firstLine="420"/>
        <w:jc w:val="left"/>
      </w:pPr>
      <w:r>
        <w:rPr>
          <w:rFonts w:hint="eastAsia" w:ascii="宋体" w:hAnsi="宋体"/>
          <w:sz w:val="24"/>
        </w:rPr>
        <w:t xml:space="preserve">标的名称：北京市数字教育中心（北京电化教育馆）-2026年互联网接入服务采购项目     </w:t>
      </w:r>
      <w:r>
        <w:rPr>
          <w:rFonts w:ascii="宋体" w:hAnsi="宋体"/>
          <w:sz w:val="24"/>
        </w:rPr>
        <w:t>预算控制金额：123万元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333"/>
        <w:gridCol w:w="1726"/>
        <w:gridCol w:w="1468"/>
        <w:gridCol w:w="2367"/>
      </w:tblGrid>
      <w:tr w14:paraId="6AC2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noWrap w:val="0"/>
            <w:vAlign w:val="center"/>
          </w:tcPr>
          <w:p w14:paraId="54C2B028">
            <w:pPr>
              <w:jc w:val="center"/>
              <w:rPr>
                <w:b/>
                <w:sz w:val="24"/>
              </w:rPr>
            </w:pPr>
            <w:r>
              <w:rPr>
                <w:rFonts w:hint="eastAsia"/>
                <w:b/>
                <w:sz w:val="24"/>
              </w:rPr>
              <w:t>序号</w:t>
            </w:r>
          </w:p>
        </w:tc>
        <w:tc>
          <w:tcPr>
            <w:tcW w:w="2333" w:type="dxa"/>
            <w:noWrap w:val="0"/>
            <w:vAlign w:val="center"/>
          </w:tcPr>
          <w:p w14:paraId="244F4E4F">
            <w:pPr>
              <w:jc w:val="center"/>
              <w:rPr>
                <w:b/>
                <w:sz w:val="24"/>
              </w:rPr>
            </w:pPr>
            <w:r>
              <w:rPr>
                <w:rFonts w:hint="eastAsia"/>
                <w:b/>
                <w:sz w:val="24"/>
              </w:rPr>
              <w:t>货物或服务名称</w:t>
            </w:r>
          </w:p>
        </w:tc>
        <w:tc>
          <w:tcPr>
            <w:tcW w:w="1726" w:type="dxa"/>
            <w:noWrap w:val="0"/>
            <w:vAlign w:val="center"/>
          </w:tcPr>
          <w:p w14:paraId="6755B21F">
            <w:pPr>
              <w:ind w:firstLine="482"/>
              <w:jc w:val="center"/>
              <w:rPr>
                <w:b/>
                <w:sz w:val="24"/>
              </w:rPr>
            </w:pPr>
            <w:r>
              <w:rPr>
                <w:rFonts w:hint="eastAsia"/>
                <w:b/>
                <w:sz w:val="24"/>
              </w:rPr>
              <w:t>数量</w:t>
            </w:r>
          </w:p>
        </w:tc>
        <w:tc>
          <w:tcPr>
            <w:tcW w:w="1468" w:type="dxa"/>
            <w:noWrap w:val="0"/>
            <w:vAlign w:val="center"/>
          </w:tcPr>
          <w:p w14:paraId="08B82519">
            <w:pPr>
              <w:ind w:firstLine="482"/>
              <w:jc w:val="center"/>
              <w:rPr>
                <w:b/>
                <w:sz w:val="24"/>
              </w:rPr>
            </w:pPr>
            <w:r>
              <w:rPr>
                <w:rFonts w:hint="eastAsia"/>
                <w:b/>
                <w:sz w:val="24"/>
              </w:rPr>
              <w:t>单位</w:t>
            </w:r>
          </w:p>
        </w:tc>
        <w:tc>
          <w:tcPr>
            <w:tcW w:w="2367" w:type="dxa"/>
            <w:noWrap w:val="0"/>
            <w:vAlign w:val="center"/>
          </w:tcPr>
          <w:p w14:paraId="2DBCD984">
            <w:pPr>
              <w:ind w:firstLine="482"/>
              <w:jc w:val="center"/>
              <w:rPr>
                <w:b/>
                <w:sz w:val="24"/>
              </w:rPr>
            </w:pPr>
            <w:r>
              <w:rPr>
                <w:rFonts w:hint="eastAsia"/>
                <w:b/>
                <w:sz w:val="24"/>
              </w:rPr>
              <w:t>备注</w:t>
            </w:r>
          </w:p>
        </w:tc>
      </w:tr>
      <w:tr w14:paraId="6D5D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noWrap w:val="0"/>
            <w:vAlign w:val="center"/>
          </w:tcPr>
          <w:p w14:paraId="49B79133">
            <w:pPr>
              <w:ind w:firstLine="480"/>
              <w:jc w:val="center"/>
              <w:rPr>
                <w:sz w:val="24"/>
              </w:rPr>
            </w:pPr>
            <w:r>
              <w:rPr>
                <w:rFonts w:hint="eastAsia"/>
                <w:sz w:val="24"/>
              </w:rPr>
              <w:t>1</w:t>
            </w:r>
          </w:p>
        </w:tc>
        <w:tc>
          <w:tcPr>
            <w:tcW w:w="2333" w:type="dxa"/>
            <w:noWrap w:val="0"/>
            <w:vAlign w:val="center"/>
          </w:tcPr>
          <w:p w14:paraId="6333089A">
            <w:pPr>
              <w:ind w:firstLine="480"/>
              <w:jc w:val="center"/>
              <w:rPr>
                <w:sz w:val="24"/>
              </w:rPr>
            </w:pPr>
            <w:r>
              <w:rPr>
                <w:rFonts w:hint="eastAsia"/>
                <w:sz w:val="24"/>
              </w:rPr>
              <w:t>互联网带宽</w:t>
            </w:r>
          </w:p>
        </w:tc>
        <w:tc>
          <w:tcPr>
            <w:tcW w:w="1726" w:type="dxa"/>
            <w:noWrap w:val="0"/>
            <w:vAlign w:val="center"/>
          </w:tcPr>
          <w:p w14:paraId="4A91D2F4">
            <w:pPr>
              <w:ind w:firstLine="480"/>
              <w:jc w:val="center"/>
              <w:rPr>
                <w:sz w:val="24"/>
              </w:rPr>
            </w:pPr>
            <w:r>
              <w:rPr>
                <w:rFonts w:hint="eastAsia"/>
                <w:sz w:val="24"/>
              </w:rPr>
              <w:t>200M</w:t>
            </w:r>
          </w:p>
        </w:tc>
        <w:tc>
          <w:tcPr>
            <w:tcW w:w="1468" w:type="dxa"/>
            <w:noWrap w:val="0"/>
            <w:vAlign w:val="center"/>
          </w:tcPr>
          <w:p w14:paraId="442AA966">
            <w:pPr>
              <w:ind w:firstLine="480"/>
              <w:jc w:val="center"/>
              <w:rPr>
                <w:sz w:val="24"/>
              </w:rPr>
            </w:pPr>
            <w:r>
              <w:rPr>
                <w:rFonts w:hint="eastAsia"/>
                <w:sz w:val="24"/>
              </w:rPr>
              <w:t>1项</w:t>
            </w:r>
          </w:p>
        </w:tc>
        <w:tc>
          <w:tcPr>
            <w:tcW w:w="2367" w:type="dxa"/>
            <w:noWrap w:val="0"/>
            <w:vAlign w:val="center"/>
          </w:tcPr>
          <w:p w14:paraId="72C4B781">
            <w:pPr>
              <w:jc w:val="center"/>
              <w:rPr>
                <w:sz w:val="24"/>
              </w:rPr>
            </w:pPr>
            <w:r>
              <w:rPr>
                <w:rFonts w:hint="eastAsia"/>
                <w:sz w:val="24"/>
              </w:rPr>
              <w:t>市教委视频会议</w:t>
            </w:r>
          </w:p>
        </w:tc>
      </w:tr>
      <w:tr w14:paraId="61A3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noWrap w:val="0"/>
            <w:vAlign w:val="center"/>
          </w:tcPr>
          <w:p w14:paraId="567B23B7">
            <w:pPr>
              <w:ind w:firstLine="480"/>
              <w:jc w:val="center"/>
              <w:rPr>
                <w:sz w:val="24"/>
              </w:rPr>
            </w:pPr>
            <w:r>
              <w:rPr>
                <w:rFonts w:hint="eastAsia"/>
                <w:sz w:val="24"/>
              </w:rPr>
              <w:t>2</w:t>
            </w:r>
          </w:p>
        </w:tc>
        <w:tc>
          <w:tcPr>
            <w:tcW w:w="2333" w:type="dxa"/>
            <w:noWrap w:val="0"/>
            <w:vAlign w:val="center"/>
          </w:tcPr>
          <w:p w14:paraId="17A9BA66">
            <w:pPr>
              <w:ind w:firstLine="480"/>
              <w:jc w:val="center"/>
              <w:rPr>
                <w:sz w:val="24"/>
              </w:rPr>
            </w:pPr>
            <w:r>
              <w:rPr>
                <w:rFonts w:hint="eastAsia"/>
                <w:sz w:val="24"/>
              </w:rPr>
              <w:t>互联网带宽</w:t>
            </w:r>
          </w:p>
        </w:tc>
        <w:tc>
          <w:tcPr>
            <w:tcW w:w="1726" w:type="dxa"/>
            <w:noWrap w:val="0"/>
            <w:vAlign w:val="center"/>
          </w:tcPr>
          <w:p w14:paraId="154083ED">
            <w:pPr>
              <w:ind w:firstLine="480"/>
              <w:jc w:val="center"/>
              <w:rPr>
                <w:sz w:val="24"/>
              </w:rPr>
            </w:pPr>
            <w:r>
              <w:rPr>
                <w:rFonts w:hint="eastAsia"/>
                <w:sz w:val="24"/>
              </w:rPr>
              <w:t>300M</w:t>
            </w:r>
          </w:p>
        </w:tc>
        <w:tc>
          <w:tcPr>
            <w:tcW w:w="1468" w:type="dxa"/>
            <w:noWrap w:val="0"/>
            <w:vAlign w:val="center"/>
          </w:tcPr>
          <w:p w14:paraId="70BC7BF4">
            <w:pPr>
              <w:ind w:firstLine="480"/>
              <w:jc w:val="center"/>
              <w:rPr>
                <w:sz w:val="24"/>
              </w:rPr>
            </w:pPr>
            <w:r>
              <w:rPr>
                <w:rFonts w:hint="eastAsia"/>
                <w:sz w:val="24"/>
              </w:rPr>
              <w:t>1项</w:t>
            </w:r>
          </w:p>
        </w:tc>
        <w:tc>
          <w:tcPr>
            <w:tcW w:w="2367" w:type="dxa"/>
            <w:noWrap w:val="0"/>
            <w:vAlign w:val="center"/>
          </w:tcPr>
          <w:p w14:paraId="77D396AA">
            <w:pPr>
              <w:jc w:val="center"/>
              <w:rPr>
                <w:sz w:val="24"/>
              </w:rPr>
            </w:pPr>
            <w:r>
              <w:rPr>
                <w:rFonts w:hint="eastAsia"/>
                <w:sz w:val="24"/>
              </w:rPr>
              <w:t>数字教育中心</w:t>
            </w:r>
          </w:p>
        </w:tc>
      </w:tr>
      <w:tr w14:paraId="30DF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noWrap w:val="0"/>
            <w:vAlign w:val="center"/>
          </w:tcPr>
          <w:p w14:paraId="4137D82B">
            <w:pPr>
              <w:ind w:firstLine="480"/>
              <w:jc w:val="center"/>
              <w:rPr>
                <w:sz w:val="24"/>
              </w:rPr>
            </w:pPr>
            <w:r>
              <w:rPr>
                <w:rFonts w:hint="eastAsia"/>
                <w:sz w:val="24"/>
              </w:rPr>
              <w:t>3</w:t>
            </w:r>
          </w:p>
        </w:tc>
        <w:tc>
          <w:tcPr>
            <w:tcW w:w="2333" w:type="dxa"/>
            <w:noWrap w:val="0"/>
            <w:vAlign w:val="center"/>
          </w:tcPr>
          <w:p w14:paraId="76BE80EC">
            <w:pPr>
              <w:ind w:firstLine="480"/>
              <w:jc w:val="center"/>
              <w:rPr>
                <w:sz w:val="24"/>
              </w:rPr>
            </w:pPr>
            <w:r>
              <w:rPr>
                <w:rFonts w:hint="eastAsia"/>
                <w:sz w:val="24"/>
              </w:rPr>
              <w:t>互联网带宽</w:t>
            </w:r>
          </w:p>
        </w:tc>
        <w:tc>
          <w:tcPr>
            <w:tcW w:w="1726" w:type="dxa"/>
            <w:noWrap w:val="0"/>
            <w:vAlign w:val="center"/>
          </w:tcPr>
          <w:p w14:paraId="4713F4B6">
            <w:pPr>
              <w:ind w:firstLine="480"/>
              <w:jc w:val="center"/>
              <w:rPr>
                <w:sz w:val="24"/>
              </w:rPr>
            </w:pPr>
            <w:r>
              <w:rPr>
                <w:rFonts w:hint="eastAsia"/>
                <w:sz w:val="24"/>
              </w:rPr>
              <w:t>1000M</w:t>
            </w:r>
          </w:p>
        </w:tc>
        <w:tc>
          <w:tcPr>
            <w:tcW w:w="1468" w:type="dxa"/>
            <w:noWrap w:val="0"/>
            <w:vAlign w:val="center"/>
          </w:tcPr>
          <w:p w14:paraId="1981DFBB">
            <w:pPr>
              <w:ind w:firstLine="480"/>
              <w:jc w:val="center"/>
              <w:rPr>
                <w:sz w:val="24"/>
              </w:rPr>
            </w:pPr>
            <w:r>
              <w:rPr>
                <w:rFonts w:hint="eastAsia"/>
                <w:sz w:val="24"/>
              </w:rPr>
              <w:t>1项</w:t>
            </w:r>
          </w:p>
        </w:tc>
        <w:tc>
          <w:tcPr>
            <w:tcW w:w="2367" w:type="dxa"/>
            <w:noWrap w:val="0"/>
            <w:vAlign w:val="center"/>
          </w:tcPr>
          <w:p w14:paraId="5C26197C">
            <w:pPr>
              <w:jc w:val="center"/>
              <w:rPr>
                <w:sz w:val="24"/>
              </w:rPr>
            </w:pPr>
            <w:r>
              <w:rPr>
                <w:rFonts w:hint="eastAsia"/>
                <w:sz w:val="24"/>
              </w:rPr>
              <w:t>政务云</w:t>
            </w:r>
          </w:p>
        </w:tc>
      </w:tr>
    </w:tbl>
    <w:p w14:paraId="5E2CC40C">
      <w:pPr>
        <w:spacing w:line="560" w:lineRule="exact"/>
        <w:ind w:firstLine="420"/>
        <w:jc w:val="left"/>
        <w:rPr>
          <w:rFonts w:ascii="宋体" w:hAnsi="宋体"/>
          <w:sz w:val="24"/>
        </w:rPr>
      </w:pPr>
      <w:r>
        <w:rPr>
          <w:rFonts w:hint="eastAsia" w:ascii="宋体" w:hAnsi="宋体"/>
          <w:sz w:val="24"/>
        </w:rPr>
        <w:t>2、项目背景或简况</w:t>
      </w:r>
    </w:p>
    <w:p w14:paraId="71C68A8D">
      <w:pPr>
        <w:spacing w:line="560" w:lineRule="exact"/>
        <w:ind w:firstLine="480" w:firstLineChars="200"/>
        <w:rPr>
          <w:rFonts w:ascii="宋体" w:hAnsi="宋体"/>
          <w:sz w:val="24"/>
        </w:rPr>
      </w:pPr>
      <w:r>
        <w:rPr>
          <w:rFonts w:hint="eastAsia" w:ascii="宋体" w:hAnsi="宋体"/>
          <w:sz w:val="24"/>
        </w:rPr>
        <w:t>市教委办公地址已搬迁至副中心办公区，办公人员日常互联网带宽使用园区互联网接入。市教委视频会议系统是基于北京市教育城域网接入使用，市教委副中心办公区作为主会场保留有200Mbps带宽用作视频会议系统日常正常使用需要。市教委视频会议系统以市委教育工委及市教委为主会场，17个区、24个直属单位、90所高校为二级终端分会场，全市中小学为三级终端分会场，承担着全市教育行业视频会议的音视频信号互通互联、实时交流的重要任务。该系统在日常工作中需要稳定的互联网带宽。</w:t>
      </w:r>
    </w:p>
    <w:p w14:paraId="0C006262">
      <w:pPr>
        <w:spacing w:line="560" w:lineRule="exact"/>
        <w:ind w:firstLine="480" w:firstLineChars="200"/>
        <w:rPr>
          <w:rFonts w:ascii="宋体" w:hAnsi="宋体"/>
          <w:sz w:val="24"/>
        </w:rPr>
      </w:pPr>
      <w:r>
        <w:rPr>
          <w:rFonts w:hint="eastAsia" w:ascii="宋体" w:hAnsi="宋体"/>
          <w:sz w:val="24"/>
        </w:rPr>
        <w:t>北京市数字教育中心承担着市教委或相关教育教学单位委托管理运行的各级各类教育教学应用服务系统的管理工作，北京市数字教育中心办公网也需要稳定持续的互联网服务，根据日常网络流量监控，目前需使用互联网带宽300Mbps。</w:t>
      </w:r>
    </w:p>
    <w:p w14:paraId="4FBB8CCE">
      <w:pPr>
        <w:spacing w:line="560" w:lineRule="exact"/>
        <w:ind w:firstLine="480" w:firstLineChars="200"/>
        <w:rPr>
          <w:rFonts w:ascii="宋体" w:hAnsi="宋体"/>
          <w:sz w:val="24"/>
        </w:rPr>
      </w:pPr>
      <w:r>
        <w:rPr>
          <w:rFonts w:hint="eastAsia" w:ascii="宋体" w:hAnsi="宋体"/>
          <w:sz w:val="24"/>
        </w:rPr>
        <w:t>市教委作为市级单位严格按照“上云为常态，不上云为例外”的原则，将业务信息系统已全部迁移入政务云，为保证这些系统正常运行，为教委政务云应用系统接入保留1000Mbps带宽。</w:t>
      </w:r>
    </w:p>
    <w:p w14:paraId="5AA4AECC">
      <w:pPr>
        <w:spacing w:line="560" w:lineRule="exact"/>
        <w:ind w:firstLine="480" w:firstLineChars="200"/>
        <w:rPr>
          <w:rFonts w:ascii="宋体" w:hAnsi="宋体"/>
          <w:sz w:val="24"/>
        </w:rPr>
      </w:pPr>
      <w:r>
        <w:rPr>
          <w:rFonts w:hint="eastAsia" w:ascii="宋体" w:hAnsi="宋体"/>
          <w:sz w:val="24"/>
        </w:rPr>
        <w:t>因此，为满足以上业务需求，此项目计划采购1.5G互联网带宽服务。</w:t>
      </w:r>
    </w:p>
    <w:p w14:paraId="537C4FB8">
      <w:pPr>
        <w:numPr>
          <w:ilvl w:val="0"/>
          <w:numId w:val="1"/>
        </w:numPr>
        <w:adjustRightInd w:val="0"/>
        <w:spacing w:line="560" w:lineRule="exact"/>
        <w:ind w:firstLine="482"/>
        <w:jc w:val="left"/>
        <w:textAlignment w:val="baseline"/>
        <w:rPr>
          <w:b/>
          <w:sz w:val="24"/>
        </w:rPr>
      </w:pPr>
      <w:r>
        <w:rPr>
          <w:rFonts w:hint="eastAsia"/>
          <w:b/>
          <w:sz w:val="24"/>
        </w:rPr>
        <w:t>商务要求</w:t>
      </w:r>
    </w:p>
    <w:p w14:paraId="61FBAA67">
      <w:pPr>
        <w:spacing w:line="560" w:lineRule="exact"/>
        <w:ind w:firstLine="420"/>
        <w:rPr>
          <w:sz w:val="24"/>
        </w:rPr>
      </w:pPr>
      <w:r>
        <w:rPr>
          <w:rFonts w:hint="eastAsia"/>
          <w:sz w:val="24"/>
        </w:rPr>
        <w:t>1、交付（实施）的时间（期限）和地点（范围）</w:t>
      </w:r>
    </w:p>
    <w:p w14:paraId="41F97E63">
      <w:pPr>
        <w:spacing w:line="560" w:lineRule="exact"/>
        <w:ind w:firstLine="420"/>
        <w:rPr>
          <w:sz w:val="24"/>
        </w:rPr>
      </w:pPr>
      <w:r>
        <w:rPr>
          <w:rFonts w:hint="eastAsia"/>
          <w:sz w:val="24"/>
        </w:rPr>
        <w:t>合同履约期：自合同签订之日起一年；</w:t>
      </w:r>
    </w:p>
    <w:p w14:paraId="50473C7C">
      <w:pPr>
        <w:spacing w:line="560" w:lineRule="exact"/>
        <w:ind w:firstLine="420"/>
        <w:rPr>
          <w:sz w:val="24"/>
        </w:rPr>
      </w:pPr>
      <w:r>
        <w:rPr>
          <w:rFonts w:hint="eastAsia"/>
          <w:sz w:val="24"/>
        </w:rPr>
        <w:t>服务交付期限：合同签订后</w:t>
      </w:r>
      <w:r>
        <w:rPr>
          <w:sz w:val="24"/>
        </w:rPr>
        <w:t>1</w:t>
      </w:r>
      <w:r>
        <w:rPr>
          <w:rFonts w:hint="eastAsia"/>
          <w:sz w:val="24"/>
        </w:rPr>
        <w:t>个自然日内完成交付使用；</w:t>
      </w:r>
    </w:p>
    <w:p w14:paraId="2DC30A08">
      <w:pPr>
        <w:spacing w:line="560" w:lineRule="exact"/>
        <w:ind w:firstLine="420"/>
        <w:rPr>
          <w:sz w:val="24"/>
        </w:rPr>
      </w:pPr>
      <w:r>
        <w:rPr>
          <w:rFonts w:hint="eastAsia"/>
          <w:sz w:val="24"/>
        </w:rPr>
        <w:t>服务地点：</w:t>
      </w:r>
    </w:p>
    <w:p w14:paraId="7F479102">
      <w:pPr>
        <w:spacing w:line="560" w:lineRule="exact"/>
        <w:ind w:firstLine="420"/>
        <w:rPr>
          <w:sz w:val="24"/>
        </w:rPr>
      </w:pPr>
      <w:r>
        <w:rPr>
          <w:rFonts w:hint="eastAsia"/>
          <w:sz w:val="24"/>
        </w:rPr>
        <w:t>（1）市教委办公区（通州区达济街6号院2号楼）</w:t>
      </w:r>
    </w:p>
    <w:p w14:paraId="5FFD0FD9">
      <w:pPr>
        <w:spacing w:line="560" w:lineRule="exact"/>
        <w:ind w:firstLine="420"/>
        <w:rPr>
          <w:sz w:val="24"/>
        </w:rPr>
      </w:pPr>
      <w:r>
        <w:rPr>
          <w:rFonts w:hint="eastAsia"/>
          <w:sz w:val="24"/>
        </w:rPr>
        <w:t>（2）北京市级政务云机房（丰台区西三环中路1号）</w:t>
      </w:r>
    </w:p>
    <w:p w14:paraId="44E852D1">
      <w:pPr>
        <w:spacing w:line="560" w:lineRule="exact"/>
        <w:ind w:firstLine="420"/>
        <w:rPr>
          <w:sz w:val="24"/>
        </w:rPr>
      </w:pPr>
      <w:r>
        <w:rPr>
          <w:rFonts w:hint="eastAsia"/>
          <w:sz w:val="24"/>
        </w:rPr>
        <w:t>（3）北京市数字教育中心（西城区地安门西大街1</w:t>
      </w:r>
      <w:r>
        <w:rPr>
          <w:sz w:val="24"/>
        </w:rPr>
        <w:t>53</w:t>
      </w:r>
      <w:r>
        <w:rPr>
          <w:rFonts w:hint="eastAsia"/>
          <w:sz w:val="24"/>
        </w:rPr>
        <w:t>号）</w:t>
      </w:r>
    </w:p>
    <w:p w14:paraId="203F080B">
      <w:pPr>
        <w:spacing w:line="560" w:lineRule="exact"/>
        <w:ind w:firstLine="420"/>
        <w:rPr>
          <w:sz w:val="24"/>
        </w:rPr>
      </w:pPr>
      <w:r>
        <w:rPr>
          <w:rFonts w:hint="eastAsia"/>
          <w:sz w:val="24"/>
        </w:rPr>
        <w:t>2、付款条件（进度和方式）</w:t>
      </w:r>
    </w:p>
    <w:p w14:paraId="36D949A1">
      <w:pPr>
        <w:spacing w:line="360" w:lineRule="auto"/>
        <w:ind w:firstLine="480" w:firstLineChars="200"/>
        <w:contextualSpacing/>
        <w:rPr>
          <w:bCs/>
          <w:sz w:val="24"/>
        </w:rPr>
      </w:pPr>
      <w:r>
        <w:rPr>
          <w:rFonts w:hint="eastAsia"/>
          <w:bCs/>
          <w:sz w:val="24"/>
        </w:rPr>
        <w:t>合同签订且财政经费下达后的 10 个工作日内，采购人付合同总额的</w:t>
      </w:r>
      <w:r>
        <w:rPr>
          <w:bCs/>
          <w:sz w:val="24"/>
        </w:rPr>
        <w:t>7</w:t>
      </w:r>
      <w:r>
        <w:rPr>
          <w:rFonts w:hint="eastAsia"/>
          <w:bCs/>
          <w:sz w:val="24"/>
        </w:rPr>
        <w:t>0%给中标人；</w:t>
      </w:r>
    </w:p>
    <w:p w14:paraId="4EFEA0BC">
      <w:pPr>
        <w:spacing w:line="360" w:lineRule="auto"/>
        <w:ind w:firstLine="480" w:firstLineChars="200"/>
        <w:contextualSpacing/>
        <w:rPr>
          <w:bCs/>
          <w:sz w:val="24"/>
        </w:rPr>
      </w:pPr>
      <w:r>
        <w:rPr>
          <w:rFonts w:hint="eastAsia"/>
          <w:bCs/>
          <w:sz w:val="24"/>
        </w:rPr>
        <w:t>项目验收合格且财政经费下达后的 10个工作日内，采购人付合同总额的</w:t>
      </w:r>
      <w:r>
        <w:rPr>
          <w:bCs/>
          <w:sz w:val="24"/>
        </w:rPr>
        <w:t>3</w:t>
      </w:r>
      <w:r>
        <w:rPr>
          <w:rFonts w:hint="eastAsia"/>
          <w:bCs/>
          <w:sz w:val="24"/>
        </w:rPr>
        <w:t>0%作为尾款给中标人。</w:t>
      </w:r>
    </w:p>
    <w:p w14:paraId="67780222">
      <w:pPr>
        <w:spacing w:line="560" w:lineRule="exact"/>
        <w:ind w:firstLine="420"/>
        <w:rPr>
          <w:sz w:val="24"/>
        </w:rPr>
      </w:pPr>
      <w:r>
        <w:rPr>
          <w:sz w:val="24"/>
        </w:rPr>
        <w:t>3</w:t>
      </w:r>
      <w:r>
        <w:rPr>
          <w:rFonts w:hint="eastAsia"/>
          <w:sz w:val="24"/>
        </w:rPr>
        <w:t>、售后服务及培训要求</w:t>
      </w:r>
    </w:p>
    <w:p w14:paraId="3D7E285E">
      <w:pPr>
        <w:snapToGrid w:val="0"/>
        <w:spacing w:line="360" w:lineRule="auto"/>
        <w:ind w:firstLine="480" w:firstLineChars="200"/>
        <w:rPr>
          <w:rFonts w:ascii="宋体" w:hAnsi="宋体" w:cs="宋体"/>
          <w:sz w:val="24"/>
        </w:rPr>
      </w:pPr>
      <w:r>
        <w:rPr>
          <w:rFonts w:hint="eastAsia" w:ascii="宋体" w:hAnsi="宋体" w:cs="宋体"/>
          <w:sz w:val="24"/>
        </w:rPr>
        <w:t>服务期内，投标人须设有7×24小时电话响应服务、具备运维团队，提供售后服务保障。团队成员应明确职责，架构清晰，岗位设置合理，且具备与本项目相关的项目服务经验。</w:t>
      </w:r>
    </w:p>
    <w:p w14:paraId="01D5E663">
      <w:pPr>
        <w:snapToGrid w:val="0"/>
        <w:spacing w:line="360" w:lineRule="auto"/>
        <w:ind w:firstLine="480" w:firstLineChars="200"/>
        <w:rPr>
          <w:sz w:val="24"/>
        </w:rPr>
      </w:pPr>
      <w:r>
        <w:rPr>
          <w:sz w:val="24"/>
        </w:rPr>
        <w:t>4</w:t>
      </w:r>
      <w:r>
        <w:rPr>
          <w:rFonts w:hint="eastAsia"/>
          <w:sz w:val="24"/>
        </w:rPr>
        <w:t>、服务团队要求</w:t>
      </w:r>
    </w:p>
    <w:p w14:paraId="053977AF">
      <w:pPr>
        <w:snapToGrid w:val="0"/>
        <w:spacing w:line="360" w:lineRule="auto"/>
        <w:ind w:firstLine="480" w:firstLineChars="200"/>
        <w:rPr>
          <w:rFonts w:hint="eastAsia" w:ascii="宋体" w:hAnsi="宋体" w:cs="宋体"/>
          <w:sz w:val="24"/>
        </w:rPr>
      </w:pPr>
      <w:r>
        <w:rPr>
          <w:rFonts w:hint="eastAsia" w:ascii="宋体" w:hAnsi="宋体" w:cs="宋体"/>
          <w:sz w:val="24"/>
        </w:rPr>
        <w:t>投标人须提供</w:t>
      </w:r>
      <w:r>
        <w:rPr>
          <w:rFonts w:ascii="宋体" w:hAnsi="宋体" w:cs="宋体"/>
          <w:sz w:val="24"/>
        </w:rPr>
        <w:t>1</w:t>
      </w:r>
      <w:r>
        <w:rPr>
          <w:rFonts w:hint="eastAsia" w:ascii="宋体" w:hAnsi="宋体" w:cs="宋体"/>
          <w:sz w:val="24"/>
        </w:rPr>
        <w:t>名项目经理、1名技术负责人以及不少于</w:t>
      </w:r>
      <w:r>
        <w:rPr>
          <w:rFonts w:ascii="宋体" w:hAnsi="宋体" w:cs="宋体"/>
          <w:sz w:val="24"/>
        </w:rPr>
        <w:t>2</w:t>
      </w:r>
      <w:r>
        <w:rPr>
          <w:rFonts w:hint="eastAsia" w:ascii="宋体" w:hAnsi="宋体" w:cs="宋体"/>
          <w:sz w:val="24"/>
        </w:rPr>
        <w:t>名技术工程师，为本项目提供服务。项目经理需按照采购人要求，承担网络资源服务保障具体工作，服务团队要求如下：</w:t>
      </w:r>
    </w:p>
    <w:tbl>
      <w:tblPr>
        <w:tblStyle w:val="4"/>
        <w:tblW w:w="0" w:type="auto"/>
        <w:tblInd w:w="0" w:type="dxa"/>
        <w:tblLayout w:type="fixed"/>
        <w:tblCellMar>
          <w:top w:w="0" w:type="dxa"/>
          <w:left w:w="108" w:type="dxa"/>
          <w:bottom w:w="0" w:type="dxa"/>
          <w:right w:w="108" w:type="dxa"/>
        </w:tblCellMar>
      </w:tblPr>
      <w:tblGrid>
        <w:gridCol w:w="960"/>
        <w:gridCol w:w="849"/>
        <w:gridCol w:w="2127"/>
        <w:gridCol w:w="3969"/>
      </w:tblGrid>
      <w:tr w14:paraId="6A645E89">
        <w:tblPrEx>
          <w:tblCellMar>
            <w:top w:w="0" w:type="dxa"/>
            <w:left w:w="108" w:type="dxa"/>
            <w:bottom w:w="0" w:type="dxa"/>
            <w:right w:w="108" w:type="dxa"/>
          </w:tblCellMar>
        </w:tblPrEx>
        <w:trPr>
          <w:trHeight w:val="70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4C553EFD">
            <w:pPr>
              <w:adjustRightInd w:val="0"/>
              <w:spacing w:line="440" w:lineRule="exact"/>
              <w:jc w:val="center"/>
              <w:textAlignment w:val="baseline"/>
              <w:rPr>
                <w:rFonts w:ascii="宋体" w:hAnsi="宋体" w:cs="宋体"/>
                <w:bCs/>
                <w:color w:val="000000"/>
                <w:sz w:val="24"/>
              </w:rPr>
            </w:pPr>
            <w:r>
              <w:rPr>
                <w:rFonts w:hint="eastAsia" w:ascii="宋体" w:hAnsi="宋体" w:cs="宋体"/>
                <w:bCs/>
                <w:color w:val="000000"/>
                <w:sz w:val="24"/>
              </w:rPr>
              <w:t>岗位</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26A63F4C">
            <w:pPr>
              <w:adjustRightInd w:val="0"/>
              <w:spacing w:line="440" w:lineRule="exact"/>
              <w:jc w:val="center"/>
              <w:textAlignment w:val="baseline"/>
              <w:rPr>
                <w:rFonts w:ascii="宋体" w:hAnsi="宋体" w:cs="宋体"/>
                <w:bCs/>
                <w:color w:val="000000"/>
                <w:sz w:val="24"/>
              </w:rPr>
            </w:pPr>
            <w:r>
              <w:rPr>
                <w:rFonts w:hint="eastAsia" w:ascii="宋体" w:hAnsi="宋体" w:cs="宋体"/>
                <w:bCs/>
                <w:color w:val="000000"/>
                <w:sz w:val="24"/>
              </w:rPr>
              <w:t>数量</w:t>
            </w:r>
          </w:p>
        </w:tc>
        <w:tc>
          <w:tcPr>
            <w:tcW w:w="2127" w:type="dxa"/>
            <w:tcBorders>
              <w:top w:val="single" w:color="auto" w:sz="6" w:space="0"/>
              <w:left w:val="single" w:color="auto" w:sz="4" w:space="0"/>
              <w:bottom w:val="single" w:color="auto" w:sz="4" w:space="0"/>
              <w:right w:val="single" w:color="auto" w:sz="6" w:space="0"/>
            </w:tcBorders>
            <w:noWrap w:val="0"/>
            <w:vAlign w:val="center"/>
          </w:tcPr>
          <w:p w14:paraId="3B9408A7">
            <w:pPr>
              <w:adjustRightInd w:val="0"/>
              <w:spacing w:line="440" w:lineRule="exact"/>
              <w:jc w:val="center"/>
              <w:textAlignment w:val="baseline"/>
              <w:rPr>
                <w:rFonts w:ascii="宋体" w:hAnsi="宋体" w:cs="宋体"/>
                <w:bCs/>
                <w:color w:val="000000"/>
                <w:sz w:val="24"/>
              </w:rPr>
            </w:pPr>
            <w:r>
              <w:rPr>
                <w:rFonts w:hint="eastAsia" w:ascii="宋体" w:hAnsi="宋体" w:cs="宋体"/>
                <w:bCs/>
                <w:color w:val="000000"/>
                <w:sz w:val="24"/>
              </w:rPr>
              <w:t>工作经验</w:t>
            </w:r>
          </w:p>
        </w:tc>
        <w:tc>
          <w:tcPr>
            <w:tcW w:w="3969" w:type="dxa"/>
            <w:tcBorders>
              <w:top w:val="single" w:color="auto" w:sz="6" w:space="0"/>
              <w:left w:val="single" w:color="auto" w:sz="6" w:space="0"/>
              <w:bottom w:val="single" w:color="auto" w:sz="4" w:space="0"/>
              <w:right w:val="single" w:color="auto" w:sz="6" w:space="0"/>
            </w:tcBorders>
            <w:noWrap w:val="0"/>
            <w:vAlign w:val="center"/>
          </w:tcPr>
          <w:p w14:paraId="7C8DC9C2">
            <w:pPr>
              <w:adjustRightInd w:val="0"/>
              <w:spacing w:line="440" w:lineRule="exact"/>
              <w:jc w:val="center"/>
              <w:textAlignment w:val="baseline"/>
              <w:rPr>
                <w:rFonts w:ascii="宋体" w:hAnsi="宋体" w:cs="宋体"/>
                <w:bCs/>
                <w:color w:val="000000"/>
                <w:sz w:val="24"/>
              </w:rPr>
            </w:pPr>
            <w:r>
              <w:rPr>
                <w:rFonts w:hint="eastAsia" w:ascii="宋体" w:hAnsi="宋体" w:cs="宋体"/>
                <w:bCs/>
                <w:color w:val="000000"/>
                <w:sz w:val="24"/>
              </w:rPr>
              <w:t>职责分工</w:t>
            </w:r>
          </w:p>
        </w:tc>
      </w:tr>
      <w:tr w14:paraId="76433DB0">
        <w:tblPrEx>
          <w:tblCellMar>
            <w:top w:w="0" w:type="dxa"/>
            <w:left w:w="108" w:type="dxa"/>
            <w:bottom w:w="0" w:type="dxa"/>
            <w:right w:w="108" w:type="dxa"/>
          </w:tblCellMar>
        </w:tblPrEx>
        <w:trPr>
          <w:trHeight w:val="1270"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4F4C149F">
            <w:pPr>
              <w:adjustRightInd w:val="0"/>
              <w:spacing w:line="440" w:lineRule="exact"/>
              <w:jc w:val="center"/>
              <w:textAlignment w:val="baseline"/>
              <w:rPr>
                <w:rFonts w:ascii="宋体" w:hAnsi="宋体" w:cs="宋体"/>
                <w:bCs/>
                <w:color w:val="000000"/>
                <w:sz w:val="24"/>
              </w:rPr>
            </w:pPr>
            <w:r>
              <w:rPr>
                <w:rFonts w:hint="eastAsia" w:ascii="宋体" w:hAnsi="宋体" w:cs="宋体"/>
                <w:bCs/>
                <w:color w:val="000000"/>
                <w:sz w:val="24"/>
              </w:rPr>
              <w:t>项目</w:t>
            </w:r>
          </w:p>
          <w:p w14:paraId="1C5A01D1">
            <w:pPr>
              <w:adjustRightInd w:val="0"/>
              <w:spacing w:line="440" w:lineRule="exact"/>
              <w:jc w:val="center"/>
              <w:textAlignment w:val="baseline"/>
              <w:rPr>
                <w:rFonts w:ascii="宋体" w:hAnsi="宋体" w:cs="宋体"/>
                <w:bCs/>
                <w:color w:val="000000"/>
                <w:sz w:val="24"/>
              </w:rPr>
            </w:pPr>
            <w:r>
              <w:rPr>
                <w:rFonts w:hint="eastAsia" w:ascii="宋体" w:hAnsi="宋体" w:cs="宋体"/>
                <w:bCs/>
                <w:color w:val="000000"/>
                <w:sz w:val="24"/>
              </w:rPr>
              <w:t>经理</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2E880E30">
            <w:pPr>
              <w:adjustRightInd w:val="0"/>
              <w:spacing w:line="440" w:lineRule="exact"/>
              <w:jc w:val="center"/>
              <w:textAlignment w:val="baseline"/>
              <w:rPr>
                <w:rFonts w:ascii="宋体" w:hAnsi="宋体" w:cs="宋体"/>
                <w:bCs/>
                <w:color w:val="000000"/>
                <w:sz w:val="24"/>
              </w:rPr>
            </w:pPr>
            <w:r>
              <w:rPr>
                <w:rFonts w:ascii="宋体" w:hAnsi="宋体" w:cs="宋体"/>
                <w:bCs/>
                <w:color w:val="000000"/>
                <w:sz w:val="24"/>
              </w:rPr>
              <w:t>1</w:t>
            </w:r>
          </w:p>
        </w:tc>
        <w:tc>
          <w:tcPr>
            <w:tcW w:w="2127" w:type="dxa"/>
            <w:tcBorders>
              <w:top w:val="single" w:color="auto" w:sz="6" w:space="0"/>
              <w:left w:val="single" w:color="auto" w:sz="4" w:space="0"/>
              <w:bottom w:val="single" w:color="auto" w:sz="4" w:space="0"/>
              <w:right w:val="single" w:color="auto" w:sz="6" w:space="0"/>
            </w:tcBorders>
            <w:noWrap w:val="0"/>
            <w:vAlign w:val="center"/>
          </w:tcPr>
          <w:p w14:paraId="084F07C6">
            <w:pPr>
              <w:adjustRightInd w:val="0"/>
              <w:spacing w:line="440" w:lineRule="exact"/>
              <w:jc w:val="center"/>
              <w:textAlignment w:val="baseline"/>
              <w:rPr>
                <w:rFonts w:ascii="宋体" w:hAnsi="宋体" w:cs="宋体"/>
                <w:bCs/>
                <w:color w:val="000000"/>
                <w:sz w:val="24"/>
              </w:rPr>
            </w:pPr>
            <w:r>
              <w:rPr>
                <w:rFonts w:hint="eastAsia" w:ascii="宋体" w:hAnsi="宋体" w:cs="宋体"/>
                <w:bCs/>
                <w:sz w:val="24"/>
              </w:rPr>
              <w:t>有</w:t>
            </w:r>
            <w:r>
              <w:rPr>
                <w:rFonts w:ascii="宋体" w:hAnsi="宋体" w:cs="宋体"/>
                <w:bCs/>
                <w:sz w:val="24"/>
              </w:rPr>
              <w:t>5</w:t>
            </w:r>
            <w:r>
              <w:rPr>
                <w:rFonts w:hint="eastAsia" w:ascii="宋体" w:hAnsi="宋体" w:cs="宋体"/>
                <w:bCs/>
                <w:sz w:val="24"/>
              </w:rPr>
              <w:t>年及以上项目管理工作经验</w:t>
            </w:r>
          </w:p>
        </w:tc>
        <w:tc>
          <w:tcPr>
            <w:tcW w:w="3969" w:type="dxa"/>
            <w:tcBorders>
              <w:top w:val="single" w:color="auto" w:sz="6" w:space="0"/>
              <w:left w:val="single" w:color="auto" w:sz="6" w:space="0"/>
              <w:bottom w:val="single" w:color="auto" w:sz="4" w:space="0"/>
              <w:right w:val="single" w:color="auto" w:sz="6" w:space="0"/>
            </w:tcBorders>
            <w:noWrap w:val="0"/>
            <w:vAlign w:val="center"/>
          </w:tcPr>
          <w:p w14:paraId="02B3DCD0">
            <w:pPr>
              <w:adjustRightInd w:val="0"/>
              <w:spacing w:line="440" w:lineRule="exact"/>
              <w:jc w:val="left"/>
              <w:textAlignment w:val="baseline"/>
              <w:rPr>
                <w:rFonts w:ascii="宋体" w:hAnsi="宋体" w:cs="宋体"/>
                <w:bCs/>
                <w:sz w:val="24"/>
              </w:rPr>
            </w:pPr>
            <w:r>
              <w:rPr>
                <w:rFonts w:hint="eastAsia" w:ascii="宋体" w:hAnsi="宋体" w:cs="宋体"/>
                <w:bCs/>
                <w:sz w:val="24"/>
              </w:rPr>
              <w:t>负责完成人力调度、实施安排、进度控制，以及与采购人协调等工作。</w:t>
            </w:r>
          </w:p>
        </w:tc>
      </w:tr>
      <w:tr w14:paraId="371B6533">
        <w:tblPrEx>
          <w:tblCellMar>
            <w:top w:w="0" w:type="dxa"/>
            <w:left w:w="108" w:type="dxa"/>
            <w:bottom w:w="0" w:type="dxa"/>
            <w:right w:w="108" w:type="dxa"/>
          </w:tblCellMar>
        </w:tblPrEx>
        <w:trPr>
          <w:trHeight w:val="1635"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599B13BE">
            <w:pPr>
              <w:adjustRightInd w:val="0"/>
              <w:spacing w:line="440" w:lineRule="exact"/>
              <w:jc w:val="center"/>
              <w:textAlignment w:val="baseline"/>
              <w:rPr>
                <w:rFonts w:ascii="宋体" w:hAnsi="宋体" w:cs="宋体"/>
                <w:bCs/>
                <w:color w:val="000000"/>
                <w:sz w:val="24"/>
              </w:rPr>
            </w:pPr>
            <w:r>
              <w:rPr>
                <w:rFonts w:hint="eastAsia" w:ascii="宋体" w:hAnsi="宋体" w:cs="宋体"/>
                <w:bCs/>
                <w:color w:val="000000"/>
                <w:sz w:val="24"/>
              </w:rPr>
              <w:t>技术负责人</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38A35F55">
            <w:pPr>
              <w:adjustRightInd w:val="0"/>
              <w:spacing w:line="440" w:lineRule="exact"/>
              <w:jc w:val="center"/>
              <w:textAlignment w:val="baseline"/>
              <w:rPr>
                <w:rFonts w:ascii="宋体" w:hAnsi="宋体" w:cs="宋体"/>
                <w:bCs/>
                <w:color w:val="000000"/>
                <w:sz w:val="24"/>
              </w:rPr>
            </w:pPr>
            <w:r>
              <w:rPr>
                <w:rFonts w:hint="eastAsia" w:ascii="宋体" w:hAnsi="宋体" w:cs="宋体"/>
                <w:bCs/>
                <w:color w:val="000000"/>
                <w:sz w:val="24"/>
              </w:rPr>
              <w:t>1</w:t>
            </w:r>
          </w:p>
        </w:tc>
        <w:tc>
          <w:tcPr>
            <w:tcW w:w="2127" w:type="dxa"/>
            <w:tcBorders>
              <w:top w:val="single" w:color="auto" w:sz="6" w:space="0"/>
              <w:left w:val="single" w:color="auto" w:sz="4" w:space="0"/>
              <w:bottom w:val="single" w:color="auto" w:sz="4" w:space="0"/>
              <w:right w:val="single" w:color="auto" w:sz="6" w:space="0"/>
            </w:tcBorders>
            <w:noWrap w:val="0"/>
            <w:vAlign w:val="center"/>
          </w:tcPr>
          <w:p w14:paraId="1E4324DB">
            <w:pPr>
              <w:adjustRightInd w:val="0"/>
              <w:spacing w:line="440" w:lineRule="exact"/>
              <w:jc w:val="center"/>
              <w:textAlignment w:val="baseline"/>
              <w:rPr>
                <w:rFonts w:ascii="宋体" w:hAnsi="宋体" w:cs="宋体"/>
                <w:bCs/>
                <w:color w:val="000000"/>
                <w:sz w:val="24"/>
              </w:rPr>
            </w:pPr>
            <w:r>
              <w:rPr>
                <w:rFonts w:hint="eastAsia" w:ascii="宋体" w:hAnsi="宋体" w:cs="宋体"/>
                <w:bCs/>
                <w:sz w:val="24"/>
              </w:rPr>
              <w:t>有</w:t>
            </w:r>
            <w:r>
              <w:rPr>
                <w:rFonts w:ascii="宋体" w:hAnsi="宋体" w:cs="宋体"/>
                <w:bCs/>
                <w:sz w:val="24"/>
              </w:rPr>
              <w:t>5</w:t>
            </w:r>
            <w:r>
              <w:rPr>
                <w:rFonts w:hint="eastAsia" w:ascii="宋体" w:hAnsi="宋体" w:cs="宋体"/>
                <w:bCs/>
                <w:sz w:val="24"/>
              </w:rPr>
              <w:t>年及以上网络运维工作经验</w:t>
            </w:r>
          </w:p>
        </w:tc>
        <w:tc>
          <w:tcPr>
            <w:tcW w:w="3969" w:type="dxa"/>
            <w:tcBorders>
              <w:top w:val="single" w:color="auto" w:sz="4" w:space="0"/>
              <w:left w:val="single" w:color="auto" w:sz="6" w:space="0"/>
              <w:bottom w:val="single" w:color="auto" w:sz="4" w:space="0"/>
              <w:right w:val="single" w:color="auto" w:sz="6" w:space="0"/>
            </w:tcBorders>
            <w:noWrap w:val="0"/>
            <w:vAlign w:val="center"/>
          </w:tcPr>
          <w:p w14:paraId="76C95ECE">
            <w:pPr>
              <w:adjustRightInd w:val="0"/>
              <w:spacing w:line="440" w:lineRule="exact"/>
              <w:jc w:val="left"/>
              <w:textAlignment w:val="baseline"/>
              <w:rPr>
                <w:rFonts w:ascii="宋体" w:hAnsi="宋体" w:cs="宋体"/>
                <w:bCs/>
                <w:sz w:val="24"/>
              </w:rPr>
            </w:pPr>
            <w:r>
              <w:rPr>
                <w:rFonts w:hint="eastAsia" w:ascii="宋体" w:hAnsi="宋体" w:cs="宋体"/>
                <w:bCs/>
                <w:sz w:val="24"/>
              </w:rPr>
              <w:t>负责完成对接采购人的技术需求，根据采购人实际需要提出合理的技术解决方案。</w:t>
            </w:r>
          </w:p>
        </w:tc>
      </w:tr>
      <w:tr w14:paraId="72EAB4DD">
        <w:tblPrEx>
          <w:tblCellMar>
            <w:top w:w="0" w:type="dxa"/>
            <w:left w:w="108" w:type="dxa"/>
            <w:bottom w:w="0" w:type="dxa"/>
            <w:right w:w="108" w:type="dxa"/>
          </w:tblCellMar>
        </w:tblPrEx>
        <w:trPr>
          <w:trHeight w:val="1335"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53A3504B">
            <w:pPr>
              <w:adjustRightInd w:val="0"/>
              <w:spacing w:line="440" w:lineRule="exact"/>
              <w:jc w:val="center"/>
              <w:textAlignment w:val="baseline"/>
              <w:rPr>
                <w:rFonts w:ascii="宋体" w:hAnsi="宋体" w:cs="宋体"/>
                <w:bCs/>
                <w:color w:val="000000"/>
                <w:sz w:val="24"/>
              </w:rPr>
            </w:pPr>
            <w:r>
              <w:rPr>
                <w:rFonts w:hint="eastAsia" w:ascii="宋体" w:hAnsi="宋体" w:cs="宋体"/>
                <w:bCs/>
                <w:color w:val="000000"/>
                <w:sz w:val="24"/>
              </w:rPr>
              <w:t>项目</w:t>
            </w:r>
          </w:p>
          <w:p w14:paraId="5F632687">
            <w:pPr>
              <w:adjustRightInd w:val="0"/>
              <w:spacing w:line="440" w:lineRule="exact"/>
              <w:jc w:val="center"/>
              <w:textAlignment w:val="baseline"/>
              <w:rPr>
                <w:rFonts w:ascii="宋体" w:hAnsi="宋体" w:cs="宋体"/>
                <w:bCs/>
                <w:color w:val="000000"/>
                <w:sz w:val="24"/>
              </w:rPr>
            </w:pPr>
            <w:r>
              <w:rPr>
                <w:rFonts w:hint="eastAsia" w:ascii="宋体" w:hAnsi="宋体" w:cs="宋体"/>
                <w:bCs/>
                <w:color w:val="000000"/>
                <w:sz w:val="24"/>
              </w:rPr>
              <w:t>人员</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4BCEB88C">
            <w:pPr>
              <w:adjustRightInd w:val="0"/>
              <w:spacing w:line="440" w:lineRule="exact"/>
              <w:jc w:val="center"/>
              <w:textAlignment w:val="baseline"/>
              <w:rPr>
                <w:rFonts w:ascii="宋体" w:hAnsi="宋体" w:cs="宋体"/>
                <w:bCs/>
                <w:color w:val="000000"/>
                <w:sz w:val="24"/>
              </w:rPr>
            </w:pPr>
            <w:r>
              <w:rPr>
                <w:rFonts w:ascii="宋体" w:hAnsi="宋体" w:cs="宋体"/>
                <w:bCs/>
                <w:color w:val="000000"/>
                <w:sz w:val="24"/>
              </w:rPr>
              <w:t>2</w:t>
            </w:r>
          </w:p>
        </w:tc>
        <w:tc>
          <w:tcPr>
            <w:tcW w:w="2127" w:type="dxa"/>
            <w:tcBorders>
              <w:top w:val="single" w:color="auto" w:sz="4" w:space="0"/>
              <w:left w:val="single" w:color="auto" w:sz="4" w:space="0"/>
              <w:bottom w:val="single" w:color="auto" w:sz="6" w:space="0"/>
              <w:right w:val="single" w:color="auto" w:sz="6" w:space="0"/>
            </w:tcBorders>
            <w:noWrap w:val="0"/>
            <w:vAlign w:val="center"/>
          </w:tcPr>
          <w:p w14:paraId="2F2E6716">
            <w:pPr>
              <w:adjustRightInd w:val="0"/>
              <w:spacing w:line="440" w:lineRule="exact"/>
              <w:jc w:val="center"/>
              <w:textAlignment w:val="baseline"/>
              <w:rPr>
                <w:rFonts w:ascii="宋体" w:hAnsi="宋体" w:cs="宋体"/>
                <w:bCs/>
                <w:color w:val="000000"/>
                <w:sz w:val="24"/>
              </w:rPr>
            </w:pPr>
            <w:r>
              <w:rPr>
                <w:rFonts w:hint="eastAsia" w:ascii="宋体" w:hAnsi="宋体" w:cs="宋体"/>
                <w:bCs/>
                <w:sz w:val="24"/>
              </w:rPr>
              <w:t>有</w:t>
            </w:r>
            <w:r>
              <w:rPr>
                <w:rFonts w:ascii="宋体" w:hAnsi="宋体" w:cs="宋体"/>
                <w:bCs/>
                <w:sz w:val="24"/>
              </w:rPr>
              <w:t>5</w:t>
            </w:r>
            <w:r>
              <w:rPr>
                <w:rFonts w:hint="eastAsia" w:ascii="宋体" w:hAnsi="宋体" w:cs="宋体"/>
                <w:bCs/>
                <w:sz w:val="24"/>
              </w:rPr>
              <w:t>年及以上网络运维工作经验</w:t>
            </w:r>
          </w:p>
        </w:tc>
        <w:tc>
          <w:tcPr>
            <w:tcW w:w="3969" w:type="dxa"/>
            <w:tcBorders>
              <w:top w:val="single" w:color="auto" w:sz="4" w:space="0"/>
              <w:left w:val="single" w:color="auto" w:sz="6" w:space="0"/>
              <w:bottom w:val="single" w:color="auto" w:sz="6" w:space="0"/>
              <w:right w:val="single" w:color="auto" w:sz="6" w:space="0"/>
            </w:tcBorders>
            <w:noWrap w:val="0"/>
            <w:vAlign w:val="center"/>
          </w:tcPr>
          <w:p w14:paraId="386FF24F">
            <w:pPr>
              <w:adjustRightInd w:val="0"/>
              <w:spacing w:line="440" w:lineRule="exact"/>
              <w:jc w:val="left"/>
              <w:textAlignment w:val="baseline"/>
              <w:rPr>
                <w:rFonts w:ascii="宋体" w:hAnsi="宋体" w:cs="宋体"/>
                <w:bCs/>
                <w:color w:val="000000"/>
                <w:sz w:val="24"/>
              </w:rPr>
            </w:pPr>
            <w:r>
              <w:rPr>
                <w:rFonts w:hint="eastAsia" w:ascii="宋体" w:hAnsi="宋体" w:cs="宋体"/>
                <w:bCs/>
                <w:color w:val="000000"/>
                <w:sz w:val="24"/>
              </w:rPr>
              <w:t>负责日常运维，故障处置等；</w:t>
            </w:r>
          </w:p>
        </w:tc>
      </w:tr>
    </w:tbl>
    <w:p w14:paraId="2C97FF7F">
      <w:pPr>
        <w:spacing w:line="360" w:lineRule="auto"/>
        <w:ind w:firstLine="480" w:firstLineChars="200"/>
        <w:contextualSpacing/>
        <w:rPr>
          <w:bCs/>
          <w:sz w:val="24"/>
        </w:rPr>
      </w:pPr>
      <w:r>
        <w:rPr>
          <w:sz w:val="24"/>
        </w:rPr>
        <w:t>5</w:t>
      </w:r>
      <w:r>
        <w:rPr>
          <w:rFonts w:hint="eastAsia"/>
          <w:sz w:val="24"/>
        </w:rPr>
        <w:t>、</w:t>
      </w:r>
      <w:r>
        <w:rPr>
          <w:rFonts w:hint="eastAsia"/>
          <w:bCs/>
          <w:sz w:val="24"/>
        </w:rPr>
        <w:t>其他要求</w:t>
      </w:r>
    </w:p>
    <w:p w14:paraId="11914077">
      <w:pPr>
        <w:spacing w:line="360" w:lineRule="auto"/>
        <w:ind w:firstLine="480" w:firstLineChars="200"/>
        <w:contextualSpacing/>
        <w:rPr>
          <w:rFonts w:hint="eastAsia"/>
          <w:bCs/>
          <w:sz w:val="24"/>
        </w:rPr>
      </w:pPr>
      <w:r>
        <w:rPr>
          <w:rFonts w:hint="eastAsia"/>
          <w:bCs/>
          <w:sz w:val="24"/>
        </w:rPr>
        <w:t>中标人需在合同签订生效后</w:t>
      </w:r>
      <w:r>
        <w:rPr>
          <w:bCs/>
          <w:sz w:val="24"/>
        </w:rPr>
        <w:t>5</w:t>
      </w:r>
      <w:r>
        <w:rPr>
          <w:rFonts w:hint="eastAsia"/>
          <w:bCs/>
          <w:sz w:val="24"/>
        </w:rPr>
        <w:t>个工作日内，无条件配合采购人完成网站备案等相关工作。</w:t>
      </w:r>
    </w:p>
    <w:p w14:paraId="02B31B2F">
      <w:pPr>
        <w:pStyle w:val="2"/>
        <w:ind w:left="0" w:leftChars="0" w:firstLineChars="0"/>
        <w:rPr>
          <w:rFonts w:hint="eastAsia"/>
        </w:rPr>
      </w:pPr>
    </w:p>
    <w:p w14:paraId="03DAECB8">
      <w:pPr>
        <w:numPr>
          <w:ilvl w:val="0"/>
          <w:numId w:val="1"/>
        </w:numPr>
        <w:adjustRightInd w:val="0"/>
        <w:spacing w:line="560" w:lineRule="exact"/>
        <w:ind w:firstLine="482"/>
        <w:jc w:val="left"/>
        <w:textAlignment w:val="baseline"/>
        <w:rPr>
          <w:b/>
          <w:sz w:val="24"/>
        </w:rPr>
      </w:pPr>
      <w:r>
        <w:rPr>
          <w:rFonts w:hint="eastAsia"/>
          <w:b/>
          <w:sz w:val="24"/>
        </w:rPr>
        <w:t>技术要求</w:t>
      </w:r>
    </w:p>
    <w:p w14:paraId="2CD7A985">
      <w:pPr>
        <w:adjustRightInd w:val="0"/>
        <w:spacing w:line="560" w:lineRule="exact"/>
        <w:ind w:firstLine="420"/>
        <w:jc w:val="left"/>
        <w:textAlignment w:val="baseline"/>
        <w:rPr>
          <w:sz w:val="24"/>
        </w:rPr>
      </w:pPr>
      <w:r>
        <w:rPr>
          <w:rFonts w:hint="eastAsia"/>
          <w:sz w:val="24"/>
        </w:rPr>
        <w:t>1．基本要求</w:t>
      </w:r>
    </w:p>
    <w:p w14:paraId="311104B2">
      <w:pPr>
        <w:adjustRightInd w:val="0"/>
        <w:spacing w:line="560" w:lineRule="exact"/>
        <w:ind w:firstLine="420"/>
        <w:jc w:val="left"/>
        <w:textAlignment w:val="baseline"/>
        <w:rPr>
          <w:sz w:val="24"/>
        </w:rPr>
      </w:pPr>
      <w:r>
        <w:rPr>
          <w:sz w:val="24"/>
        </w:rPr>
        <w:t>1.1</w:t>
      </w:r>
      <w:r>
        <w:rPr>
          <w:rFonts w:hint="eastAsia"/>
          <w:sz w:val="24"/>
        </w:rPr>
        <w:t>采购标的需实现的功能或者目标</w:t>
      </w:r>
    </w:p>
    <w:p w14:paraId="108A88B1">
      <w:pPr>
        <w:adjustRightInd w:val="0"/>
        <w:spacing w:line="560" w:lineRule="exact"/>
        <w:ind w:firstLine="480" w:firstLineChars="200"/>
        <w:jc w:val="left"/>
        <w:textAlignment w:val="baseline"/>
        <w:rPr>
          <w:sz w:val="24"/>
        </w:rPr>
      </w:pPr>
      <w:r>
        <w:rPr>
          <w:rFonts w:hint="eastAsia"/>
          <w:sz w:val="24"/>
        </w:rPr>
        <w:t>为市教委办公区、数字教育中心办公区以及政务云上业务系统提供稳定，可靠，畅通的互联网接入带宽。互联网出口网络全年可用性不低于99.9</w:t>
      </w:r>
      <w:r>
        <w:rPr>
          <w:sz w:val="24"/>
        </w:rPr>
        <w:t>5</w:t>
      </w:r>
      <w:r>
        <w:rPr>
          <w:rFonts w:hint="eastAsia"/>
          <w:sz w:val="24"/>
        </w:rPr>
        <w:t>%，到运营商骨干节点的延迟和抖动不高于20ms，到运营商骨干节点的丢包率（64字节、100个包）不高于0.5%，应急响应时间不超过5分钟，平均故障恢复时间不超过120分钟。为用户访问、使用互联网提供稳定、可靠、畅通的互联网带宽保障。</w:t>
      </w:r>
    </w:p>
    <w:p w14:paraId="4C1F1EA0">
      <w:pPr>
        <w:adjustRightInd w:val="0"/>
        <w:spacing w:line="560" w:lineRule="exact"/>
        <w:ind w:firstLine="480" w:firstLineChars="200"/>
        <w:jc w:val="left"/>
        <w:textAlignment w:val="baseline"/>
        <w:rPr>
          <w:sz w:val="24"/>
        </w:rPr>
      </w:pPr>
      <w:r>
        <w:rPr>
          <w:rFonts w:hint="eastAsia"/>
          <w:sz w:val="24"/>
        </w:rPr>
        <w:t>保障市教委视频会议期间，音视频信号流畅；与各区教委、直属单位及市属高校间的网络连接稳定；</w:t>
      </w:r>
    </w:p>
    <w:p w14:paraId="1696F8B7">
      <w:pPr>
        <w:adjustRightInd w:val="0"/>
        <w:spacing w:line="560" w:lineRule="exact"/>
        <w:ind w:firstLine="480" w:firstLineChars="200"/>
        <w:jc w:val="left"/>
        <w:textAlignment w:val="baseline"/>
        <w:rPr>
          <w:sz w:val="24"/>
        </w:rPr>
      </w:pPr>
      <w:r>
        <w:rPr>
          <w:rFonts w:hint="eastAsia"/>
          <w:sz w:val="24"/>
        </w:rPr>
        <w:t>为政务云上业务系统提供可靠的互联网接入，保障业务系统互联网接入的连续性；</w:t>
      </w:r>
    </w:p>
    <w:p w14:paraId="593E7465">
      <w:pPr>
        <w:adjustRightInd w:val="0"/>
        <w:spacing w:line="560" w:lineRule="exact"/>
        <w:ind w:firstLine="480" w:firstLineChars="200"/>
        <w:jc w:val="left"/>
        <w:textAlignment w:val="baseline"/>
        <w:rPr>
          <w:sz w:val="24"/>
        </w:rPr>
      </w:pPr>
      <w:r>
        <w:rPr>
          <w:rFonts w:hint="eastAsia"/>
          <w:sz w:val="24"/>
        </w:rPr>
        <w:t>为北京市数字教育中心办公人员提供稳定可靠的桌面办公互联网访问。确保各方用户满意度不低于9</w:t>
      </w:r>
      <w:r>
        <w:rPr>
          <w:sz w:val="24"/>
        </w:rPr>
        <w:t>5%</w:t>
      </w:r>
      <w:r>
        <w:rPr>
          <w:rFonts w:hint="eastAsia"/>
          <w:sz w:val="24"/>
        </w:rPr>
        <w:t>。</w:t>
      </w:r>
    </w:p>
    <w:p w14:paraId="71BB7DAA">
      <w:pPr>
        <w:adjustRightInd w:val="0"/>
        <w:spacing w:line="560" w:lineRule="exact"/>
        <w:ind w:firstLine="420"/>
        <w:jc w:val="left"/>
        <w:textAlignment w:val="baseline"/>
        <w:rPr>
          <w:sz w:val="24"/>
        </w:rPr>
      </w:pPr>
      <w:r>
        <w:rPr>
          <w:sz w:val="24"/>
        </w:rPr>
        <w:t>1.2</w:t>
      </w:r>
      <w:r>
        <w:rPr>
          <w:rFonts w:hint="eastAsia"/>
          <w:sz w:val="24"/>
        </w:rPr>
        <w:t>需执行的国家相关标准、行业标准、地方标准或者其他标准、规范</w:t>
      </w:r>
    </w:p>
    <w:p w14:paraId="7A7381F3">
      <w:pPr>
        <w:adjustRightInd w:val="0"/>
        <w:spacing w:line="560" w:lineRule="exact"/>
        <w:ind w:firstLine="480" w:firstLineChars="200"/>
        <w:jc w:val="left"/>
        <w:textAlignment w:val="baseline"/>
        <w:rPr>
          <w:sz w:val="24"/>
        </w:rPr>
      </w:pPr>
      <w:r>
        <w:rPr>
          <w:rFonts w:hint="eastAsia"/>
          <w:sz w:val="24"/>
        </w:rPr>
        <w:t>《中华人民共和国网络安全法》</w:t>
      </w:r>
    </w:p>
    <w:p w14:paraId="6493C0F7">
      <w:pPr>
        <w:adjustRightInd w:val="0"/>
        <w:spacing w:line="560" w:lineRule="exact"/>
        <w:ind w:firstLine="480" w:firstLineChars="200"/>
        <w:jc w:val="left"/>
        <w:textAlignment w:val="baseline"/>
        <w:rPr>
          <w:sz w:val="24"/>
        </w:rPr>
      </w:pPr>
      <w:r>
        <w:rPr>
          <w:rFonts w:hint="eastAsia"/>
          <w:sz w:val="24"/>
        </w:rPr>
        <w:t>《中华人民共和国反恐怖主义法》</w:t>
      </w:r>
    </w:p>
    <w:p w14:paraId="315B8020">
      <w:pPr>
        <w:adjustRightInd w:val="0"/>
        <w:spacing w:line="560" w:lineRule="exact"/>
        <w:ind w:firstLine="480" w:firstLineChars="200"/>
        <w:jc w:val="left"/>
        <w:textAlignment w:val="baseline"/>
        <w:rPr>
          <w:sz w:val="24"/>
        </w:rPr>
      </w:pPr>
      <w:r>
        <w:rPr>
          <w:rFonts w:hint="eastAsia"/>
          <w:sz w:val="24"/>
        </w:rPr>
        <w:t>《中华人民共和国个人信息保护法》</w:t>
      </w:r>
    </w:p>
    <w:p w14:paraId="350FB67E">
      <w:pPr>
        <w:adjustRightInd w:val="0"/>
        <w:spacing w:line="560" w:lineRule="exact"/>
        <w:ind w:firstLine="480" w:firstLineChars="200"/>
        <w:jc w:val="left"/>
        <w:textAlignment w:val="baseline"/>
        <w:rPr>
          <w:sz w:val="24"/>
        </w:rPr>
      </w:pPr>
      <w:r>
        <w:rPr>
          <w:rFonts w:hint="eastAsia"/>
          <w:sz w:val="24"/>
        </w:rPr>
        <w:t>《互联网接入服务规范》</w:t>
      </w:r>
    </w:p>
    <w:p w14:paraId="4A590C47">
      <w:pPr>
        <w:adjustRightInd w:val="0"/>
        <w:spacing w:line="560" w:lineRule="exact"/>
        <w:ind w:firstLine="480" w:firstLineChars="200"/>
        <w:jc w:val="left"/>
        <w:textAlignment w:val="baseline"/>
        <w:rPr>
          <w:sz w:val="24"/>
        </w:rPr>
      </w:pPr>
      <w:r>
        <w:rPr>
          <w:rFonts w:hint="eastAsia"/>
          <w:sz w:val="24"/>
        </w:rPr>
        <w:t>《信息安全技术网络安全专用产品安全技术要求》</w:t>
      </w:r>
    </w:p>
    <w:p w14:paraId="13103CC9">
      <w:pPr>
        <w:adjustRightInd w:val="0"/>
        <w:spacing w:line="560" w:lineRule="exact"/>
        <w:ind w:firstLine="480" w:firstLineChars="200"/>
        <w:jc w:val="left"/>
        <w:textAlignment w:val="baseline"/>
        <w:rPr>
          <w:sz w:val="24"/>
        </w:rPr>
      </w:pPr>
      <w:r>
        <w:rPr>
          <w:rFonts w:hint="eastAsia"/>
          <w:sz w:val="24"/>
        </w:rPr>
        <w:t>《互联网网络和业务服务质量测试方法》YD/T 1642-2020</w:t>
      </w:r>
    </w:p>
    <w:p w14:paraId="726CCBC2">
      <w:pPr>
        <w:adjustRightInd w:val="0"/>
        <w:spacing w:line="560" w:lineRule="exact"/>
        <w:ind w:firstLine="420"/>
        <w:jc w:val="left"/>
        <w:textAlignment w:val="baseline"/>
        <w:rPr>
          <w:sz w:val="24"/>
        </w:rPr>
      </w:pPr>
      <w:r>
        <w:rPr>
          <w:rFonts w:hint="eastAsia"/>
          <w:sz w:val="24"/>
        </w:rPr>
        <w:t>2. 服务内容及要求/货物技术要求</w:t>
      </w:r>
    </w:p>
    <w:p w14:paraId="26DBC829">
      <w:pPr>
        <w:adjustRightInd w:val="0"/>
        <w:spacing w:line="560" w:lineRule="exact"/>
        <w:ind w:firstLine="480" w:firstLineChars="200"/>
        <w:jc w:val="left"/>
        <w:textAlignment w:val="baseline"/>
        <w:rPr>
          <w:sz w:val="24"/>
        </w:rPr>
      </w:pPr>
      <w:r>
        <w:rPr>
          <w:rFonts w:hint="eastAsia"/>
          <w:sz w:val="24"/>
        </w:rPr>
        <w:t>2</w:t>
      </w:r>
      <w:r>
        <w:rPr>
          <w:sz w:val="24"/>
        </w:rPr>
        <w:t>.1</w:t>
      </w:r>
      <w:r>
        <w:rPr>
          <w:rFonts w:hint="eastAsia"/>
          <w:sz w:val="24"/>
        </w:rPr>
        <w:t>互联网出口带宽服务内容及要求：</w:t>
      </w:r>
    </w:p>
    <w:p w14:paraId="3AB09310">
      <w:pPr>
        <w:adjustRightInd w:val="0"/>
        <w:spacing w:line="560" w:lineRule="exact"/>
        <w:ind w:firstLine="480" w:firstLineChars="200"/>
        <w:jc w:val="left"/>
        <w:textAlignment w:val="baseline"/>
        <w:rPr>
          <w:sz w:val="24"/>
        </w:rPr>
      </w:pPr>
      <w:r>
        <w:rPr>
          <w:rFonts w:hint="eastAsia"/>
          <w:sz w:val="24"/>
        </w:rPr>
        <w:t>（1）提供1.5Gbps互联网带宽。分别为北京市数字教育中心办公提供300M互联网带宽；为市教委视频会议系统的正常运行，提供200M带宽：为保障从数字教育中心政务云的重要应用系统的正常服务，包括中学学学籍管理云平台、义务教育阶段入学服务平台等系统，提供1000M互联网带宽。接入网络需同时具备IPv4和IPv6网络承载能力，带宽必须独享，上下行速率对称。如有特殊需求时期或流量突发，带宽不足应予以扩容，保证业务系统的网络流畅。</w:t>
      </w:r>
    </w:p>
    <w:p w14:paraId="2AA51FBD">
      <w:pPr>
        <w:adjustRightInd w:val="0"/>
        <w:spacing w:line="560" w:lineRule="exact"/>
        <w:ind w:firstLine="480" w:firstLineChars="200"/>
        <w:jc w:val="left"/>
        <w:textAlignment w:val="baseline"/>
        <w:rPr>
          <w:sz w:val="24"/>
        </w:rPr>
      </w:pPr>
      <w:r>
        <w:rPr>
          <w:rFonts w:hint="eastAsia"/>
          <w:sz w:val="24"/>
        </w:rPr>
        <w:t>（2）保证互联网出口网络全年平均可用性不低于99.9</w:t>
      </w:r>
      <w:r>
        <w:rPr>
          <w:sz w:val="24"/>
        </w:rPr>
        <w:t>5</w:t>
      </w:r>
      <w:r>
        <w:rPr>
          <w:rFonts w:hint="eastAsia"/>
          <w:sz w:val="24"/>
        </w:rPr>
        <w:t>%，延迟和抖动不高于20ms。</w:t>
      </w:r>
    </w:p>
    <w:p w14:paraId="37987D5A">
      <w:pPr>
        <w:adjustRightInd w:val="0"/>
        <w:spacing w:line="560" w:lineRule="exact"/>
        <w:ind w:firstLine="480" w:firstLineChars="200"/>
        <w:jc w:val="left"/>
        <w:textAlignment w:val="baseline"/>
        <w:rPr>
          <w:sz w:val="24"/>
        </w:rPr>
      </w:pPr>
      <w:r>
        <w:rPr>
          <w:rFonts w:hint="eastAsia"/>
          <w:sz w:val="24"/>
        </w:rPr>
        <w:t>（3）保证出口骨干节点的丢包率不高于0.5%；</w:t>
      </w:r>
    </w:p>
    <w:p w14:paraId="2203B229">
      <w:pPr>
        <w:adjustRightInd w:val="0"/>
        <w:spacing w:line="560" w:lineRule="exact"/>
        <w:ind w:firstLine="480" w:firstLineChars="200"/>
        <w:jc w:val="left"/>
        <w:textAlignment w:val="baseline"/>
        <w:rPr>
          <w:sz w:val="24"/>
        </w:rPr>
      </w:pPr>
      <w:r>
        <w:rPr>
          <w:rFonts w:hint="eastAsia"/>
          <w:sz w:val="24"/>
        </w:rPr>
        <w:t>（</w:t>
      </w:r>
      <w:r>
        <w:rPr>
          <w:sz w:val="24"/>
        </w:rPr>
        <w:t>4</w:t>
      </w:r>
      <w:r>
        <w:rPr>
          <w:rFonts w:hint="eastAsia"/>
          <w:sz w:val="24"/>
        </w:rPr>
        <w:t>）链路接入要求：满足三个服务地点的互联网接入，并为市级政务云接入地点提供不同路由的双链路互联网网络接入，且2条路由均具备承载不低于</w:t>
      </w:r>
      <w:r>
        <w:rPr>
          <w:sz w:val="24"/>
        </w:rPr>
        <w:t>1000</w:t>
      </w:r>
      <w:r>
        <w:rPr>
          <w:rFonts w:hint="eastAsia"/>
          <w:sz w:val="24"/>
        </w:rPr>
        <w:t>M带宽的能力。</w:t>
      </w:r>
    </w:p>
    <w:p w14:paraId="04B0AF66">
      <w:pPr>
        <w:adjustRightInd w:val="0"/>
        <w:spacing w:line="560" w:lineRule="exact"/>
        <w:ind w:firstLine="480" w:firstLineChars="200"/>
        <w:jc w:val="left"/>
        <w:textAlignment w:val="baseline"/>
        <w:rPr>
          <w:sz w:val="24"/>
        </w:rPr>
      </w:pPr>
      <w:r>
        <w:rPr>
          <w:rFonts w:hint="eastAsia"/>
          <w:sz w:val="24"/>
        </w:rPr>
        <w:t>（</w:t>
      </w:r>
      <w:r>
        <w:rPr>
          <w:sz w:val="24"/>
        </w:rPr>
        <w:t>5</w:t>
      </w:r>
      <w:r>
        <w:rPr>
          <w:rFonts w:hint="eastAsia"/>
          <w:sz w:val="24"/>
        </w:rPr>
        <w:t>）IP地址要求：</w:t>
      </w:r>
    </w:p>
    <w:p w14:paraId="23AA4DDE">
      <w:pPr>
        <w:adjustRightInd w:val="0"/>
        <w:spacing w:line="560" w:lineRule="exact"/>
        <w:ind w:firstLine="480" w:firstLineChars="200"/>
        <w:jc w:val="left"/>
        <w:textAlignment w:val="baseline"/>
        <w:rPr>
          <w:sz w:val="24"/>
        </w:rPr>
      </w:pPr>
      <w:r>
        <w:rPr>
          <w:rFonts w:hint="eastAsia"/>
          <w:sz w:val="24"/>
        </w:rPr>
        <w:t>中标人须提供互联网IPv4地址个数≥</w:t>
      </w:r>
      <w:r>
        <w:rPr>
          <w:sz w:val="24"/>
        </w:rPr>
        <w:t>2560</w:t>
      </w:r>
      <w:r>
        <w:rPr>
          <w:rFonts w:hint="eastAsia"/>
          <w:sz w:val="24"/>
        </w:rPr>
        <w:t>个（1</w:t>
      </w:r>
      <w:r>
        <w:rPr>
          <w:sz w:val="24"/>
        </w:rPr>
        <w:t>0</w:t>
      </w:r>
      <w:r>
        <w:rPr>
          <w:rFonts w:hint="eastAsia"/>
          <w:sz w:val="24"/>
        </w:rPr>
        <w:t>个C段）、互联网IPv6地址前缀长度为/</w:t>
      </w:r>
      <w:r>
        <w:rPr>
          <w:sz w:val="24"/>
        </w:rPr>
        <w:t>56</w:t>
      </w:r>
      <w:r>
        <w:rPr>
          <w:rFonts w:hint="eastAsia"/>
          <w:sz w:val="24"/>
        </w:rPr>
        <w:t>位。可提供额外但不限数量的IP地址以满足后续新增业务需求（所涉及费用包含在报价中）。</w:t>
      </w:r>
    </w:p>
    <w:p w14:paraId="7452F03B">
      <w:pPr>
        <w:adjustRightInd w:val="0"/>
        <w:spacing w:line="560" w:lineRule="exact"/>
        <w:ind w:firstLine="480" w:firstLineChars="200"/>
        <w:jc w:val="left"/>
        <w:textAlignment w:val="baseline"/>
        <w:rPr>
          <w:sz w:val="24"/>
        </w:rPr>
      </w:pPr>
      <w:r>
        <w:rPr>
          <w:rFonts w:hint="eastAsia"/>
          <w:sz w:val="24"/>
        </w:rPr>
        <w:t>2</w:t>
      </w:r>
      <w:r>
        <w:rPr>
          <w:sz w:val="24"/>
        </w:rPr>
        <w:t>.2</w:t>
      </w:r>
      <w:r>
        <w:rPr>
          <w:rFonts w:hint="eastAsia"/>
          <w:sz w:val="24"/>
        </w:rPr>
        <w:t>技术服务支持要求：</w:t>
      </w:r>
    </w:p>
    <w:p w14:paraId="346B20C2">
      <w:pPr>
        <w:adjustRightInd w:val="0"/>
        <w:spacing w:line="560" w:lineRule="exact"/>
        <w:ind w:firstLine="480" w:firstLineChars="200"/>
        <w:jc w:val="left"/>
        <w:textAlignment w:val="baseline"/>
        <w:rPr>
          <w:sz w:val="24"/>
        </w:rPr>
      </w:pPr>
      <w:r>
        <w:rPr>
          <w:rFonts w:hint="eastAsia"/>
          <w:sz w:val="24"/>
        </w:rPr>
        <w:t>（1）电话服务支持：提供7x24小时技术支持服务热线，由专业技术支持人员提供技术支持服务。</w:t>
      </w:r>
    </w:p>
    <w:p w14:paraId="7A04D829">
      <w:pPr>
        <w:pStyle w:val="2"/>
        <w:ind w:firstLine="480"/>
        <w:rPr>
          <w:rFonts w:hint="eastAsia"/>
        </w:rPr>
      </w:pPr>
      <w:r>
        <w:rPr>
          <w:rFonts w:hint="eastAsia"/>
        </w:rPr>
        <w:t>（2）现场服务支持：中标人应安排运维工程师每月度应保证一次现场技术服务支持；</w:t>
      </w:r>
    </w:p>
    <w:p w14:paraId="24E06B6B">
      <w:pPr>
        <w:adjustRightInd w:val="0"/>
        <w:spacing w:line="560" w:lineRule="exact"/>
        <w:ind w:firstLine="480" w:firstLineChars="200"/>
        <w:jc w:val="left"/>
        <w:textAlignment w:val="baseline"/>
        <w:rPr>
          <w:sz w:val="24"/>
        </w:rPr>
      </w:pPr>
      <w:r>
        <w:rPr>
          <w:rFonts w:hint="eastAsia"/>
          <w:sz w:val="24"/>
        </w:rPr>
        <w:t>（</w:t>
      </w:r>
      <w:r>
        <w:rPr>
          <w:sz w:val="24"/>
        </w:rPr>
        <w:t>3</w:t>
      </w:r>
      <w:r>
        <w:rPr>
          <w:rFonts w:hint="eastAsia"/>
          <w:sz w:val="24"/>
        </w:rPr>
        <w:t>）重大活动技术保障：对于重点业务保障时期按照采购人要求，在保障前将进行网络设备、光缆链路等设备设施的全方面巡检。在保障期间，将根据采购人要求进行7x24小时现场值守保障。</w:t>
      </w:r>
    </w:p>
    <w:p w14:paraId="0AAE823B">
      <w:pPr>
        <w:adjustRightInd w:val="0"/>
        <w:spacing w:line="560" w:lineRule="exact"/>
        <w:ind w:firstLine="480" w:firstLineChars="200"/>
        <w:jc w:val="left"/>
        <w:textAlignment w:val="baseline"/>
        <w:rPr>
          <w:sz w:val="24"/>
        </w:rPr>
      </w:pPr>
      <w:r>
        <w:rPr>
          <w:rFonts w:hint="eastAsia"/>
          <w:sz w:val="24"/>
        </w:rPr>
        <w:t>（</w:t>
      </w:r>
      <w:r>
        <w:rPr>
          <w:sz w:val="24"/>
        </w:rPr>
        <w:t>4</w:t>
      </w:r>
      <w:r>
        <w:rPr>
          <w:rFonts w:hint="eastAsia"/>
          <w:sz w:val="24"/>
        </w:rPr>
        <w:t>）故障处理保障：中标人应在5分钟内响应，3</w:t>
      </w:r>
      <w:r>
        <w:rPr>
          <w:sz w:val="24"/>
        </w:rPr>
        <w:t>0</w:t>
      </w:r>
      <w:r>
        <w:rPr>
          <w:rFonts w:hint="eastAsia"/>
          <w:sz w:val="24"/>
        </w:rPr>
        <w:t>分钟内做出专业的故障判断，4小时内完成故障修复，并于故障修复后2</w:t>
      </w:r>
      <w:r>
        <w:rPr>
          <w:sz w:val="24"/>
        </w:rPr>
        <w:t>4</w:t>
      </w:r>
      <w:r>
        <w:rPr>
          <w:rFonts w:hint="eastAsia"/>
          <w:sz w:val="24"/>
        </w:rPr>
        <w:t>小时内，向采购人出具故障分析报告及整改措施；重点业务时期（义务教育入学信息采集、查询，各学期初、学期末等业务高峰期）故障应在1小时内修复；</w:t>
      </w:r>
    </w:p>
    <w:p w14:paraId="2E6DFE66">
      <w:pPr>
        <w:adjustRightInd w:val="0"/>
        <w:spacing w:line="560" w:lineRule="exact"/>
        <w:ind w:firstLine="480" w:firstLineChars="200"/>
        <w:jc w:val="left"/>
        <w:textAlignment w:val="baseline"/>
        <w:rPr>
          <w:sz w:val="24"/>
        </w:rPr>
      </w:pPr>
      <w:r>
        <w:rPr>
          <w:rFonts w:hint="eastAsia"/>
          <w:sz w:val="24"/>
        </w:rPr>
        <w:t>（</w:t>
      </w:r>
      <w:r>
        <w:rPr>
          <w:sz w:val="24"/>
        </w:rPr>
        <w:t>5</w:t>
      </w:r>
      <w:r>
        <w:rPr>
          <w:rFonts w:hint="eastAsia"/>
          <w:sz w:val="24"/>
        </w:rPr>
        <w:t>）运维技术支持：中标人应具有完备的运行维护服务保障制度，保证互联网出口带宽网络的正常运行，并根据采购人要求，提供网络实时流量分析、通断报警监测等报表、以及按周、月、季度提供流量分析图表。</w:t>
      </w:r>
    </w:p>
    <w:p w14:paraId="7F3DCB1E">
      <w:pPr>
        <w:spacing w:line="360" w:lineRule="auto"/>
        <w:ind w:firstLine="480" w:firstLineChars="200"/>
        <w:contextualSpacing/>
        <w:rPr>
          <w:rFonts w:hint="eastAsia"/>
          <w:sz w:val="24"/>
        </w:rPr>
      </w:pPr>
      <w:r>
        <w:rPr>
          <w:sz w:val="24"/>
        </w:rPr>
        <w:t>2.3</w:t>
      </w:r>
      <w:r>
        <w:rPr>
          <w:rFonts w:hint="eastAsia"/>
          <w:sz w:val="24"/>
        </w:rPr>
        <w:t>项目服务整体规划设计</w:t>
      </w:r>
    </w:p>
    <w:p w14:paraId="2E926499">
      <w:pPr>
        <w:spacing w:line="360" w:lineRule="auto"/>
        <w:ind w:firstLine="480" w:firstLineChars="200"/>
        <w:contextualSpacing/>
        <w:rPr>
          <w:rFonts w:hint="eastAsia"/>
          <w:bCs/>
          <w:sz w:val="24"/>
        </w:rPr>
      </w:pPr>
      <w:r>
        <w:rPr>
          <w:rFonts w:hint="eastAsia"/>
          <w:bCs/>
          <w:sz w:val="24"/>
        </w:rPr>
        <w:t>投标人须深入分析本项目的服务需求特点，结合实际提出科学合理的整体服务规划设计；明确阐述服务实施的总体思路，准确识别项目执行中的重点与难点，并针对性地制定切实可行的解决措施；同时，需建立健全的服务保障机制，确保服务质量、进度与安全可控，全面响应并满足项目各项要求。</w:t>
      </w:r>
    </w:p>
    <w:p w14:paraId="3C540298">
      <w:pPr>
        <w:spacing w:line="360" w:lineRule="auto"/>
        <w:ind w:firstLine="480" w:firstLineChars="200"/>
        <w:contextualSpacing/>
        <w:rPr>
          <w:rFonts w:hint="eastAsia"/>
          <w:sz w:val="24"/>
        </w:rPr>
      </w:pPr>
      <w:r>
        <w:rPr>
          <w:sz w:val="24"/>
        </w:rPr>
        <w:t>2.4</w:t>
      </w:r>
      <w:r>
        <w:rPr>
          <w:rFonts w:hint="eastAsia"/>
          <w:sz w:val="24"/>
        </w:rPr>
        <w:t>应急预案要求</w:t>
      </w:r>
    </w:p>
    <w:p w14:paraId="7844BFAB">
      <w:pPr>
        <w:pStyle w:val="2"/>
        <w:ind w:firstLine="480"/>
      </w:pPr>
      <w:r>
        <w:rPr>
          <w:rFonts w:hint="eastAsia"/>
        </w:rPr>
        <w:t>投标人须提供完整、合理且具备可操作性的应急预案，应对服务期内的各项安全风险。</w:t>
      </w:r>
    </w:p>
    <w:p w14:paraId="7206FFFF">
      <w:pPr>
        <w:pStyle w:val="2"/>
        <w:ind w:firstLine="480"/>
        <w:rPr>
          <w:rFonts w:hint="eastAsia"/>
        </w:rPr>
      </w:pPr>
      <w:r>
        <w:rPr>
          <w:rFonts w:hint="eastAsia"/>
        </w:rPr>
        <w:t>如遇启动应急预案的事件，中标人应在接到应急处置要求通知后</w:t>
      </w:r>
      <w:r>
        <w:t>5</w:t>
      </w:r>
      <w:r>
        <w:rPr>
          <w:rFonts w:hint="eastAsia"/>
        </w:rPr>
        <w:t>分钟内响应，2小时内达现场，进行现场处置；</w:t>
      </w:r>
    </w:p>
    <w:p w14:paraId="4F2A9A3C">
      <w:pPr>
        <w:adjustRightInd w:val="0"/>
        <w:spacing w:line="560" w:lineRule="exact"/>
        <w:ind w:firstLine="420"/>
        <w:jc w:val="left"/>
        <w:textAlignment w:val="baseline"/>
        <w:rPr>
          <w:sz w:val="24"/>
        </w:rPr>
      </w:pPr>
      <w:r>
        <w:rPr>
          <w:rFonts w:hint="eastAsia"/>
          <w:sz w:val="24"/>
        </w:rPr>
        <w:t>3. 验收标准</w:t>
      </w:r>
    </w:p>
    <w:p w14:paraId="04C482BD">
      <w:pPr>
        <w:spacing w:line="560" w:lineRule="exact"/>
        <w:ind w:firstLine="480" w:firstLineChars="200"/>
        <w:rPr>
          <w:sz w:val="24"/>
        </w:rPr>
      </w:pPr>
      <w:r>
        <w:rPr>
          <w:rFonts w:hint="eastAsia"/>
          <w:sz w:val="24"/>
        </w:rPr>
        <w:t>（一）服务绩效指标</w:t>
      </w:r>
    </w:p>
    <w:p w14:paraId="7079206A">
      <w:pPr>
        <w:spacing w:line="560" w:lineRule="exact"/>
        <w:ind w:firstLine="480" w:firstLineChars="200"/>
        <w:rPr>
          <w:sz w:val="24"/>
        </w:rPr>
      </w:pPr>
      <w:r>
        <w:rPr>
          <w:rFonts w:hint="eastAsia"/>
          <w:sz w:val="24"/>
        </w:rPr>
        <w:t>（1）互联网带宽服务期内可用性≥99.9</w:t>
      </w:r>
      <w:r>
        <w:rPr>
          <w:sz w:val="24"/>
        </w:rPr>
        <w:t>5</w:t>
      </w:r>
      <w:r>
        <w:rPr>
          <w:rFonts w:hint="eastAsia"/>
          <w:sz w:val="24"/>
        </w:rPr>
        <w:t>%；</w:t>
      </w:r>
    </w:p>
    <w:p w14:paraId="1945B6F8">
      <w:pPr>
        <w:spacing w:line="560" w:lineRule="exact"/>
        <w:ind w:firstLine="480" w:firstLineChars="200"/>
        <w:rPr>
          <w:sz w:val="24"/>
        </w:rPr>
      </w:pPr>
      <w:r>
        <w:rPr>
          <w:rFonts w:hint="eastAsia"/>
          <w:sz w:val="24"/>
        </w:rPr>
        <w:t>（2）故障响应率100%；</w:t>
      </w:r>
    </w:p>
    <w:p w14:paraId="51600C73">
      <w:pPr>
        <w:spacing w:line="560" w:lineRule="exact"/>
        <w:ind w:firstLine="480" w:firstLineChars="200"/>
        <w:rPr>
          <w:sz w:val="24"/>
        </w:rPr>
      </w:pPr>
      <w:r>
        <w:rPr>
          <w:rFonts w:hint="eastAsia"/>
          <w:sz w:val="24"/>
        </w:rPr>
        <w:t>（3）应急响应时间≤5分钟（重大事件1分钟内响应）；</w:t>
      </w:r>
    </w:p>
    <w:p w14:paraId="4FEE3634">
      <w:pPr>
        <w:spacing w:line="560" w:lineRule="exact"/>
        <w:ind w:firstLine="480" w:firstLineChars="200"/>
        <w:rPr>
          <w:sz w:val="24"/>
        </w:rPr>
      </w:pPr>
      <w:r>
        <w:rPr>
          <w:rFonts w:hint="eastAsia"/>
          <w:sz w:val="24"/>
        </w:rPr>
        <w:t>（二）项目验收要求</w:t>
      </w:r>
    </w:p>
    <w:p w14:paraId="4D443EF9">
      <w:pPr>
        <w:spacing w:line="560" w:lineRule="exact"/>
        <w:ind w:firstLine="480" w:firstLineChars="200"/>
        <w:rPr>
          <w:sz w:val="24"/>
        </w:rPr>
      </w:pPr>
      <w:r>
        <w:rPr>
          <w:rFonts w:hint="eastAsia"/>
          <w:sz w:val="24"/>
        </w:rPr>
        <w:t>（1）投标人所提供资源应满足采购文件规定的要求。保证合同期内系统安全稳定运行，不因硬件故障导致服务中断4小时及以上。</w:t>
      </w:r>
    </w:p>
    <w:p w14:paraId="46C5543B">
      <w:pPr>
        <w:spacing w:line="560" w:lineRule="exact"/>
        <w:ind w:firstLine="480" w:firstLineChars="200"/>
        <w:rPr>
          <w:sz w:val="24"/>
        </w:rPr>
      </w:pPr>
      <w:r>
        <w:rPr>
          <w:rFonts w:hint="eastAsia"/>
          <w:sz w:val="24"/>
        </w:rPr>
        <w:t>（2）项目服务期结束30天内，采购人对合同项目进行验收，投标人应当在采购人指定的验收日前，按采购人要求向采购人提交验收文档。</w:t>
      </w:r>
    </w:p>
    <w:p w14:paraId="7E2269B8">
      <w:pPr>
        <w:spacing w:line="560" w:lineRule="exact"/>
        <w:ind w:firstLine="480" w:firstLineChars="200"/>
        <w:rPr>
          <w:sz w:val="24"/>
        </w:rPr>
      </w:pPr>
      <w:r>
        <w:rPr>
          <w:rFonts w:hint="eastAsia"/>
          <w:sz w:val="24"/>
        </w:rPr>
        <w:t>（3）服务期届满，投标人按照采购人要求完成所有项目，各项记录、报告等文档齐全，无任何系统遗留问题，并通过由采购人组织的专家验收评审，方可通过验收。</w:t>
      </w:r>
    </w:p>
    <w:p w14:paraId="4E3974D3">
      <w:pPr>
        <w:spacing w:line="560" w:lineRule="exact"/>
        <w:ind w:firstLine="480" w:firstLineChars="200"/>
        <w:rPr>
          <w:sz w:val="24"/>
        </w:rPr>
      </w:pPr>
      <w:r>
        <w:rPr>
          <w:rFonts w:hint="eastAsia"/>
          <w:sz w:val="24"/>
        </w:rPr>
        <w:t>验收方式：由采购人邀请相关行业专家对照采购需求及合同对项目所含全部内容开展履约验收；</w:t>
      </w:r>
    </w:p>
    <w:p w14:paraId="1A10384A"/>
    <w:p w14:paraId="13976F9E">
      <w:pPr>
        <w:spacing w:line="360" w:lineRule="auto"/>
        <w:ind w:firstLine="420" w:firstLineChars="200"/>
        <w:rPr>
          <w:rFonts w:hint="eastAsia" w:ascii="宋体" w:hAnsi="宋体"/>
          <w:sz w:val="24"/>
        </w:rPr>
      </w:pPr>
      <w:r>
        <w:rPr>
          <w:rFonts w:hint="eastAsia"/>
        </w:rPr>
        <w:t>四、</w:t>
      </w:r>
      <w:r>
        <w:rPr>
          <w:rFonts w:hint="eastAsia" w:ascii="宋体" w:hAnsi="宋体"/>
          <w:sz w:val="24"/>
        </w:rPr>
        <w:t>政策性采购需求：</w:t>
      </w:r>
    </w:p>
    <w:p w14:paraId="0CE22D19">
      <w:pPr>
        <w:pStyle w:val="2"/>
        <w:ind w:firstLine="480"/>
        <w:rPr>
          <w:rFonts w:hint="eastAsia"/>
        </w:rPr>
      </w:pPr>
      <w:r>
        <w:rPr>
          <w:rFonts w:hint="eastAsia" w:ascii="宋体" w:hAnsi="宋体"/>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14:paraId="1BB0696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3CF663"/>
    <w:multiLevelType w:val="singleLevel"/>
    <w:tmpl w:val="E63CF663"/>
    <w:lvl w:ilvl="0" w:tentative="0">
      <w:start w:val="1"/>
      <w:numFmt w:val="decimal"/>
      <w:suff w:val="nothing"/>
      <w:lvlText w:val="%1、"/>
      <w:lvlJc w:val="left"/>
    </w:lvl>
  </w:abstractNum>
  <w:abstractNum w:abstractNumId="1">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B0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2026-04-08T05:40:33Z</dcterms:created>
  <dc:creator>李政豪</dc:creator>
  <cp:lastModifiedBy>10674</cp:lastModifiedBy>
  <dcterms:modified xsi:type="dcterms:W3CDTF">2026-04-08T05:40:38Z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F2AD73E32CBD4A528B6EC1E2746EAAAF_12</vt:lpwstr>
  </property>
</Properties>
</file>