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u w:val="single"/>
        </w:rPr>
        <w:t>北京市政府采购电子化交易服务（2026-2027年度）</w:t>
      </w:r>
      <w:r w:rsidRPr="00D94C26">
        <w:rPr>
          <w:rFonts w:ascii="宋体" w:hAnsi="宋体" w:hint="eastAsia"/>
          <w:color w:val="000000" w:themeColor="text1"/>
          <w:szCs w:val="21"/>
        </w:rPr>
        <w:t>招标项目的潜在投标人应在</w:t>
      </w:r>
      <w:r w:rsidRPr="00D94C26">
        <w:rPr>
          <w:rFonts w:ascii="宋体" w:hAnsi="宋体" w:hint="eastAsia"/>
          <w:color w:val="000000" w:themeColor="text1"/>
          <w:szCs w:val="21"/>
          <w:u w:val="single"/>
        </w:rPr>
        <w:t>北京市政府采购电子交易平台</w:t>
      </w:r>
      <w:r w:rsidRPr="00D94C26">
        <w:rPr>
          <w:rFonts w:ascii="宋体" w:hAnsi="宋体" w:hint="eastAsia"/>
          <w:color w:val="000000" w:themeColor="text1"/>
          <w:szCs w:val="21"/>
        </w:rPr>
        <w:t>获取招标文件，并于</w:t>
      </w:r>
      <w:r w:rsidRPr="00D94C26">
        <w:rPr>
          <w:rFonts w:ascii="宋体" w:hAnsi="宋体" w:hint="eastAsia"/>
          <w:color w:val="000000" w:themeColor="text1"/>
          <w:szCs w:val="21"/>
          <w:u w:val="single"/>
        </w:rPr>
        <w:t>2026年4月24日下午13:30（北京时间）</w:t>
      </w:r>
      <w:r w:rsidRPr="00D94C26">
        <w:rPr>
          <w:rFonts w:ascii="宋体" w:hAnsi="宋体" w:hint="eastAsia"/>
          <w:bCs/>
          <w:color w:val="000000" w:themeColor="text1"/>
          <w:szCs w:val="21"/>
        </w:rPr>
        <w:t>前递交投标</w:t>
      </w:r>
      <w:r w:rsidRPr="00D94C26">
        <w:rPr>
          <w:rFonts w:ascii="宋体" w:hAnsi="宋体"/>
          <w:bCs/>
          <w:color w:val="000000" w:themeColor="text1"/>
          <w:szCs w:val="21"/>
        </w:rPr>
        <w:t>文件</w:t>
      </w:r>
      <w:r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1.项目编号：BIECC-25CG90762</w:t>
      </w:r>
    </w:p>
    <w:p w14:paraId="542A3737"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Pr="00D94C26">
        <w:rPr>
          <w:rFonts w:ascii="宋体" w:hAnsi="宋体" w:hint="eastAsia"/>
          <w:color w:val="000000" w:themeColor="text1"/>
          <w:szCs w:val="21"/>
          <w:u w:val="single"/>
        </w:rPr>
        <w:t>北京市政府采购电子化交易服务（2026-2027年度）</w:t>
      </w:r>
    </w:p>
    <w:p w14:paraId="72951F08"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人民币287.97万元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409"/>
      </w:tblGrid>
      <w:tr w:rsidR="00D94C26" w:rsidRPr="00D94C26" w14:paraId="73DD6B86" w14:textId="77777777">
        <w:trPr>
          <w:trHeight w:val="448"/>
        </w:trPr>
        <w:tc>
          <w:tcPr>
            <w:tcW w:w="1173"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826"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trPr>
          <w:trHeight w:val="2464"/>
        </w:trPr>
        <w:tc>
          <w:tcPr>
            <w:tcW w:w="1173" w:type="pct"/>
            <w:vAlign w:val="center"/>
          </w:tcPr>
          <w:p w14:paraId="2381C82E" w14:textId="77777777" w:rsidR="00BE6036" w:rsidRPr="00D94C26" w:rsidRDefault="00000000">
            <w:pPr>
              <w:spacing w:line="360" w:lineRule="auto"/>
              <w:jc w:val="center"/>
              <w:rPr>
                <w:rFonts w:ascii="宋体" w:hAnsi="宋体" w:cs="宋体" w:hint="eastAsia"/>
                <w:color w:val="000000" w:themeColor="text1"/>
                <w:szCs w:val="21"/>
              </w:rPr>
            </w:pPr>
            <w:r w:rsidRPr="00D94C26">
              <w:rPr>
                <w:rFonts w:ascii="宋体" w:hAnsi="宋体" w:hint="eastAsia"/>
                <w:color w:val="000000" w:themeColor="text1"/>
                <w:szCs w:val="21"/>
              </w:rPr>
              <w:t>北京市政府采购电子化交易服务（2026-2027年度）</w:t>
            </w:r>
          </w:p>
        </w:tc>
        <w:tc>
          <w:tcPr>
            <w:tcW w:w="3826" w:type="pct"/>
            <w:vAlign w:val="center"/>
          </w:tcPr>
          <w:p w14:paraId="468EFDBC" w14:textId="77777777"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形成政府采购电子化交易服务，包含政府采购电子卖场、电子招标两个主要业务服务模块。其中，电子卖场模块面向市区两级预算单位提供集中采购目录内和限额以下小额零星采购的全流程线上交易服务，电子招标模块面向市区两级的政府采购项目提供招标、投标、开标、评标、定标的全流程电子化交易服务。</w:t>
            </w:r>
          </w:p>
          <w:p w14:paraId="55CDE987" w14:textId="77777777"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77777777"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6.合同履行期限：中标后与采购人签订合同，项目服务期为合同生效后12个月。</w:t>
      </w:r>
    </w:p>
    <w:p w14:paraId="44F24A8C"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7.本项目（是/否）接受联合体投标：是</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w:t>
      </w:r>
      <w:r w:rsidRPr="00D94C26">
        <w:rPr>
          <w:rFonts w:ascii="宋体" w:hAnsi="宋体"/>
          <w:color w:val="000000" w:themeColor="text1"/>
          <w:szCs w:val="21"/>
        </w:rPr>
        <w:t>.1</w:t>
      </w:r>
      <w:r w:rsidRPr="00D94C26">
        <w:rPr>
          <w:rFonts w:ascii="宋体" w:hAnsi="宋体" w:hint="eastAsia"/>
          <w:color w:val="000000" w:themeColor="text1"/>
          <w:szCs w:val="21"/>
        </w:rPr>
        <w:t>本项目不专门面向中小企业预留采购份额。</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77777777" w:rsidR="00BE6036" w:rsidRPr="00D94C26" w:rsidRDefault="00000000">
      <w:pPr>
        <w:spacing w:line="360" w:lineRule="auto"/>
        <w:ind w:firstLineChars="200" w:firstLine="420"/>
        <w:rPr>
          <w:rFonts w:ascii="宋体" w:hAnsi="宋体"/>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本项目属于政府购买服务，公益一类事业单位、使用事业编制且由财政拨款保障的群团组织，不得作为承接主体。</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lastRenderedPageBreak/>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1.时间：2026年4月3日至2026年4月13日，（招标文件上传完成开始时间起至截止日每天上午09:00至下午17:00（北京时间，法定节假日除外）。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时间：2026年4月24下午13：30（北京时间）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供应商登录北京市政府采购电子交易平台“用户指南”—“操作指南”—“市场主体注册入库操作流程指引”进行自助注册绑定。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w:t>
      </w:r>
      <w:r w:rsidRPr="00D94C26">
        <w:rPr>
          <w:rFonts w:ascii="宋体" w:hAnsi="宋体" w:cs="宋体" w:hint="eastAsia"/>
          <w:color w:val="000000" w:themeColor="text1"/>
          <w:szCs w:val="21"/>
        </w:rPr>
        <w:lastRenderedPageBreak/>
        <w:t>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6245B0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名称：北京市财政局</w:t>
      </w:r>
    </w:p>
    <w:p w14:paraId="1338AF5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地址：北京市通州区承安路3号院</w:t>
      </w:r>
    </w:p>
    <w:p w14:paraId="516F3614"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联系人：</w:t>
      </w:r>
      <w:bookmarkStart w:id="29" w:name="_Hlk193379080"/>
      <w:r w:rsidRPr="00D94C26">
        <w:rPr>
          <w:rFonts w:ascii="宋体" w:hAnsi="宋体" w:cs="宋体" w:hint="eastAsia"/>
          <w:color w:val="000000" w:themeColor="text1"/>
          <w:szCs w:val="21"/>
        </w:rPr>
        <w:t>孙老师</w:t>
      </w:r>
      <w:bookmarkEnd w:id="29"/>
    </w:p>
    <w:p w14:paraId="6A20F234"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w:t>
      </w:r>
      <w:bookmarkStart w:id="30" w:name="_Hlk193379085"/>
      <w:r w:rsidRPr="00D94C26">
        <w:rPr>
          <w:rFonts w:ascii="宋体" w:hAnsi="宋体" w:cs="宋体" w:hint="eastAsia"/>
          <w:color w:val="000000" w:themeColor="text1"/>
          <w:szCs w:val="21"/>
        </w:rPr>
        <w:t>010-555</w:t>
      </w:r>
      <w:bookmarkEnd w:id="30"/>
      <w:r w:rsidRPr="00D94C26">
        <w:rPr>
          <w:rFonts w:ascii="宋体" w:hAnsi="宋体" w:cs="宋体" w:hint="eastAsia"/>
          <w:color w:val="000000" w:themeColor="text1"/>
          <w:szCs w:val="21"/>
        </w:rPr>
        <w:t>92561</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31" w:name="_Toc28359010"/>
      <w:bookmarkStart w:id="32"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联系方式：仇凯彬，李嘉鹏；010-62051636/010-62055093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3" w:name="_Toc14183"/>
      <w:bookmarkStart w:id="34" w:name="_Toc160119536"/>
      <w:bookmarkStart w:id="35" w:name="_Toc13737"/>
      <w:r w:rsidRPr="00D94C26">
        <w:rPr>
          <w:rFonts w:ascii="宋体" w:hAnsi="宋体" w:cs="宋体" w:hint="eastAsia"/>
          <w:b/>
          <w:color w:val="000000" w:themeColor="text1"/>
          <w:szCs w:val="21"/>
        </w:rPr>
        <w:t>3.项目联系方式</w:t>
      </w:r>
      <w:bookmarkEnd w:id="31"/>
      <w:bookmarkEnd w:id="32"/>
      <w:bookmarkEnd w:id="33"/>
      <w:bookmarkEnd w:id="34"/>
      <w:bookmarkEnd w:id="35"/>
    </w:p>
    <w:p w14:paraId="4078D8A8"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77777777"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26年4月3日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EB88" w14:textId="77777777" w:rsidR="00D92A54" w:rsidRDefault="00D92A54" w:rsidP="002E3E5C">
      <w:r>
        <w:separator/>
      </w:r>
    </w:p>
  </w:endnote>
  <w:endnote w:type="continuationSeparator" w:id="0">
    <w:p w14:paraId="56BD473D" w14:textId="77777777" w:rsidR="00D92A54" w:rsidRDefault="00D92A54"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BBC7" w14:textId="77777777" w:rsidR="00D92A54" w:rsidRDefault="00D92A54" w:rsidP="002E3E5C">
      <w:r>
        <w:separator/>
      </w:r>
    </w:p>
  </w:footnote>
  <w:footnote w:type="continuationSeparator" w:id="0">
    <w:p w14:paraId="75A32E90" w14:textId="77777777" w:rsidR="00D92A54" w:rsidRDefault="00D92A54"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514A"/>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49D9"/>
    <w:rsid w:val="002D6143"/>
    <w:rsid w:val="002D7581"/>
    <w:rsid w:val="002E3E5C"/>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60007"/>
    <w:rsid w:val="00462858"/>
    <w:rsid w:val="00463954"/>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36E2"/>
    <w:rsid w:val="005F5DC1"/>
    <w:rsid w:val="005F6DB9"/>
    <w:rsid w:val="005F78E3"/>
    <w:rsid w:val="0060068F"/>
    <w:rsid w:val="00601F0E"/>
    <w:rsid w:val="006125B5"/>
    <w:rsid w:val="006143E6"/>
    <w:rsid w:val="00617265"/>
    <w:rsid w:val="0062150B"/>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159A"/>
    <w:rsid w:val="006A373B"/>
    <w:rsid w:val="006B03C5"/>
    <w:rsid w:val="006B12D3"/>
    <w:rsid w:val="006B69E9"/>
    <w:rsid w:val="006C6DF4"/>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514E"/>
    <w:rsid w:val="008243FD"/>
    <w:rsid w:val="00825533"/>
    <w:rsid w:val="00827B87"/>
    <w:rsid w:val="00830892"/>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366"/>
    <w:rsid w:val="00B71910"/>
    <w:rsid w:val="00B7425D"/>
    <w:rsid w:val="00B801F0"/>
    <w:rsid w:val="00B827BF"/>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6036"/>
    <w:rsid w:val="00BE7321"/>
    <w:rsid w:val="00BF1D8C"/>
    <w:rsid w:val="00BF28E5"/>
    <w:rsid w:val="00BF46D5"/>
    <w:rsid w:val="00C10070"/>
    <w:rsid w:val="00C146A4"/>
    <w:rsid w:val="00C17A00"/>
    <w:rsid w:val="00C2186E"/>
    <w:rsid w:val="00C2625E"/>
    <w:rsid w:val="00C33FC3"/>
    <w:rsid w:val="00C34768"/>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5432"/>
    <w:rsid w:val="00CB0C5B"/>
    <w:rsid w:val="00CB3C62"/>
    <w:rsid w:val="00CB4718"/>
    <w:rsid w:val="00CB4E52"/>
    <w:rsid w:val="00CB6E0B"/>
    <w:rsid w:val="00CC0B0C"/>
    <w:rsid w:val="00CC3955"/>
    <w:rsid w:val="00CC49B9"/>
    <w:rsid w:val="00CC71CA"/>
    <w:rsid w:val="00CD0869"/>
    <w:rsid w:val="00CD17F3"/>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56F4E"/>
    <w:rsid w:val="00D622C6"/>
    <w:rsid w:val="00D62925"/>
    <w:rsid w:val="00D638F9"/>
    <w:rsid w:val="00D63F46"/>
    <w:rsid w:val="00D65E6F"/>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A31"/>
    <w:rsid w:val="00DB333E"/>
    <w:rsid w:val="00DD40D2"/>
    <w:rsid w:val="00DD4E8B"/>
    <w:rsid w:val="00DE06EC"/>
    <w:rsid w:val="00DE0D25"/>
    <w:rsid w:val="00DE276C"/>
    <w:rsid w:val="00DF1535"/>
    <w:rsid w:val="00E01899"/>
    <w:rsid w:val="00E02357"/>
    <w:rsid w:val="00E05106"/>
    <w:rsid w:val="00E11DAB"/>
    <w:rsid w:val="00E1397E"/>
    <w:rsid w:val="00E152FC"/>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D7E70"/>
    <w:rsid w:val="00EE747D"/>
    <w:rsid w:val="00EF4467"/>
    <w:rsid w:val="00EF54A5"/>
    <w:rsid w:val="00F013D1"/>
    <w:rsid w:val="00F03F04"/>
    <w:rsid w:val="00F050AC"/>
    <w:rsid w:val="00F102E8"/>
    <w:rsid w:val="00F11E4D"/>
    <w:rsid w:val="00F13A61"/>
    <w:rsid w:val="00F14713"/>
    <w:rsid w:val="00F147FC"/>
    <w:rsid w:val="00F24620"/>
    <w:rsid w:val="00F265D7"/>
    <w:rsid w:val="00F319E1"/>
    <w:rsid w:val="00F327C2"/>
    <w:rsid w:val="00F33958"/>
    <w:rsid w:val="00F34B0A"/>
    <w:rsid w:val="00F34BF5"/>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1174</Words>
  <Characters>1293</Characters>
  <Application>Microsoft Office Word</Application>
  <DocSecurity>0</DocSecurity>
  <Lines>61</Lines>
  <Paragraphs>74</Paragraphs>
  <ScaleCrop>false</ScaleCrop>
  <Company>MS</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385</cp:revision>
  <cp:lastPrinted>2022-07-21T02:17:00Z</cp:lastPrinted>
  <dcterms:created xsi:type="dcterms:W3CDTF">2024-08-14T06:56:00Z</dcterms:created>
  <dcterms:modified xsi:type="dcterms:W3CDTF">2026-04-03T06:55:00Z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