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56F6">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58078709">
      <w:pPr>
        <w:spacing w:line="360" w:lineRule="auto"/>
        <w:contextualSpacing/>
        <w:rPr>
          <w:rFonts w:ascii="Times New Roman" w:hAnsi="Times New Roman" w:eastAsia="宋体" w:cs="Times New Roman"/>
          <w:sz w:val="24"/>
          <w:highlight w:val="none"/>
        </w:rPr>
      </w:pPr>
    </w:p>
    <w:p w14:paraId="21067436">
      <w:pPr>
        <w:numPr>
          <w:ilvl w:val="0"/>
          <w:numId w:val="1"/>
        </w:numPr>
        <w:spacing w:line="360" w:lineRule="auto"/>
        <w:ind w:left="500" w:hanging="500"/>
        <w:contextualSpacing/>
        <w:rPr>
          <w:rFonts w:ascii="Calibri" w:hAnsi="Calibri" w:eastAsia="宋体" w:cs="Times New Roman"/>
          <w:bCs/>
          <w:sz w:val="24"/>
          <w:szCs w:val="22"/>
          <w:highlight w:val="none"/>
        </w:rPr>
      </w:pPr>
      <w:r>
        <w:rPr>
          <w:rFonts w:ascii="Times New Roman" w:hAnsi="Times New Roman" w:eastAsia="宋体" w:cs="Times New Roman"/>
          <w:b/>
          <w:sz w:val="24"/>
          <w:highlight w:val="none"/>
        </w:rPr>
        <w:t>采购标的</w:t>
      </w:r>
    </w:p>
    <w:p w14:paraId="1A749172">
      <w:pPr>
        <w:spacing w:line="360" w:lineRule="auto"/>
        <w:ind w:firstLine="482" w:firstLineChars="200"/>
        <w:contextualSpacing/>
        <w:rPr>
          <w:rFonts w:ascii="Calibri" w:hAnsi="Calibri" w:eastAsia="宋体" w:cs="Times New Roman"/>
          <w:bCs/>
          <w:sz w:val="24"/>
          <w:szCs w:val="22"/>
          <w:highlight w:val="none"/>
        </w:rPr>
      </w:pPr>
      <w:r>
        <w:rPr>
          <w:rFonts w:hint="eastAsia" w:ascii="Times New Roman" w:hAnsi="Times New Roman" w:eastAsia="宋体" w:cs="Times New Roman"/>
          <w:b/>
          <w:sz w:val="24"/>
          <w:highlight w:val="none"/>
        </w:rPr>
        <w:t>1、</w:t>
      </w:r>
      <w:r>
        <w:rPr>
          <w:rFonts w:hint="eastAsia" w:ascii="宋体" w:hAnsi="宋体" w:eastAsia="宋体" w:cs="微软雅黑"/>
          <w:sz w:val="24"/>
          <w:highlight w:val="none"/>
        </w:rPr>
        <w:t>投标人按照采购人的有关规定及要求，提供对</w:t>
      </w:r>
      <w:r>
        <w:rPr>
          <w:rFonts w:ascii="宋体" w:hAnsi="宋体" w:eastAsia="宋体" w:cs="微软雅黑"/>
          <w:b/>
          <w:bCs/>
          <w:sz w:val="24"/>
          <w:highlight w:val="none"/>
        </w:rPr>
        <w:fldChar w:fldCharType="begin"/>
      </w:r>
      <w:r>
        <w:rPr>
          <w:rFonts w:ascii="宋体" w:hAnsi="宋体" w:eastAsia="宋体" w:cs="微软雅黑"/>
          <w:b/>
          <w:bCs/>
          <w:sz w:val="24"/>
          <w:highlight w:val="none"/>
        </w:rPr>
        <w:instrText xml:space="preserve"> HYPERLINK "http://www.baidu.com/link?url=Fx7ZC5p9Tv3LuYMkvofDMSe9HWhleqN3YYluIZ2WUuqqE78PumDo6CqRudxkLqZC" \t "_blank" </w:instrText>
      </w:r>
      <w:r>
        <w:rPr>
          <w:rFonts w:ascii="宋体" w:hAnsi="宋体" w:eastAsia="宋体" w:cs="微软雅黑"/>
          <w:b/>
          <w:bCs/>
          <w:sz w:val="24"/>
          <w:highlight w:val="none"/>
        </w:rPr>
        <w:fldChar w:fldCharType="separate"/>
      </w:r>
      <w:r>
        <w:rPr>
          <w:rFonts w:ascii="宋体" w:hAnsi="宋体" w:eastAsia="宋体" w:cs="微软雅黑"/>
          <w:sz w:val="24"/>
          <w:highlight w:val="none"/>
        </w:rPr>
        <w:t>北京市药品监督管理局</w:t>
      </w:r>
      <w:r>
        <w:rPr>
          <w:rFonts w:ascii="宋体" w:hAnsi="宋体" w:eastAsia="宋体" w:cs="微软雅黑"/>
          <w:b/>
          <w:bCs/>
          <w:sz w:val="24"/>
          <w:highlight w:val="none"/>
        </w:rPr>
        <w:fldChar w:fldCharType="end"/>
      </w:r>
      <w:r>
        <w:rPr>
          <w:rFonts w:hint="eastAsia" w:ascii="宋体" w:hAnsi="宋体" w:eastAsia="宋体" w:cs="微软雅黑"/>
          <w:sz w:val="24"/>
          <w:highlight w:val="none"/>
        </w:rPr>
        <w:t>的政务云基础和扩展服务。具体服务内容如下：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874"/>
        <w:gridCol w:w="2617"/>
        <w:gridCol w:w="1516"/>
        <w:gridCol w:w="1521"/>
      </w:tblGrid>
      <w:tr w14:paraId="74B8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91" w:type="dxa"/>
            <w:shd w:val="clear" w:color="auto" w:fill="FFFFFF"/>
            <w:noWrap w:val="0"/>
            <w:vAlign w:val="center"/>
          </w:tcPr>
          <w:p w14:paraId="75BAFA9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序号</w:t>
            </w:r>
          </w:p>
        </w:tc>
        <w:tc>
          <w:tcPr>
            <w:tcW w:w="1874" w:type="dxa"/>
            <w:shd w:val="clear" w:color="auto" w:fill="FFFFFF"/>
            <w:noWrap w:val="0"/>
            <w:vAlign w:val="center"/>
          </w:tcPr>
          <w:p w14:paraId="19A957D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标的名称</w:t>
            </w:r>
          </w:p>
        </w:tc>
        <w:tc>
          <w:tcPr>
            <w:tcW w:w="2617" w:type="dxa"/>
            <w:noWrap/>
            <w:vAlign w:val="center"/>
          </w:tcPr>
          <w:p w14:paraId="30460234">
            <w:pPr>
              <w:widowControl/>
              <w:ind w:firstLine="440" w:firstLineChars="200"/>
              <w:jc w:val="center"/>
              <w:textAlignment w:val="center"/>
              <w:rPr>
                <w:rFonts w:ascii="等线" w:hAnsi="等线" w:eastAsia="等线" w:cs="等线"/>
                <w:color w:val="000000"/>
                <w:sz w:val="22"/>
                <w:szCs w:val="22"/>
                <w:highlight w:val="none"/>
              </w:rPr>
            </w:pPr>
            <w:r>
              <w:rPr>
                <w:rFonts w:hint="eastAsia" w:ascii="等线" w:hAnsi="等线" w:eastAsia="等线" w:cs="等线"/>
                <w:color w:val="000000"/>
                <w:kern w:val="0"/>
                <w:sz w:val="22"/>
                <w:szCs w:val="22"/>
                <w:highlight w:val="none"/>
                <w:lang w:bidi="ar"/>
              </w:rPr>
              <w:t>标的描述或规格型号</w:t>
            </w:r>
          </w:p>
        </w:tc>
        <w:tc>
          <w:tcPr>
            <w:tcW w:w="1516" w:type="dxa"/>
            <w:noWrap/>
            <w:vAlign w:val="center"/>
          </w:tcPr>
          <w:p w14:paraId="3F133622">
            <w:pPr>
              <w:widowControl/>
              <w:ind w:firstLine="440" w:firstLineChars="200"/>
              <w:jc w:val="center"/>
              <w:textAlignment w:val="center"/>
              <w:rPr>
                <w:rFonts w:hint="eastAsia" w:ascii="等线" w:hAnsi="等线" w:eastAsia="等线" w:cs="等线"/>
                <w:color w:val="000000"/>
                <w:sz w:val="22"/>
                <w:szCs w:val="22"/>
                <w:highlight w:val="none"/>
              </w:rPr>
            </w:pPr>
            <w:r>
              <w:rPr>
                <w:rFonts w:hint="eastAsia" w:ascii="等线" w:hAnsi="等线" w:eastAsia="等线" w:cs="等线"/>
                <w:color w:val="000000"/>
                <w:kern w:val="0"/>
                <w:sz w:val="22"/>
                <w:szCs w:val="22"/>
                <w:highlight w:val="none"/>
                <w:lang w:bidi="ar"/>
              </w:rPr>
              <w:t>服务期限</w:t>
            </w:r>
          </w:p>
        </w:tc>
        <w:tc>
          <w:tcPr>
            <w:tcW w:w="1521" w:type="dxa"/>
            <w:noWrap/>
            <w:vAlign w:val="center"/>
          </w:tcPr>
          <w:p w14:paraId="7EDC5043">
            <w:pPr>
              <w:widowControl/>
              <w:ind w:firstLine="440" w:firstLineChars="200"/>
              <w:jc w:val="center"/>
              <w:textAlignment w:val="center"/>
              <w:rPr>
                <w:rFonts w:hint="eastAsia" w:ascii="等线" w:hAnsi="等线" w:eastAsia="等线" w:cs="等线"/>
                <w:color w:val="000000"/>
                <w:sz w:val="22"/>
                <w:szCs w:val="22"/>
                <w:highlight w:val="none"/>
              </w:rPr>
            </w:pPr>
            <w:r>
              <w:rPr>
                <w:rFonts w:hint="eastAsia" w:ascii="等线" w:hAnsi="等线" w:eastAsia="等线" w:cs="等线"/>
                <w:color w:val="000000"/>
                <w:kern w:val="0"/>
                <w:sz w:val="22"/>
                <w:szCs w:val="22"/>
                <w:highlight w:val="none"/>
                <w:lang w:bidi="ar"/>
              </w:rPr>
              <w:t>数量</w:t>
            </w:r>
          </w:p>
        </w:tc>
      </w:tr>
      <w:tr w14:paraId="1EE5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91" w:type="dxa"/>
            <w:shd w:val="clear" w:color="auto" w:fill="FFFFFF"/>
            <w:noWrap w:val="0"/>
            <w:vAlign w:val="center"/>
          </w:tcPr>
          <w:p w14:paraId="24AFF2C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1874" w:type="dxa"/>
            <w:shd w:val="clear" w:color="auto" w:fill="FFFFFF"/>
            <w:noWrap w:val="0"/>
            <w:vAlign w:val="center"/>
          </w:tcPr>
          <w:p w14:paraId="0610842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计算服务-云主机服务-vCPU（主频不低于2.4GHz）</w:t>
            </w:r>
          </w:p>
        </w:tc>
        <w:tc>
          <w:tcPr>
            <w:tcW w:w="2617" w:type="dxa"/>
            <w:shd w:val="clear" w:color="auto" w:fill="FFFFFF"/>
            <w:noWrap w:val="0"/>
            <w:vAlign w:val="center"/>
          </w:tcPr>
          <w:p w14:paraId="2F53F50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计算服务-云主机服务-vCPU（主频不低于2.4GHz）</w:t>
            </w:r>
          </w:p>
        </w:tc>
        <w:tc>
          <w:tcPr>
            <w:tcW w:w="1516" w:type="dxa"/>
            <w:shd w:val="clear" w:color="auto" w:fill="FFFFFF"/>
            <w:noWrap w:val="0"/>
            <w:vAlign w:val="center"/>
          </w:tcPr>
          <w:p w14:paraId="48F9060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7364ED6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3768</w:t>
            </w:r>
          </w:p>
        </w:tc>
      </w:tr>
      <w:tr w14:paraId="6908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91" w:type="dxa"/>
            <w:shd w:val="clear" w:color="auto" w:fill="FFFFFF"/>
            <w:noWrap w:val="0"/>
            <w:vAlign w:val="center"/>
          </w:tcPr>
          <w:p w14:paraId="1C9AE93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c>
          <w:tcPr>
            <w:tcW w:w="1874" w:type="dxa"/>
            <w:shd w:val="clear" w:color="auto" w:fill="FFFFFF"/>
            <w:noWrap w:val="0"/>
            <w:vAlign w:val="center"/>
          </w:tcPr>
          <w:p w14:paraId="1AED3D1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计算服务-云主机服务-内存</w:t>
            </w:r>
          </w:p>
        </w:tc>
        <w:tc>
          <w:tcPr>
            <w:tcW w:w="2617" w:type="dxa"/>
            <w:shd w:val="clear" w:color="auto" w:fill="FFFFFF"/>
            <w:noWrap w:val="0"/>
            <w:vAlign w:val="center"/>
          </w:tcPr>
          <w:p w14:paraId="798EDB4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计算服务-云主机服务-内存</w:t>
            </w:r>
          </w:p>
        </w:tc>
        <w:tc>
          <w:tcPr>
            <w:tcW w:w="1516" w:type="dxa"/>
            <w:shd w:val="clear" w:color="auto" w:fill="FFFFFF"/>
            <w:noWrap w:val="0"/>
            <w:vAlign w:val="center"/>
          </w:tcPr>
          <w:p w14:paraId="608F6D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037EB48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11602</w:t>
            </w:r>
          </w:p>
        </w:tc>
      </w:tr>
      <w:tr w14:paraId="0420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91" w:type="dxa"/>
            <w:shd w:val="clear" w:color="auto" w:fill="FFFFFF"/>
            <w:noWrap w:val="0"/>
            <w:vAlign w:val="center"/>
          </w:tcPr>
          <w:p w14:paraId="2CEB7E0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w:t>
            </w:r>
          </w:p>
        </w:tc>
        <w:tc>
          <w:tcPr>
            <w:tcW w:w="1874" w:type="dxa"/>
            <w:shd w:val="clear" w:color="auto" w:fill="FFFFFF"/>
            <w:noWrap w:val="0"/>
            <w:vAlign w:val="center"/>
          </w:tcPr>
          <w:p w14:paraId="7E283C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存储服务-普通性能存储-普通存储（单盘技术指标:单盘IOPS 1000-3000）。</w:t>
            </w:r>
          </w:p>
        </w:tc>
        <w:tc>
          <w:tcPr>
            <w:tcW w:w="2617" w:type="dxa"/>
            <w:shd w:val="clear" w:color="auto" w:fill="FFFFFF"/>
            <w:noWrap w:val="0"/>
            <w:vAlign w:val="center"/>
          </w:tcPr>
          <w:p w14:paraId="63878BF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存储服务-普通性能存储-普通存储（单盘技术指标:单盘IOPS 1000-3000）。</w:t>
            </w:r>
          </w:p>
        </w:tc>
        <w:tc>
          <w:tcPr>
            <w:tcW w:w="1516" w:type="dxa"/>
            <w:shd w:val="clear" w:color="auto" w:fill="FFFFFF"/>
            <w:noWrap w:val="0"/>
            <w:vAlign w:val="center"/>
          </w:tcPr>
          <w:p w14:paraId="2FF443D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0504BCF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71258</w:t>
            </w:r>
          </w:p>
        </w:tc>
      </w:tr>
      <w:tr w14:paraId="7BBF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991" w:type="dxa"/>
            <w:shd w:val="clear" w:color="auto" w:fill="FFFFFF"/>
            <w:noWrap w:val="0"/>
            <w:vAlign w:val="center"/>
          </w:tcPr>
          <w:p w14:paraId="5FE8BD9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w:t>
            </w:r>
          </w:p>
        </w:tc>
        <w:tc>
          <w:tcPr>
            <w:tcW w:w="1874" w:type="dxa"/>
            <w:shd w:val="clear" w:color="auto" w:fill="FFFFFF"/>
            <w:noWrap w:val="0"/>
            <w:vAlign w:val="center"/>
          </w:tcPr>
          <w:p w14:paraId="0E8AE3D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存储服务-高性能存储-高性能存储（单盘技术指标:单盘IOPS 3000-20000）。</w:t>
            </w:r>
          </w:p>
        </w:tc>
        <w:tc>
          <w:tcPr>
            <w:tcW w:w="2617" w:type="dxa"/>
            <w:shd w:val="clear" w:color="auto" w:fill="FFFFFF"/>
            <w:noWrap w:val="0"/>
            <w:vAlign w:val="center"/>
          </w:tcPr>
          <w:p w14:paraId="2E15236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存储服务-高性能存储-高性能存储（单盘技术指标:单盘IOPS 3000-20000）。</w:t>
            </w:r>
          </w:p>
        </w:tc>
        <w:tc>
          <w:tcPr>
            <w:tcW w:w="1516" w:type="dxa"/>
            <w:shd w:val="clear" w:color="auto" w:fill="FFFFFF"/>
            <w:noWrap w:val="0"/>
            <w:vAlign w:val="center"/>
          </w:tcPr>
          <w:p w14:paraId="0E53C7B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3480FC3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172172</w:t>
            </w:r>
          </w:p>
        </w:tc>
      </w:tr>
      <w:tr w14:paraId="1B5C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91" w:type="dxa"/>
            <w:shd w:val="clear" w:color="auto" w:fill="FFFFFF"/>
            <w:noWrap w:val="0"/>
            <w:vAlign w:val="center"/>
          </w:tcPr>
          <w:p w14:paraId="1DA4E47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w:t>
            </w:r>
          </w:p>
        </w:tc>
        <w:tc>
          <w:tcPr>
            <w:tcW w:w="1874" w:type="dxa"/>
            <w:shd w:val="clear" w:color="auto" w:fill="FFFFFF"/>
            <w:noWrap w:val="0"/>
            <w:vAlign w:val="center"/>
          </w:tcPr>
          <w:p w14:paraId="7E73345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网络服务-互联网链路服务-互联网链路带宽</w:t>
            </w:r>
          </w:p>
        </w:tc>
        <w:tc>
          <w:tcPr>
            <w:tcW w:w="2617" w:type="dxa"/>
            <w:shd w:val="clear" w:color="auto" w:fill="FFFFFF"/>
            <w:noWrap w:val="0"/>
            <w:vAlign w:val="center"/>
          </w:tcPr>
          <w:p w14:paraId="4F5DEFF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网络服务-互联网链路服务-互联网链路带宽</w:t>
            </w:r>
          </w:p>
        </w:tc>
        <w:tc>
          <w:tcPr>
            <w:tcW w:w="1516" w:type="dxa"/>
            <w:shd w:val="clear" w:color="auto" w:fill="FFFFFF"/>
            <w:noWrap w:val="0"/>
            <w:vAlign w:val="center"/>
          </w:tcPr>
          <w:p w14:paraId="367F2F1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507DBF2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2048</w:t>
            </w:r>
          </w:p>
        </w:tc>
      </w:tr>
      <w:tr w14:paraId="454A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91" w:type="dxa"/>
            <w:shd w:val="clear" w:color="auto" w:fill="FFFFFF"/>
            <w:noWrap w:val="0"/>
            <w:vAlign w:val="center"/>
          </w:tcPr>
          <w:p w14:paraId="32946BA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6</w:t>
            </w:r>
          </w:p>
        </w:tc>
        <w:tc>
          <w:tcPr>
            <w:tcW w:w="1874" w:type="dxa"/>
            <w:shd w:val="clear" w:color="auto" w:fill="FFFFFF"/>
            <w:noWrap w:val="0"/>
            <w:vAlign w:val="center"/>
          </w:tcPr>
          <w:p w14:paraId="1AA1AE3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网络服务-互联网链路服务-互联网IP地址租用服务、并提供备案服务</w:t>
            </w:r>
          </w:p>
        </w:tc>
        <w:tc>
          <w:tcPr>
            <w:tcW w:w="2617" w:type="dxa"/>
            <w:shd w:val="clear" w:color="auto" w:fill="FFFFFF"/>
            <w:noWrap w:val="0"/>
            <w:vAlign w:val="center"/>
          </w:tcPr>
          <w:p w14:paraId="1F08483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网络服务-互联网链路服务-互联网IP地址租用服务、并提供备案服务</w:t>
            </w:r>
          </w:p>
        </w:tc>
        <w:tc>
          <w:tcPr>
            <w:tcW w:w="1516" w:type="dxa"/>
            <w:shd w:val="clear" w:color="auto" w:fill="FFFFFF"/>
            <w:noWrap w:val="0"/>
            <w:vAlign w:val="center"/>
          </w:tcPr>
          <w:p w14:paraId="6C03165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733BF4D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0AE1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91" w:type="dxa"/>
            <w:shd w:val="clear" w:color="auto" w:fill="FFFFFF"/>
            <w:noWrap w:val="0"/>
            <w:vAlign w:val="center"/>
          </w:tcPr>
          <w:p w14:paraId="074E8CA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w:t>
            </w:r>
          </w:p>
        </w:tc>
        <w:tc>
          <w:tcPr>
            <w:tcW w:w="1874" w:type="dxa"/>
            <w:shd w:val="clear" w:color="auto" w:fill="FFFFFF"/>
            <w:noWrap w:val="0"/>
            <w:vAlign w:val="center"/>
          </w:tcPr>
          <w:p w14:paraId="0D713CC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网络服务-主机负载均衡服务</w:t>
            </w:r>
          </w:p>
        </w:tc>
        <w:tc>
          <w:tcPr>
            <w:tcW w:w="2617" w:type="dxa"/>
            <w:shd w:val="clear" w:color="auto" w:fill="FFFFFF"/>
            <w:noWrap w:val="0"/>
            <w:vAlign w:val="center"/>
          </w:tcPr>
          <w:p w14:paraId="644193F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网络服务-主机负载均衡服务</w:t>
            </w:r>
          </w:p>
        </w:tc>
        <w:tc>
          <w:tcPr>
            <w:tcW w:w="1516" w:type="dxa"/>
            <w:shd w:val="clear" w:color="auto" w:fill="FFFFFF"/>
            <w:noWrap w:val="0"/>
            <w:vAlign w:val="center"/>
          </w:tcPr>
          <w:p w14:paraId="220B8DC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7EC8693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w:t>
            </w:r>
          </w:p>
        </w:tc>
      </w:tr>
      <w:tr w14:paraId="28DD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91" w:type="dxa"/>
            <w:shd w:val="clear" w:color="auto" w:fill="FFFFFF"/>
            <w:noWrap w:val="0"/>
            <w:vAlign w:val="center"/>
          </w:tcPr>
          <w:p w14:paraId="0419181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w:t>
            </w:r>
          </w:p>
        </w:tc>
        <w:tc>
          <w:tcPr>
            <w:tcW w:w="1874" w:type="dxa"/>
            <w:shd w:val="clear" w:color="auto" w:fill="FFFFFF"/>
            <w:noWrap w:val="0"/>
            <w:vAlign w:val="center"/>
          </w:tcPr>
          <w:p w14:paraId="3AB39BA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网络服务-远程接入服务-每个账号结合身份验证，通过VPN远程接入堡垒机维护</w:t>
            </w:r>
          </w:p>
        </w:tc>
        <w:tc>
          <w:tcPr>
            <w:tcW w:w="2617" w:type="dxa"/>
            <w:shd w:val="clear" w:color="auto" w:fill="FFFFFF"/>
            <w:noWrap w:val="0"/>
            <w:vAlign w:val="center"/>
          </w:tcPr>
          <w:p w14:paraId="7513031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网络服务-远程接入服务-每个账号结合身份验证，通过VPN远程接入堡垒机维护</w:t>
            </w:r>
          </w:p>
        </w:tc>
        <w:tc>
          <w:tcPr>
            <w:tcW w:w="1516" w:type="dxa"/>
            <w:shd w:val="clear" w:color="auto" w:fill="FFFFFF"/>
            <w:noWrap w:val="0"/>
            <w:vAlign w:val="center"/>
          </w:tcPr>
          <w:p w14:paraId="6D2677F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1702AF5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w:t>
            </w:r>
          </w:p>
        </w:tc>
      </w:tr>
      <w:tr w14:paraId="4583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91" w:type="dxa"/>
            <w:shd w:val="clear" w:color="auto" w:fill="FFFFFF"/>
            <w:noWrap w:val="0"/>
            <w:vAlign w:val="center"/>
          </w:tcPr>
          <w:p w14:paraId="4CCFD65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w:t>
            </w:r>
          </w:p>
        </w:tc>
        <w:tc>
          <w:tcPr>
            <w:tcW w:w="1874" w:type="dxa"/>
            <w:shd w:val="clear" w:color="auto" w:fill="FFFFFF"/>
            <w:noWrap w:val="0"/>
            <w:vAlign w:val="center"/>
          </w:tcPr>
          <w:p w14:paraId="1979C99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网络服务-VPN接入服务-提供SSL VPN接入政务云环境服务</w:t>
            </w:r>
          </w:p>
        </w:tc>
        <w:tc>
          <w:tcPr>
            <w:tcW w:w="2617" w:type="dxa"/>
            <w:shd w:val="clear" w:color="auto" w:fill="FFFFFF"/>
            <w:noWrap w:val="0"/>
            <w:vAlign w:val="center"/>
          </w:tcPr>
          <w:p w14:paraId="26B3CF2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网络服务-VPN接入服务-提供SSL VPN接入政务云环境服务</w:t>
            </w:r>
          </w:p>
        </w:tc>
        <w:tc>
          <w:tcPr>
            <w:tcW w:w="1516" w:type="dxa"/>
            <w:shd w:val="clear" w:color="auto" w:fill="FFFFFF"/>
            <w:noWrap w:val="0"/>
            <w:vAlign w:val="center"/>
          </w:tcPr>
          <w:p w14:paraId="391C46F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12个月</w:t>
            </w:r>
          </w:p>
        </w:tc>
        <w:tc>
          <w:tcPr>
            <w:tcW w:w="1521" w:type="dxa"/>
            <w:shd w:val="clear" w:color="auto" w:fill="FFFFFF"/>
            <w:noWrap w:val="0"/>
            <w:vAlign w:val="center"/>
          </w:tcPr>
          <w:p w14:paraId="1800FA9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w:t>
            </w:r>
          </w:p>
        </w:tc>
      </w:tr>
    </w:tbl>
    <w:p w14:paraId="1625FC5A">
      <w:pPr>
        <w:rPr>
          <w:rFonts w:hint="eastAsia" w:ascii="Times New Roman" w:hAnsi="Times New Roman" w:eastAsia="宋体" w:cs="Times New Roman"/>
          <w:bCs/>
          <w:sz w:val="24"/>
          <w:highlight w:val="none"/>
        </w:rPr>
      </w:pPr>
    </w:p>
    <w:p w14:paraId="6B0A244F">
      <w:pPr>
        <w:rPr>
          <w:rFonts w:ascii="Times New Roman" w:hAnsi="Times New Roman" w:eastAsia="宋体" w:cs="Times New Roman"/>
          <w:sz w:val="24"/>
          <w:highlight w:val="none"/>
        </w:rPr>
      </w:pPr>
      <w:r>
        <w:rPr>
          <w:rFonts w:hint="eastAsia" w:ascii="Times New Roman" w:hAnsi="Times New Roman" w:eastAsia="宋体" w:cs="Times New Roman"/>
          <w:bCs/>
          <w:sz w:val="24"/>
          <w:highlight w:val="none"/>
        </w:rPr>
        <w:t>2、</w:t>
      </w:r>
      <w:r>
        <w:rPr>
          <w:rFonts w:hint="eastAsia" w:ascii="Times New Roman" w:hAnsi="Times New Roman" w:eastAsia="宋体" w:cs="Times New Roman"/>
          <w:sz w:val="24"/>
          <w:highlight w:val="none"/>
        </w:rPr>
        <w:t>项目背景或简况</w:t>
      </w:r>
    </w:p>
    <w:p w14:paraId="100C3C4F">
      <w:pPr>
        <w:spacing w:line="360" w:lineRule="auto"/>
        <w:ind w:firstLine="480" w:firstLineChars="200"/>
        <w:rPr>
          <w:rFonts w:hint="eastAsia" w:ascii="宋体" w:hAnsi="宋体" w:eastAsia="宋体" w:cs="仿宋_GB2312"/>
          <w:sz w:val="24"/>
          <w:highlight w:val="none"/>
        </w:rPr>
      </w:pPr>
      <w:r>
        <w:rPr>
          <w:rFonts w:hint="eastAsia" w:ascii="宋体" w:hAnsi="宋体" w:eastAsia="宋体" w:cs="仿宋_GB2312"/>
          <w:sz w:val="24"/>
          <w:highlight w:val="none"/>
        </w:rPr>
        <w:t>2019年4月，北京市经济和信息化局印发了《北京市市级政务云管理办法》，作为市级单位严格按照“上云为常态，不上云为例外”的原则，将现有信息系统逐步向政务云迁移。同年7月，市经信息局印发了《关于加快政务信息系统入云工作的函》，要求加快推进政务信息系统入云工作。北京市药品监督管理局快速响应，进行了业务系统上链入云。</w:t>
      </w:r>
    </w:p>
    <w:p w14:paraId="549B33D8">
      <w:pPr>
        <w:spacing w:line="360" w:lineRule="auto"/>
        <w:ind w:firstLine="480" w:firstLineChars="200"/>
        <w:rPr>
          <w:rFonts w:hint="eastAsia" w:ascii="Times New Roman" w:hAnsi="Times New Roman" w:eastAsia="宋体" w:cs="Times New Roman"/>
          <w:bCs/>
          <w:sz w:val="24"/>
          <w:highlight w:val="none"/>
        </w:rPr>
      </w:pPr>
      <w:r>
        <w:rPr>
          <w:rFonts w:hint="eastAsia" w:ascii="宋体" w:hAnsi="宋体" w:eastAsia="宋体" w:cs="仿宋_GB2312"/>
          <w:sz w:val="24"/>
          <w:highlight w:val="none"/>
        </w:rPr>
        <w:t>为保障平台整体安全、可靠、稳定运行，同时响应经信局“上云为常态，不上云为例外”的原则，继续租用北京市政务云平台，并根据实际需要配置安全服务项目，保障业务系统的在政务云环境内的连续性和可靠性。</w:t>
      </w:r>
    </w:p>
    <w:p w14:paraId="311B1941">
      <w:pPr>
        <w:spacing w:line="360" w:lineRule="auto"/>
        <w:ind w:firstLine="482"/>
        <w:contextualSpacing/>
        <w:rPr>
          <w:rFonts w:ascii="Times New Roman" w:hAnsi="Times New Roman" w:eastAsia="宋体" w:cs="Times New Roman"/>
          <w:b/>
          <w:sz w:val="24"/>
          <w:highlight w:val="none"/>
        </w:rPr>
      </w:pPr>
    </w:p>
    <w:p w14:paraId="1478DDF9">
      <w:pPr>
        <w:numPr>
          <w:ilvl w:val="0"/>
          <w:numId w:val="1"/>
        </w:numPr>
        <w:spacing w:line="360" w:lineRule="auto"/>
        <w:ind w:left="500" w:hanging="500"/>
        <w:contextualSpacing/>
        <w:rPr>
          <w:rFonts w:ascii="Times New Roman" w:hAnsi="Times New Roman" w:eastAsia="宋体" w:cs="Times New Roman"/>
          <w:b/>
          <w:sz w:val="24"/>
          <w:highlight w:val="none"/>
        </w:rPr>
      </w:pPr>
      <w:r>
        <w:rPr>
          <w:rFonts w:ascii="Times New Roman" w:hAnsi="Times New Roman" w:eastAsia="宋体" w:cs="Times New Roman"/>
          <w:b/>
          <w:sz w:val="24"/>
          <w:highlight w:val="none"/>
        </w:rPr>
        <w:t>商务要求</w:t>
      </w:r>
    </w:p>
    <w:p w14:paraId="32BF56F2">
      <w:pPr>
        <w:spacing w:line="360" w:lineRule="auto"/>
        <w:ind w:firstLine="480" w:firstLineChars="200"/>
        <w:contextualSpacing/>
        <w:rPr>
          <w:rFonts w:ascii="Times New Roman" w:hAnsi="Times New Roman" w:eastAsia="宋体" w:cs="Times New Roman"/>
          <w:i/>
          <w:sz w:val="24"/>
          <w:highlight w:val="none"/>
        </w:rPr>
      </w:pPr>
      <w:r>
        <w:rPr>
          <w:rFonts w:ascii="Times New Roman" w:hAnsi="Times New Roman" w:eastAsia="宋体" w:cs="Times New Roman"/>
          <w:sz w:val="24"/>
          <w:highlight w:val="none"/>
        </w:rPr>
        <w:t>1. 交付（实施）的时间（期限）和地点（范围）</w:t>
      </w:r>
    </w:p>
    <w:p w14:paraId="4773A818">
      <w:pPr>
        <w:keepNext/>
        <w:keepLines/>
        <w:spacing w:before="260" w:after="260" w:line="416" w:lineRule="auto"/>
        <w:ind w:firstLine="480" w:firstLineChars="200"/>
        <w:outlineLvl w:val="1"/>
        <w:rPr>
          <w:rFonts w:ascii="等线 Light" w:hAnsi="等线 Light" w:eastAsia="等线 Light" w:cs="Times New Roman"/>
          <w:bCs/>
          <w:sz w:val="24"/>
          <w:szCs w:val="32"/>
          <w:highlight w:val="none"/>
        </w:rPr>
      </w:pPr>
      <w:r>
        <w:rPr>
          <w:rFonts w:hint="eastAsia" w:ascii="等线 Light" w:hAnsi="等线 Light" w:eastAsia="等线 Light" w:cs="Times New Roman"/>
          <w:bCs/>
          <w:sz w:val="24"/>
          <w:szCs w:val="32"/>
          <w:highlight w:val="none"/>
        </w:rPr>
        <w:t>交货时间及地点（服务期限）</w:t>
      </w:r>
    </w:p>
    <w:p w14:paraId="169BF032">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合同签订并完成首付款支付后，中标人应在30日内按采购人需要完成云资源创建。</w:t>
      </w:r>
    </w:p>
    <w:p w14:paraId="3F33F9C8">
      <w:pPr>
        <w:spacing w:line="360" w:lineRule="auto"/>
        <w:ind w:firstLine="420"/>
        <w:rPr>
          <w:rFonts w:hint="eastAsia" w:ascii="宋体" w:hAnsi="宋体" w:eastAsia="宋体" w:cs="仿宋_GB2312"/>
          <w:sz w:val="24"/>
          <w:highlight w:val="none"/>
        </w:rPr>
      </w:pPr>
      <w:r>
        <w:rPr>
          <w:rFonts w:hint="eastAsia" w:ascii="宋体" w:hAnsi="宋体" w:eastAsia="宋体" w:cs="仿宋_GB2312"/>
          <w:sz w:val="24"/>
          <w:highlight w:val="none"/>
        </w:rPr>
        <w:t>服务期限：自合同签订起1</w:t>
      </w:r>
      <w:r>
        <w:rPr>
          <w:rFonts w:ascii="宋体" w:hAnsi="宋体" w:eastAsia="宋体" w:cs="仿宋_GB2312"/>
          <w:sz w:val="24"/>
          <w:highlight w:val="none"/>
        </w:rPr>
        <w:t>2</w:t>
      </w:r>
      <w:r>
        <w:rPr>
          <w:rFonts w:hint="eastAsia" w:ascii="宋体" w:hAnsi="宋体" w:eastAsia="宋体" w:cs="仿宋_GB2312"/>
          <w:sz w:val="24"/>
          <w:highlight w:val="none"/>
        </w:rPr>
        <w:t>个月</w:t>
      </w:r>
    </w:p>
    <w:p w14:paraId="5D91CE46">
      <w:pPr>
        <w:spacing w:line="360" w:lineRule="auto"/>
        <w:ind w:firstLine="420"/>
        <w:rPr>
          <w:rFonts w:hint="eastAsia" w:ascii="宋体" w:hAnsi="宋体" w:eastAsia="宋体" w:cs="仿宋_GB2312"/>
          <w:sz w:val="24"/>
          <w:highlight w:val="none"/>
        </w:rPr>
      </w:pPr>
      <w:r>
        <w:rPr>
          <w:rFonts w:hint="eastAsia" w:ascii="宋体" w:hAnsi="宋体" w:eastAsia="宋体" w:cs="仿宋_GB2312"/>
          <w:sz w:val="24"/>
          <w:highlight w:val="none"/>
        </w:rPr>
        <w:t>服务地点：用户指定地点</w:t>
      </w:r>
    </w:p>
    <w:p w14:paraId="6193312B">
      <w:pPr>
        <w:spacing w:line="360" w:lineRule="auto"/>
        <w:contextualSpacing/>
        <w:rPr>
          <w:rFonts w:ascii="Times New Roman" w:hAnsi="Times New Roman" w:eastAsia="宋体" w:cs="Times New Roman"/>
          <w:i/>
          <w:sz w:val="24"/>
          <w:highlight w:val="none"/>
        </w:rPr>
      </w:pPr>
    </w:p>
    <w:p w14:paraId="15AE709D">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付款条件（进度和方式）</w:t>
      </w:r>
    </w:p>
    <w:p w14:paraId="56B48560">
      <w:pPr>
        <w:keepNext/>
        <w:keepLines/>
        <w:spacing w:before="260" w:after="260" w:line="416" w:lineRule="auto"/>
        <w:outlineLvl w:val="1"/>
        <w:rPr>
          <w:rFonts w:ascii="等线 Light" w:hAnsi="等线 Light" w:eastAsia="等线 Light" w:cs="Times New Roman"/>
          <w:bCs/>
          <w:sz w:val="24"/>
          <w:szCs w:val="32"/>
          <w:highlight w:val="none"/>
        </w:rPr>
      </w:pPr>
      <w:r>
        <w:rPr>
          <w:rFonts w:hint="eastAsia" w:ascii="等线 Light" w:hAnsi="等线 Light" w:eastAsia="等线 Light" w:cs="Times New Roman"/>
          <w:bCs/>
          <w:sz w:val="24"/>
          <w:szCs w:val="32"/>
          <w:highlight w:val="none"/>
        </w:rPr>
        <w:t>付款方式</w:t>
      </w:r>
    </w:p>
    <w:p w14:paraId="7B9E2EA6">
      <w:pPr>
        <w:spacing w:line="360" w:lineRule="auto"/>
        <w:ind w:firstLine="480" w:firstLineChars="200"/>
        <w:contextualSpacing/>
        <w:rPr>
          <w:rFonts w:hint="eastAsia" w:ascii="宋体" w:hAnsi="宋体" w:eastAsia="宋体" w:cs="仿宋_GB2312"/>
          <w:sz w:val="24"/>
          <w:highlight w:val="none"/>
        </w:rPr>
      </w:pPr>
      <w:r>
        <w:rPr>
          <w:rFonts w:hint="eastAsia" w:ascii="宋体" w:hAnsi="宋体" w:eastAsia="宋体" w:cs="仿宋_GB2312"/>
          <w:sz w:val="24"/>
          <w:highlight w:val="none"/>
        </w:rPr>
        <w:t xml:space="preserve">本项目合同款项为：大写： 小写： </w:t>
      </w:r>
    </w:p>
    <w:p w14:paraId="7361062C">
      <w:pPr>
        <w:spacing w:line="360" w:lineRule="auto"/>
        <w:ind w:firstLine="480" w:firstLineChars="200"/>
        <w:contextualSpacing/>
        <w:rPr>
          <w:rFonts w:hint="eastAsia" w:ascii="宋体" w:hAnsi="宋体" w:eastAsia="宋体" w:cs="仿宋_GB2312"/>
          <w:sz w:val="24"/>
          <w:highlight w:val="none"/>
        </w:rPr>
      </w:pPr>
      <w:r>
        <w:rPr>
          <w:rFonts w:hint="eastAsia" w:ascii="宋体" w:hAnsi="宋体" w:eastAsia="宋体" w:cs="仿宋_GB2312"/>
          <w:sz w:val="24"/>
          <w:highlight w:val="none"/>
        </w:rPr>
        <w:t xml:space="preserve">自本合同生效之日起，财政资金批复后，除因财政审批导致采购人延迟付款外，采购人应当在合同签订后40个工作日内向中标人支付合同首款XXX万元，首付款比例为合同款40%（中小企业付款比例为合同款50%）。 </w:t>
      </w:r>
    </w:p>
    <w:p w14:paraId="28E2AD9B">
      <w:pPr>
        <w:spacing w:line="360" w:lineRule="auto"/>
        <w:ind w:firstLine="480" w:firstLineChars="200"/>
        <w:contextualSpacing/>
        <w:rPr>
          <w:rFonts w:hint="eastAsia" w:ascii="宋体" w:hAnsi="宋体" w:eastAsia="宋体" w:cs="仿宋_GB2312"/>
          <w:sz w:val="24"/>
          <w:highlight w:val="none"/>
        </w:rPr>
      </w:pPr>
      <w:r>
        <w:rPr>
          <w:rFonts w:hint="eastAsia" w:ascii="宋体" w:hAnsi="宋体" w:eastAsia="宋体" w:cs="仿宋_GB2312"/>
          <w:sz w:val="24"/>
          <w:highlight w:val="none"/>
        </w:rPr>
        <w:t xml:space="preserve">在合同约定的服务期过半且中标人前期服务通过采购人中期验收后，采购人向中标人支付二期款XXX万元，二期款比例为合同款的30%（中小企业付款比例为20%）。   </w:t>
      </w:r>
    </w:p>
    <w:p w14:paraId="48998D63">
      <w:pPr>
        <w:spacing w:line="360" w:lineRule="auto"/>
        <w:contextualSpacing/>
        <w:rPr>
          <w:rFonts w:hint="eastAsia" w:ascii="宋体" w:hAnsi="宋体" w:eastAsia="宋体" w:cs="仿宋_GB2312"/>
          <w:sz w:val="24"/>
          <w:highlight w:val="none"/>
        </w:rPr>
      </w:pPr>
      <w:r>
        <w:rPr>
          <w:rFonts w:hint="eastAsia" w:ascii="宋体" w:hAnsi="宋体" w:eastAsia="宋体" w:cs="仿宋_GB2312"/>
          <w:sz w:val="24"/>
          <w:highlight w:val="none"/>
        </w:rPr>
        <w:t>在本合同约定的服务期届满并通过验收后40个工作日内，扣除违约金（如有）、赔偿金（如有）后采购人向中标人支付合同剩余款项XX万元。</w:t>
      </w:r>
    </w:p>
    <w:p w14:paraId="20354430">
      <w:pPr>
        <w:spacing w:line="360" w:lineRule="auto"/>
        <w:contextualSpacing/>
        <w:rPr>
          <w:rFonts w:ascii="Times New Roman" w:hAnsi="Times New Roman" w:eastAsia="宋体" w:cs="Times New Roman"/>
          <w:sz w:val="24"/>
          <w:highlight w:val="none"/>
        </w:rPr>
      </w:pPr>
    </w:p>
    <w:p w14:paraId="252CBC80">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4. 售后服务（质保期）（如适用）</w:t>
      </w:r>
    </w:p>
    <w:p w14:paraId="5C4F4307">
      <w:pPr>
        <w:keepNext/>
        <w:keepLines/>
        <w:spacing w:before="260" w:after="260" w:line="416" w:lineRule="auto"/>
        <w:outlineLvl w:val="1"/>
        <w:rPr>
          <w:rFonts w:ascii="等线 Light" w:hAnsi="等线 Light" w:eastAsia="等线 Light" w:cs="Times New Roman"/>
          <w:bCs/>
          <w:sz w:val="24"/>
          <w:szCs w:val="32"/>
          <w:highlight w:val="none"/>
        </w:rPr>
      </w:pPr>
      <w:r>
        <w:rPr>
          <w:rFonts w:hint="eastAsia" w:ascii="等线 Light" w:hAnsi="等线 Light" w:eastAsia="等线 Light" w:cs="Times New Roman"/>
          <w:bCs/>
          <w:sz w:val="24"/>
          <w:szCs w:val="32"/>
          <w:highlight w:val="none"/>
        </w:rPr>
        <w:t>售后服务及培训要求</w:t>
      </w:r>
    </w:p>
    <w:p w14:paraId="69405603">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服务期</w:t>
      </w:r>
      <w:r>
        <w:rPr>
          <w:rFonts w:ascii="宋体" w:hAnsi="宋体" w:eastAsia="宋体" w:cs="仿宋_GB2312"/>
          <w:sz w:val="24"/>
          <w:highlight w:val="none"/>
        </w:rPr>
        <w:t>内，</w:t>
      </w:r>
      <w:r>
        <w:rPr>
          <w:rFonts w:hint="eastAsia" w:ascii="宋体" w:hAnsi="宋体" w:eastAsia="宋体" w:cs="仿宋_GB2312"/>
          <w:sz w:val="24"/>
          <w:highlight w:val="none"/>
        </w:rPr>
        <w:t>7×24小时电话响应，中标人</w:t>
      </w:r>
      <w:r>
        <w:rPr>
          <w:rFonts w:ascii="宋体" w:hAnsi="宋体" w:eastAsia="宋体" w:cs="仿宋_GB2312"/>
          <w:sz w:val="24"/>
          <w:highlight w:val="none"/>
        </w:rPr>
        <w:t>提供</w:t>
      </w:r>
      <w:r>
        <w:rPr>
          <w:rFonts w:hint="eastAsia" w:ascii="宋体" w:hAnsi="宋体" w:eastAsia="宋体" w:cs="仿宋_GB2312"/>
          <w:sz w:val="24"/>
          <w:highlight w:val="none"/>
        </w:rPr>
        <w:t>的</w:t>
      </w:r>
      <w:r>
        <w:rPr>
          <w:rFonts w:ascii="宋体" w:hAnsi="宋体" w:eastAsia="宋体" w:cs="仿宋_GB2312"/>
          <w:sz w:val="24"/>
          <w:highlight w:val="none"/>
        </w:rPr>
        <w:t>云服务中断</w:t>
      </w:r>
      <w:r>
        <w:rPr>
          <w:rFonts w:hint="eastAsia" w:ascii="宋体" w:hAnsi="宋体" w:eastAsia="宋体" w:cs="仿宋_GB2312"/>
          <w:sz w:val="24"/>
          <w:highlight w:val="none"/>
        </w:rPr>
        <w:t>不得超过2小时，如故障不能按时排除须提供可行</w:t>
      </w:r>
      <w:r>
        <w:rPr>
          <w:rFonts w:ascii="宋体" w:hAnsi="宋体" w:eastAsia="宋体" w:cs="仿宋_GB2312"/>
          <w:sz w:val="24"/>
          <w:highlight w:val="none"/>
        </w:rPr>
        <w:t>的应急方案</w:t>
      </w:r>
      <w:r>
        <w:rPr>
          <w:rFonts w:hint="eastAsia" w:ascii="宋体" w:hAnsi="宋体" w:eastAsia="宋体" w:cs="仿宋_GB2312"/>
          <w:sz w:val="24"/>
          <w:highlight w:val="none"/>
        </w:rPr>
        <w:t>。提供承诺函并加盖投标人公章。</w:t>
      </w:r>
    </w:p>
    <w:p w14:paraId="544CE0E3">
      <w:pPr>
        <w:spacing w:line="360" w:lineRule="auto"/>
        <w:ind w:firstLine="420"/>
        <w:rPr>
          <w:rFonts w:hint="eastAsia" w:ascii="Times New Roman" w:hAnsi="Times New Roman" w:eastAsia="宋体" w:cs="Times New Roman"/>
          <w:b/>
          <w:sz w:val="24"/>
          <w:highlight w:val="none"/>
        </w:rPr>
      </w:pPr>
      <w:r>
        <w:rPr>
          <w:rFonts w:hint="eastAsia" w:ascii="宋体" w:hAnsi="宋体" w:eastAsia="宋体" w:cs="仿宋_GB2312"/>
          <w:sz w:val="24"/>
          <w:highlight w:val="none"/>
        </w:rPr>
        <w:t>中标人</w:t>
      </w:r>
      <w:r>
        <w:rPr>
          <w:rFonts w:ascii="宋体" w:hAnsi="宋体" w:eastAsia="宋体" w:cs="仿宋_GB2312"/>
          <w:sz w:val="24"/>
          <w:highlight w:val="none"/>
        </w:rPr>
        <w:t>应</w:t>
      </w:r>
      <w:r>
        <w:rPr>
          <w:rFonts w:hint="eastAsia" w:ascii="宋体" w:hAnsi="宋体" w:eastAsia="宋体" w:cs="仿宋_GB2312"/>
          <w:sz w:val="24"/>
          <w:highlight w:val="none"/>
        </w:rPr>
        <w:t>提供云服务操作手册，</w:t>
      </w:r>
      <w:r>
        <w:rPr>
          <w:rFonts w:ascii="宋体" w:hAnsi="宋体" w:eastAsia="宋体" w:cs="仿宋_GB2312"/>
          <w:sz w:val="24"/>
          <w:highlight w:val="none"/>
        </w:rPr>
        <w:t>并</w:t>
      </w:r>
      <w:r>
        <w:rPr>
          <w:rFonts w:hint="eastAsia" w:ascii="宋体" w:hAnsi="宋体" w:eastAsia="宋体" w:cs="仿宋_GB2312"/>
          <w:sz w:val="24"/>
          <w:highlight w:val="none"/>
        </w:rPr>
        <w:t>为</w:t>
      </w:r>
      <w:r>
        <w:rPr>
          <w:rFonts w:ascii="宋体" w:hAnsi="宋体" w:eastAsia="宋体" w:cs="仿宋_GB2312"/>
          <w:sz w:val="24"/>
          <w:highlight w:val="none"/>
        </w:rPr>
        <w:t>采购人</w:t>
      </w:r>
      <w:r>
        <w:rPr>
          <w:rFonts w:hint="eastAsia" w:ascii="宋体" w:hAnsi="宋体" w:eastAsia="宋体" w:cs="仿宋_GB2312"/>
          <w:sz w:val="24"/>
          <w:highlight w:val="none"/>
        </w:rPr>
        <w:t>提供</w:t>
      </w:r>
      <w:r>
        <w:rPr>
          <w:rFonts w:ascii="宋体" w:hAnsi="宋体" w:eastAsia="宋体" w:cs="仿宋_GB2312"/>
          <w:sz w:val="24"/>
          <w:highlight w:val="none"/>
        </w:rPr>
        <w:t>必要的</w:t>
      </w:r>
      <w:r>
        <w:rPr>
          <w:rFonts w:hint="eastAsia" w:ascii="宋体" w:hAnsi="宋体" w:eastAsia="宋体" w:cs="仿宋_GB2312"/>
          <w:sz w:val="24"/>
          <w:highlight w:val="none"/>
        </w:rPr>
        <w:t>使用</w:t>
      </w:r>
      <w:r>
        <w:rPr>
          <w:rFonts w:ascii="宋体" w:hAnsi="宋体" w:eastAsia="宋体" w:cs="仿宋_GB2312"/>
          <w:sz w:val="24"/>
          <w:highlight w:val="none"/>
        </w:rPr>
        <w:t>培训。</w:t>
      </w:r>
    </w:p>
    <w:p w14:paraId="298AA95A">
      <w:pPr>
        <w:spacing w:line="360" w:lineRule="auto"/>
        <w:contextualSpacing/>
        <w:rPr>
          <w:rFonts w:ascii="Times New Roman" w:hAnsi="Times New Roman" w:eastAsia="宋体" w:cs="Times New Roman"/>
          <w:b/>
          <w:i/>
          <w:sz w:val="24"/>
          <w:highlight w:val="none"/>
        </w:rPr>
      </w:pPr>
    </w:p>
    <w:p w14:paraId="27794AA8">
      <w:pPr>
        <w:numPr>
          <w:ilvl w:val="0"/>
          <w:numId w:val="1"/>
        </w:numPr>
        <w:spacing w:line="360" w:lineRule="auto"/>
        <w:ind w:left="500" w:hanging="500"/>
        <w:contextualSpacing/>
        <w:rPr>
          <w:rFonts w:ascii="Times New Roman" w:hAnsi="Times New Roman" w:eastAsia="宋体" w:cs="Times New Roman"/>
          <w:b/>
          <w:sz w:val="24"/>
          <w:highlight w:val="none"/>
        </w:rPr>
      </w:pPr>
      <w:r>
        <w:rPr>
          <w:rFonts w:ascii="Times New Roman" w:hAnsi="Times New Roman" w:eastAsia="宋体" w:cs="Times New Roman"/>
          <w:b/>
          <w:sz w:val="24"/>
          <w:highlight w:val="none"/>
        </w:rPr>
        <w:t>技术要求</w:t>
      </w:r>
    </w:p>
    <w:p w14:paraId="04E922BF">
      <w:pPr>
        <w:spacing w:line="360" w:lineRule="auto"/>
        <w:rPr>
          <w:rFonts w:ascii="宋体" w:hAnsi="宋体" w:eastAsia="宋体" w:cs="仿宋_GB2312"/>
          <w:sz w:val="24"/>
          <w:highlight w:val="none"/>
        </w:rPr>
      </w:pPr>
      <w:r>
        <w:rPr>
          <w:rFonts w:ascii="宋体" w:hAnsi="宋体" w:eastAsia="宋体" w:cs="仿宋_GB2312"/>
          <w:sz w:val="24"/>
          <w:highlight w:val="none"/>
        </w:rPr>
        <w:t xml:space="preserve"> </w:t>
      </w:r>
      <w:r>
        <w:rPr>
          <w:rFonts w:hint="eastAsia" w:ascii="宋体" w:hAnsi="宋体" w:eastAsia="宋体" w:cs="仿宋_GB2312"/>
          <w:sz w:val="24"/>
          <w:highlight w:val="none"/>
        </w:rPr>
        <w:t>1.云主机技术需求</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061E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B9028F7">
            <w:pPr>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指标项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165187D">
            <w:pPr>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规格要求</w:t>
            </w:r>
          </w:p>
        </w:tc>
      </w:tr>
      <w:tr w14:paraId="12B3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778BBB5A">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性能限制</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7350A1C7">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按内存不复用方式分配资源，要求CPU主频≥2.4GHz</w:t>
            </w:r>
          </w:p>
        </w:tc>
      </w:tr>
      <w:tr w14:paraId="5F6A1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67F9F15">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性能范围</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4C99B45A">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CPU核数可选范围1-64核，内存可选范围1-128G</w:t>
            </w:r>
          </w:p>
        </w:tc>
      </w:tr>
      <w:tr w14:paraId="4A62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21842977">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操作系统兼容性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65D0D282">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支持主流国产操作系统，如国产Linux（包括但不限于麒麟、统信、中科方德等），需正版授权</w:t>
            </w:r>
          </w:p>
        </w:tc>
      </w:tr>
      <w:tr w14:paraId="0DE9D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right w:val="single" w:color="000000" w:sz="4" w:space="0"/>
            </w:tcBorders>
            <w:noWrap w:val="0"/>
            <w:vAlign w:val="center"/>
          </w:tcPr>
          <w:p w14:paraId="142ED874">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扩展性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5CC929CF">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用户可以灵活调整云主机CPU、内存、硬盘规格</w:t>
            </w:r>
          </w:p>
        </w:tc>
      </w:tr>
      <w:tr w14:paraId="73B7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3773F154">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云主机隔离</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7B3C0E5">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1D9B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BFCAB08">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管理权限</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F489679">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用户对云主机有完全的控制权，具有管理员权限，使用方式与传统物理主机完全一致。</w:t>
            </w:r>
          </w:p>
        </w:tc>
      </w:tr>
      <w:tr w14:paraId="56252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tcBorders>
              <w:top w:val="single" w:color="000000" w:sz="4" w:space="0"/>
              <w:left w:val="single" w:color="000000" w:sz="4" w:space="0"/>
              <w:right w:val="single" w:color="000000" w:sz="4" w:space="0"/>
            </w:tcBorders>
            <w:noWrap w:val="0"/>
            <w:vAlign w:val="center"/>
          </w:tcPr>
          <w:p w14:paraId="2A15036A">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HA功能</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5D195F6C">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虚拟化管理节点须支持双机热备</w:t>
            </w:r>
          </w:p>
        </w:tc>
      </w:tr>
      <w:tr w14:paraId="51BE9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noWrap w:val="0"/>
            <w:vAlign w:val="center"/>
          </w:tcPr>
          <w:p w14:paraId="1F4E5244">
            <w:pPr>
              <w:autoSpaceDE w:val="0"/>
              <w:autoSpaceDN w:val="0"/>
              <w:adjustRightInd w:val="0"/>
              <w:spacing w:line="400" w:lineRule="exact"/>
              <w:ind w:firstLine="420"/>
              <w:jc w:val="center"/>
              <w:rPr>
                <w:rFonts w:ascii="宋体" w:hAnsi="宋体" w:eastAsia="宋体" w:cs="Times New Roman"/>
                <w:szCs w:val="21"/>
                <w:highlight w:val="none"/>
              </w:rPr>
            </w:pP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7DA8DB22">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虚拟化管理系统支持虚拟机的</w:t>
            </w:r>
            <w:r>
              <w:rPr>
                <w:rFonts w:ascii="宋体" w:hAnsi="宋体" w:eastAsia="宋体" w:cs="Times New Roman"/>
                <w:szCs w:val="21"/>
                <w:highlight w:val="none"/>
              </w:rPr>
              <w:t>HA功能</w:t>
            </w:r>
          </w:p>
        </w:tc>
      </w:tr>
      <w:tr w14:paraId="6141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noWrap w:val="0"/>
            <w:vAlign w:val="center"/>
          </w:tcPr>
          <w:p w14:paraId="46CBCE8A">
            <w:pPr>
              <w:autoSpaceDE w:val="0"/>
              <w:autoSpaceDN w:val="0"/>
              <w:adjustRightInd w:val="0"/>
              <w:spacing w:line="400" w:lineRule="exact"/>
              <w:ind w:firstLine="420"/>
              <w:jc w:val="center"/>
              <w:rPr>
                <w:rFonts w:ascii="宋体" w:hAnsi="宋体" w:eastAsia="宋体" w:cs="Times New Roman"/>
                <w:szCs w:val="21"/>
                <w:highlight w:val="none"/>
              </w:rPr>
            </w:pP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EDC2BDF">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硬件设备出现故障时，云主机会自动进行HA切换</w:t>
            </w:r>
          </w:p>
        </w:tc>
      </w:tr>
      <w:tr w14:paraId="40D9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noWrap w:val="0"/>
            <w:vAlign w:val="center"/>
          </w:tcPr>
          <w:p w14:paraId="35ABA33B">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备份</w:t>
            </w:r>
            <w:r>
              <w:rPr>
                <w:rFonts w:ascii="宋体" w:hAnsi="宋体" w:eastAsia="宋体" w:cs="Times New Roman"/>
                <w:szCs w:val="21"/>
                <w:highlight w:val="none"/>
              </w:rPr>
              <w:t>功能</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698CFFBC">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w:t>
            </w:r>
            <w:r>
              <w:rPr>
                <w:rFonts w:ascii="宋体" w:hAnsi="宋体" w:eastAsia="宋体" w:cs="Times New Roman"/>
                <w:szCs w:val="21"/>
                <w:highlight w:val="none"/>
              </w:rPr>
              <w:t>云主机备份功能</w:t>
            </w:r>
            <w:r>
              <w:rPr>
                <w:rFonts w:hint="eastAsia" w:ascii="宋体" w:hAnsi="宋体" w:eastAsia="宋体" w:cs="Times New Roman"/>
                <w:szCs w:val="21"/>
                <w:highlight w:val="none"/>
              </w:rPr>
              <w:t>，</w:t>
            </w:r>
            <w:r>
              <w:rPr>
                <w:rFonts w:ascii="宋体" w:hAnsi="宋体" w:eastAsia="宋体" w:cs="Times New Roman"/>
                <w:szCs w:val="21"/>
                <w:highlight w:val="none"/>
              </w:rPr>
              <w:t>可以实现云主机的全量备份、增量备份，</w:t>
            </w:r>
            <w:r>
              <w:rPr>
                <w:rFonts w:hint="eastAsia" w:ascii="宋体" w:hAnsi="宋体" w:eastAsia="宋体" w:cs="Times New Roman"/>
                <w:szCs w:val="21"/>
                <w:highlight w:val="none"/>
              </w:rPr>
              <w:t>支持</w:t>
            </w:r>
            <w:r>
              <w:rPr>
                <w:rFonts w:ascii="宋体" w:hAnsi="宋体" w:eastAsia="宋体" w:cs="Times New Roman"/>
                <w:szCs w:val="21"/>
                <w:highlight w:val="none"/>
              </w:rPr>
              <w:t>备份</w:t>
            </w:r>
            <w:r>
              <w:rPr>
                <w:rFonts w:hint="eastAsia" w:ascii="宋体" w:hAnsi="宋体" w:eastAsia="宋体" w:cs="Times New Roman"/>
                <w:szCs w:val="21"/>
                <w:highlight w:val="none"/>
              </w:rPr>
              <w:t>周期</w:t>
            </w:r>
            <w:r>
              <w:rPr>
                <w:rFonts w:ascii="宋体" w:hAnsi="宋体" w:eastAsia="宋体" w:cs="Times New Roman"/>
                <w:szCs w:val="21"/>
                <w:highlight w:val="none"/>
              </w:rPr>
              <w:t>、备份</w:t>
            </w:r>
            <w:r>
              <w:rPr>
                <w:rFonts w:hint="eastAsia" w:ascii="宋体" w:hAnsi="宋体" w:eastAsia="宋体" w:cs="Times New Roman"/>
                <w:szCs w:val="21"/>
                <w:highlight w:val="none"/>
              </w:rPr>
              <w:t>策略的</w:t>
            </w:r>
            <w:r>
              <w:rPr>
                <w:rFonts w:ascii="宋体" w:hAnsi="宋体" w:eastAsia="宋体" w:cs="Times New Roman"/>
                <w:szCs w:val="21"/>
                <w:highlight w:val="none"/>
              </w:rPr>
              <w:t>设定</w:t>
            </w:r>
          </w:p>
        </w:tc>
      </w:tr>
      <w:tr w14:paraId="3FD6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22B6E027">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可操作性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73FC904">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支持通过云管理平台，实现申请部署与使用</w:t>
            </w:r>
          </w:p>
        </w:tc>
      </w:tr>
      <w:tr w14:paraId="48D96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55F93AEB">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安全防护</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5F65C15F">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提供防ARP欺骗、自定义防火墙功能，支持防DDos攻击；</w:t>
            </w:r>
          </w:p>
        </w:tc>
      </w:tr>
      <w:tr w14:paraId="064A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517AFD50">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弹性网络</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16726BA0">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支持虚拟路由、虚拟交换机和弹性IP，用户可自定义虚拟主机的网络拓扑和IP地址；</w:t>
            </w:r>
          </w:p>
        </w:tc>
      </w:tr>
      <w:tr w14:paraId="2C12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73EE3A11">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镜像快照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43D8EDF7">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创建虚拟主机时，可指定用户预先配置好的镜像文件作为模板。虚拟主机支持增量快照备份功能，提高备份效率，减小备份占用空间，并支持公共镜像、私有镜像以及共享镜像等多种方式。</w:t>
            </w:r>
          </w:p>
        </w:tc>
      </w:tr>
      <w:tr w14:paraId="3E4DD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01EC0806">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数据存储</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76CDFF79">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虚拟主机底层采用分布式块存储，每个虚拟主机的镜像存储达到多副本可靠性，数据可靠性不低于99.9999%；</w:t>
            </w:r>
          </w:p>
        </w:tc>
      </w:tr>
      <w:tr w14:paraId="23C28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4DD2C211">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高可用性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C582157">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虚拟主机服务采用全冗余架构，无单点故障，平均可用性不低于99.99%；</w:t>
            </w:r>
          </w:p>
        </w:tc>
      </w:tr>
      <w:tr w14:paraId="73EC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14:paraId="1C362150">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扩展性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7E96B00E">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支持计算能力的垂直伸缩，支持对CPU和内存的升级与降级操作，支持增加、减少磁盘和带宽；</w:t>
            </w:r>
          </w:p>
          <w:p w14:paraId="62365888">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支持计算能力的水平伸缩，通过与负载均衡配合实现水平伸缩；</w:t>
            </w:r>
          </w:p>
        </w:tc>
      </w:tr>
    </w:tbl>
    <w:p w14:paraId="6728665A">
      <w:pPr>
        <w:spacing w:line="360" w:lineRule="auto"/>
        <w:rPr>
          <w:rFonts w:ascii="宋体" w:hAnsi="宋体" w:eastAsia="宋体" w:cs="仿宋_GB2312"/>
          <w:sz w:val="24"/>
          <w:highlight w:val="none"/>
        </w:rPr>
      </w:pPr>
      <w:r>
        <w:rPr>
          <w:rFonts w:ascii="宋体" w:hAnsi="宋体" w:eastAsia="宋体" w:cs="仿宋_GB2312"/>
          <w:sz w:val="24"/>
          <w:highlight w:val="none"/>
        </w:rPr>
        <w:t xml:space="preserve">2. </w:t>
      </w:r>
      <w:r>
        <w:rPr>
          <w:rFonts w:hint="eastAsia" w:ascii="宋体" w:hAnsi="宋体" w:eastAsia="宋体" w:cs="仿宋_GB2312"/>
          <w:sz w:val="24"/>
          <w:highlight w:val="none"/>
        </w:rPr>
        <w:t>普通性能存储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6"/>
        <w:gridCol w:w="6386"/>
      </w:tblGrid>
      <w:tr w14:paraId="696D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11CB9DDB">
            <w:pPr>
              <w:jc w:val="center"/>
              <w:rPr>
                <w:rFonts w:ascii="宋体" w:hAnsi="宋体" w:eastAsia="宋体" w:cs="宋体"/>
                <w:b/>
                <w:bCs/>
                <w:szCs w:val="21"/>
                <w:highlight w:val="none"/>
              </w:rPr>
            </w:pPr>
            <w:r>
              <w:rPr>
                <w:rFonts w:hint="eastAsia" w:ascii="宋体" w:hAnsi="宋体" w:eastAsia="宋体" w:cs="Times New Roman"/>
                <w:b/>
                <w:bCs/>
                <w:szCs w:val="21"/>
                <w:highlight w:val="none"/>
              </w:rPr>
              <w:t>指标项</w:t>
            </w:r>
          </w:p>
        </w:tc>
        <w:tc>
          <w:tcPr>
            <w:tcW w:w="6386" w:type="dxa"/>
            <w:noWrap w:val="0"/>
            <w:tcMar>
              <w:top w:w="0" w:type="dxa"/>
              <w:left w:w="108" w:type="dxa"/>
              <w:bottom w:w="0" w:type="dxa"/>
              <w:right w:w="108" w:type="dxa"/>
            </w:tcMar>
            <w:vAlign w:val="top"/>
          </w:tcPr>
          <w:p w14:paraId="4F30802D">
            <w:pPr>
              <w:jc w:val="center"/>
              <w:rPr>
                <w:rFonts w:ascii="宋体" w:hAnsi="宋体" w:eastAsia="宋体" w:cs="宋体"/>
                <w:b/>
                <w:bCs/>
                <w:szCs w:val="21"/>
                <w:highlight w:val="none"/>
              </w:rPr>
            </w:pPr>
            <w:r>
              <w:rPr>
                <w:rFonts w:hint="eastAsia" w:ascii="宋体" w:hAnsi="宋体" w:eastAsia="宋体" w:cs="Times New Roman"/>
                <w:b/>
                <w:bCs/>
                <w:szCs w:val="21"/>
                <w:highlight w:val="none"/>
              </w:rPr>
              <w:t>规格要求</w:t>
            </w:r>
          </w:p>
        </w:tc>
      </w:tr>
      <w:tr w14:paraId="6F2C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47E21E35">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可靠性要求</w:t>
            </w:r>
          </w:p>
        </w:tc>
        <w:tc>
          <w:tcPr>
            <w:tcW w:w="6386" w:type="dxa"/>
            <w:noWrap w:val="0"/>
            <w:tcMar>
              <w:top w:w="0" w:type="dxa"/>
              <w:left w:w="108" w:type="dxa"/>
              <w:bottom w:w="0" w:type="dxa"/>
              <w:right w:w="108" w:type="dxa"/>
            </w:tcMar>
            <w:vAlign w:val="top"/>
          </w:tcPr>
          <w:p w14:paraId="3866B4FB">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提供普通存储服务，要求稳定可靠，确保数据可靠性99.9999%</w:t>
            </w:r>
          </w:p>
        </w:tc>
      </w:tr>
      <w:tr w14:paraId="53F9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405C7268">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性能要求</w:t>
            </w:r>
          </w:p>
        </w:tc>
        <w:tc>
          <w:tcPr>
            <w:tcW w:w="6386" w:type="dxa"/>
            <w:noWrap w:val="0"/>
            <w:tcMar>
              <w:top w:w="0" w:type="dxa"/>
              <w:left w:w="108" w:type="dxa"/>
              <w:bottom w:w="0" w:type="dxa"/>
              <w:right w:w="108" w:type="dxa"/>
            </w:tcMar>
            <w:vAlign w:val="top"/>
          </w:tcPr>
          <w:p w14:paraId="79CD957F">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单盘技术指标满足</w:t>
            </w:r>
            <w:r>
              <w:rPr>
                <w:rFonts w:ascii="宋体" w:hAnsi="宋体" w:eastAsia="宋体" w:cs="Times New Roman"/>
                <w:szCs w:val="21"/>
                <w:highlight w:val="none"/>
              </w:rPr>
              <w:t>IOPS 1000-3000</w:t>
            </w:r>
          </w:p>
        </w:tc>
      </w:tr>
      <w:tr w14:paraId="5914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4E3BABF8">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使用要求</w:t>
            </w:r>
          </w:p>
        </w:tc>
        <w:tc>
          <w:tcPr>
            <w:tcW w:w="6386" w:type="dxa"/>
            <w:noWrap w:val="0"/>
            <w:tcMar>
              <w:top w:w="0" w:type="dxa"/>
              <w:left w:w="108" w:type="dxa"/>
              <w:bottom w:w="0" w:type="dxa"/>
              <w:right w:w="108" w:type="dxa"/>
            </w:tcMar>
            <w:vAlign w:val="top"/>
          </w:tcPr>
          <w:p w14:paraId="7E197F78">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用户可以以1G为最小单位进行容量申请，并可以申请直接挂载给云主机使用，同时用户可以将申请到的磁盘空间分配给一台或者多台虚拟机/物理机使用，支持在线不停机完成存储扩容。</w:t>
            </w:r>
          </w:p>
        </w:tc>
      </w:tr>
      <w:tr w14:paraId="2995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205FEDC7">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架构要求</w:t>
            </w:r>
          </w:p>
        </w:tc>
        <w:tc>
          <w:tcPr>
            <w:tcW w:w="6386" w:type="dxa"/>
            <w:noWrap w:val="0"/>
            <w:tcMar>
              <w:top w:w="0" w:type="dxa"/>
              <w:left w:w="108" w:type="dxa"/>
              <w:bottom w:w="0" w:type="dxa"/>
              <w:right w:w="108" w:type="dxa"/>
            </w:tcMar>
            <w:vAlign w:val="top"/>
          </w:tcPr>
          <w:p w14:paraId="5FBBCF14">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系统整体架构无单点故障</w:t>
            </w:r>
          </w:p>
        </w:tc>
      </w:tr>
      <w:tr w14:paraId="0C86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14:paraId="0E68BDEB">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可操作性</w:t>
            </w:r>
          </w:p>
        </w:tc>
        <w:tc>
          <w:tcPr>
            <w:tcW w:w="6386" w:type="dxa"/>
            <w:noWrap w:val="0"/>
            <w:tcMar>
              <w:top w:w="0" w:type="dxa"/>
              <w:left w:w="108" w:type="dxa"/>
              <w:bottom w:w="0" w:type="dxa"/>
              <w:right w:w="108" w:type="dxa"/>
            </w:tcMar>
            <w:vAlign w:val="top"/>
          </w:tcPr>
          <w:p w14:paraId="6668D995">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支持通过云管理平台，实现申请部署与使用</w:t>
            </w:r>
          </w:p>
        </w:tc>
      </w:tr>
    </w:tbl>
    <w:p w14:paraId="18B0147A">
      <w:pPr>
        <w:spacing w:line="360" w:lineRule="auto"/>
        <w:rPr>
          <w:rFonts w:ascii="宋体" w:hAnsi="宋体" w:eastAsia="宋体" w:cs="仿宋_GB2312"/>
          <w:sz w:val="24"/>
          <w:highlight w:val="none"/>
        </w:rPr>
      </w:pPr>
      <w:r>
        <w:rPr>
          <w:rFonts w:hint="eastAsia" w:ascii="宋体" w:hAnsi="宋体" w:eastAsia="宋体" w:cs="仿宋_GB2312"/>
          <w:sz w:val="24"/>
          <w:highlight w:val="none"/>
        </w:rPr>
        <w:t>3</w:t>
      </w:r>
      <w:r>
        <w:rPr>
          <w:rFonts w:ascii="宋体" w:hAnsi="宋体" w:eastAsia="宋体" w:cs="仿宋_GB2312"/>
          <w:sz w:val="24"/>
          <w:highlight w:val="none"/>
        </w:rPr>
        <w:t>.</w:t>
      </w:r>
      <w:r>
        <w:rPr>
          <w:rFonts w:hint="eastAsia" w:ascii="宋体" w:hAnsi="宋体" w:eastAsia="宋体" w:cs="仿宋_GB2312"/>
          <w:sz w:val="24"/>
          <w:highlight w:val="none"/>
        </w:rPr>
        <w:t>高性能存储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14:paraId="5F79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1A24FFF3">
            <w:pPr>
              <w:jc w:val="center"/>
              <w:rPr>
                <w:rFonts w:ascii="宋体" w:hAnsi="宋体" w:eastAsia="宋体" w:cs="宋体"/>
                <w:b/>
                <w:bCs/>
                <w:szCs w:val="21"/>
                <w:highlight w:val="none"/>
              </w:rPr>
            </w:pPr>
            <w:r>
              <w:rPr>
                <w:rFonts w:hint="eastAsia" w:ascii="宋体" w:hAnsi="宋体" w:eastAsia="宋体" w:cs="Times New Roman"/>
                <w:b/>
                <w:bCs/>
                <w:szCs w:val="21"/>
                <w:highlight w:val="none"/>
              </w:rPr>
              <w:t>指标项</w:t>
            </w:r>
          </w:p>
        </w:tc>
        <w:tc>
          <w:tcPr>
            <w:tcW w:w="6507" w:type="dxa"/>
            <w:noWrap w:val="0"/>
            <w:tcMar>
              <w:top w:w="0" w:type="dxa"/>
              <w:left w:w="108" w:type="dxa"/>
              <w:bottom w:w="0" w:type="dxa"/>
              <w:right w:w="108" w:type="dxa"/>
            </w:tcMar>
            <w:vAlign w:val="top"/>
          </w:tcPr>
          <w:p w14:paraId="0809B9DE">
            <w:pPr>
              <w:jc w:val="center"/>
              <w:rPr>
                <w:rFonts w:ascii="宋体" w:hAnsi="宋体" w:eastAsia="宋体" w:cs="宋体"/>
                <w:b/>
                <w:bCs/>
                <w:szCs w:val="21"/>
                <w:highlight w:val="none"/>
              </w:rPr>
            </w:pPr>
            <w:r>
              <w:rPr>
                <w:rFonts w:hint="eastAsia" w:ascii="宋体" w:hAnsi="宋体" w:eastAsia="宋体" w:cs="Times New Roman"/>
                <w:b/>
                <w:bCs/>
                <w:szCs w:val="21"/>
                <w:highlight w:val="none"/>
              </w:rPr>
              <w:t>规格要求</w:t>
            </w:r>
          </w:p>
        </w:tc>
      </w:tr>
      <w:tr w14:paraId="1BEE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76503901">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可靠性要求</w:t>
            </w:r>
          </w:p>
        </w:tc>
        <w:tc>
          <w:tcPr>
            <w:tcW w:w="6507" w:type="dxa"/>
            <w:noWrap w:val="0"/>
            <w:tcMar>
              <w:top w:w="0" w:type="dxa"/>
              <w:left w:w="108" w:type="dxa"/>
              <w:bottom w:w="0" w:type="dxa"/>
              <w:right w:w="108" w:type="dxa"/>
            </w:tcMar>
            <w:vAlign w:val="top"/>
          </w:tcPr>
          <w:p w14:paraId="48E3C0A6">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要求稳定可靠，不会因单一部件故障、单一路径故障等原因导致业务停用、数据丢失，系统可靠性99.9999%</w:t>
            </w:r>
          </w:p>
        </w:tc>
      </w:tr>
      <w:tr w14:paraId="2A63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5BC82E95">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性能要求</w:t>
            </w:r>
          </w:p>
        </w:tc>
        <w:tc>
          <w:tcPr>
            <w:tcW w:w="6507" w:type="dxa"/>
            <w:noWrap w:val="0"/>
            <w:tcMar>
              <w:top w:w="0" w:type="dxa"/>
              <w:left w:w="108" w:type="dxa"/>
              <w:bottom w:w="0" w:type="dxa"/>
              <w:right w:w="108" w:type="dxa"/>
            </w:tcMar>
            <w:vAlign w:val="top"/>
          </w:tcPr>
          <w:p w14:paraId="07CD0DEE">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单盘技术指标满足</w:t>
            </w:r>
            <w:r>
              <w:rPr>
                <w:rFonts w:ascii="宋体" w:hAnsi="宋体" w:eastAsia="宋体" w:cs="Times New Roman"/>
                <w:szCs w:val="21"/>
                <w:highlight w:val="none"/>
              </w:rPr>
              <w:t>IOPS 3000-20000</w:t>
            </w:r>
          </w:p>
        </w:tc>
      </w:tr>
      <w:tr w14:paraId="688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5810F0BC">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使用要求</w:t>
            </w:r>
          </w:p>
        </w:tc>
        <w:tc>
          <w:tcPr>
            <w:tcW w:w="6507" w:type="dxa"/>
            <w:noWrap w:val="0"/>
            <w:tcMar>
              <w:top w:w="0" w:type="dxa"/>
              <w:left w:w="108" w:type="dxa"/>
              <w:bottom w:w="0" w:type="dxa"/>
              <w:right w:w="108" w:type="dxa"/>
            </w:tcMar>
            <w:vAlign w:val="top"/>
          </w:tcPr>
          <w:p w14:paraId="0B4D7F01">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用户可以以1G为最小单位进行容量申请，并可以申请直接挂载给云主机使用，同时用户可以将申请到的磁盘空间分配给一台或者多台虚拟机/物理机使用，支持在线不停机完成存储扩容。</w:t>
            </w:r>
          </w:p>
        </w:tc>
      </w:tr>
      <w:tr w14:paraId="7AE6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592B93DE">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架构要求</w:t>
            </w:r>
          </w:p>
        </w:tc>
        <w:tc>
          <w:tcPr>
            <w:tcW w:w="6507" w:type="dxa"/>
            <w:noWrap w:val="0"/>
            <w:tcMar>
              <w:top w:w="0" w:type="dxa"/>
              <w:left w:w="108" w:type="dxa"/>
              <w:bottom w:w="0" w:type="dxa"/>
              <w:right w:w="108" w:type="dxa"/>
            </w:tcMar>
            <w:vAlign w:val="top"/>
          </w:tcPr>
          <w:p w14:paraId="22C7DD3B">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系统整体架构无单点故障</w:t>
            </w:r>
          </w:p>
        </w:tc>
      </w:tr>
      <w:tr w14:paraId="38F2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14:paraId="5AC32029">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可操作性</w:t>
            </w:r>
          </w:p>
        </w:tc>
        <w:tc>
          <w:tcPr>
            <w:tcW w:w="6507" w:type="dxa"/>
            <w:noWrap w:val="0"/>
            <w:tcMar>
              <w:top w:w="0" w:type="dxa"/>
              <w:left w:w="108" w:type="dxa"/>
              <w:bottom w:w="0" w:type="dxa"/>
              <w:right w:w="108" w:type="dxa"/>
            </w:tcMar>
            <w:vAlign w:val="top"/>
          </w:tcPr>
          <w:p w14:paraId="595D20FA">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支持通过云管理平台，实现申请部署与使用</w:t>
            </w:r>
          </w:p>
        </w:tc>
      </w:tr>
    </w:tbl>
    <w:p w14:paraId="23DF6C7D">
      <w:pPr>
        <w:spacing w:line="360" w:lineRule="auto"/>
        <w:rPr>
          <w:rFonts w:ascii="宋体" w:hAnsi="宋体" w:eastAsia="宋体" w:cs="仿宋_GB2312"/>
          <w:sz w:val="24"/>
          <w:highlight w:val="none"/>
        </w:rPr>
      </w:pPr>
      <w:r>
        <w:rPr>
          <w:rFonts w:hint="eastAsia" w:ascii="宋体" w:hAnsi="宋体" w:eastAsia="宋体" w:cs="仿宋_GB2312"/>
          <w:sz w:val="24"/>
          <w:highlight w:val="none"/>
        </w:rPr>
        <w:t>4</w:t>
      </w:r>
      <w:r>
        <w:rPr>
          <w:rFonts w:ascii="宋体" w:hAnsi="宋体" w:eastAsia="宋体" w:cs="仿宋_GB2312"/>
          <w:sz w:val="24"/>
          <w:highlight w:val="none"/>
        </w:rPr>
        <w:t>.</w:t>
      </w:r>
      <w:r>
        <w:rPr>
          <w:rFonts w:hint="eastAsia" w:ascii="宋体" w:hAnsi="宋体" w:eastAsia="宋体" w:cs="仿宋_GB2312"/>
          <w:sz w:val="24"/>
          <w:highlight w:val="none"/>
        </w:rPr>
        <w:t>静态存储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4"/>
        <w:gridCol w:w="6468"/>
      </w:tblGrid>
      <w:tr w14:paraId="0CA9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6DCF127D">
            <w:pPr>
              <w:jc w:val="center"/>
              <w:rPr>
                <w:rFonts w:ascii="宋体" w:hAnsi="宋体" w:eastAsia="宋体" w:cs="宋体"/>
                <w:b/>
                <w:bCs/>
                <w:szCs w:val="21"/>
                <w:highlight w:val="none"/>
              </w:rPr>
            </w:pPr>
            <w:r>
              <w:rPr>
                <w:rFonts w:hint="eastAsia" w:ascii="宋体" w:hAnsi="宋体" w:eastAsia="宋体" w:cs="Times New Roman"/>
                <w:b/>
                <w:bCs/>
                <w:szCs w:val="21"/>
                <w:highlight w:val="none"/>
              </w:rPr>
              <w:t>指标项</w:t>
            </w:r>
          </w:p>
        </w:tc>
        <w:tc>
          <w:tcPr>
            <w:tcW w:w="6468" w:type="dxa"/>
            <w:noWrap w:val="0"/>
            <w:tcMar>
              <w:top w:w="0" w:type="dxa"/>
              <w:left w:w="108" w:type="dxa"/>
              <w:bottom w:w="0" w:type="dxa"/>
              <w:right w:w="108" w:type="dxa"/>
            </w:tcMar>
            <w:vAlign w:val="top"/>
          </w:tcPr>
          <w:p w14:paraId="2CCCD42D">
            <w:pPr>
              <w:jc w:val="center"/>
              <w:rPr>
                <w:rFonts w:ascii="宋体" w:hAnsi="宋体" w:eastAsia="宋体" w:cs="宋体"/>
                <w:b/>
                <w:bCs/>
                <w:szCs w:val="21"/>
                <w:highlight w:val="none"/>
              </w:rPr>
            </w:pPr>
            <w:r>
              <w:rPr>
                <w:rFonts w:hint="eastAsia" w:ascii="宋体" w:hAnsi="宋体" w:eastAsia="宋体" w:cs="Times New Roman"/>
                <w:b/>
                <w:bCs/>
                <w:szCs w:val="21"/>
                <w:highlight w:val="none"/>
              </w:rPr>
              <w:t>规格要求</w:t>
            </w:r>
          </w:p>
        </w:tc>
      </w:tr>
      <w:tr w14:paraId="7833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622AB162">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可靠性要求</w:t>
            </w:r>
          </w:p>
        </w:tc>
        <w:tc>
          <w:tcPr>
            <w:tcW w:w="6468" w:type="dxa"/>
            <w:noWrap w:val="0"/>
            <w:tcMar>
              <w:top w:w="0" w:type="dxa"/>
              <w:left w:w="108" w:type="dxa"/>
              <w:bottom w:w="0" w:type="dxa"/>
              <w:right w:w="108" w:type="dxa"/>
            </w:tcMar>
            <w:vAlign w:val="top"/>
          </w:tcPr>
          <w:p w14:paraId="55FECCE6">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提供静态存储服务，要求稳定可靠，结合其他技术，确保数据可靠性99.999%</w:t>
            </w:r>
          </w:p>
        </w:tc>
      </w:tr>
      <w:tr w14:paraId="4E5D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10FC58EF">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架构要求</w:t>
            </w:r>
          </w:p>
        </w:tc>
        <w:tc>
          <w:tcPr>
            <w:tcW w:w="6468" w:type="dxa"/>
            <w:noWrap w:val="0"/>
            <w:tcMar>
              <w:top w:w="0" w:type="dxa"/>
              <w:left w:w="108" w:type="dxa"/>
              <w:bottom w:w="0" w:type="dxa"/>
              <w:right w:w="108" w:type="dxa"/>
            </w:tcMar>
            <w:vAlign w:val="top"/>
          </w:tcPr>
          <w:p w14:paraId="389DB6FB">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采用</w:t>
            </w:r>
            <w:r>
              <w:rPr>
                <w:rFonts w:ascii="宋体" w:hAnsi="宋体" w:eastAsia="宋体" w:cs="Times New Roman"/>
                <w:szCs w:val="21"/>
                <w:highlight w:val="none"/>
              </w:rPr>
              <w:t>分布式</w:t>
            </w:r>
            <w:r>
              <w:rPr>
                <w:rFonts w:hint="eastAsia" w:ascii="宋体" w:hAnsi="宋体" w:eastAsia="宋体" w:cs="Times New Roman"/>
                <w:szCs w:val="21"/>
                <w:highlight w:val="none"/>
              </w:rPr>
              <w:t>部署</w:t>
            </w:r>
            <w:r>
              <w:rPr>
                <w:rFonts w:ascii="宋体" w:hAnsi="宋体" w:eastAsia="宋体" w:cs="Times New Roman"/>
                <w:szCs w:val="21"/>
                <w:highlight w:val="none"/>
              </w:rPr>
              <w:t>架构，</w:t>
            </w:r>
            <w:r>
              <w:rPr>
                <w:rFonts w:hint="eastAsia" w:ascii="宋体" w:hAnsi="宋体" w:eastAsia="宋体" w:cs="Times New Roman"/>
                <w:szCs w:val="21"/>
                <w:highlight w:val="none"/>
              </w:rPr>
              <w:t>具备</w:t>
            </w:r>
            <w:r>
              <w:rPr>
                <w:rFonts w:ascii="宋体" w:hAnsi="宋体" w:eastAsia="宋体" w:cs="Times New Roman"/>
                <w:szCs w:val="21"/>
                <w:highlight w:val="none"/>
              </w:rPr>
              <w:t>PB级</w:t>
            </w:r>
            <w:r>
              <w:rPr>
                <w:rFonts w:hint="eastAsia" w:ascii="宋体" w:hAnsi="宋体" w:eastAsia="宋体" w:cs="Times New Roman"/>
                <w:szCs w:val="21"/>
                <w:highlight w:val="none"/>
              </w:rPr>
              <w:t>以上</w:t>
            </w:r>
            <w:r>
              <w:rPr>
                <w:rFonts w:ascii="宋体" w:hAnsi="宋体" w:eastAsia="宋体" w:cs="Times New Roman"/>
                <w:szCs w:val="21"/>
                <w:highlight w:val="none"/>
              </w:rPr>
              <w:t>容量扩展能力，</w:t>
            </w:r>
            <w:r>
              <w:rPr>
                <w:rFonts w:hint="eastAsia" w:ascii="宋体" w:hAnsi="宋体" w:eastAsia="宋体" w:cs="Times New Roman"/>
                <w:szCs w:val="21"/>
                <w:highlight w:val="none"/>
              </w:rPr>
              <w:t>支持</w:t>
            </w:r>
            <w:r>
              <w:rPr>
                <w:rFonts w:ascii="宋体" w:hAnsi="宋体" w:eastAsia="宋体" w:cs="Times New Roman"/>
                <w:szCs w:val="21"/>
                <w:highlight w:val="none"/>
              </w:rPr>
              <w:t>存储容量</w:t>
            </w:r>
            <w:r>
              <w:rPr>
                <w:rFonts w:hint="eastAsia" w:ascii="宋体" w:hAnsi="宋体" w:eastAsia="宋体" w:cs="Times New Roman"/>
                <w:szCs w:val="21"/>
                <w:highlight w:val="none"/>
              </w:rPr>
              <w:t>和</w:t>
            </w:r>
            <w:r>
              <w:rPr>
                <w:rFonts w:ascii="宋体" w:hAnsi="宋体" w:eastAsia="宋体" w:cs="Times New Roman"/>
                <w:szCs w:val="21"/>
                <w:highlight w:val="none"/>
              </w:rPr>
              <w:t>性能的线性扩展，</w:t>
            </w:r>
            <w:r>
              <w:rPr>
                <w:rFonts w:hint="eastAsia" w:ascii="宋体" w:hAnsi="宋体" w:eastAsia="宋体" w:cs="Times New Roman"/>
                <w:szCs w:val="21"/>
                <w:highlight w:val="none"/>
              </w:rPr>
              <w:t>可</w:t>
            </w:r>
            <w:r>
              <w:rPr>
                <w:rFonts w:ascii="宋体" w:hAnsi="宋体" w:eastAsia="宋体" w:cs="Times New Roman"/>
                <w:szCs w:val="21"/>
                <w:highlight w:val="none"/>
              </w:rPr>
              <w:t>根据需求迅速</w:t>
            </w:r>
            <w:r>
              <w:rPr>
                <w:rFonts w:hint="eastAsia" w:ascii="宋体" w:hAnsi="宋体" w:eastAsia="宋体" w:cs="Times New Roman"/>
                <w:szCs w:val="21"/>
                <w:highlight w:val="none"/>
              </w:rPr>
              <w:t>完成</w:t>
            </w:r>
            <w:r>
              <w:rPr>
                <w:rFonts w:ascii="宋体" w:hAnsi="宋体" w:eastAsia="宋体" w:cs="Times New Roman"/>
                <w:szCs w:val="21"/>
                <w:highlight w:val="none"/>
              </w:rPr>
              <w:t>空间扩展</w:t>
            </w:r>
          </w:p>
        </w:tc>
      </w:tr>
      <w:tr w14:paraId="3A21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14:paraId="1D0CA18F">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可操作性</w:t>
            </w:r>
          </w:p>
        </w:tc>
        <w:tc>
          <w:tcPr>
            <w:tcW w:w="6468" w:type="dxa"/>
            <w:noWrap w:val="0"/>
            <w:tcMar>
              <w:top w:w="0" w:type="dxa"/>
              <w:left w:w="108" w:type="dxa"/>
              <w:bottom w:w="0" w:type="dxa"/>
              <w:right w:w="108" w:type="dxa"/>
            </w:tcMar>
            <w:vAlign w:val="top"/>
          </w:tcPr>
          <w:p w14:paraId="226ACB8C">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支持通过云管理平台，实现存储服务的部署与挂载使用</w:t>
            </w:r>
          </w:p>
        </w:tc>
      </w:tr>
    </w:tbl>
    <w:p w14:paraId="2B3650D7">
      <w:pPr>
        <w:spacing w:line="360" w:lineRule="auto"/>
        <w:rPr>
          <w:rFonts w:ascii="宋体" w:hAnsi="宋体" w:eastAsia="宋体" w:cs="仿宋_GB2312"/>
          <w:sz w:val="24"/>
          <w:highlight w:val="none"/>
        </w:rPr>
      </w:pPr>
      <w:r>
        <w:rPr>
          <w:rFonts w:hint="eastAsia" w:ascii="宋体" w:hAnsi="宋体" w:eastAsia="宋体" w:cs="仿宋_GB2312"/>
          <w:sz w:val="24"/>
          <w:highlight w:val="none"/>
        </w:rPr>
        <w:t>5</w:t>
      </w:r>
      <w:r>
        <w:rPr>
          <w:rFonts w:ascii="宋体" w:hAnsi="宋体" w:eastAsia="宋体" w:cs="仿宋_GB2312"/>
          <w:sz w:val="24"/>
          <w:highlight w:val="none"/>
        </w:rPr>
        <w:t>.</w:t>
      </w:r>
      <w:r>
        <w:rPr>
          <w:rFonts w:hint="eastAsia" w:ascii="宋体" w:hAnsi="宋体" w:eastAsia="宋体" w:cs="仿宋_GB2312"/>
          <w:sz w:val="24"/>
          <w:highlight w:val="none"/>
        </w:rPr>
        <w:t>互联网链路服务</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417"/>
      </w:tblGrid>
      <w:tr w14:paraId="38EF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top"/>
          </w:tcPr>
          <w:p w14:paraId="2FC1DCDF">
            <w:pPr>
              <w:tabs>
                <w:tab w:val="left" w:pos="1418"/>
              </w:tabs>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指标项</w:t>
            </w:r>
          </w:p>
        </w:tc>
        <w:tc>
          <w:tcPr>
            <w:tcW w:w="6417" w:type="dxa"/>
            <w:noWrap w:val="0"/>
            <w:vAlign w:val="top"/>
          </w:tcPr>
          <w:p w14:paraId="7575E823">
            <w:pPr>
              <w:tabs>
                <w:tab w:val="left" w:pos="1418"/>
              </w:tabs>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规格要求</w:t>
            </w:r>
          </w:p>
        </w:tc>
      </w:tr>
      <w:tr w14:paraId="2051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top"/>
          </w:tcPr>
          <w:p w14:paraId="63823CE4">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带宽租用服务</w:t>
            </w:r>
          </w:p>
        </w:tc>
        <w:tc>
          <w:tcPr>
            <w:tcW w:w="6417" w:type="dxa"/>
            <w:noWrap w:val="0"/>
            <w:vAlign w:val="top"/>
          </w:tcPr>
          <w:p w14:paraId="39397285">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提供互联网带宽租用服务，带宽提供方应为一级运营商</w:t>
            </w:r>
          </w:p>
        </w:tc>
      </w:tr>
      <w:tr w14:paraId="4B4E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top"/>
          </w:tcPr>
          <w:p w14:paraId="05DD0B3E">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可靠性要求</w:t>
            </w:r>
          </w:p>
        </w:tc>
        <w:tc>
          <w:tcPr>
            <w:tcW w:w="6417" w:type="dxa"/>
            <w:noWrap w:val="0"/>
            <w:vAlign w:val="top"/>
          </w:tcPr>
          <w:p w14:paraId="061E970A">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须提供多线运营商接入服务，保证服务稳定可靠。</w:t>
            </w:r>
          </w:p>
        </w:tc>
      </w:tr>
      <w:tr w14:paraId="088F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center"/>
          </w:tcPr>
          <w:p w14:paraId="1686EE38">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可操作性</w:t>
            </w:r>
          </w:p>
        </w:tc>
        <w:tc>
          <w:tcPr>
            <w:tcW w:w="6417" w:type="dxa"/>
            <w:noWrap w:val="0"/>
            <w:vAlign w:val="top"/>
          </w:tcPr>
          <w:p w14:paraId="0A379418">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支持通过云管理平台，实现申请部署与使用</w:t>
            </w:r>
          </w:p>
        </w:tc>
      </w:tr>
      <w:tr w14:paraId="2A7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top"/>
          </w:tcPr>
          <w:p w14:paraId="6F6E3E1B">
            <w:pPr>
              <w:autoSpaceDE w:val="0"/>
              <w:autoSpaceDN w:val="0"/>
              <w:adjustRightIn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互联网IP地址租用服务</w:t>
            </w:r>
          </w:p>
        </w:tc>
        <w:tc>
          <w:tcPr>
            <w:tcW w:w="6417" w:type="dxa"/>
            <w:noWrap w:val="0"/>
            <w:vAlign w:val="top"/>
          </w:tcPr>
          <w:p w14:paraId="57206AAA">
            <w:pPr>
              <w:autoSpaceDE w:val="0"/>
              <w:autoSpaceDN w:val="0"/>
              <w:adjustRightInd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可提供IPV4/IPV6互联网IP 地址租用服务</w:t>
            </w:r>
          </w:p>
        </w:tc>
      </w:tr>
      <w:tr w14:paraId="75E3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top"/>
          </w:tcPr>
          <w:p w14:paraId="58ABD316">
            <w:pPr>
              <w:autoSpaceDE w:val="0"/>
              <w:autoSpaceDN w:val="0"/>
              <w:adjustRightIn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网站域名备案服务</w:t>
            </w:r>
          </w:p>
        </w:tc>
        <w:tc>
          <w:tcPr>
            <w:tcW w:w="6417" w:type="dxa"/>
            <w:noWrap w:val="0"/>
            <w:vAlign w:val="top"/>
          </w:tcPr>
          <w:p w14:paraId="3A8C452F">
            <w:pPr>
              <w:autoSpaceDE w:val="0"/>
              <w:autoSpaceDN w:val="0"/>
              <w:adjustRightInd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配合使用单位完成网站域名备案</w:t>
            </w:r>
          </w:p>
        </w:tc>
      </w:tr>
      <w:tr w14:paraId="734A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5" w:type="dxa"/>
            <w:noWrap w:val="0"/>
            <w:vAlign w:val="center"/>
          </w:tcPr>
          <w:p w14:paraId="483B9F86">
            <w:pPr>
              <w:autoSpaceDE w:val="0"/>
              <w:autoSpaceDN w:val="0"/>
              <w:adjustRightInd w:val="0"/>
              <w:spacing w:line="40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可操作性</w:t>
            </w:r>
          </w:p>
        </w:tc>
        <w:tc>
          <w:tcPr>
            <w:tcW w:w="6417" w:type="dxa"/>
            <w:noWrap w:val="0"/>
            <w:vAlign w:val="top"/>
          </w:tcPr>
          <w:p w14:paraId="239B1A2D">
            <w:pPr>
              <w:autoSpaceDE w:val="0"/>
              <w:autoSpaceDN w:val="0"/>
              <w:adjustRightInd w:val="0"/>
              <w:spacing w:line="40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支持通过云管理平台，实现申请部署与使用</w:t>
            </w:r>
          </w:p>
        </w:tc>
      </w:tr>
    </w:tbl>
    <w:p w14:paraId="4A7B0EC5">
      <w:pPr>
        <w:spacing w:line="360" w:lineRule="auto"/>
        <w:rPr>
          <w:rFonts w:ascii="宋体" w:hAnsi="宋体" w:eastAsia="宋体" w:cs="仿宋_GB2312"/>
          <w:sz w:val="24"/>
          <w:highlight w:val="none"/>
        </w:rPr>
      </w:pPr>
      <w:r>
        <w:rPr>
          <w:rFonts w:hint="eastAsia" w:ascii="宋体" w:hAnsi="宋体" w:eastAsia="宋体" w:cs="仿宋_GB2312"/>
          <w:sz w:val="24"/>
          <w:highlight w:val="none"/>
        </w:rPr>
        <w:t>6.主机负载均衡服务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329DC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237C9BD">
            <w:pPr>
              <w:tabs>
                <w:tab w:val="left" w:pos="1418"/>
              </w:tabs>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指标项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2628F8CE">
            <w:pPr>
              <w:tabs>
                <w:tab w:val="left" w:pos="1418"/>
              </w:tabs>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规格要求</w:t>
            </w:r>
          </w:p>
        </w:tc>
      </w:tr>
      <w:tr w14:paraId="3BB70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5AA8A4A">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服务能力</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6841B5D4">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通过云管理平台实现针每租户按需自动分配负载均衡服务的能力。总体峰值可支持每秒新建链接数不少于</w:t>
            </w:r>
            <w:r>
              <w:rPr>
                <w:rFonts w:ascii="宋体" w:hAnsi="宋体" w:eastAsia="宋体" w:cs="Times New Roman"/>
                <w:szCs w:val="21"/>
                <w:highlight w:val="none"/>
              </w:rPr>
              <w:t>20</w:t>
            </w:r>
            <w:r>
              <w:rPr>
                <w:rFonts w:hint="eastAsia" w:ascii="宋体" w:hAnsi="宋体" w:eastAsia="宋体" w:cs="Times New Roman"/>
                <w:szCs w:val="21"/>
                <w:highlight w:val="none"/>
              </w:rPr>
              <w:t>万</w:t>
            </w:r>
          </w:p>
        </w:tc>
      </w:tr>
      <w:tr w14:paraId="738D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0B03E52">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均衡策略</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186D3595">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支持加权轮询</w:t>
            </w:r>
            <w:r>
              <w:rPr>
                <w:rFonts w:ascii="宋体" w:hAnsi="宋体" w:eastAsia="宋体" w:cs="Times New Roman"/>
                <w:szCs w:val="21"/>
                <w:highlight w:val="none"/>
              </w:rPr>
              <w:t>(Weighted Round Robin)</w:t>
            </w:r>
            <w:r>
              <w:rPr>
                <w:rFonts w:hint="eastAsia" w:ascii="宋体" w:hAnsi="宋体" w:eastAsia="宋体" w:cs="Times New Roman"/>
                <w:szCs w:val="21"/>
                <w:highlight w:val="none"/>
              </w:rPr>
              <w:t>、加权最小连接数调度</w:t>
            </w:r>
            <w:r>
              <w:rPr>
                <w:rFonts w:ascii="宋体" w:hAnsi="宋体" w:eastAsia="宋体" w:cs="Times New Roman"/>
                <w:szCs w:val="21"/>
                <w:highlight w:val="none"/>
              </w:rPr>
              <w:t>(Weighted Least-Connection Scheduling)</w:t>
            </w:r>
            <w:r>
              <w:rPr>
                <w:rFonts w:hint="eastAsia" w:ascii="宋体" w:hAnsi="宋体" w:eastAsia="宋体" w:cs="Times New Roman"/>
                <w:szCs w:val="21"/>
                <w:highlight w:val="none"/>
              </w:rPr>
              <w:t>等流量分发策略</w:t>
            </w:r>
          </w:p>
        </w:tc>
      </w:tr>
      <w:tr w14:paraId="300C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5A2AD56">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健康检查</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53AA0BE9">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可以按照指定规则对配置的虚拟主机进行健康检查，自动隔离异常状态虚拟主机，确保可用性</w:t>
            </w:r>
          </w:p>
        </w:tc>
      </w:tr>
      <w:tr w14:paraId="52E27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BF6FE01">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会话（</w:t>
            </w:r>
            <w:r>
              <w:rPr>
                <w:rFonts w:ascii="宋体" w:hAnsi="宋体" w:eastAsia="宋体" w:cs="Times New Roman"/>
                <w:szCs w:val="21"/>
                <w:highlight w:val="none"/>
              </w:rPr>
              <w:t>Session</w:t>
            </w:r>
            <w:r>
              <w:rPr>
                <w:rFonts w:hint="eastAsia" w:ascii="宋体" w:hAnsi="宋体" w:eastAsia="宋体" w:cs="Times New Roman"/>
                <w:szCs w:val="21"/>
                <w:highlight w:val="none"/>
              </w:rPr>
              <w:t>）保持</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0A237378">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可对虚拟主机提供</w:t>
            </w:r>
            <w:r>
              <w:rPr>
                <w:rFonts w:ascii="宋体" w:hAnsi="宋体" w:eastAsia="宋体" w:cs="Times New Roman"/>
                <w:szCs w:val="21"/>
                <w:highlight w:val="none"/>
              </w:rPr>
              <w:t>TCP/HTTP</w:t>
            </w:r>
            <w:r>
              <w:rPr>
                <w:rFonts w:hint="eastAsia" w:ascii="宋体" w:hAnsi="宋体" w:eastAsia="宋体" w:cs="Times New Roman"/>
                <w:szCs w:val="21"/>
                <w:highlight w:val="none"/>
              </w:rPr>
              <w:t>协议的负载均衡服务，并提供会话保持功能，在会话生命周期内，将同一会话请求转发到同一台后端虚拟主机</w:t>
            </w:r>
          </w:p>
        </w:tc>
      </w:tr>
      <w:tr w14:paraId="14AE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6214738">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高可用性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6CA770E1">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采用全冗余或</w:t>
            </w:r>
            <w:r>
              <w:rPr>
                <w:rFonts w:ascii="宋体" w:hAnsi="宋体" w:eastAsia="宋体" w:cs="Times New Roman"/>
                <w:szCs w:val="21"/>
                <w:highlight w:val="none"/>
              </w:rPr>
              <w:t>集群</w:t>
            </w:r>
            <w:r>
              <w:rPr>
                <w:rFonts w:hint="eastAsia" w:ascii="宋体" w:hAnsi="宋体" w:eastAsia="宋体" w:cs="Times New Roman"/>
                <w:szCs w:val="21"/>
                <w:highlight w:val="none"/>
              </w:rPr>
              <w:t>架构，无单点故障；平均可用性不低于</w:t>
            </w:r>
            <w:r>
              <w:rPr>
                <w:rFonts w:ascii="宋体" w:hAnsi="宋体" w:eastAsia="宋体" w:cs="Times New Roman"/>
                <w:szCs w:val="21"/>
                <w:highlight w:val="none"/>
              </w:rPr>
              <w:t>99.99%</w:t>
            </w:r>
          </w:p>
        </w:tc>
      </w:tr>
      <w:tr w14:paraId="207FF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75692A3">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转发规则</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39FC47E0">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提供多种转发规则，满足不同业务场景的要求</w:t>
            </w:r>
          </w:p>
        </w:tc>
      </w:tr>
      <w:tr w14:paraId="5F04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5257E03">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扩展性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15F049E8">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支持在线平滑升级，承载能力和网络总带宽同步线性扩容；可与虚拟主机配合提供三层架构系统的弹性扩展</w:t>
            </w:r>
          </w:p>
        </w:tc>
      </w:tr>
      <w:tr w14:paraId="679B4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21" w:type="dxa"/>
            <w:tcBorders>
              <w:top w:val="single" w:color="000000" w:sz="4" w:space="0"/>
              <w:left w:val="single" w:color="000000" w:sz="4" w:space="0"/>
              <w:right w:val="single" w:color="000000" w:sz="4" w:space="0"/>
            </w:tcBorders>
            <w:noWrap w:val="0"/>
            <w:vAlign w:val="center"/>
          </w:tcPr>
          <w:p w14:paraId="5887DE9E">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可操作性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752B020B">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支持通过云管理平台，实现申请部署与使用</w:t>
            </w:r>
          </w:p>
        </w:tc>
      </w:tr>
    </w:tbl>
    <w:p w14:paraId="2F517749">
      <w:pPr>
        <w:spacing w:line="360" w:lineRule="auto"/>
        <w:rPr>
          <w:rFonts w:ascii="宋体" w:hAnsi="宋体" w:eastAsia="宋体" w:cs="仿宋_GB2312"/>
          <w:sz w:val="24"/>
          <w:highlight w:val="none"/>
        </w:rPr>
      </w:pPr>
      <w:r>
        <w:rPr>
          <w:rFonts w:hint="eastAsia" w:ascii="宋体" w:hAnsi="宋体" w:eastAsia="宋体" w:cs="仿宋_GB2312"/>
          <w:sz w:val="24"/>
          <w:highlight w:val="none"/>
        </w:rPr>
        <w:t>7</w:t>
      </w:r>
      <w:r>
        <w:rPr>
          <w:rFonts w:ascii="宋体" w:hAnsi="宋体" w:eastAsia="宋体" w:cs="仿宋_GB2312"/>
          <w:sz w:val="24"/>
          <w:highlight w:val="none"/>
        </w:rPr>
        <w:t>.</w:t>
      </w:r>
      <w:r>
        <w:rPr>
          <w:rFonts w:hint="eastAsia" w:ascii="宋体" w:hAnsi="宋体" w:eastAsia="宋体" w:cs="仿宋_GB2312"/>
          <w:sz w:val="24"/>
          <w:highlight w:val="none"/>
        </w:rPr>
        <w:t>远程接入服务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3"/>
        <w:gridCol w:w="6409"/>
      </w:tblGrid>
      <w:tr w14:paraId="2E99D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C47D04B">
            <w:pPr>
              <w:autoSpaceDE w:val="0"/>
              <w:autoSpaceDN w:val="0"/>
              <w:adjustRightInd w:val="0"/>
              <w:spacing w:line="400" w:lineRule="exact"/>
              <w:ind w:firstLine="422"/>
              <w:jc w:val="center"/>
              <w:rPr>
                <w:rFonts w:ascii="宋体" w:hAnsi="宋体" w:eastAsia="宋体" w:cs="Times New Roman"/>
                <w:b/>
                <w:szCs w:val="21"/>
                <w:highlight w:val="none"/>
              </w:rPr>
            </w:pPr>
            <w:r>
              <w:rPr>
                <w:rFonts w:hint="eastAsia" w:ascii="宋体" w:hAnsi="宋体" w:eastAsia="宋体" w:cs="Times New Roman"/>
                <w:b/>
                <w:szCs w:val="21"/>
                <w:highlight w:val="none"/>
              </w:rPr>
              <w:t>指标项</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095DD121">
            <w:pPr>
              <w:autoSpaceDE w:val="0"/>
              <w:autoSpaceDN w:val="0"/>
              <w:adjustRightInd w:val="0"/>
              <w:spacing w:line="400" w:lineRule="exact"/>
              <w:ind w:firstLine="422"/>
              <w:jc w:val="left"/>
              <w:rPr>
                <w:rFonts w:ascii="宋体" w:hAnsi="宋体" w:eastAsia="宋体" w:cs="Times New Roman"/>
                <w:b/>
                <w:szCs w:val="21"/>
                <w:highlight w:val="none"/>
              </w:rPr>
            </w:pPr>
            <w:r>
              <w:rPr>
                <w:rFonts w:hint="eastAsia" w:ascii="宋体" w:hAnsi="宋体" w:eastAsia="宋体" w:cs="Times New Roman"/>
                <w:b/>
                <w:szCs w:val="21"/>
                <w:highlight w:val="none"/>
              </w:rPr>
              <w:t>规格要求</w:t>
            </w:r>
          </w:p>
        </w:tc>
      </w:tr>
      <w:tr w14:paraId="03A7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507A37EE">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功能要求</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0B04975A">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提供堡垒机远程接入服务</w:t>
            </w:r>
          </w:p>
        </w:tc>
      </w:tr>
      <w:tr w14:paraId="6773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3682C75A">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运维审计</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78316E56">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字符操作审计、图形操作审计、文件操作审计</w:t>
            </w:r>
          </w:p>
        </w:tc>
      </w:tr>
      <w:tr w14:paraId="486B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restart"/>
            <w:tcBorders>
              <w:top w:val="single" w:color="000000" w:sz="4" w:space="0"/>
              <w:left w:val="single" w:color="000000" w:sz="4" w:space="0"/>
              <w:right w:val="single" w:color="000000" w:sz="4" w:space="0"/>
            </w:tcBorders>
            <w:noWrap w:val="0"/>
            <w:vAlign w:val="center"/>
          </w:tcPr>
          <w:p w14:paraId="02E02C88">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访问控制</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6067CE45">
            <w:pPr>
              <w:autoSpaceDE w:val="0"/>
              <w:autoSpaceDN w:val="0"/>
              <w:adjustRightInd w:val="0"/>
              <w:spacing w:line="400" w:lineRule="exact"/>
              <w:jc w:val="left"/>
              <w:rPr>
                <w:rFonts w:ascii="宋体" w:hAnsi="宋体" w:eastAsia="宋体" w:cs="Times New Roman"/>
                <w:szCs w:val="21"/>
                <w:highlight w:val="none"/>
              </w:rPr>
            </w:pPr>
            <w:r>
              <w:rPr>
                <w:rFonts w:ascii="宋体" w:hAnsi="宋体" w:eastAsia="宋体" w:cs="Times New Roman"/>
                <w:szCs w:val="21"/>
                <w:highlight w:val="none"/>
              </w:rPr>
              <w:t>支持基于IP/IP段、用户/用户组、资产/资产组、</w:t>
            </w:r>
            <w:r>
              <w:rPr>
                <w:rFonts w:hint="eastAsia" w:ascii="宋体" w:hAnsi="宋体" w:eastAsia="宋体" w:cs="Times New Roman"/>
                <w:szCs w:val="21"/>
                <w:highlight w:val="none"/>
              </w:rPr>
              <w:t>协议</w:t>
            </w:r>
            <w:r>
              <w:rPr>
                <w:rFonts w:ascii="宋体" w:hAnsi="宋体" w:eastAsia="宋体" w:cs="Times New Roman"/>
                <w:szCs w:val="21"/>
                <w:highlight w:val="none"/>
              </w:rPr>
              <w:t>、危险级别等组合策略</w:t>
            </w:r>
            <w:r>
              <w:rPr>
                <w:rFonts w:hint="eastAsia" w:ascii="宋体" w:hAnsi="宋体" w:eastAsia="宋体" w:cs="Times New Roman"/>
                <w:szCs w:val="21"/>
                <w:highlight w:val="none"/>
              </w:rPr>
              <w:t>进行访问控制，对于不合法的行为予以阻断；</w:t>
            </w:r>
          </w:p>
        </w:tc>
      </w:tr>
      <w:tr w14:paraId="3825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right w:val="single" w:color="000000" w:sz="4" w:space="0"/>
            </w:tcBorders>
            <w:noWrap w:val="0"/>
            <w:vAlign w:val="center"/>
          </w:tcPr>
          <w:p w14:paraId="4DFAD06B">
            <w:pPr>
              <w:autoSpaceDE w:val="0"/>
              <w:autoSpaceDN w:val="0"/>
              <w:adjustRightInd w:val="0"/>
              <w:spacing w:line="400" w:lineRule="exact"/>
              <w:jc w:val="center"/>
              <w:rPr>
                <w:rFonts w:ascii="宋体" w:hAnsi="宋体" w:eastAsia="宋体" w:cs="Times New Roman"/>
                <w:szCs w:val="21"/>
                <w:highlight w:val="none"/>
              </w:rPr>
            </w:pP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1FE22B1A">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可基于运维账号的登陆时间和资产登陆时间进行访问控制；</w:t>
            </w:r>
          </w:p>
        </w:tc>
      </w:tr>
      <w:tr w14:paraId="35AB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2113" w:type="dxa"/>
            <w:vMerge w:val="continue"/>
            <w:tcBorders>
              <w:left w:val="single" w:color="000000" w:sz="4" w:space="0"/>
              <w:right w:val="single" w:color="000000" w:sz="4" w:space="0"/>
            </w:tcBorders>
            <w:noWrap w:val="0"/>
            <w:vAlign w:val="center"/>
          </w:tcPr>
          <w:p w14:paraId="7D458B6F">
            <w:pPr>
              <w:autoSpaceDE w:val="0"/>
              <w:autoSpaceDN w:val="0"/>
              <w:adjustRightInd w:val="0"/>
              <w:spacing w:line="400" w:lineRule="exact"/>
              <w:jc w:val="center"/>
              <w:rPr>
                <w:rFonts w:ascii="宋体" w:hAnsi="宋体" w:eastAsia="宋体" w:cs="Times New Roman"/>
                <w:szCs w:val="21"/>
                <w:highlight w:val="none"/>
              </w:rPr>
            </w:pP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4202FDD4">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可基于运维操作命令进行访问控制；</w:t>
            </w:r>
          </w:p>
        </w:tc>
      </w:tr>
      <w:tr w14:paraId="0D05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bottom w:val="single" w:color="000000" w:sz="4" w:space="0"/>
              <w:right w:val="single" w:color="000000" w:sz="4" w:space="0"/>
            </w:tcBorders>
            <w:noWrap w:val="0"/>
            <w:vAlign w:val="center"/>
          </w:tcPr>
          <w:p w14:paraId="3D3148A1">
            <w:pPr>
              <w:autoSpaceDE w:val="0"/>
              <w:autoSpaceDN w:val="0"/>
              <w:adjustRightInd w:val="0"/>
              <w:spacing w:line="400" w:lineRule="exact"/>
              <w:jc w:val="center"/>
              <w:rPr>
                <w:rFonts w:ascii="宋体" w:hAnsi="宋体" w:eastAsia="宋体" w:cs="Times New Roman"/>
                <w:szCs w:val="21"/>
                <w:highlight w:val="none"/>
              </w:rPr>
            </w:pPr>
          </w:p>
        </w:tc>
        <w:tc>
          <w:tcPr>
            <w:tcW w:w="6409" w:type="dxa"/>
            <w:tcBorders>
              <w:top w:val="single" w:color="000000" w:sz="4" w:space="0"/>
              <w:left w:val="single" w:color="000000" w:sz="4" w:space="0"/>
              <w:bottom w:val="single" w:color="000000" w:sz="4" w:space="0"/>
              <w:right w:val="single" w:color="000000" w:sz="4" w:space="0"/>
            </w:tcBorders>
            <w:noWrap w:val="0"/>
            <w:vAlign w:val="top"/>
          </w:tcPr>
          <w:p w14:paraId="1B462590">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可基于主机、用户、IP地址控制审计日志的访问权限；</w:t>
            </w:r>
          </w:p>
        </w:tc>
      </w:tr>
    </w:tbl>
    <w:p w14:paraId="35A15FAE">
      <w:pPr>
        <w:spacing w:line="360" w:lineRule="auto"/>
        <w:rPr>
          <w:rFonts w:hint="eastAsia" w:ascii="宋体" w:hAnsi="宋体" w:eastAsia="宋体" w:cs="仿宋_GB2312"/>
          <w:sz w:val="24"/>
          <w:highlight w:val="none"/>
        </w:rPr>
      </w:pPr>
      <w:r>
        <w:rPr>
          <w:rFonts w:hint="eastAsia" w:ascii="宋体" w:hAnsi="宋体" w:eastAsia="宋体" w:cs="仿宋_GB2312"/>
          <w:sz w:val="24"/>
          <w:highlight w:val="none"/>
        </w:rPr>
        <w:t>8.</w:t>
      </w:r>
      <w:r>
        <w:rPr>
          <w:rFonts w:ascii="宋体" w:hAnsi="宋体" w:eastAsia="宋体" w:cs="仿宋_GB2312"/>
          <w:sz w:val="24"/>
          <w:highlight w:val="none"/>
        </w:rPr>
        <w:t>SSL VPN</w:t>
      </w:r>
      <w:r>
        <w:rPr>
          <w:rFonts w:hint="eastAsia" w:ascii="宋体" w:hAnsi="宋体" w:eastAsia="宋体" w:cs="仿宋_GB2312"/>
          <w:sz w:val="24"/>
          <w:highlight w:val="none"/>
        </w:rPr>
        <w:t>接入服务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7068"/>
      </w:tblGrid>
      <w:tr w14:paraId="6205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5F8F1B04">
            <w:pPr>
              <w:tabs>
                <w:tab w:val="left" w:pos="1418"/>
              </w:tabs>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指标项</w:t>
            </w:r>
          </w:p>
        </w:tc>
        <w:tc>
          <w:tcPr>
            <w:tcW w:w="7068" w:type="dxa"/>
            <w:tcBorders>
              <w:top w:val="single" w:color="000000" w:sz="4" w:space="0"/>
              <w:left w:val="single" w:color="000000" w:sz="4" w:space="0"/>
              <w:bottom w:val="single" w:color="000000" w:sz="4" w:space="0"/>
              <w:right w:val="single" w:color="000000" w:sz="4" w:space="0"/>
            </w:tcBorders>
            <w:noWrap w:val="0"/>
            <w:vAlign w:val="top"/>
          </w:tcPr>
          <w:p w14:paraId="511E8D30">
            <w:pPr>
              <w:tabs>
                <w:tab w:val="left" w:pos="1418"/>
              </w:tabs>
              <w:spacing w:line="400" w:lineRule="exact"/>
              <w:jc w:val="center"/>
              <w:rPr>
                <w:rFonts w:ascii="宋体" w:hAnsi="宋体" w:eastAsia="宋体" w:cs="Times New Roman"/>
                <w:b/>
                <w:szCs w:val="21"/>
                <w:highlight w:val="none"/>
              </w:rPr>
            </w:pPr>
            <w:r>
              <w:rPr>
                <w:rFonts w:hint="eastAsia" w:ascii="宋体" w:hAnsi="宋体" w:eastAsia="宋体" w:cs="Times New Roman"/>
                <w:b/>
                <w:szCs w:val="21"/>
                <w:highlight w:val="none"/>
              </w:rPr>
              <w:t>规格要求</w:t>
            </w:r>
          </w:p>
        </w:tc>
      </w:tr>
      <w:tr w14:paraId="0FD0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C917536">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接入方式</w:t>
            </w:r>
          </w:p>
        </w:tc>
        <w:tc>
          <w:tcPr>
            <w:tcW w:w="7068" w:type="dxa"/>
            <w:tcBorders>
              <w:top w:val="single" w:color="000000" w:sz="4" w:space="0"/>
              <w:left w:val="single" w:color="000000" w:sz="4" w:space="0"/>
              <w:bottom w:val="single" w:color="000000" w:sz="4" w:space="0"/>
              <w:right w:val="single" w:color="000000" w:sz="4" w:space="0"/>
            </w:tcBorders>
            <w:noWrap w:val="0"/>
            <w:vAlign w:val="top"/>
          </w:tcPr>
          <w:p w14:paraId="0FD1875E">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实现Web接入，TCP接入，IP接入等多种方式，记录完整的用户访问日志</w:t>
            </w:r>
          </w:p>
        </w:tc>
      </w:tr>
      <w:tr w14:paraId="58BE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DE81110">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身份管理</w:t>
            </w:r>
          </w:p>
        </w:tc>
        <w:tc>
          <w:tcPr>
            <w:tcW w:w="7068" w:type="dxa"/>
            <w:tcBorders>
              <w:top w:val="single" w:color="000000" w:sz="4" w:space="0"/>
              <w:left w:val="single" w:color="000000" w:sz="4" w:space="0"/>
              <w:bottom w:val="single" w:color="000000" w:sz="4" w:space="0"/>
              <w:right w:val="single" w:color="000000" w:sz="4" w:space="0"/>
            </w:tcBorders>
            <w:noWrap w:val="0"/>
            <w:vAlign w:val="top"/>
          </w:tcPr>
          <w:p w14:paraId="67BF0AEC">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支持基于用户身份的管理，实现不同身份的用户拥有不同的命令执行权限，并且支持用户视图分级，对于不同级别的用户赋予不同的管理配置权限</w:t>
            </w:r>
          </w:p>
        </w:tc>
      </w:tr>
      <w:tr w14:paraId="1A5F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1454" w:type="dxa"/>
            <w:tcBorders>
              <w:top w:val="single" w:color="000000" w:sz="4" w:space="0"/>
              <w:left w:val="single" w:color="000000" w:sz="4" w:space="0"/>
              <w:bottom w:val="single" w:color="000000" w:sz="4" w:space="0"/>
              <w:right w:val="single" w:color="000000" w:sz="4" w:space="0"/>
            </w:tcBorders>
            <w:noWrap w:val="0"/>
            <w:vAlign w:val="center"/>
          </w:tcPr>
          <w:p w14:paraId="29C89545">
            <w:pPr>
              <w:autoSpaceDE w:val="0"/>
              <w:autoSpaceDN w:val="0"/>
              <w:adjustRightInd w:val="0"/>
              <w:spacing w:line="40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访问控制策略</w:t>
            </w:r>
          </w:p>
        </w:tc>
        <w:tc>
          <w:tcPr>
            <w:tcW w:w="7068" w:type="dxa"/>
            <w:tcBorders>
              <w:top w:val="single" w:color="000000" w:sz="4" w:space="0"/>
              <w:left w:val="single" w:color="000000" w:sz="4" w:space="0"/>
              <w:bottom w:val="single" w:color="000000" w:sz="4" w:space="0"/>
              <w:right w:val="single" w:color="000000" w:sz="4" w:space="0"/>
            </w:tcBorders>
            <w:noWrap w:val="0"/>
            <w:vAlign w:val="top"/>
          </w:tcPr>
          <w:p w14:paraId="2342E96A">
            <w:pPr>
              <w:autoSpaceDE w:val="0"/>
              <w:autoSpaceDN w:val="0"/>
              <w:adjustRightInd w:val="0"/>
              <w:spacing w:line="400" w:lineRule="exact"/>
              <w:jc w:val="left"/>
              <w:rPr>
                <w:rFonts w:ascii="宋体" w:hAnsi="宋体" w:eastAsia="宋体" w:cs="Times New Roman"/>
                <w:szCs w:val="21"/>
                <w:highlight w:val="none"/>
              </w:rPr>
            </w:pPr>
            <w:r>
              <w:rPr>
                <w:rFonts w:hint="eastAsia" w:ascii="宋体" w:hAnsi="宋体" w:eastAsia="宋体" w:cs="Times New Roman"/>
                <w:szCs w:val="21"/>
                <w:highlight w:val="none"/>
              </w:rPr>
              <w:t>可以根据请求报文的目的IP地址和目的端口号、源IP地址和源端口号进行过滤</w:t>
            </w:r>
          </w:p>
        </w:tc>
      </w:tr>
    </w:tbl>
    <w:p w14:paraId="036A635D">
      <w:pPr>
        <w:widowControl w:val="0"/>
        <w:spacing w:line="288" w:lineRule="auto"/>
        <w:jc w:val="both"/>
        <w:rPr>
          <w:rFonts w:hint="eastAsia" w:ascii="宋体" w:hAnsi="宋体" w:eastAsia="宋体" w:cs="仿宋_GB2312"/>
          <w:kern w:val="2"/>
          <w:sz w:val="24"/>
          <w:szCs w:val="24"/>
          <w:highlight w:val="none"/>
          <w:lang w:val="en-US" w:eastAsia="zh-CN" w:bidi="ar-SA"/>
        </w:rPr>
      </w:pPr>
    </w:p>
    <w:p w14:paraId="6D0E8EAE">
      <w:pPr>
        <w:widowControl w:val="0"/>
        <w:numPr>
          <w:ilvl w:val="0"/>
          <w:numId w:val="2"/>
        </w:numPr>
        <w:spacing w:line="288" w:lineRule="auto"/>
        <w:jc w:val="both"/>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服务标准要求</w:t>
      </w:r>
    </w:p>
    <w:p w14:paraId="6AD99094">
      <w:pPr>
        <w:widowControl w:val="0"/>
        <w:spacing w:line="288" w:lineRule="auto"/>
        <w:ind w:firstLine="480" w:firstLineChars="200"/>
        <w:jc w:val="both"/>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9.1提供7*24运维保障，做好重大活动和节假日应急值守保障服务，确保各系统在政务云环境中可靠稳定运行。服务期内，投标人须完成信息系统的日常运维和安全运维服务工作（包括但不限于：云平台服务、日常技术支持、系统日常维护、服务规范、安全及保密要求、响应的及时性），确保入云系统安全、稳定的运行。</w:t>
      </w:r>
    </w:p>
    <w:p w14:paraId="31509C0A">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9.2</w:t>
      </w:r>
      <w:r>
        <w:rPr>
          <w:rFonts w:ascii="宋体" w:hAnsi="宋体" w:eastAsia="宋体" w:cs="仿宋_GB2312"/>
          <w:kern w:val="2"/>
          <w:sz w:val="24"/>
          <w:szCs w:val="24"/>
          <w:highlight w:val="none"/>
          <w:lang w:val="en-US" w:eastAsia="zh-CN" w:bidi="ar-SA"/>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6B81E09C">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9.3</w:t>
      </w:r>
      <w:r>
        <w:rPr>
          <w:rFonts w:ascii="宋体" w:hAnsi="宋体" w:eastAsia="宋体" w:cs="仿宋_GB2312"/>
          <w:kern w:val="2"/>
          <w:sz w:val="24"/>
          <w:szCs w:val="24"/>
          <w:highlight w:val="none"/>
          <w:lang w:val="en-US" w:eastAsia="zh-CN" w:bidi="ar-SA"/>
        </w:rPr>
        <w:t>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14:paraId="6249262E">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9.4</w:t>
      </w:r>
      <w:r>
        <w:rPr>
          <w:rFonts w:ascii="宋体" w:hAnsi="宋体" w:eastAsia="宋体" w:cs="仿宋_GB2312"/>
          <w:kern w:val="2"/>
          <w:sz w:val="24"/>
          <w:szCs w:val="24"/>
          <w:highlight w:val="none"/>
          <w:lang w:val="en-US" w:eastAsia="zh-CN" w:bidi="ar-SA"/>
        </w:rPr>
        <w:t>投标人需纳入行业监管部门网络安全保障整体工作体系，在涉及重保、安全事件、威胁情报等方面，配合安全服务商开展研判、处置、分析等工作。</w:t>
      </w:r>
    </w:p>
    <w:p w14:paraId="24968594">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9.5</w:t>
      </w:r>
      <w:r>
        <w:rPr>
          <w:rFonts w:ascii="宋体" w:hAnsi="宋体" w:eastAsia="宋体" w:cs="仿宋_GB2312"/>
          <w:kern w:val="2"/>
          <w:sz w:val="24"/>
          <w:szCs w:val="24"/>
          <w:highlight w:val="none"/>
          <w:lang w:val="en-US" w:eastAsia="zh-CN" w:bidi="ar-SA"/>
        </w:rPr>
        <w:t>投标人承担云平台数据防篡改、防丢失的安全责任。业务数据未经采购人同意，不得离开云机房。投标人未经允许不得对云平台上的任何数据进行非法截取、加工、分析处理或提供给第三方机构。申请内容在未经过用户邮件、书面材料确认前提下，不能查看、修改、拷贝用户业务系统文件和数据；各业务系统、数据归属于采购人，投标人无权支配。</w:t>
      </w:r>
    </w:p>
    <w:p w14:paraId="6CCA3A63">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9.6</w:t>
      </w:r>
      <w:r>
        <w:rPr>
          <w:rFonts w:ascii="宋体" w:hAnsi="宋体" w:eastAsia="宋体" w:cs="仿宋_GB2312"/>
          <w:kern w:val="2"/>
          <w:sz w:val="24"/>
          <w:szCs w:val="24"/>
          <w:highlight w:val="none"/>
          <w:lang w:val="en-US" w:eastAsia="zh-CN" w:bidi="ar-SA"/>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39786-2021中相应等级规定；保障其上的租户安全、云主机安全、业务安全和数据安全；</w:t>
      </w:r>
    </w:p>
    <w:p w14:paraId="49DAAC38">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9.7</w:t>
      </w:r>
      <w:r>
        <w:rPr>
          <w:rFonts w:ascii="宋体" w:hAnsi="宋体" w:eastAsia="宋体" w:cs="仿宋_GB2312"/>
          <w:kern w:val="2"/>
          <w:sz w:val="24"/>
          <w:szCs w:val="24"/>
          <w:highlight w:val="none"/>
          <w:lang w:val="en-US" w:eastAsia="zh-CN" w:bidi="ar-SA"/>
        </w:rPr>
        <w:t>投标人应坚持制度和技术并重，建立健全网络和数据安全管理制度，落实网络和数据安全管理要求。采取相应技术措施，保障网络免受干扰、破坏或者未经授权的访问，防止数据泄露或者被窃取、篡改、破坏。</w:t>
      </w:r>
    </w:p>
    <w:p w14:paraId="4DECBC2D">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9.8</w:t>
      </w:r>
      <w:r>
        <w:rPr>
          <w:rFonts w:ascii="宋体" w:hAnsi="宋体" w:eastAsia="宋体" w:cs="仿宋_GB2312"/>
          <w:kern w:val="2"/>
          <w:sz w:val="24"/>
          <w:szCs w:val="24"/>
          <w:highlight w:val="none"/>
          <w:lang w:val="en-US" w:eastAsia="zh-CN" w:bidi="ar-SA"/>
        </w:rPr>
        <w:t>定期开展数据安全风险评估，发现数据安全隐患风险时，应当及时整改加固，采取必要的安全保护措施，防范数据安全风险。</w:t>
      </w:r>
    </w:p>
    <w:p w14:paraId="74E1B0AD">
      <w:pPr>
        <w:widowControl w:val="0"/>
        <w:spacing w:line="288" w:lineRule="auto"/>
        <w:ind w:firstLine="480" w:firstLineChars="200"/>
        <w:jc w:val="both"/>
        <w:rPr>
          <w:rFonts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9.9</w:t>
      </w:r>
      <w:r>
        <w:rPr>
          <w:rFonts w:ascii="宋体" w:hAnsi="宋体" w:eastAsia="宋体" w:cs="仿宋_GB2312"/>
          <w:kern w:val="2"/>
          <w:sz w:val="24"/>
          <w:szCs w:val="24"/>
          <w:highlight w:val="none"/>
          <w:lang w:val="en-US" w:eastAsia="zh-CN" w:bidi="ar-SA"/>
        </w:rPr>
        <w:t>投标人应明确接触网络和信息系统、数据时的申请及审批流程，做好实名登记、权限控制、保密协议签署等管理。</w:t>
      </w:r>
    </w:p>
    <w:p w14:paraId="63108AC2">
      <w:pPr>
        <w:widowControl w:val="0"/>
        <w:spacing w:line="288" w:lineRule="auto"/>
        <w:ind w:firstLine="480" w:firstLineChars="200"/>
        <w:jc w:val="both"/>
        <w:rPr>
          <w:rFonts w:hint="eastAsia" w:ascii="宋体" w:hAnsi="宋体" w:eastAsia="宋体" w:cs="Times New Roman"/>
          <w:kern w:val="2"/>
          <w:sz w:val="28"/>
          <w:szCs w:val="28"/>
          <w:highlight w:val="none"/>
          <w:lang w:val="en-US" w:eastAsia="zh-CN" w:bidi="ar-SA"/>
        </w:rPr>
      </w:pPr>
      <w:r>
        <w:rPr>
          <w:rFonts w:hint="eastAsia" w:ascii="宋体" w:hAnsi="宋体" w:eastAsia="宋体" w:cs="仿宋_GB2312"/>
          <w:kern w:val="2"/>
          <w:sz w:val="24"/>
          <w:szCs w:val="24"/>
          <w:highlight w:val="none"/>
          <w:lang w:val="en-US" w:eastAsia="zh-CN" w:bidi="ar-SA"/>
        </w:rPr>
        <w:t>9.10</w:t>
      </w:r>
      <w:r>
        <w:rPr>
          <w:rFonts w:ascii="宋体" w:hAnsi="宋体" w:eastAsia="宋体" w:cs="仿宋_GB2312"/>
          <w:kern w:val="2"/>
          <w:sz w:val="24"/>
          <w:szCs w:val="24"/>
          <w:highlight w:val="none"/>
          <w:lang w:val="en-US" w:eastAsia="zh-CN" w:bidi="ar-SA"/>
        </w:rPr>
        <w:t>投标人提供的云平台需满足如下指标要求</w:t>
      </w:r>
      <w:r>
        <w:rPr>
          <w:rFonts w:hint="eastAsia" w:ascii="宋体" w:hAnsi="宋体" w:eastAsia="宋体" w:cs="仿宋_GB2312"/>
          <w:kern w:val="2"/>
          <w:sz w:val="24"/>
          <w:szCs w:val="24"/>
          <w:highlight w:val="none"/>
          <w:lang w:val="en-US" w:eastAsia="zh-CN" w:bidi="ar-SA"/>
        </w:rPr>
        <w:t>。</w:t>
      </w:r>
    </w:p>
    <w:p w14:paraId="767EB8C4">
      <w:pPr>
        <w:keepNext/>
        <w:keepLines/>
        <w:spacing w:before="260" w:after="260" w:line="416" w:lineRule="auto"/>
        <w:outlineLvl w:val="2"/>
        <w:rPr>
          <w:rFonts w:ascii="宋体" w:hAnsi="宋体" w:eastAsia="宋体" w:cs="仿宋_GB2312"/>
          <w:b/>
          <w:bCs/>
          <w:sz w:val="24"/>
          <w:szCs w:val="32"/>
          <w:highlight w:val="none"/>
        </w:rPr>
      </w:pPr>
      <w:r>
        <w:rPr>
          <w:rFonts w:hint="eastAsia" w:ascii="宋体" w:hAnsi="宋体" w:eastAsia="宋体" w:cs="仿宋_GB2312"/>
          <w:b/>
          <w:bCs/>
          <w:sz w:val="24"/>
          <w:szCs w:val="32"/>
          <w:highlight w:val="none"/>
        </w:rPr>
        <w:t>10.技术指标要求</w:t>
      </w:r>
    </w:p>
    <w:p w14:paraId="138F26D4">
      <w:pPr>
        <w:spacing w:line="360" w:lineRule="auto"/>
        <w:ind w:firstLine="480" w:firstLineChars="200"/>
        <w:rPr>
          <w:rFonts w:ascii="宋体" w:hAnsi="宋体" w:eastAsia="宋体" w:cs="仿宋_GB2312"/>
          <w:sz w:val="24"/>
          <w:highlight w:val="none"/>
        </w:rPr>
      </w:pPr>
      <w:r>
        <w:rPr>
          <w:rFonts w:hint="eastAsia" w:ascii="宋体" w:hAnsi="宋体" w:eastAsia="宋体" w:cs="仿宋_GB2312"/>
          <w:sz w:val="24"/>
          <w:highlight w:val="none"/>
        </w:rPr>
        <w:t>10.1云平台运行技术指标应符合国家法规、标准，云平台可用性不低于99.99%，数据可靠性不低于 99.9999%。</w:t>
      </w:r>
    </w:p>
    <w:p w14:paraId="27D71CB7">
      <w:pPr>
        <w:spacing w:line="360" w:lineRule="auto"/>
        <w:ind w:firstLine="480" w:firstLineChars="200"/>
        <w:rPr>
          <w:rFonts w:ascii="宋体" w:hAnsi="宋体" w:eastAsia="宋体" w:cs="仿宋_GB2312"/>
          <w:sz w:val="24"/>
          <w:highlight w:val="none"/>
        </w:rPr>
      </w:pPr>
      <w:r>
        <w:rPr>
          <w:rFonts w:hint="eastAsia" w:ascii="宋体" w:hAnsi="宋体" w:eastAsia="宋体" w:cs="仿宋_GB2312"/>
          <w:sz w:val="24"/>
          <w:highlight w:val="none"/>
        </w:rPr>
        <w:t>10.2 云平台具备高可用和动态迁移功能，发生物理设备故障后，虚拟机可以自动迁移到其他可用资源上运行，确保业务系统不受物理设备故障影响。</w:t>
      </w:r>
    </w:p>
    <w:p w14:paraId="6D16CDB3">
      <w:pPr>
        <w:spacing w:line="360" w:lineRule="auto"/>
        <w:ind w:firstLine="480" w:firstLineChars="200"/>
        <w:rPr>
          <w:rFonts w:ascii="宋体" w:hAnsi="宋体" w:eastAsia="宋体" w:cs="仿宋_GB2312"/>
          <w:sz w:val="24"/>
          <w:highlight w:val="none"/>
        </w:rPr>
      </w:pPr>
      <w:r>
        <w:rPr>
          <w:rFonts w:hint="eastAsia" w:ascii="宋体" w:hAnsi="宋体" w:eastAsia="宋体" w:cs="仿宋_GB2312"/>
          <w:sz w:val="24"/>
          <w:highlight w:val="none"/>
        </w:rPr>
        <w:t>10.3 云平台支持对虚拟机CPU、内存、存储、带宽进行实时监控，并支持自定义告警规则。</w:t>
      </w:r>
    </w:p>
    <w:p w14:paraId="3B3A752E">
      <w:pPr>
        <w:spacing w:line="360" w:lineRule="auto"/>
        <w:ind w:firstLine="480" w:firstLineChars="200"/>
        <w:rPr>
          <w:rFonts w:ascii="宋体" w:hAnsi="宋体" w:eastAsia="宋体" w:cs="仿宋_GB2312"/>
          <w:sz w:val="24"/>
          <w:highlight w:val="none"/>
        </w:rPr>
      </w:pPr>
      <w:r>
        <w:rPr>
          <w:rFonts w:hint="eastAsia" w:ascii="宋体" w:hAnsi="宋体" w:eastAsia="宋体" w:cs="仿宋_GB2312"/>
          <w:sz w:val="24"/>
          <w:highlight w:val="none"/>
        </w:rPr>
        <w:t>10.4 云平台提供备份/快照功能，能对云平台中的物理和虚拟服务器进行备份，防止存储故障导致数据丢失。</w:t>
      </w:r>
    </w:p>
    <w:p w14:paraId="0653DD0F">
      <w:pPr>
        <w:spacing w:line="360" w:lineRule="auto"/>
        <w:ind w:firstLine="480" w:firstLineChars="200"/>
        <w:rPr>
          <w:rFonts w:ascii="宋体" w:hAnsi="宋体" w:eastAsia="宋体" w:cs="仿宋_GB2312"/>
          <w:sz w:val="24"/>
          <w:highlight w:val="none"/>
        </w:rPr>
      </w:pPr>
      <w:r>
        <w:rPr>
          <w:rFonts w:hint="eastAsia" w:ascii="宋体" w:hAnsi="宋体" w:eastAsia="宋体" w:cs="仿宋_GB2312"/>
          <w:sz w:val="24"/>
          <w:highlight w:val="none"/>
        </w:rPr>
        <w:t>10.5 云管平台支持图形化管理，支持自动生成资源使用的数据报表。</w:t>
      </w:r>
    </w:p>
    <w:p w14:paraId="30BE9EF1">
      <w:pPr>
        <w:spacing w:line="360" w:lineRule="auto"/>
        <w:ind w:firstLine="480" w:firstLineChars="200"/>
        <w:rPr>
          <w:rFonts w:ascii="宋体" w:hAnsi="宋体" w:eastAsia="宋体" w:cs="仿宋_GB2312"/>
          <w:sz w:val="24"/>
          <w:highlight w:val="none"/>
        </w:rPr>
      </w:pPr>
      <w:r>
        <w:rPr>
          <w:rFonts w:hint="eastAsia" w:ascii="宋体" w:hAnsi="宋体" w:eastAsia="宋体" w:cs="仿宋_GB2312"/>
          <w:sz w:val="24"/>
          <w:highlight w:val="none"/>
        </w:rPr>
        <w:t>10.6 需具备独立的监控平台，可供采购人自行查看本项目中的主机运行情况。</w:t>
      </w:r>
    </w:p>
    <w:p w14:paraId="3530D973">
      <w:pPr>
        <w:spacing w:line="360" w:lineRule="auto"/>
        <w:ind w:firstLine="480" w:firstLineChars="200"/>
        <w:rPr>
          <w:rFonts w:hint="eastAsia" w:ascii="宋体" w:hAnsi="宋体" w:eastAsia="宋体" w:cs="仿宋_GB2312"/>
          <w:sz w:val="24"/>
          <w:highlight w:val="none"/>
        </w:rPr>
      </w:pPr>
      <w:r>
        <w:rPr>
          <w:rFonts w:hint="eastAsia" w:ascii="宋体" w:hAnsi="宋体" w:eastAsia="宋体" w:cs="仿宋_GB2312"/>
          <w:sz w:val="24"/>
          <w:highlight w:val="none"/>
        </w:rPr>
        <w:t>10.</w:t>
      </w:r>
      <w:r>
        <w:rPr>
          <w:rFonts w:ascii="宋体" w:hAnsi="宋体" w:eastAsia="宋体" w:cs="仿宋_GB2312"/>
          <w:sz w:val="24"/>
          <w:highlight w:val="none"/>
        </w:rPr>
        <w:t xml:space="preserve">7 </w:t>
      </w:r>
      <w:r>
        <w:rPr>
          <w:rFonts w:hint="eastAsia" w:ascii="宋体" w:hAnsi="宋体" w:eastAsia="宋体" w:cs="仿宋_GB2312"/>
          <w:sz w:val="24"/>
          <w:highlight w:val="none"/>
        </w:rPr>
        <w:t>云平台应</w:t>
      </w:r>
      <w:r>
        <w:rPr>
          <w:rFonts w:ascii="宋体" w:hAnsi="宋体" w:eastAsia="宋体" w:cs="仿宋_GB2312"/>
          <w:sz w:val="24"/>
          <w:highlight w:val="none"/>
        </w:rPr>
        <w:t>具备</w:t>
      </w:r>
      <w:r>
        <w:rPr>
          <w:rFonts w:hint="eastAsia" w:ascii="宋体" w:hAnsi="宋体" w:eastAsia="宋体" w:cs="仿宋_GB2312"/>
          <w:sz w:val="24"/>
          <w:highlight w:val="none"/>
        </w:rPr>
        <w:t>为计算单元提供授时时钟源的</w:t>
      </w:r>
      <w:r>
        <w:rPr>
          <w:rFonts w:ascii="宋体" w:hAnsi="宋体" w:eastAsia="宋体" w:cs="仿宋_GB2312"/>
          <w:sz w:val="24"/>
          <w:highlight w:val="none"/>
        </w:rPr>
        <w:t>能力。</w:t>
      </w:r>
    </w:p>
    <w:p w14:paraId="6209FA38">
      <w:pPr>
        <w:keepNext/>
        <w:keepLines/>
        <w:spacing w:before="260" w:after="260" w:line="416" w:lineRule="auto"/>
        <w:outlineLvl w:val="2"/>
        <w:rPr>
          <w:rFonts w:ascii="宋体" w:hAnsi="宋体" w:eastAsia="宋体" w:cs="仿宋_GB2312"/>
          <w:b/>
          <w:bCs/>
          <w:sz w:val="24"/>
          <w:szCs w:val="32"/>
          <w:highlight w:val="none"/>
        </w:rPr>
      </w:pPr>
      <w:r>
        <w:rPr>
          <w:rFonts w:hint="eastAsia" w:ascii="宋体" w:hAnsi="宋体" w:eastAsia="宋体" w:cs="仿宋_GB2312"/>
          <w:b/>
          <w:bCs/>
          <w:sz w:val="24"/>
          <w:szCs w:val="32"/>
          <w:highlight w:val="none"/>
        </w:rPr>
        <w:t>11 业务连续性要求</w:t>
      </w:r>
    </w:p>
    <w:p w14:paraId="52D58D38">
      <w:pPr>
        <w:spacing w:before="60" w:after="60"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本项目涉及的业务系统为采购人在用的生产系统，目前在北京市政务云上平稳运行，服务期内可能涉及系统迁移，因此业务连续性是首要的保障需求。</w:t>
      </w:r>
    </w:p>
    <w:p w14:paraId="0E420680">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具体要求如下：</w:t>
      </w:r>
    </w:p>
    <w:p w14:paraId="0B8C105F">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1. 投标人编制业务连续性服务方案。</w:t>
      </w:r>
    </w:p>
    <w:p w14:paraId="193EABC1">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2. 本项目如涉及系统迁移，在迁移服务保障方案中还需提供迁移部署流程、迁移部署保障、迁移部署工具，合理规划，科学组织。迁移部署服务子方案应包括（但不限于）政务云资源配置、应用迁移、数据迁移、测试验证、业务割接、风险评估、迁移期间安全保障、迁移期间应急保障、迁移期间运维保障等内容。迁移部署服务子方案应明确需要采购人配合的具体工作内容及时长（如迁移窗口规划、业务系统及数据完整性验证等），针对系统迁移过程中容易造成业务系统中断的环节，包含但不限于互联网及政务外网IP变更割接、语音专线业务割接、业务数据同步及切换上线、功能业务验证及回退等，进行风险评估，提出详细解决方案，并承诺自合同生效之日起，积极与原服务商对接，保证现有业务系统在不中断业务的情况下平滑迁移至中标人云平台，并且不能改变和影响北京市药品监督管理局原有系统的功能、技术状态以及用户的使用习惯。</w:t>
      </w:r>
    </w:p>
    <w:p w14:paraId="44653247">
      <w:pPr>
        <w:spacing w:line="360" w:lineRule="auto"/>
        <w:ind w:firstLine="420"/>
        <w:rPr>
          <w:rFonts w:ascii="Times New Roman" w:hAnsi="Times New Roman" w:eastAsia="宋体" w:cs="Times New Roman"/>
          <w:highlight w:val="none"/>
        </w:rPr>
      </w:pPr>
      <w:r>
        <w:rPr>
          <w:rFonts w:hint="eastAsia" w:ascii="宋体" w:hAnsi="宋体" w:eastAsia="宋体" w:cs="仿宋_GB2312"/>
          <w:sz w:val="24"/>
          <w:highlight w:val="none"/>
        </w:rPr>
        <w:t>★3. 本项目如涉及系统迁移，针对已经运行在政务云平台上的应用系统，为确保迁移过程中数据不丢失、系统业务不中断，投标人负责与原政务云平台的服务商进行主动对接，投标人需承诺系统迁移涉及的所有费用（包括但不限于中标人迁移测试阶段的云资源费用，第三方对业务系统的部署、调试费用等）由投标人承担，在投标人的报价中，提供“承诺函”并加盖投标人公章。</w:t>
      </w:r>
    </w:p>
    <w:p w14:paraId="52487241">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云安全评估：投标人需提供所投云平台通过中共中央网络安全和信息化委员会办公室或国家互联网信息办公室云计算服务安全评估证明材料，通过云计算服务安全评估的云服务商的公司名称必须与投标人名称一致，提供材料并且在评估有效期内。</w:t>
      </w:r>
    </w:p>
    <w:p w14:paraId="0EC483F7">
      <w:pPr>
        <w:keepNext/>
        <w:keepLines/>
        <w:tabs>
          <w:tab w:val="left" w:pos="515"/>
        </w:tabs>
        <w:spacing w:before="260" w:after="260" w:line="416" w:lineRule="auto"/>
        <w:outlineLvl w:val="1"/>
        <w:rPr>
          <w:rFonts w:ascii="等线 Light" w:hAnsi="等线 Light" w:eastAsia="等线 Light" w:cs="Times New Roman"/>
          <w:bCs/>
          <w:sz w:val="24"/>
          <w:szCs w:val="32"/>
          <w:highlight w:val="none"/>
        </w:rPr>
      </w:pPr>
      <w:r>
        <w:rPr>
          <w:rFonts w:hint="eastAsia" w:ascii="等线 Light" w:hAnsi="等线 Light" w:eastAsia="等线 Light" w:cs="Times New Roman"/>
          <w:bCs/>
          <w:sz w:val="24"/>
          <w:szCs w:val="32"/>
          <w:highlight w:val="none"/>
        </w:rPr>
        <w:t>12.</w:t>
      </w:r>
      <w:r>
        <w:rPr>
          <w:rFonts w:hint="eastAsia" w:ascii="等线 Light" w:hAnsi="等线 Light" w:eastAsia="等线 Light" w:cs="Times New Roman"/>
          <w:bCs/>
          <w:sz w:val="24"/>
          <w:szCs w:val="32"/>
          <w:highlight w:val="none"/>
        </w:rPr>
        <w:tab/>
      </w:r>
      <w:r>
        <w:rPr>
          <w:rFonts w:hint="eastAsia" w:ascii="等线 Light" w:hAnsi="等线 Light" w:eastAsia="等线 Light" w:cs="Times New Roman"/>
          <w:bCs/>
          <w:sz w:val="24"/>
          <w:szCs w:val="32"/>
          <w:highlight w:val="none"/>
        </w:rPr>
        <w:t>服务团队要求</w:t>
      </w:r>
    </w:p>
    <w:p w14:paraId="2A7F2DCD">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投标人须根据项目要求安排具备相应资质和经验的专业人员从事本项目工作，提供不少于</w:t>
      </w:r>
      <w:r>
        <w:rPr>
          <w:rFonts w:ascii="宋体" w:hAnsi="宋体" w:eastAsia="宋体" w:cs="仿宋_GB2312"/>
          <w:sz w:val="24"/>
          <w:highlight w:val="none"/>
        </w:rPr>
        <w:t>10</w:t>
      </w:r>
      <w:r>
        <w:rPr>
          <w:rFonts w:hint="eastAsia" w:ascii="宋体" w:hAnsi="宋体" w:eastAsia="宋体" w:cs="仿宋_GB2312"/>
          <w:sz w:val="24"/>
          <w:highlight w:val="none"/>
        </w:rPr>
        <w:t>人的服务团队，须确保项目实施队伍的稳定，提供本地化服务。投标人需提供项目团队组织架构、成员名单、成员职责，保证担任重要岗位的人员具备相应专业资质。所有人员需提供在职证明。</w:t>
      </w:r>
    </w:p>
    <w:p w14:paraId="271B39BD">
      <w:pPr>
        <w:spacing w:line="360" w:lineRule="auto"/>
        <w:ind w:firstLine="420"/>
        <w:rPr>
          <w:rFonts w:ascii="宋体" w:hAnsi="宋体" w:eastAsia="宋体" w:cs="仿宋_GB2312"/>
          <w:sz w:val="24"/>
          <w:highlight w:val="none"/>
        </w:rPr>
      </w:pPr>
      <w:r>
        <w:rPr>
          <w:rFonts w:hint="eastAsia" w:ascii="宋体" w:hAnsi="宋体" w:eastAsia="宋体" w:cs="仿宋_GB2312"/>
          <w:sz w:val="24"/>
          <w:highlight w:val="none"/>
        </w:rPr>
        <w:t>1. 项目经理1名，具有10年及以上项目管理工作经验，具有信息系统项目管理师（高级）证书、信息安全保障人员认证证书（应急服务专业级及以上）、信息安全保障人员认证证书（安全运维专业级及以上）、国家重要信息系统保护人员证书（CIIPT-A或CIIPT-D）。</w:t>
      </w:r>
    </w:p>
    <w:p w14:paraId="5F3C5F4C">
      <w:pPr>
        <w:spacing w:line="360" w:lineRule="auto"/>
        <w:ind w:firstLine="420"/>
        <w:rPr>
          <w:rFonts w:hint="eastAsia" w:ascii="宋体" w:hAnsi="宋体" w:eastAsia="宋体" w:cs="仿宋_GB2312"/>
          <w:sz w:val="24"/>
          <w:highlight w:val="none"/>
        </w:rPr>
      </w:pPr>
      <w:r>
        <w:rPr>
          <w:rFonts w:hint="eastAsia" w:ascii="宋体" w:hAnsi="宋体" w:eastAsia="宋体" w:cs="仿宋_GB2312"/>
          <w:sz w:val="24"/>
          <w:highlight w:val="none"/>
        </w:rPr>
        <w:t>2. 技术负责人1名，具有10年及以上技术管理工作经验，具有信息安全保障人员认证证书（安全集成专业级及以上）、信息安全保障人员认证证书（应急服务专业级及以上）。</w:t>
      </w:r>
    </w:p>
    <w:p w14:paraId="76E54F46">
      <w:pPr>
        <w:spacing w:line="360" w:lineRule="auto"/>
        <w:ind w:firstLine="420"/>
        <w:rPr>
          <w:rFonts w:hint="eastAsia" w:ascii="宋体" w:hAnsi="宋体" w:eastAsia="宋体" w:cs="仿宋_GB2312"/>
          <w:sz w:val="24"/>
          <w:highlight w:val="none"/>
        </w:rPr>
      </w:pPr>
      <w:r>
        <w:rPr>
          <w:rFonts w:hint="eastAsia" w:ascii="宋体" w:hAnsi="宋体" w:eastAsia="宋体" w:cs="仿宋_GB2312"/>
          <w:sz w:val="24"/>
          <w:highlight w:val="none"/>
        </w:rPr>
        <w:t>3. 项目团队成员不少于8人，团队中至少包括以下不同的技术人员（不包含项目经理和技术负责人）并取得有关技术资格认定证书：系统架构设计师（高级）、系统规划与管理师（高级）证书、系统分析师（高级）证书、网络规划设计师（高级）证书、数据库系统工程师（中级）证书。</w:t>
      </w:r>
    </w:p>
    <w:p w14:paraId="136C6C18">
      <w:pPr>
        <w:keepNext/>
        <w:keepLines/>
        <w:spacing w:before="260" w:after="260" w:line="416" w:lineRule="auto"/>
        <w:ind w:firstLine="480" w:firstLineChars="200"/>
        <w:outlineLvl w:val="1"/>
        <w:rPr>
          <w:rFonts w:ascii="等线 Light" w:hAnsi="等线 Light" w:eastAsia="等线 Light" w:cs="Times New Roman"/>
          <w:bCs/>
          <w:sz w:val="24"/>
          <w:szCs w:val="32"/>
          <w:highlight w:val="none"/>
        </w:rPr>
      </w:pPr>
      <w:r>
        <w:rPr>
          <w:rFonts w:hint="eastAsia" w:ascii="等线 Light" w:hAnsi="等线 Light" w:eastAsia="等线 Light" w:cs="Times New Roman"/>
          <w:bCs/>
          <w:sz w:val="24"/>
          <w:szCs w:val="32"/>
          <w:highlight w:val="none"/>
        </w:rPr>
        <w:t>13验收服务要求</w:t>
      </w:r>
    </w:p>
    <w:p w14:paraId="59DD96A7">
      <w:pPr>
        <w:spacing w:line="360" w:lineRule="auto"/>
        <w:ind w:firstLine="420"/>
        <w:rPr>
          <w:rFonts w:hint="eastAsia" w:ascii="宋体" w:hAnsi="宋体" w:eastAsia="宋体" w:cs="仿宋_GB2312"/>
          <w:sz w:val="24"/>
          <w:highlight w:val="none"/>
        </w:rPr>
      </w:pPr>
      <w:r>
        <w:rPr>
          <w:rFonts w:hint="eastAsia" w:ascii="宋体" w:hAnsi="宋体" w:eastAsia="宋体" w:cs="仿宋_GB2312"/>
          <w:sz w:val="24"/>
          <w:highlight w:val="none"/>
        </w:rPr>
        <w:t>服务期届满，中标人按照采购人要求完成所有项目，各项记录、报告等文档齐全，无任何系统遗留问题，并通过由采购人组织的专家验收评审，方可通过验收。</w:t>
      </w:r>
    </w:p>
    <w:p w14:paraId="6DCBA118">
      <w:pPr>
        <w:adjustRightInd/>
        <w:spacing w:line="360" w:lineRule="auto"/>
        <w:ind w:firstLine="420"/>
        <w:jc w:val="left"/>
        <w:textAlignment w:val="auto"/>
        <w:rPr>
          <w:rFonts w:hint="eastAsia" w:ascii="Times New Roman" w:hAnsi="Times New Roman" w:eastAsia="宋体" w:cs="Times New Roman"/>
          <w:b/>
          <w:sz w:val="24"/>
          <w:highlight w:val="none"/>
        </w:rPr>
      </w:pPr>
    </w:p>
    <w:p w14:paraId="733244A0">
      <w:pPr>
        <w:rPr>
          <w:rFonts w:ascii="Times New Roman" w:hAnsi="Times New Roman" w:eastAsia="宋体" w:cs="Times New Roman"/>
          <w:highlight w:val="none"/>
        </w:rPr>
      </w:pPr>
    </w:p>
    <w:p w14:paraId="78071C7B">
      <w:pPr>
        <w:spacing w:line="360" w:lineRule="auto"/>
        <w:contextualSpacing/>
        <w:rPr>
          <w:rFonts w:hint="eastAsia" w:ascii="Times New Roman" w:hAnsi="Times New Roman" w:eastAsia="宋体" w:cs="Times New Roman"/>
          <w:sz w:val="24"/>
          <w:highlight w:val="none"/>
        </w:rPr>
      </w:pPr>
    </w:p>
    <w:p w14:paraId="034F019E">
      <w:pPr>
        <w:spacing w:line="360" w:lineRule="auto"/>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14.政策性采购需求</w:t>
      </w:r>
    </w:p>
    <w:p w14:paraId="677AC954">
      <w:r>
        <w:rPr>
          <w:rFonts w:hint="eastAsia" w:ascii="Times New Roman" w:hAnsi="Times New Roman" w:eastAsia="宋体" w:cs="Times New Roman"/>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F5807"/>
    <w:multiLevelType w:val="singleLevel"/>
    <w:tmpl w:val="FDDF5807"/>
    <w:lvl w:ilvl="0" w:tentative="0">
      <w:start w:val="9"/>
      <w:numFmt w:val="decimal"/>
      <w:lvlText w:val="%1."/>
      <w:lvlJc w:val="left"/>
      <w:pPr>
        <w:tabs>
          <w:tab w:val="left" w:pos="312"/>
        </w:tabs>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5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2026-04-01T07:33:49Z</dcterms:created>
  <dc:creator>user</dc:creator>
  <cp:lastModifiedBy>HJT</cp:lastModifiedBy>
  <dcterms:modified xsi:type="dcterms:W3CDTF">2026-04-01T07:34:03Z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49F30ACB4F71479C89E17CF790B13C6A_12</vt:lpwstr>
  </property>
</Properties>
</file>