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E2595">
      <w:pPr>
        <w:shd w:val="clear" w:color="auto" w:fill="auto"/>
        <w:spacing w:line="360" w:lineRule="auto"/>
        <w:jc w:val="center"/>
        <w:outlineLvl w:val="0"/>
        <w:rPr>
          <w:b/>
          <w:sz w:val="36"/>
          <w:szCs w:val="36"/>
        </w:rPr>
      </w:pPr>
      <w:r>
        <w:rPr>
          <w:b/>
          <w:sz w:val="36"/>
          <w:szCs w:val="36"/>
        </w:rPr>
        <w:t>采购需求</w:t>
      </w:r>
    </w:p>
    <w:p w14:paraId="187439F6">
      <w:pPr>
        <w:shd w:val="clear" w:color="auto" w:fill="auto"/>
      </w:pPr>
    </w:p>
    <w:p w14:paraId="255A07C4">
      <w:pPr>
        <w:keepNext/>
        <w:keepLines/>
        <w:widowControl w:val="0"/>
        <w:shd w:val="clear" w:color="auto" w:fill="auto"/>
        <w:autoSpaceDE w:val="0"/>
        <w:autoSpaceDN w:val="0"/>
        <w:bidi w:val="0"/>
        <w:adjustRightInd w:val="0"/>
        <w:spacing w:before="240" w:after="120" w:line="300" w:lineRule="auto"/>
        <w:jc w:val="center"/>
        <w:outlineLvl w:val="0"/>
        <w:rPr>
          <w:rFonts w:hint="default" w:ascii="宋体" w:hAnsi="Times New Roman" w:eastAsia="宋体" w:cs="Times New Roman"/>
          <w:b/>
          <w:kern w:val="44"/>
          <w:sz w:val="32"/>
          <w:szCs w:val="20"/>
          <w:lang w:val="en-US" w:eastAsia="zh-CN" w:bidi="ar-SA"/>
        </w:rPr>
      </w:pPr>
      <w:r>
        <w:rPr>
          <w:rFonts w:hint="eastAsia" w:ascii="宋体" w:hAnsi="Times New Roman" w:eastAsia="宋体" w:cs="Times New Roman"/>
          <w:b/>
          <w:kern w:val="44"/>
          <w:sz w:val="32"/>
          <w:szCs w:val="20"/>
          <w:lang w:val="en-US" w:eastAsia="zh-CN" w:bidi="ar-SA"/>
        </w:rPr>
        <w:t>第一包</w:t>
      </w:r>
    </w:p>
    <w:p w14:paraId="67DCD5BF">
      <w:pPr>
        <w:keepNext/>
        <w:keepLines/>
        <w:widowControl w:val="0"/>
        <w:numPr>
          <w:ilvl w:val="0"/>
          <w:numId w:val="0"/>
        </w:numPr>
        <w:shd w:val="clear" w:color="auto" w:fill="auto"/>
        <w:bidi w:val="0"/>
        <w:spacing w:before="260" w:after="260" w:line="416" w:lineRule="atLeast"/>
        <w:ind w:left="500" w:leftChars="0" w:hanging="500" w:firstLineChars="0"/>
        <w:jc w:val="left"/>
        <w:outlineLvl w:val="1"/>
        <w:rPr>
          <w:rFonts w:ascii="Arial" w:hAnsi="Arial" w:eastAsia="黑体" w:cs="Times New Roman"/>
          <w:b/>
          <w:bCs/>
          <w:kern w:val="2"/>
          <w:sz w:val="32"/>
          <w:szCs w:val="32"/>
          <w:lang w:val="en-US" w:eastAsia="zh-CN" w:bidi="ar-SA"/>
        </w:rPr>
      </w:pPr>
      <w:bookmarkStart w:id="0" w:name="_Toc22993"/>
      <w:r>
        <w:rPr>
          <w:rFonts w:hint="default" w:ascii="Arial" w:hAnsi="Arial" w:eastAsia="黑体" w:cs="Times New Roman"/>
          <w:b/>
          <w:bCs/>
          <w:kern w:val="2"/>
          <w:sz w:val="32"/>
          <w:szCs w:val="32"/>
          <w:lang w:val="en-US" w:eastAsia="zh-CN" w:bidi="ar-SA"/>
        </w:rPr>
        <w:t>一、</w:t>
      </w:r>
      <w:r>
        <w:rPr>
          <w:rFonts w:ascii="Arial" w:hAnsi="Arial" w:eastAsia="黑体" w:cs="Times New Roman"/>
          <w:b/>
          <w:bCs/>
          <w:kern w:val="2"/>
          <w:sz w:val="32"/>
          <w:szCs w:val="32"/>
          <w:lang w:val="en-US" w:eastAsia="zh-CN" w:bidi="ar-SA"/>
        </w:rPr>
        <w:t>采购标的</w:t>
      </w:r>
    </w:p>
    <w:p w14:paraId="0449A5B7">
      <w:pPr>
        <w:shd w:val="clear" w:color="auto" w:fill="auto"/>
        <w:spacing w:line="360" w:lineRule="auto"/>
        <w:contextualSpacing/>
        <w:rPr>
          <w:rFonts w:ascii="Times New Roman" w:hAnsi="Times New Roman" w:eastAsia="宋体" w:cs="Times New Roman"/>
          <w:bCs/>
          <w:sz w:val="24"/>
        </w:rPr>
      </w:pPr>
      <w:r>
        <w:rPr>
          <w:rFonts w:ascii="Times New Roman" w:hAnsi="Times New Roman" w:eastAsia="宋体" w:cs="Times New Roman"/>
          <w:bCs/>
          <w:sz w:val="24"/>
        </w:rPr>
        <w:t>1. 采购标的</w:t>
      </w:r>
    </w:p>
    <w:p w14:paraId="7A91D569">
      <w:pPr>
        <w:shd w:val="clear" w:color="auto" w:fill="auto"/>
        <w:spacing w:line="360" w:lineRule="auto"/>
        <w:contextualSpacing/>
        <w:rPr>
          <w:rFonts w:ascii="Times New Roman" w:hAnsi="Times New Roman" w:eastAsia="宋体" w:cs="Times New Roman"/>
          <w:bCs/>
          <w:sz w:val="24"/>
        </w:rPr>
      </w:pPr>
      <w:r>
        <w:rPr>
          <w:rFonts w:ascii="Times New Roman" w:hAnsi="Times New Roman" w:eastAsia="宋体" w:cs="Times New Roman"/>
          <w:bCs/>
          <w:sz w:val="24"/>
        </w:rPr>
        <w:t>说明：如为货物采购，须标明是否接受进口产品</w:t>
      </w:r>
      <w:r>
        <w:rPr>
          <w:rFonts w:hint="eastAsia" w:ascii="Times New Roman" w:hAnsi="Times New Roman" w:eastAsia="宋体" w:cs="Times New Roman"/>
          <w:bCs/>
          <w:sz w:val="24"/>
        </w:rPr>
        <w:t>，表明核心产品</w:t>
      </w:r>
      <w:r>
        <w:rPr>
          <w:rFonts w:ascii="Times New Roman" w:hAnsi="Times New Roman" w:eastAsia="宋体" w:cs="Times New Roman"/>
          <w:bCs/>
          <w:sz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487"/>
        <w:gridCol w:w="1458"/>
        <w:gridCol w:w="922"/>
        <w:gridCol w:w="2889"/>
      </w:tblGrid>
      <w:tr w14:paraId="5E9F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7B2DE810">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包号</w:t>
            </w:r>
          </w:p>
        </w:tc>
        <w:tc>
          <w:tcPr>
            <w:tcW w:w="2487" w:type="dxa"/>
            <w:noWrap w:val="0"/>
            <w:vAlign w:val="center"/>
          </w:tcPr>
          <w:p w14:paraId="5F5128A7">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标的名称</w:t>
            </w:r>
          </w:p>
        </w:tc>
        <w:tc>
          <w:tcPr>
            <w:tcW w:w="1458" w:type="dxa"/>
            <w:noWrap w:val="0"/>
            <w:vAlign w:val="center"/>
          </w:tcPr>
          <w:p w14:paraId="0749E0FA">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采购包</w:t>
            </w:r>
          </w:p>
          <w:p w14:paraId="29A80A04">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预算金额</w:t>
            </w:r>
          </w:p>
          <w:p w14:paraId="5835AB90">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（万元）</w:t>
            </w:r>
          </w:p>
        </w:tc>
        <w:tc>
          <w:tcPr>
            <w:tcW w:w="922" w:type="dxa"/>
            <w:noWrap w:val="0"/>
            <w:vAlign w:val="center"/>
          </w:tcPr>
          <w:p w14:paraId="34C06E3D">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数量</w:t>
            </w:r>
          </w:p>
        </w:tc>
        <w:tc>
          <w:tcPr>
            <w:tcW w:w="2889" w:type="dxa"/>
            <w:noWrap w:val="0"/>
            <w:vAlign w:val="center"/>
          </w:tcPr>
          <w:p w14:paraId="1E57B658">
            <w:pPr>
              <w:shd w:val="clear" w:color="auto" w:fill="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分项最高限价</w:t>
            </w:r>
          </w:p>
        </w:tc>
      </w:tr>
      <w:tr w14:paraId="5F49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25F64AC7">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2487" w:type="dxa"/>
            <w:noWrap w:val="0"/>
            <w:vAlign w:val="center"/>
          </w:tcPr>
          <w:p w14:paraId="67CA3422">
            <w:pPr>
              <w:shd w:val="clear" w:color="auto" w:fill="auto"/>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sz w:val="24"/>
              </w:rPr>
              <w:t>2026年北京市政务领域大模型应用服务支撑项目</w:t>
            </w:r>
            <w:r>
              <w:rPr>
                <w:rFonts w:hint="default" w:ascii="Times New Roman" w:hAnsi="Times New Roman" w:eastAsia="宋体" w:cs="Times New Roman"/>
                <w:sz w:val="24"/>
                <w:lang w:val="en-US"/>
              </w:rPr>
              <w:t>-</w:t>
            </w:r>
            <w:r>
              <w:rPr>
                <w:rFonts w:hint="eastAsia" w:ascii="Times New Roman" w:hAnsi="Times New Roman" w:eastAsia="宋体" w:cs="Times New Roman"/>
                <w:sz w:val="24"/>
                <w:lang w:val="en-US" w:eastAsia="zh-CN"/>
              </w:rPr>
              <w:t>第一包 政务大模型共性基础平台运营服务</w:t>
            </w:r>
          </w:p>
        </w:tc>
        <w:tc>
          <w:tcPr>
            <w:tcW w:w="1458" w:type="dxa"/>
            <w:noWrap w:val="0"/>
            <w:vAlign w:val="center"/>
          </w:tcPr>
          <w:p w14:paraId="671FA12B">
            <w:pPr>
              <w:shd w:val="clear" w:color="auto" w:fill="auto"/>
              <w:jc w:val="center"/>
              <w:rPr>
                <w:rFonts w:hint="default" w:ascii="Times New Roman" w:hAnsi="Times New Roman" w:eastAsia="宋体" w:cs="Times New Roman"/>
                <w:bCs/>
                <w:szCs w:val="21"/>
                <w:highlight w:val="none"/>
                <w:lang w:val="en-US" w:eastAsia="zh-CN"/>
              </w:rPr>
            </w:pPr>
            <w:r>
              <w:rPr>
                <w:rFonts w:hint="eastAsia" w:ascii="宋体" w:hAnsi="宋体" w:eastAsia="宋体" w:cs="Times New Roman"/>
                <w:sz w:val="24"/>
                <w:highlight w:val="none"/>
                <w:lang w:val="en-US" w:eastAsia="zh-CN"/>
              </w:rPr>
              <w:t>393.13</w:t>
            </w:r>
          </w:p>
        </w:tc>
        <w:tc>
          <w:tcPr>
            <w:tcW w:w="922" w:type="dxa"/>
            <w:noWrap w:val="0"/>
            <w:vAlign w:val="center"/>
          </w:tcPr>
          <w:p w14:paraId="7D32B593">
            <w:pPr>
              <w:shd w:val="clear" w:color="auto" w:fill="auto"/>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889" w:type="dxa"/>
            <w:noWrap w:val="0"/>
            <w:vAlign w:val="center"/>
          </w:tcPr>
          <w:p w14:paraId="765CEC24">
            <w:pPr>
              <w:shd w:val="clear" w:color="auto" w:fill="auto"/>
              <w:jc w:val="left"/>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1、</w:t>
            </w:r>
            <w:r>
              <w:rPr>
                <w:rFonts w:hint="eastAsia" w:ascii="Times New Roman" w:hAnsi="Times New Roman" w:eastAsia="宋体" w:cs="Times New Roman"/>
                <w:kern w:val="0"/>
                <w:szCs w:val="21"/>
                <w:highlight w:val="none"/>
              </w:rPr>
              <w:t>共性基础平台软件租用服务</w:t>
            </w:r>
            <w:r>
              <w:rPr>
                <w:rFonts w:hint="eastAsia" w:ascii="Times New Roman" w:hAnsi="Times New Roman" w:eastAsia="宋体" w:cs="Times New Roman"/>
                <w:kern w:val="0"/>
                <w:szCs w:val="21"/>
                <w:highlight w:val="none"/>
                <w:lang w:val="en-US" w:eastAsia="zh-CN"/>
              </w:rPr>
              <w:t>最高限价：231.8万元</w:t>
            </w:r>
          </w:p>
          <w:p w14:paraId="20577592">
            <w:pPr>
              <w:shd w:val="clear" w:color="auto" w:fill="auto"/>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kern w:val="0"/>
                <w:sz w:val="21"/>
                <w:szCs w:val="21"/>
                <w:highlight w:val="none"/>
                <w:lang w:val="en-US" w:eastAsia="zh-CN" w:bidi="ar-SA"/>
              </w:rPr>
              <w:t>2、一站式运营团队服务最高限价：161.33万元</w:t>
            </w:r>
          </w:p>
        </w:tc>
      </w:tr>
    </w:tbl>
    <w:p w14:paraId="3BFA3F31">
      <w:pPr>
        <w:shd w:val="clear" w:color="auto" w:fill="auto"/>
        <w:spacing w:line="360" w:lineRule="auto"/>
        <w:contextualSpacing/>
        <w:rPr>
          <w:rFonts w:ascii="Times New Roman" w:hAnsi="Times New Roman" w:eastAsia="宋体" w:cs="Times New Roman"/>
          <w:bCs/>
          <w:sz w:val="24"/>
        </w:rPr>
      </w:pPr>
    </w:p>
    <w:p w14:paraId="1EC4A962">
      <w:pPr>
        <w:shd w:val="clear" w:color="auto" w:fill="auto"/>
        <w:spacing w:line="360" w:lineRule="auto"/>
        <w:contextualSpacing/>
        <w:rPr>
          <w:rFonts w:ascii="Times New Roman" w:hAnsi="Times New Roman" w:eastAsia="宋体" w:cs="Times New Roman"/>
          <w:bCs/>
          <w:sz w:val="24"/>
        </w:rPr>
      </w:pPr>
      <w:r>
        <w:rPr>
          <w:rFonts w:ascii="Times New Roman" w:hAnsi="Times New Roman" w:eastAsia="宋体" w:cs="Times New Roman"/>
          <w:bCs/>
          <w:sz w:val="24"/>
        </w:rPr>
        <w:t>2. 项目背景/项目概述</w:t>
      </w:r>
    </w:p>
    <w:p w14:paraId="50526888">
      <w:pPr>
        <w:shd w:val="clear" w:color="auto" w:fill="auto"/>
        <w:spacing w:line="360" w:lineRule="auto"/>
        <w:ind w:firstLine="482"/>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近年来，国家层面</w:t>
      </w:r>
      <w:r>
        <w:rPr>
          <w:rFonts w:hint="eastAsia" w:ascii="Times New Roman" w:hAnsi="Times New Roman" w:eastAsia="宋体" w:cs="Times New Roman"/>
          <w:b w:val="0"/>
          <w:bCs/>
          <w:sz w:val="24"/>
          <w:lang w:val="en-US" w:eastAsia="zh-CN"/>
        </w:rPr>
        <w:t>陆续</w:t>
      </w:r>
      <w:r>
        <w:rPr>
          <w:rFonts w:hint="eastAsia" w:ascii="Times New Roman" w:hAnsi="Times New Roman" w:eastAsia="宋体" w:cs="Times New Roman"/>
          <w:b w:val="0"/>
          <w:bCs/>
          <w:sz w:val="24"/>
        </w:rPr>
        <w:t>出台</w:t>
      </w:r>
      <w:r>
        <w:rPr>
          <w:rFonts w:hint="eastAsia" w:ascii="Times New Roman" w:hAnsi="Times New Roman" w:eastAsia="宋体" w:cs="Times New Roman"/>
          <w:b w:val="0"/>
          <w:bCs/>
          <w:sz w:val="24"/>
          <w:lang w:val="en-US" w:eastAsia="zh-CN"/>
        </w:rPr>
        <w:t>相关政策推动</w:t>
      </w:r>
      <w:r>
        <w:rPr>
          <w:rFonts w:hint="eastAsia" w:ascii="Times New Roman" w:hAnsi="Times New Roman" w:eastAsia="宋体" w:cs="Times New Roman"/>
          <w:b w:val="0"/>
          <w:bCs/>
          <w:sz w:val="24"/>
          <w:lang w:eastAsia="zh-CN"/>
        </w:rPr>
        <w:t>“</w:t>
      </w:r>
      <w:r>
        <w:rPr>
          <w:rFonts w:hint="eastAsia" w:ascii="Times New Roman" w:hAnsi="Times New Roman" w:eastAsia="宋体" w:cs="Times New Roman"/>
          <w:b w:val="0"/>
          <w:bCs/>
          <w:sz w:val="24"/>
        </w:rPr>
        <w:t>人工智能</w:t>
      </w:r>
      <w:r>
        <w:rPr>
          <w:rFonts w:hint="eastAsia" w:ascii="Times New Roman" w:hAnsi="Times New Roman" w:eastAsia="宋体" w:cs="Times New Roman"/>
          <w:b w:val="0"/>
          <w:bCs/>
          <w:sz w:val="24"/>
          <w:lang w:val="en-US" w:eastAsia="zh-CN"/>
        </w:rPr>
        <w:t>+”行动，鼓励政务领域大模型应用试点探索</w:t>
      </w:r>
      <w:r>
        <w:rPr>
          <w:rFonts w:hint="eastAsia" w:ascii="Times New Roman" w:hAnsi="Times New Roman" w:eastAsia="宋体" w:cs="Times New Roman"/>
          <w:b w:val="0"/>
          <w:bCs/>
          <w:sz w:val="24"/>
          <w:lang w:eastAsia="zh-CN"/>
        </w:rPr>
        <w:t>。</w:t>
      </w:r>
      <w:r>
        <w:rPr>
          <w:rFonts w:hint="eastAsia" w:ascii="Times New Roman" w:hAnsi="Times New Roman" w:eastAsia="宋体" w:cs="Times New Roman"/>
          <w:b w:val="0"/>
          <w:bCs/>
          <w:sz w:val="24"/>
          <w:lang w:val="en-US" w:eastAsia="zh-CN"/>
        </w:rPr>
        <w:t>随着“十五五”规划纲要的发布，政务领域人工智能大模型部署应用已正式纳入国家顶层设计，</w:t>
      </w:r>
      <w:r>
        <w:rPr>
          <w:rFonts w:hint="eastAsia" w:ascii="Times New Roman" w:hAnsi="Times New Roman" w:eastAsia="宋体" w:cs="Times New Roman"/>
          <w:b w:val="0"/>
          <w:bCs/>
          <w:sz w:val="24"/>
        </w:rPr>
        <w:t>标志着</w:t>
      </w:r>
      <w:r>
        <w:rPr>
          <w:rFonts w:hint="eastAsia" w:ascii="Times New Roman" w:hAnsi="Times New Roman" w:eastAsia="宋体" w:cs="Times New Roman"/>
          <w:b w:val="0"/>
          <w:bCs/>
          <w:sz w:val="24"/>
          <w:lang w:val="en-US" w:eastAsia="zh-CN"/>
        </w:rPr>
        <w:t>相关工作</w:t>
      </w:r>
      <w:r>
        <w:rPr>
          <w:rFonts w:hint="eastAsia" w:ascii="Times New Roman" w:hAnsi="Times New Roman" w:eastAsia="宋体" w:cs="Times New Roman"/>
          <w:b w:val="0"/>
          <w:bCs/>
          <w:sz w:val="24"/>
        </w:rPr>
        <w:t>已从技术</w:t>
      </w:r>
      <w:r>
        <w:rPr>
          <w:rFonts w:hint="eastAsia" w:ascii="Times New Roman" w:hAnsi="Times New Roman" w:eastAsia="宋体" w:cs="Times New Roman"/>
          <w:b w:val="0"/>
          <w:bCs/>
          <w:sz w:val="24"/>
          <w:lang w:val="en-US" w:eastAsia="zh-CN"/>
        </w:rPr>
        <w:t>性</w:t>
      </w:r>
      <w:r>
        <w:rPr>
          <w:rFonts w:hint="eastAsia" w:ascii="Times New Roman" w:hAnsi="Times New Roman" w:eastAsia="宋体" w:cs="Times New Roman"/>
          <w:b w:val="0"/>
          <w:bCs/>
          <w:sz w:val="24"/>
        </w:rPr>
        <w:t>探索迈入规范化、体系化建设的新阶段。</w:t>
      </w:r>
    </w:p>
    <w:p w14:paraId="3ADD967F">
      <w:pPr>
        <w:shd w:val="clear" w:color="auto" w:fill="auto"/>
        <w:spacing w:line="360" w:lineRule="auto"/>
        <w:ind w:firstLine="482"/>
        <w:contextualSpacing/>
        <w:rPr>
          <w:rFonts w:ascii="Times New Roman" w:hAnsi="Times New Roman" w:eastAsia="宋体" w:cs="Times New Roman"/>
          <w:b/>
          <w:sz w:val="24"/>
        </w:rPr>
      </w:pPr>
      <w:r>
        <w:rPr>
          <w:rFonts w:hint="eastAsia" w:ascii="Times New Roman" w:hAnsi="Times New Roman" w:eastAsia="宋体" w:cs="Times New Roman"/>
          <w:b w:val="0"/>
          <w:bCs/>
          <w:sz w:val="24"/>
        </w:rPr>
        <w:t>为贯彻落实国家及北京市关于人工智能大模型在政务领域应用的战略部署，本项目立足解决当前</w:t>
      </w:r>
      <w:r>
        <w:rPr>
          <w:rFonts w:hint="eastAsia" w:ascii="Times New Roman" w:hAnsi="Times New Roman" w:eastAsia="宋体" w:cs="Times New Roman"/>
          <w:b w:val="0"/>
          <w:bCs/>
          <w:sz w:val="24"/>
          <w:lang w:val="en-US" w:eastAsia="zh-CN"/>
        </w:rPr>
        <w:t>我市</w:t>
      </w:r>
      <w:r>
        <w:rPr>
          <w:rFonts w:hint="eastAsia" w:ascii="Times New Roman" w:hAnsi="Times New Roman" w:eastAsia="宋体" w:cs="Times New Roman"/>
          <w:b w:val="0"/>
          <w:bCs/>
          <w:sz w:val="24"/>
        </w:rPr>
        <w:t>政务大模型</w:t>
      </w:r>
      <w:r>
        <w:rPr>
          <w:rFonts w:hint="eastAsia" w:ascii="Times New Roman" w:hAnsi="Times New Roman" w:eastAsia="宋体" w:cs="Times New Roman"/>
          <w:b w:val="0"/>
          <w:bCs/>
          <w:sz w:val="24"/>
          <w:lang w:val="en-US" w:eastAsia="zh-CN"/>
        </w:rPr>
        <w:t>部署应用工作</w:t>
      </w:r>
      <w:r>
        <w:rPr>
          <w:rFonts w:hint="eastAsia" w:ascii="Times New Roman" w:hAnsi="Times New Roman" w:eastAsia="宋体" w:cs="Times New Roman"/>
          <w:b w:val="0"/>
          <w:bCs/>
          <w:sz w:val="24"/>
        </w:rPr>
        <w:t>中存在的资源分散、重复投入、标准不一、安全风险等问题，旨在通过构建全市统一的共性技术支撑体系，推动政务领域大模型场景建设从“单点探索”向“体系化建设”转型。</w:t>
      </w:r>
    </w:p>
    <w:p w14:paraId="4CDB5D62">
      <w:pPr>
        <w:keepNext/>
        <w:keepLines/>
        <w:widowControl w:val="0"/>
        <w:numPr>
          <w:ilvl w:val="0"/>
          <w:numId w:val="0"/>
        </w:numPr>
        <w:shd w:val="clear" w:color="auto" w:fill="auto"/>
        <w:bidi w:val="0"/>
        <w:spacing w:before="260" w:after="260" w:line="416" w:lineRule="atLeast"/>
        <w:ind w:left="500" w:leftChars="0" w:hanging="500" w:firstLineChars="0"/>
        <w:jc w:val="left"/>
        <w:outlineLvl w:val="1"/>
        <w:rPr>
          <w:rFonts w:ascii="Arial" w:hAnsi="Arial" w:eastAsia="黑体" w:cs="Times New Roman"/>
          <w:b/>
          <w:bCs/>
          <w:kern w:val="2"/>
          <w:sz w:val="32"/>
          <w:szCs w:val="32"/>
          <w:lang w:val="en-US" w:eastAsia="zh-CN" w:bidi="ar-SA"/>
        </w:rPr>
      </w:pPr>
      <w:r>
        <w:rPr>
          <w:rFonts w:hint="default" w:ascii="Arial" w:hAnsi="Arial" w:eastAsia="黑体" w:cs="Times New Roman"/>
          <w:b/>
          <w:bCs/>
          <w:kern w:val="2"/>
          <w:sz w:val="32"/>
          <w:szCs w:val="32"/>
          <w:lang w:val="en-US" w:eastAsia="zh-CN" w:bidi="ar-SA"/>
        </w:rPr>
        <w:t>二、</w:t>
      </w:r>
      <w:r>
        <w:rPr>
          <w:rFonts w:ascii="Arial" w:hAnsi="Arial" w:eastAsia="黑体" w:cs="Times New Roman"/>
          <w:b/>
          <w:bCs/>
          <w:kern w:val="2"/>
          <w:sz w:val="32"/>
          <w:szCs w:val="32"/>
          <w:lang w:val="en-US" w:eastAsia="zh-CN" w:bidi="ar-SA"/>
        </w:rPr>
        <w:t>商务要求</w:t>
      </w:r>
    </w:p>
    <w:p w14:paraId="7C02FCFD">
      <w:pPr>
        <w:shd w:val="clear" w:color="auto" w:fill="auto"/>
        <w:spacing w:line="360" w:lineRule="auto"/>
        <w:contextualSpacing/>
        <w:rPr>
          <w:rFonts w:ascii="Times New Roman" w:hAnsi="Times New Roman" w:eastAsia="宋体" w:cs="Times New Roman"/>
          <w:i/>
          <w:sz w:val="24"/>
        </w:rPr>
      </w:pPr>
      <w:r>
        <w:rPr>
          <w:rFonts w:ascii="Times New Roman" w:hAnsi="Times New Roman" w:eastAsia="宋体" w:cs="Times New Roman"/>
          <w:sz w:val="24"/>
        </w:rPr>
        <w:t>1. 交付（实施）的时间（期限）和地点（范围）</w:t>
      </w:r>
    </w:p>
    <w:p w14:paraId="2354CCBE">
      <w:pPr>
        <w:shd w:val="clear" w:color="auto" w:fill="auto"/>
        <w:spacing w:line="360" w:lineRule="auto"/>
        <w:ind w:firstLine="482"/>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服务期限</w:t>
      </w:r>
      <w:r>
        <w:rPr>
          <w:rFonts w:hint="eastAsia" w:ascii="Times New Roman" w:hAnsi="Times New Roman" w:eastAsia="宋体" w:cs="Times New Roman"/>
          <w:b w:val="0"/>
          <w:bCs/>
          <w:sz w:val="24"/>
          <w:lang w:val="en-US" w:eastAsia="zh-CN"/>
        </w:rPr>
        <w:t>:自合同签订之日起9个月</w:t>
      </w:r>
      <w:r>
        <w:rPr>
          <w:rFonts w:hint="eastAsia" w:ascii="Times New Roman" w:hAnsi="Times New Roman" w:eastAsia="宋体" w:cs="Times New Roman"/>
          <w:b w:val="0"/>
          <w:bCs/>
          <w:sz w:val="24"/>
        </w:rPr>
        <w:t>。</w:t>
      </w:r>
    </w:p>
    <w:p w14:paraId="315B3609">
      <w:pPr>
        <w:shd w:val="clear" w:color="auto" w:fill="auto"/>
        <w:spacing w:line="360" w:lineRule="auto"/>
        <w:ind w:firstLine="482"/>
        <w:contextualSpacing/>
        <w:rPr>
          <w:rFonts w:ascii="Times New Roman" w:hAnsi="Times New Roman" w:eastAsia="宋体" w:cs="Times New Roman"/>
          <w:i/>
          <w:sz w:val="24"/>
        </w:rPr>
      </w:pPr>
      <w:r>
        <w:rPr>
          <w:rFonts w:hint="eastAsia" w:ascii="Times New Roman" w:hAnsi="Times New Roman" w:eastAsia="宋体" w:cs="Times New Roman"/>
          <w:b w:val="0"/>
          <w:bCs/>
          <w:sz w:val="24"/>
        </w:rPr>
        <w:t>服务地点</w:t>
      </w:r>
      <w:r>
        <w:rPr>
          <w:rFonts w:hint="eastAsia" w:ascii="Times New Roman" w:hAnsi="Times New Roman" w:eastAsia="宋体" w:cs="Times New Roman"/>
          <w:b w:val="0"/>
          <w:bCs/>
          <w:sz w:val="24"/>
          <w:lang w:val="en-US" w:eastAsia="zh-CN"/>
        </w:rPr>
        <w:t>:北京市通州区潞城镇留庄路3号院2号楼</w:t>
      </w:r>
      <w:r>
        <w:rPr>
          <w:rFonts w:hint="eastAsia" w:ascii="Times New Roman" w:hAnsi="Times New Roman" w:eastAsia="宋体" w:cs="Times New Roman"/>
          <w:b w:val="0"/>
          <w:bCs/>
          <w:sz w:val="24"/>
        </w:rPr>
        <w:t>。</w:t>
      </w:r>
    </w:p>
    <w:p w14:paraId="69C376E0">
      <w:pPr>
        <w:shd w:val="clear" w:color="auto" w:fill="auto"/>
        <w:spacing w:line="360" w:lineRule="auto"/>
        <w:contextualSpacing/>
        <w:rPr>
          <w:rFonts w:ascii="Times New Roman" w:hAnsi="Times New Roman" w:eastAsia="宋体" w:cs="Times New Roman"/>
          <w:sz w:val="24"/>
        </w:rPr>
      </w:pPr>
      <w:r>
        <w:rPr>
          <w:rFonts w:ascii="Times New Roman" w:hAnsi="Times New Roman" w:eastAsia="宋体" w:cs="Times New Roman"/>
          <w:sz w:val="24"/>
        </w:rPr>
        <w:t>2. 付款条件（进度和方式）</w:t>
      </w:r>
    </w:p>
    <w:p w14:paraId="2E83D97E">
      <w:pPr>
        <w:shd w:val="clear" w:color="auto" w:fill="auto"/>
        <w:spacing w:line="360" w:lineRule="auto"/>
        <w:ind w:firstLine="482"/>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分期支付（</w:t>
      </w:r>
      <w:r>
        <w:rPr>
          <w:rFonts w:hint="eastAsia" w:ascii="Times New Roman" w:hAnsi="Times New Roman" w:eastAsia="宋体" w:cs="Times New Roman"/>
          <w:b w:val="0"/>
          <w:bCs/>
          <w:sz w:val="24"/>
          <w:lang w:val="en-US" w:eastAsia="zh-CN"/>
        </w:rPr>
        <w:t>三</w:t>
      </w:r>
      <w:r>
        <w:rPr>
          <w:rFonts w:hint="eastAsia" w:ascii="Times New Roman" w:hAnsi="Times New Roman" w:eastAsia="宋体" w:cs="Times New Roman"/>
          <w:b w:val="0"/>
          <w:bCs/>
          <w:sz w:val="24"/>
        </w:rPr>
        <w:t xml:space="preserve">次）： </w:t>
      </w:r>
    </w:p>
    <w:p w14:paraId="5836B3ED">
      <w:pPr>
        <w:shd w:val="clear" w:color="auto" w:fill="auto"/>
        <w:spacing w:line="360" w:lineRule="auto"/>
        <w:ind w:firstLine="480" w:firstLineChars="200"/>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第1次付款：合同签订后且财政预算到达</w:t>
      </w:r>
      <w:r>
        <w:rPr>
          <w:rFonts w:hint="eastAsia" w:ascii="Times New Roman" w:hAnsi="Times New Roman" w:eastAsia="宋体" w:cs="Times New Roman"/>
          <w:b w:val="0"/>
          <w:bCs/>
          <w:sz w:val="24"/>
          <w:lang w:val="en-US" w:eastAsia="zh-CN"/>
        </w:rPr>
        <w:t>采购人</w:t>
      </w:r>
      <w:r>
        <w:rPr>
          <w:rFonts w:hint="eastAsia" w:ascii="Times New Roman" w:hAnsi="Times New Roman" w:eastAsia="宋体" w:cs="Times New Roman"/>
          <w:b w:val="0"/>
          <w:bCs/>
          <w:sz w:val="24"/>
        </w:rPr>
        <w:t>零余额账户后</w:t>
      </w:r>
      <w:r>
        <w:rPr>
          <w:rFonts w:hint="eastAsia" w:ascii="Times New Roman" w:hAnsi="Times New Roman" w:eastAsia="宋体" w:cs="Times New Roman"/>
          <w:b w:val="0"/>
          <w:bCs/>
          <w:sz w:val="24"/>
          <w:lang w:eastAsia="zh-CN"/>
        </w:rPr>
        <w:t>，</w:t>
      </w:r>
      <w:r>
        <w:rPr>
          <w:rFonts w:hint="eastAsia" w:ascii="Times New Roman" w:hAnsi="Times New Roman" w:eastAsia="宋体" w:cs="Times New Roman"/>
          <w:b w:val="0"/>
          <w:bCs/>
          <w:sz w:val="24"/>
          <w:lang w:val="en-US" w:eastAsia="zh-CN"/>
        </w:rPr>
        <w:t>采购人</w:t>
      </w:r>
      <w:r>
        <w:rPr>
          <w:rFonts w:hint="eastAsia" w:ascii="宋体" w:hAnsi="宋体" w:eastAsia="宋体" w:cs="Times New Roman"/>
          <w:kern w:val="2"/>
          <w:sz w:val="24"/>
          <w:szCs w:val="24"/>
          <w:highlight w:val="none"/>
          <w:lang w:val="en-US" w:eastAsia="zh" w:bidi="ar-SA"/>
        </w:rPr>
        <w:t>自收到</w:t>
      </w:r>
      <w:r>
        <w:rPr>
          <w:rFonts w:hint="eastAsia" w:ascii="宋体" w:hAnsi="宋体" w:eastAsia="宋体" w:cs="Times New Roman"/>
          <w:kern w:val="2"/>
          <w:sz w:val="24"/>
          <w:szCs w:val="24"/>
          <w:highlight w:val="none"/>
          <w:lang w:val="en-US" w:eastAsia="zh-CN" w:bidi="ar-SA"/>
        </w:rPr>
        <w:t>中标人</w:t>
      </w:r>
      <w:r>
        <w:rPr>
          <w:rFonts w:hint="eastAsia" w:ascii="宋体" w:hAnsi="宋体" w:eastAsia="宋体" w:cs="Times New Roman"/>
          <w:kern w:val="2"/>
          <w:sz w:val="24"/>
          <w:szCs w:val="24"/>
          <w:highlight w:val="none"/>
          <w:lang w:val="en-US" w:eastAsia="zh" w:bidi="ar-SA"/>
        </w:rPr>
        <w:t>提供的符合</w:t>
      </w:r>
      <w:r>
        <w:rPr>
          <w:rFonts w:hint="eastAsia" w:ascii="宋体" w:hAnsi="宋体" w:eastAsia="宋体" w:cs="Times New Roman"/>
          <w:kern w:val="2"/>
          <w:sz w:val="24"/>
          <w:szCs w:val="24"/>
          <w:highlight w:val="none"/>
          <w:lang w:val="en-US" w:eastAsia="zh-CN" w:bidi="ar-SA"/>
        </w:rPr>
        <w:t>采购人</w:t>
      </w:r>
      <w:r>
        <w:rPr>
          <w:rFonts w:hint="eastAsia" w:ascii="宋体" w:hAnsi="宋体" w:eastAsia="宋体" w:cs="Times New Roman"/>
          <w:kern w:val="2"/>
          <w:sz w:val="24"/>
          <w:szCs w:val="24"/>
          <w:highlight w:val="none"/>
          <w:lang w:val="en-US" w:eastAsia="zh" w:bidi="ar-SA"/>
        </w:rPr>
        <w:t>要求的发票</w:t>
      </w:r>
      <w:r>
        <w:rPr>
          <w:rFonts w:hint="eastAsia" w:ascii="宋体" w:hAnsi="宋体" w:eastAsia="宋体" w:cs="Times New Roman"/>
          <w:kern w:val="2"/>
          <w:sz w:val="24"/>
          <w:szCs w:val="24"/>
          <w:highlight w:val="none"/>
          <w:lang w:val="en-US" w:eastAsia="zh-CN" w:bidi="ar-SA"/>
        </w:rPr>
        <w:t>之日起</w:t>
      </w:r>
      <w:r>
        <w:rPr>
          <w:rFonts w:hint="eastAsia" w:ascii="Times New Roman" w:hAnsi="Times New Roman" w:eastAsia="宋体" w:cs="Times New Roman"/>
          <w:b w:val="0"/>
          <w:bCs/>
          <w:sz w:val="24"/>
        </w:rPr>
        <w:t>1</w:t>
      </w:r>
      <w:r>
        <w:rPr>
          <w:rFonts w:hint="eastAsia" w:ascii="Times New Roman" w:hAnsi="Times New Roman" w:eastAsia="宋体" w:cs="Times New Roman"/>
          <w:b w:val="0"/>
          <w:bCs/>
          <w:sz w:val="24"/>
          <w:lang w:val="en-US" w:eastAsia="zh-CN"/>
        </w:rPr>
        <w:t>0</w:t>
      </w:r>
      <w:r>
        <w:rPr>
          <w:rFonts w:hint="eastAsia" w:ascii="Times New Roman" w:hAnsi="Times New Roman" w:eastAsia="宋体" w:cs="Times New Roman"/>
          <w:b w:val="0"/>
          <w:bCs/>
          <w:sz w:val="24"/>
        </w:rPr>
        <w:t>个工作日内</w:t>
      </w:r>
      <w:r>
        <w:rPr>
          <w:rFonts w:hint="eastAsia" w:ascii="Times New Roman" w:hAnsi="Times New Roman" w:eastAsia="宋体" w:cs="Times New Roman"/>
          <w:b w:val="0"/>
          <w:bCs/>
          <w:sz w:val="24"/>
          <w:lang w:eastAsia="zh-CN"/>
        </w:rPr>
        <w:t>，</w:t>
      </w:r>
      <w:r>
        <w:rPr>
          <w:rFonts w:hint="eastAsia" w:ascii="Times New Roman" w:hAnsi="Times New Roman" w:eastAsia="宋体" w:cs="Times New Roman"/>
          <w:b w:val="0"/>
          <w:bCs/>
          <w:sz w:val="24"/>
        </w:rPr>
        <w:t>向</w:t>
      </w:r>
      <w:r>
        <w:rPr>
          <w:rFonts w:hint="eastAsia" w:ascii="Times New Roman" w:hAnsi="Times New Roman" w:eastAsia="宋体" w:cs="Times New Roman"/>
          <w:b w:val="0"/>
          <w:bCs/>
          <w:sz w:val="24"/>
          <w:lang w:eastAsia="zh-CN"/>
        </w:rPr>
        <w:t>中标人</w:t>
      </w:r>
      <w:r>
        <w:rPr>
          <w:rFonts w:hint="eastAsia" w:ascii="Times New Roman" w:hAnsi="Times New Roman" w:eastAsia="宋体" w:cs="Times New Roman"/>
          <w:b w:val="0"/>
          <w:bCs/>
          <w:sz w:val="24"/>
        </w:rPr>
        <w:t>支付合同总金额的60%；</w:t>
      </w:r>
    </w:p>
    <w:p w14:paraId="582B59E1">
      <w:pPr>
        <w:shd w:val="clear" w:color="auto" w:fill="auto"/>
        <w:spacing w:line="360" w:lineRule="auto"/>
        <w:ind w:firstLine="480" w:firstLineChars="200"/>
        <w:contextualSpacing/>
        <w:rPr>
          <w:rFonts w:hint="eastAsia"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第2次付款</w:t>
      </w:r>
      <w:r>
        <w:rPr>
          <w:rFonts w:hint="eastAsia" w:ascii="Times New Roman" w:hAnsi="Times New Roman" w:eastAsia="宋体" w:cs="Times New Roman"/>
          <w:b w:val="0"/>
          <w:bCs/>
          <w:sz w:val="24"/>
        </w:rPr>
        <w:t>：2026年12月5日前</w:t>
      </w:r>
      <w:r>
        <w:rPr>
          <w:rFonts w:hint="eastAsia" w:ascii="Times New Roman" w:hAnsi="Times New Roman" w:eastAsia="宋体" w:cs="Times New Roman"/>
          <w:b w:val="0"/>
          <w:bCs/>
          <w:sz w:val="24"/>
          <w:lang w:val="en-US" w:eastAsia="zh-CN"/>
        </w:rPr>
        <w:t>完成阶段验收后</w:t>
      </w:r>
      <w:r>
        <w:rPr>
          <w:rFonts w:hint="eastAsia" w:ascii="Times New Roman" w:hAnsi="Times New Roman" w:eastAsia="宋体" w:cs="Times New Roman"/>
          <w:b w:val="0"/>
          <w:bCs/>
          <w:sz w:val="24"/>
        </w:rPr>
        <w:t>，</w:t>
      </w:r>
      <w:r>
        <w:rPr>
          <w:rFonts w:hint="eastAsia" w:ascii="Times New Roman" w:hAnsi="Times New Roman" w:eastAsia="宋体" w:cs="Times New Roman"/>
          <w:b w:val="0"/>
          <w:bCs/>
          <w:sz w:val="24"/>
          <w:lang w:val="en-US" w:eastAsia="zh-CN"/>
        </w:rPr>
        <w:t>采购人</w:t>
      </w:r>
      <w:r>
        <w:rPr>
          <w:rFonts w:hint="eastAsia" w:ascii="Times New Roman" w:hAnsi="Times New Roman" w:eastAsia="宋体" w:cs="Times New Roman"/>
          <w:b w:val="0"/>
          <w:bCs/>
          <w:sz w:val="24"/>
          <w:lang w:val="en-US" w:eastAsia="zh"/>
        </w:rPr>
        <w:t>自收到</w:t>
      </w:r>
      <w:r>
        <w:rPr>
          <w:rFonts w:hint="eastAsia" w:ascii="Times New Roman" w:hAnsi="Times New Roman" w:eastAsia="宋体" w:cs="Times New Roman"/>
          <w:b w:val="0"/>
          <w:bCs/>
          <w:sz w:val="24"/>
          <w:lang w:val="en-US" w:eastAsia="zh-CN"/>
        </w:rPr>
        <w:t>中标人</w:t>
      </w:r>
      <w:r>
        <w:rPr>
          <w:rFonts w:hint="eastAsia" w:ascii="Times New Roman" w:hAnsi="Times New Roman" w:eastAsia="宋体" w:cs="Times New Roman"/>
          <w:b w:val="0"/>
          <w:bCs/>
          <w:sz w:val="24"/>
          <w:lang w:val="en-US" w:eastAsia="zh"/>
        </w:rPr>
        <w:t>提供的符合</w:t>
      </w:r>
      <w:r>
        <w:rPr>
          <w:rFonts w:hint="eastAsia" w:ascii="Times New Roman" w:hAnsi="Times New Roman" w:eastAsia="宋体" w:cs="Times New Roman"/>
          <w:b w:val="0"/>
          <w:bCs/>
          <w:sz w:val="24"/>
          <w:lang w:val="en-US" w:eastAsia="zh-CN"/>
        </w:rPr>
        <w:t>采购人</w:t>
      </w:r>
      <w:r>
        <w:rPr>
          <w:rFonts w:hint="eastAsia" w:ascii="Times New Roman" w:hAnsi="Times New Roman" w:eastAsia="宋体" w:cs="Times New Roman"/>
          <w:b w:val="0"/>
          <w:bCs/>
          <w:sz w:val="24"/>
          <w:lang w:val="en-US" w:eastAsia="zh"/>
        </w:rPr>
        <w:t>要求的发票</w:t>
      </w:r>
      <w:r>
        <w:rPr>
          <w:rFonts w:hint="eastAsia" w:ascii="Times New Roman" w:hAnsi="Times New Roman" w:eastAsia="宋体" w:cs="Times New Roman"/>
          <w:b w:val="0"/>
          <w:bCs/>
          <w:sz w:val="24"/>
        </w:rPr>
        <w:t>且财政</w:t>
      </w:r>
      <w:r>
        <w:rPr>
          <w:rFonts w:hint="eastAsia" w:ascii="Times New Roman" w:hAnsi="Times New Roman" w:eastAsia="宋体" w:cs="Times New Roman"/>
          <w:b w:val="0"/>
          <w:bCs/>
          <w:sz w:val="24"/>
          <w:lang w:val="en-US" w:eastAsia="zh-CN"/>
        </w:rPr>
        <w:t>资金</w:t>
      </w:r>
      <w:r>
        <w:rPr>
          <w:rFonts w:hint="eastAsia" w:ascii="Times New Roman" w:hAnsi="Times New Roman" w:eastAsia="宋体" w:cs="Times New Roman"/>
          <w:b w:val="0"/>
          <w:bCs/>
          <w:sz w:val="24"/>
        </w:rPr>
        <w:t>到达</w:t>
      </w:r>
      <w:r>
        <w:rPr>
          <w:rFonts w:hint="eastAsia" w:ascii="Times New Roman" w:hAnsi="Times New Roman" w:eastAsia="宋体" w:cs="Times New Roman"/>
          <w:b w:val="0"/>
          <w:bCs/>
          <w:sz w:val="24"/>
          <w:lang w:val="en-US" w:eastAsia="zh-CN"/>
        </w:rPr>
        <w:t>采购人</w:t>
      </w:r>
      <w:r>
        <w:rPr>
          <w:rFonts w:hint="eastAsia" w:ascii="Times New Roman" w:hAnsi="Times New Roman" w:eastAsia="宋体" w:cs="Times New Roman"/>
          <w:b w:val="0"/>
          <w:bCs/>
          <w:sz w:val="24"/>
        </w:rPr>
        <w:t>零余额账户</w:t>
      </w:r>
      <w:r>
        <w:rPr>
          <w:rFonts w:hint="eastAsia" w:ascii="Times New Roman" w:hAnsi="Times New Roman" w:eastAsia="宋体" w:cs="Times New Roman"/>
          <w:b w:val="0"/>
          <w:bCs/>
          <w:sz w:val="24"/>
          <w:lang w:val="en-US" w:eastAsia="zh-CN"/>
        </w:rPr>
        <w:t>并可实际使用</w:t>
      </w:r>
      <w:r>
        <w:rPr>
          <w:rFonts w:hint="eastAsia" w:ascii="Times New Roman" w:hAnsi="Times New Roman" w:eastAsia="宋体" w:cs="Times New Roman"/>
          <w:b w:val="0"/>
          <w:bCs/>
          <w:sz w:val="24"/>
          <w:lang w:val="en-US" w:eastAsia="zh"/>
        </w:rPr>
        <w:t>之日起</w:t>
      </w:r>
      <w:r>
        <w:rPr>
          <w:rFonts w:hint="eastAsia" w:ascii="Times New Roman" w:hAnsi="Times New Roman" w:eastAsia="宋体" w:cs="Times New Roman"/>
          <w:b w:val="0"/>
          <w:bCs/>
          <w:sz w:val="24"/>
          <w:lang w:val="en-US" w:eastAsia="zh-CN"/>
        </w:rPr>
        <w:t>10个工作日内，</w:t>
      </w:r>
      <w:r>
        <w:rPr>
          <w:rFonts w:hint="eastAsia" w:ascii="Times New Roman" w:hAnsi="Times New Roman" w:eastAsia="宋体" w:cs="Times New Roman"/>
          <w:b w:val="0"/>
          <w:bCs/>
          <w:sz w:val="24"/>
        </w:rPr>
        <w:t>向</w:t>
      </w:r>
      <w:r>
        <w:rPr>
          <w:rFonts w:hint="eastAsia" w:ascii="Times New Roman" w:hAnsi="Times New Roman" w:eastAsia="宋体" w:cs="Times New Roman"/>
          <w:b w:val="0"/>
          <w:bCs/>
          <w:sz w:val="24"/>
          <w:lang w:eastAsia="zh-CN"/>
        </w:rPr>
        <w:t>中标人</w:t>
      </w:r>
      <w:r>
        <w:rPr>
          <w:rFonts w:hint="eastAsia" w:ascii="Times New Roman" w:hAnsi="Times New Roman" w:eastAsia="宋体" w:cs="Times New Roman"/>
          <w:b w:val="0"/>
          <w:bCs/>
          <w:sz w:val="24"/>
        </w:rPr>
        <w:t>支付合同总金额的30%；</w:t>
      </w:r>
    </w:p>
    <w:p w14:paraId="06AC9822">
      <w:pPr>
        <w:shd w:val="clear" w:color="auto" w:fill="auto"/>
        <w:spacing w:line="360" w:lineRule="auto"/>
        <w:ind w:firstLine="480" w:firstLineChars="200"/>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第</w:t>
      </w:r>
      <w:r>
        <w:rPr>
          <w:rFonts w:hint="eastAsia" w:ascii="Times New Roman" w:hAnsi="Times New Roman" w:eastAsia="宋体" w:cs="Times New Roman"/>
          <w:b w:val="0"/>
          <w:bCs/>
          <w:sz w:val="24"/>
          <w:lang w:val="en-US" w:eastAsia="zh-CN"/>
        </w:rPr>
        <w:t>3</w:t>
      </w:r>
      <w:r>
        <w:rPr>
          <w:rFonts w:hint="eastAsia" w:ascii="Times New Roman" w:hAnsi="Times New Roman" w:eastAsia="宋体" w:cs="Times New Roman"/>
          <w:b w:val="0"/>
          <w:bCs/>
          <w:sz w:val="24"/>
        </w:rPr>
        <w:t>次付款：</w:t>
      </w:r>
      <w:r>
        <w:rPr>
          <w:rFonts w:hint="eastAsia" w:ascii="Times New Roman" w:hAnsi="Times New Roman" w:eastAsia="宋体" w:cs="Times New Roman"/>
          <w:b w:val="0"/>
          <w:bCs/>
          <w:sz w:val="24"/>
          <w:lang w:val="en-US" w:eastAsia="zh-CN"/>
        </w:rPr>
        <w:t>中标人提供合同项下的全部服务并经采购人最终验收合格，采购人自收到中标人</w:t>
      </w:r>
      <w:r>
        <w:rPr>
          <w:rFonts w:hint="eastAsia" w:ascii="Times New Roman" w:hAnsi="Times New Roman" w:eastAsia="宋体" w:cs="Times New Roman"/>
          <w:b w:val="0"/>
          <w:bCs/>
          <w:sz w:val="24"/>
          <w:lang w:val="en-US" w:eastAsia="zh"/>
        </w:rPr>
        <w:t>提供的符合</w:t>
      </w:r>
      <w:r>
        <w:rPr>
          <w:rFonts w:hint="eastAsia" w:ascii="Times New Roman" w:hAnsi="Times New Roman" w:eastAsia="宋体" w:cs="Times New Roman"/>
          <w:b w:val="0"/>
          <w:bCs/>
          <w:sz w:val="24"/>
          <w:lang w:val="en-US" w:eastAsia="zh-CN"/>
        </w:rPr>
        <w:t>采购人</w:t>
      </w:r>
      <w:r>
        <w:rPr>
          <w:rFonts w:hint="eastAsia" w:ascii="Times New Roman" w:hAnsi="Times New Roman" w:eastAsia="宋体" w:cs="Times New Roman"/>
          <w:b w:val="0"/>
          <w:bCs/>
          <w:sz w:val="24"/>
          <w:lang w:val="en-US" w:eastAsia="zh"/>
        </w:rPr>
        <w:t>要求的发票</w:t>
      </w:r>
      <w:r>
        <w:rPr>
          <w:rFonts w:hint="eastAsia" w:ascii="Times New Roman" w:hAnsi="Times New Roman" w:eastAsia="宋体" w:cs="Times New Roman"/>
          <w:b w:val="0"/>
          <w:bCs/>
          <w:sz w:val="24"/>
        </w:rPr>
        <w:t>且财政</w:t>
      </w:r>
      <w:r>
        <w:rPr>
          <w:rFonts w:hint="eastAsia" w:ascii="Times New Roman" w:hAnsi="Times New Roman" w:eastAsia="宋体" w:cs="Times New Roman"/>
          <w:b w:val="0"/>
          <w:bCs/>
          <w:sz w:val="24"/>
          <w:lang w:val="en-US" w:eastAsia="zh-CN"/>
        </w:rPr>
        <w:t>资金</w:t>
      </w:r>
      <w:r>
        <w:rPr>
          <w:rFonts w:hint="eastAsia" w:ascii="Times New Roman" w:hAnsi="Times New Roman" w:eastAsia="宋体" w:cs="Times New Roman"/>
          <w:b w:val="0"/>
          <w:bCs/>
          <w:sz w:val="24"/>
        </w:rPr>
        <w:t>到达</w:t>
      </w:r>
      <w:r>
        <w:rPr>
          <w:rFonts w:hint="eastAsia" w:ascii="Times New Roman" w:hAnsi="Times New Roman" w:eastAsia="宋体" w:cs="Times New Roman"/>
          <w:b w:val="0"/>
          <w:bCs/>
          <w:sz w:val="24"/>
          <w:lang w:val="en-US" w:eastAsia="zh-CN"/>
        </w:rPr>
        <w:t>采购人</w:t>
      </w:r>
      <w:r>
        <w:rPr>
          <w:rFonts w:hint="eastAsia" w:ascii="Times New Roman" w:hAnsi="Times New Roman" w:eastAsia="宋体" w:cs="Times New Roman"/>
          <w:b w:val="0"/>
          <w:bCs/>
          <w:sz w:val="24"/>
        </w:rPr>
        <w:t>零余额账户</w:t>
      </w:r>
      <w:r>
        <w:rPr>
          <w:rFonts w:hint="eastAsia" w:ascii="Times New Roman" w:hAnsi="Times New Roman" w:eastAsia="宋体" w:cs="Times New Roman"/>
          <w:b w:val="0"/>
          <w:bCs/>
          <w:sz w:val="24"/>
          <w:lang w:val="en-US" w:eastAsia="zh-CN"/>
        </w:rPr>
        <w:t>并可实际使用之日起</w:t>
      </w:r>
      <w:r>
        <w:rPr>
          <w:rFonts w:hint="eastAsia" w:ascii="Times New Roman" w:hAnsi="Times New Roman" w:eastAsia="宋体" w:cs="Times New Roman"/>
          <w:b w:val="0"/>
          <w:bCs/>
          <w:sz w:val="24"/>
        </w:rPr>
        <w:t>1</w:t>
      </w:r>
      <w:r>
        <w:rPr>
          <w:rFonts w:hint="eastAsia" w:ascii="Times New Roman" w:hAnsi="Times New Roman" w:eastAsia="宋体" w:cs="Times New Roman"/>
          <w:b w:val="0"/>
          <w:bCs/>
          <w:sz w:val="24"/>
          <w:lang w:val="en-US" w:eastAsia="zh-CN"/>
        </w:rPr>
        <w:t>0</w:t>
      </w:r>
      <w:r>
        <w:rPr>
          <w:rFonts w:hint="eastAsia" w:ascii="Times New Roman" w:hAnsi="Times New Roman" w:eastAsia="宋体" w:cs="Times New Roman"/>
          <w:b w:val="0"/>
          <w:bCs/>
          <w:sz w:val="24"/>
        </w:rPr>
        <w:t>个工作日内，向</w:t>
      </w:r>
      <w:r>
        <w:rPr>
          <w:rFonts w:hint="eastAsia" w:ascii="Times New Roman" w:hAnsi="Times New Roman" w:eastAsia="宋体" w:cs="Times New Roman"/>
          <w:b w:val="0"/>
          <w:bCs/>
          <w:sz w:val="24"/>
          <w:lang w:eastAsia="zh-CN"/>
        </w:rPr>
        <w:t>中标人</w:t>
      </w:r>
      <w:r>
        <w:rPr>
          <w:rFonts w:hint="eastAsia" w:ascii="Times New Roman" w:hAnsi="Times New Roman" w:eastAsia="宋体" w:cs="Times New Roman"/>
          <w:b w:val="0"/>
          <w:bCs/>
          <w:sz w:val="24"/>
        </w:rPr>
        <w:t>支付合同总金额的10%尾款。</w:t>
      </w:r>
    </w:p>
    <w:p w14:paraId="581E7ED1">
      <w:pPr>
        <w:shd w:val="clear" w:color="auto" w:fill="auto"/>
        <w:spacing w:line="360" w:lineRule="auto"/>
        <w:ind w:firstLine="480" w:firstLineChars="200"/>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lang w:eastAsia="zh-CN"/>
        </w:rPr>
        <w:t>中标人</w:t>
      </w:r>
      <w:r>
        <w:rPr>
          <w:rFonts w:hint="eastAsia" w:ascii="Times New Roman" w:hAnsi="Times New Roman" w:eastAsia="宋体" w:cs="Times New Roman"/>
          <w:b w:val="0"/>
          <w:bCs/>
          <w:sz w:val="24"/>
        </w:rPr>
        <w:t>应在</w:t>
      </w:r>
      <w:r>
        <w:rPr>
          <w:rFonts w:hint="eastAsia" w:ascii="Times New Roman" w:hAnsi="Times New Roman" w:eastAsia="宋体" w:cs="Times New Roman"/>
          <w:b w:val="0"/>
          <w:bCs/>
          <w:sz w:val="24"/>
          <w:lang w:eastAsia="zh-CN"/>
        </w:rPr>
        <w:t>采购人</w:t>
      </w:r>
      <w:r>
        <w:rPr>
          <w:rFonts w:hint="eastAsia" w:ascii="Times New Roman" w:hAnsi="Times New Roman" w:eastAsia="宋体" w:cs="Times New Roman"/>
          <w:b w:val="0"/>
          <w:bCs/>
          <w:sz w:val="24"/>
        </w:rPr>
        <w:t>付款前向</w:t>
      </w:r>
      <w:r>
        <w:rPr>
          <w:rFonts w:hint="eastAsia" w:ascii="Times New Roman" w:hAnsi="Times New Roman" w:eastAsia="宋体" w:cs="Times New Roman"/>
          <w:b w:val="0"/>
          <w:bCs/>
          <w:sz w:val="24"/>
          <w:lang w:eastAsia="zh-CN"/>
        </w:rPr>
        <w:t>采购人</w:t>
      </w:r>
      <w:r>
        <w:rPr>
          <w:rFonts w:hint="eastAsia" w:ascii="Times New Roman" w:hAnsi="Times New Roman" w:eastAsia="宋体" w:cs="Times New Roman"/>
          <w:b w:val="0"/>
          <w:bCs/>
          <w:sz w:val="24"/>
        </w:rPr>
        <w:t>开具正规、合法发票，否则</w:t>
      </w:r>
      <w:r>
        <w:rPr>
          <w:rFonts w:hint="eastAsia" w:ascii="Times New Roman" w:hAnsi="Times New Roman" w:eastAsia="宋体" w:cs="Times New Roman"/>
          <w:b w:val="0"/>
          <w:bCs/>
          <w:sz w:val="24"/>
          <w:lang w:eastAsia="zh-CN"/>
        </w:rPr>
        <w:t>采购人</w:t>
      </w:r>
      <w:r>
        <w:rPr>
          <w:rFonts w:hint="eastAsia" w:ascii="Times New Roman" w:hAnsi="Times New Roman" w:eastAsia="宋体" w:cs="Times New Roman"/>
          <w:b w:val="0"/>
          <w:bCs/>
          <w:sz w:val="24"/>
        </w:rPr>
        <w:t>有权暂不付款且不承担逾期付款的违约责任。因</w:t>
      </w:r>
      <w:r>
        <w:rPr>
          <w:rFonts w:hint="eastAsia" w:ascii="Times New Roman" w:hAnsi="Times New Roman" w:eastAsia="宋体" w:cs="Times New Roman"/>
          <w:b w:val="0"/>
          <w:bCs/>
          <w:sz w:val="24"/>
          <w:lang w:eastAsia="zh-CN"/>
        </w:rPr>
        <w:t>中标人</w:t>
      </w:r>
      <w:r>
        <w:rPr>
          <w:rFonts w:hint="eastAsia" w:ascii="Times New Roman" w:hAnsi="Times New Roman" w:eastAsia="宋体" w:cs="Times New Roman"/>
          <w:b w:val="0"/>
          <w:bCs/>
          <w:sz w:val="24"/>
        </w:rPr>
        <w:t>原因（包括但不限于未开具发票、开具发票不符合</w:t>
      </w:r>
      <w:r>
        <w:rPr>
          <w:rFonts w:hint="eastAsia" w:ascii="Times New Roman" w:hAnsi="Times New Roman" w:eastAsia="宋体" w:cs="Times New Roman"/>
          <w:b w:val="0"/>
          <w:bCs/>
          <w:sz w:val="24"/>
          <w:lang w:eastAsia="zh-CN"/>
        </w:rPr>
        <w:t>采购人</w:t>
      </w:r>
      <w:r>
        <w:rPr>
          <w:rFonts w:hint="eastAsia" w:ascii="Times New Roman" w:hAnsi="Times New Roman" w:eastAsia="宋体" w:cs="Times New Roman"/>
          <w:b w:val="0"/>
          <w:bCs/>
          <w:sz w:val="24"/>
        </w:rPr>
        <w:t>要求等）导致</w:t>
      </w:r>
      <w:r>
        <w:rPr>
          <w:rFonts w:hint="eastAsia" w:ascii="Times New Roman" w:hAnsi="Times New Roman" w:eastAsia="宋体" w:cs="Times New Roman"/>
          <w:b w:val="0"/>
          <w:bCs/>
          <w:sz w:val="24"/>
          <w:lang w:eastAsia="zh-CN"/>
        </w:rPr>
        <w:t>采购人</w:t>
      </w:r>
      <w:r>
        <w:rPr>
          <w:rFonts w:hint="eastAsia" w:ascii="Times New Roman" w:hAnsi="Times New Roman" w:eastAsia="宋体" w:cs="Times New Roman"/>
          <w:b w:val="0"/>
          <w:bCs/>
          <w:sz w:val="24"/>
        </w:rPr>
        <w:t>因财政政策原因未能付款，相应责任由</w:t>
      </w:r>
      <w:r>
        <w:rPr>
          <w:rFonts w:hint="eastAsia" w:ascii="Times New Roman" w:hAnsi="Times New Roman" w:eastAsia="宋体" w:cs="Times New Roman"/>
          <w:b w:val="0"/>
          <w:bCs/>
          <w:sz w:val="24"/>
          <w:lang w:eastAsia="zh-CN"/>
        </w:rPr>
        <w:t>中标人</w:t>
      </w:r>
      <w:r>
        <w:rPr>
          <w:rFonts w:hint="eastAsia" w:ascii="Times New Roman" w:hAnsi="Times New Roman" w:eastAsia="宋体" w:cs="Times New Roman"/>
          <w:b w:val="0"/>
          <w:bCs/>
          <w:sz w:val="24"/>
        </w:rPr>
        <w:t>承担。</w:t>
      </w:r>
    </w:p>
    <w:p w14:paraId="04E6968E">
      <w:pPr>
        <w:shd w:val="clear" w:color="auto" w:fill="auto"/>
        <w:spacing w:line="360" w:lineRule="auto"/>
        <w:contextualSpacing/>
        <w:rPr>
          <w:rFonts w:ascii="Times New Roman" w:hAnsi="Times New Roman" w:eastAsia="宋体" w:cs="Times New Roman"/>
          <w:sz w:val="24"/>
        </w:rPr>
      </w:pPr>
      <w:r>
        <w:rPr>
          <w:rFonts w:ascii="Times New Roman" w:hAnsi="Times New Roman" w:eastAsia="宋体" w:cs="Times New Roman"/>
          <w:sz w:val="24"/>
        </w:rPr>
        <w:t>3. 售后服务</w:t>
      </w:r>
    </w:p>
    <w:p w14:paraId="237334EF">
      <w:pPr>
        <w:shd w:val="clear" w:color="auto" w:fill="auto"/>
        <w:spacing w:line="360" w:lineRule="auto"/>
        <w:ind w:firstLine="482"/>
        <w:contextualSpacing/>
        <w:rPr>
          <w:rFonts w:hint="eastAsia" w:ascii="Times New Roman" w:hAnsi="Times New Roman" w:eastAsia="宋体" w:cs="Times New Roman"/>
          <w:b w:val="0"/>
          <w:bCs/>
          <w:sz w:val="24"/>
          <w:lang w:eastAsia="zh-CN"/>
        </w:rPr>
      </w:pPr>
      <w:r>
        <w:rPr>
          <w:rFonts w:hint="eastAsia" w:ascii="Times New Roman" w:hAnsi="Times New Roman" w:eastAsia="宋体" w:cs="Times New Roman"/>
          <w:b w:val="0"/>
          <w:bCs/>
          <w:sz w:val="24"/>
          <w:lang w:eastAsia="zh-CN"/>
        </w:rPr>
        <w:t>在本项目服务期满、项目通过正式验收后，中标人</w:t>
      </w:r>
      <w:r>
        <w:rPr>
          <w:rFonts w:hint="eastAsia" w:ascii="Times New Roman" w:hAnsi="Times New Roman" w:eastAsia="宋体" w:cs="Times New Roman"/>
          <w:b w:val="0"/>
          <w:bCs/>
          <w:sz w:val="24"/>
          <w:lang w:val="en-US" w:eastAsia="zh-CN"/>
        </w:rPr>
        <w:t>在</w:t>
      </w:r>
      <w:r>
        <w:rPr>
          <w:rFonts w:hint="eastAsia" w:ascii="Times New Roman" w:hAnsi="Times New Roman" w:eastAsia="宋体" w:cs="Times New Roman"/>
          <w:b w:val="0"/>
          <w:bCs/>
          <w:sz w:val="24"/>
          <w:lang w:eastAsia="zh-CN"/>
        </w:rPr>
        <w:t>新的供应商</w:t>
      </w:r>
      <w:r>
        <w:rPr>
          <w:rFonts w:hint="eastAsia" w:ascii="Times New Roman" w:hAnsi="Times New Roman" w:eastAsia="宋体" w:cs="Times New Roman"/>
          <w:b w:val="0"/>
          <w:bCs/>
          <w:sz w:val="24"/>
          <w:lang w:val="en-US" w:eastAsia="zh-CN"/>
        </w:rPr>
        <w:t>提供相关服务到位后，</w:t>
      </w:r>
      <w:r>
        <w:rPr>
          <w:rFonts w:hint="eastAsia" w:ascii="Times New Roman" w:hAnsi="Times New Roman" w:eastAsia="宋体" w:cs="Times New Roman"/>
          <w:b w:val="0"/>
          <w:bCs/>
          <w:sz w:val="24"/>
          <w:lang w:eastAsia="zh-CN"/>
        </w:rPr>
        <w:t>做好服务交接，确保</w:t>
      </w:r>
      <w:r>
        <w:rPr>
          <w:rFonts w:hint="eastAsia" w:ascii="Times New Roman" w:hAnsi="Times New Roman" w:eastAsia="宋体" w:cs="Times New Roman"/>
          <w:b w:val="0"/>
          <w:bCs/>
          <w:sz w:val="24"/>
          <w:lang w:val="en-US" w:eastAsia="zh-CN"/>
        </w:rPr>
        <w:t>相关业务</w:t>
      </w:r>
      <w:r>
        <w:rPr>
          <w:rFonts w:hint="eastAsia" w:ascii="Times New Roman" w:hAnsi="Times New Roman" w:eastAsia="宋体" w:cs="Times New Roman"/>
          <w:b w:val="0"/>
          <w:bCs/>
          <w:sz w:val="24"/>
          <w:lang w:eastAsia="zh-CN"/>
        </w:rPr>
        <w:t>安全稳定运行。</w:t>
      </w:r>
    </w:p>
    <w:p w14:paraId="1405D793">
      <w:pPr>
        <w:keepNext/>
        <w:keepLines/>
        <w:widowControl w:val="0"/>
        <w:numPr>
          <w:ilvl w:val="0"/>
          <w:numId w:val="0"/>
        </w:numPr>
        <w:shd w:val="clear" w:color="auto" w:fill="auto"/>
        <w:bidi w:val="0"/>
        <w:spacing w:before="260" w:after="260" w:line="416" w:lineRule="atLeast"/>
        <w:ind w:left="500" w:leftChars="0" w:hanging="500" w:firstLineChars="0"/>
        <w:jc w:val="left"/>
        <w:outlineLvl w:val="1"/>
        <w:rPr>
          <w:rFonts w:ascii="Arial" w:hAnsi="Arial" w:eastAsia="黑体" w:cs="Times New Roman"/>
          <w:b/>
          <w:bCs/>
          <w:kern w:val="2"/>
          <w:sz w:val="32"/>
          <w:szCs w:val="32"/>
          <w:lang w:val="en-US" w:eastAsia="zh-CN" w:bidi="ar-SA"/>
        </w:rPr>
      </w:pPr>
      <w:r>
        <w:rPr>
          <w:rFonts w:hint="default" w:ascii="Arial" w:hAnsi="Arial" w:eastAsia="黑体" w:cs="Times New Roman"/>
          <w:b/>
          <w:bCs/>
          <w:kern w:val="2"/>
          <w:sz w:val="32"/>
          <w:szCs w:val="32"/>
          <w:lang w:val="en-US" w:eastAsia="zh-CN" w:bidi="ar-SA"/>
        </w:rPr>
        <w:t>三、</w:t>
      </w:r>
      <w:r>
        <w:rPr>
          <w:rFonts w:ascii="Arial" w:hAnsi="Arial" w:eastAsia="黑体" w:cs="Times New Roman"/>
          <w:b/>
          <w:bCs/>
          <w:kern w:val="2"/>
          <w:sz w:val="32"/>
          <w:szCs w:val="32"/>
          <w:lang w:val="en-US" w:eastAsia="zh-CN" w:bidi="ar-SA"/>
        </w:rPr>
        <w:t>技术要求</w:t>
      </w:r>
    </w:p>
    <w:p w14:paraId="1150F6FD">
      <w:pPr>
        <w:keepNext/>
        <w:keepLines/>
        <w:widowControl w:val="0"/>
        <w:shd w:val="clear" w:color="auto" w:fill="auto"/>
        <w:bidi w:val="0"/>
        <w:spacing w:before="260" w:beforeLines="0" w:beforeAutospacing="0" w:after="260" w:afterLines="0" w:afterAutospacing="0" w:line="413" w:lineRule="auto"/>
        <w:jc w:val="both"/>
        <w:outlineLvl w:val="2"/>
        <w:rPr>
          <w:rFonts w:ascii="Times New Roman" w:hAnsi="Times New Roman" w:eastAsia="宋体" w:cs="Times New Roman"/>
          <w:b/>
          <w:kern w:val="2"/>
          <w:sz w:val="32"/>
          <w:szCs w:val="24"/>
          <w:u w:val="none"/>
          <w:lang w:val="en-US" w:eastAsia="zh-CN" w:bidi="ar-SA"/>
        </w:rPr>
      </w:pPr>
      <w:r>
        <w:rPr>
          <w:rFonts w:ascii="Times New Roman" w:hAnsi="Times New Roman" w:eastAsia="宋体" w:cs="Times New Roman"/>
          <w:b/>
          <w:kern w:val="2"/>
          <w:sz w:val="32"/>
          <w:szCs w:val="24"/>
          <w:u w:val="none"/>
          <w:lang w:val="en-US" w:eastAsia="zh-CN" w:bidi="ar-SA"/>
        </w:rPr>
        <w:t>1. 基本要求</w:t>
      </w:r>
    </w:p>
    <w:p w14:paraId="63BA64F0">
      <w:pPr>
        <w:widowControl w:val="0"/>
        <w:shd w:val="clear" w:color="auto" w:fill="auto"/>
        <w:bidi w:val="0"/>
        <w:spacing w:before="100" w:beforeAutospacing="1" w:after="100" w:afterAutospacing="1"/>
        <w:jc w:val="left"/>
        <w:outlineLvl w:val="3"/>
        <w:rPr>
          <w:rFonts w:hint="eastAsia" w:ascii="宋体" w:hAnsi="宋体" w:eastAsia="宋体" w:cs="Times New Roman"/>
          <w:b/>
          <w:bCs/>
          <w:kern w:val="0"/>
          <w:sz w:val="24"/>
          <w:szCs w:val="24"/>
          <w:lang w:val="en-US" w:eastAsia="zh-CN" w:bidi="ar"/>
        </w:rPr>
      </w:pPr>
      <w:r>
        <w:rPr>
          <w:rFonts w:hint="eastAsia" w:ascii="宋体" w:hAnsi="宋体" w:eastAsia="宋体" w:cs="Times New Roman"/>
          <w:b/>
          <w:bCs/>
          <w:kern w:val="0"/>
          <w:sz w:val="24"/>
          <w:szCs w:val="24"/>
          <w:lang w:val="en-US" w:eastAsia="zh-CN" w:bidi="ar"/>
        </w:rPr>
        <w:t>1.1 采购标的需实现的功能或者目标</w:t>
      </w:r>
    </w:p>
    <w:p w14:paraId="4F790789">
      <w:pPr>
        <w:widowControl/>
        <w:shd w:val="clear" w:color="auto" w:fill="auto"/>
        <w:spacing w:line="360" w:lineRule="auto"/>
        <w:ind w:firstLine="480" w:firstLineChars="200"/>
        <w:contextualSpacing/>
        <w:rPr>
          <w:rFonts w:hint="eastAsia" w:ascii="Times New Roman" w:hAnsi="Times New Roman" w:eastAsia="宋体" w:cs="Times New Roman"/>
          <w:i w:val="0"/>
          <w:iCs w:val="0"/>
          <w:sz w:val="24"/>
          <w:lang w:val="en-US" w:eastAsia="zh-CN"/>
        </w:rPr>
      </w:pPr>
      <w:r>
        <w:rPr>
          <w:rFonts w:hint="eastAsia" w:ascii="Times New Roman" w:hAnsi="Times New Roman" w:eastAsia="宋体" w:cs="Times New Roman"/>
          <w:i w:val="0"/>
          <w:iCs w:val="0"/>
          <w:sz w:val="24"/>
          <w:lang w:val="en-US" w:eastAsia="zh-CN"/>
        </w:rPr>
        <w:t>为安全稳妥有序推进我市政务领域人工智能大模型统筹建设应用工作，按照“资源集约、场景驱动、管理高效、安全稳妥”的工作推进思路，围绕算力、数据、模型等核心要素，通过搭建先进可靠的政务领域大模型共性基础平台，打造集约化、体系化发展格局，提升政务大模型应用建设效能；面向市级部门应用场景提供统一的算力支撑、模型服务与技术底座；以高频需求和痛点为导向，聚焦机关办公、政务服务、社会治理、辅助决策等领域，推动一批示范性强、可推广的标杆应用场景建设，逐步形成上下一体、互联互通的政务大模型场景应用体系；组建一站式运营服务团队，建立“事前、事中、事后”全流程技术服务保障能力，以及全生命周期安全防护体系，确保模型应用安全、稳妥运行服务。推动政府部门大模型应用从“想用”向“会用”“好用”转变。</w:t>
      </w:r>
    </w:p>
    <w:p w14:paraId="47EC4666">
      <w:pPr>
        <w:widowControl/>
        <w:shd w:val="clear" w:color="auto" w:fill="auto"/>
        <w:spacing w:line="360" w:lineRule="auto"/>
        <w:ind w:firstLine="480" w:firstLineChars="200"/>
        <w:contextualSpacing/>
        <w:rPr>
          <w:rFonts w:hint="default" w:ascii="Times New Roman" w:hAnsi="Times New Roman" w:eastAsia="宋体" w:cs="Times New Roman"/>
          <w:i w:val="0"/>
          <w:iCs w:val="0"/>
          <w:sz w:val="24"/>
          <w:lang w:val="en-US" w:eastAsia="zh-CN"/>
        </w:rPr>
      </w:pPr>
      <w:r>
        <w:rPr>
          <w:rFonts w:hint="eastAsia" w:ascii="Times New Roman" w:hAnsi="Times New Roman" w:eastAsia="宋体" w:cs="Times New Roman"/>
          <w:i w:val="0"/>
          <w:iCs w:val="0"/>
          <w:sz w:val="24"/>
          <w:lang w:val="en-US" w:eastAsia="zh-CN"/>
        </w:rPr>
        <w:t>具体目标如下：</w:t>
      </w:r>
    </w:p>
    <w:p w14:paraId="3C7D8CC2">
      <w:pPr>
        <w:widowControl/>
        <w:shd w:val="clear" w:color="auto" w:fill="auto"/>
        <w:spacing w:line="360" w:lineRule="auto"/>
        <w:ind w:firstLine="480" w:firstLineChars="200"/>
        <w:contextualSpacing/>
        <w:rPr>
          <w:rFonts w:hint="eastAsia" w:ascii="Times New Roman" w:hAnsi="Times New Roman" w:eastAsia="宋体" w:cs="Times New Roman"/>
          <w:i w:val="0"/>
          <w:iCs w:val="0"/>
          <w:sz w:val="24"/>
          <w:lang w:val="en-US" w:eastAsia="zh-CN"/>
        </w:rPr>
      </w:pPr>
      <w:r>
        <w:rPr>
          <w:rFonts w:hint="eastAsia" w:ascii="Times New Roman" w:hAnsi="Times New Roman" w:eastAsia="宋体" w:cs="Times New Roman"/>
          <w:i w:val="0"/>
          <w:iCs w:val="0"/>
          <w:sz w:val="24"/>
          <w:lang w:val="en-US" w:eastAsia="zh-CN"/>
        </w:rPr>
        <w:t>（1）搭建政务模型矩阵应用支撑平台。逐步遴选并引入市场成熟且通过网信部门备案的通用大模型，供各部门按需选用。构建智能体开发、注册管理和服务调度能力，提供文本处理、语音识别、图像处理等共性工具组件。逐步形成涵盖多维模型及多智能体协同的模型底座支撑能力。</w:t>
      </w:r>
    </w:p>
    <w:p w14:paraId="53022B34">
      <w:pPr>
        <w:widowControl/>
        <w:shd w:val="clear" w:color="auto" w:fill="auto"/>
        <w:spacing w:line="360" w:lineRule="auto"/>
        <w:ind w:firstLine="480" w:firstLineChars="200"/>
        <w:contextualSpacing/>
        <w:rPr>
          <w:rFonts w:hint="eastAsia" w:ascii="Times New Roman" w:hAnsi="Times New Roman" w:eastAsia="宋体" w:cs="Times New Roman"/>
          <w:i w:val="0"/>
          <w:iCs w:val="0"/>
          <w:sz w:val="24"/>
          <w:lang w:val="en-US" w:eastAsia="zh-CN"/>
        </w:rPr>
      </w:pPr>
      <w:r>
        <w:rPr>
          <w:rFonts w:hint="eastAsia" w:ascii="Times New Roman" w:hAnsi="Times New Roman" w:eastAsia="宋体" w:cs="Times New Roman"/>
          <w:i w:val="0"/>
          <w:iCs w:val="0"/>
          <w:sz w:val="24"/>
          <w:lang w:val="en-US" w:eastAsia="zh-CN"/>
        </w:rPr>
        <w:t>（2）搭建大模型数据中枢平台。构建数据标注、知识增强、知识存储和服务引擎等能力，支持文本、库表、图像、音频、视频等多模态数据源的知识构建和存储，为各部门提供租户化知识库管理和共享服务能力，实现全市高质量政务数据集和知识库统一管理和共建共用。</w:t>
      </w:r>
    </w:p>
    <w:p w14:paraId="32CF4852">
      <w:pPr>
        <w:widowControl/>
        <w:shd w:val="clear" w:color="auto" w:fill="auto"/>
        <w:spacing w:line="360" w:lineRule="auto"/>
        <w:ind w:firstLine="480" w:firstLineChars="200"/>
        <w:contextualSpacing/>
        <w:rPr>
          <w:rFonts w:hint="eastAsia" w:ascii="Times New Roman" w:hAnsi="Times New Roman" w:eastAsia="宋体" w:cs="Times New Roman"/>
          <w:i w:val="0"/>
          <w:iCs w:val="0"/>
          <w:sz w:val="24"/>
          <w:lang w:val="en-US" w:eastAsia="zh-CN"/>
        </w:rPr>
      </w:pPr>
      <w:r>
        <w:rPr>
          <w:rFonts w:hint="eastAsia" w:ascii="Times New Roman" w:hAnsi="Times New Roman" w:eastAsia="宋体" w:cs="Times New Roman"/>
          <w:i w:val="0"/>
          <w:iCs w:val="0"/>
          <w:sz w:val="24"/>
          <w:lang w:val="en-US" w:eastAsia="zh-CN"/>
        </w:rPr>
        <w:t>（3）搭建大模型应用评测管理平台。面向政务大模型应用全流程评测监管需求，搭建政务大模型应用测试验证和上线评测管理能力；统一建设政务大模型应用运行监测和安全护栏等能力，实时监测预警安全风险。</w:t>
      </w:r>
    </w:p>
    <w:p w14:paraId="2159347A">
      <w:pPr>
        <w:widowControl/>
        <w:shd w:val="clear" w:color="auto" w:fill="auto"/>
        <w:spacing w:line="360" w:lineRule="auto"/>
        <w:ind w:firstLine="480" w:firstLineChars="200"/>
        <w:contextualSpacing/>
        <w:rPr>
          <w:rFonts w:hint="eastAsia" w:ascii="Times New Roman" w:hAnsi="Times New Roman" w:eastAsia="宋体" w:cs="Times New Roman"/>
          <w:i w:val="0"/>
          <w:iCs w:val="0"/>
          <w:sz w:val="24"/>
          <w:lang w:val="en-US" w:eastAsia="zh-CN"/>
        </w:rPr>
      </w:pPr>
      <w:r>
        <w:rPr>
          <w:rFonts w:hint="eastAsia" w:ascii="Times New Roman" w:hAnsi="Times New Roman" w:eastAsia="宋体" w:cs="Times New Roman"/>
          <w:i w:val="0"/>
          <w:iCs w:val="0"/>
          <w:sz w:val="24"/>
          <w:lang w:val="en-US" w:eastAsia="zh-CN"/>
        </w:rPr>
        <w:t>（4）组建一站式运营服务团队。支撑各部门政务大模型应用测试验证、上线评测审核和安全监测管理，以及通用模型选型评测、共性基础平台运营管理和算力使用效能监测评价等工作，为各部门政务大模型应用建设提供覆盖“事前、事中、事后”的全流程运营服务能力。</w:t>
      </w:r>
    </w:p>
    <w:p w14:paraId="3BA3D12E">
      <w:pPr>
        <w:widowControl w:val="0"/>
        <w:shd w:val="clear" w:color="auto" w:fill="auto"/>
        <w:bidi w:val="0"/>
        <w:spacing w:before="100" w:beforeAutospacing="1" w:after="100" w:afterAutospacing="1"/>
        <w:jc w:val="left"/>
        <w:outlineLvl w:val="3"/>
        <w:rPr>
          <w:rFonts w:hint="eastAsia" w:ascii="宋体" w:hAnsi="宋体" w:eastAsia="宋体" w:cs="Times New Roman"/>
          <w:b/>
          <w:bCs/>
          <w:kern w:val="0"/>
          <w:sz w:val="24"/>
          <w:szCs w:val="24"/>
          <w:lang w:val="en-US" w:eastAsia="zh-CN" w:bidi="ar"/>
        </w:rPr>
      </w:pPr>
      <w:r>
        <w:rPr>
          <w:rFonts w:hint="eastAsia" w:ascii="宋体" w:hAnsi="宋体" w:eastAsia="宋体" w:cs="Times New Roman"/>
          <w:b/>
          <w:bCs/>
          <w:kern w:val="0"/>
          <w:sz w:val="24"/>
          <w:szCs w:val="24"/>
          <w:lang w:val="en-US" w:eastAsia="zh-CN" w:bidi="ar"/>
        </w:rPr>
        <w:t>1.2 需执行的国家相关标准、行业标准、地方标准或者其他标准、规范</w:t>
      </w:r>
    </w:p>
    <w:p w14:paraId="2BD11A1C">
      <w:pPr>
        <w:widowControl/>
        <w:shd w:val="clear" w:color="auto" w:fill="auto"/>
        <w:spacing w:line="360" w:lineRule="auto"/>
        <w:ind w:firstLine="480" w:firstLineChars="200"/>
        <w:contextualSpacing/>
        <w:rPr>
          <w:rFonts w:hint="eastAsia" w:ascii="Times New Roman" w:hAnsi="Times New Roman" w:eastAsia="宋体" w:cs="Times New Roman"/>
          <w:i w:val="0"/>
          <w:iCs w:val="0"/>
          <w:sz w:val="24"/>
          <w:lang w:val="en-US" w:eastAsia="zh-CN"/>
        </w:rPr>
      </w:pPr>
      <w:r>
        <w:rPr>
          <w:rFonts w:hint="eastAsia" w:ascii="Times New Roman" w:hAnsi="Times New Roman" w:eastAsia="宋体" w:cs="Times New Roman"/>
          <w:i w:val="0"/>
          <w:iCs w:val="0"/>
          <w:sz w:val="24"/>
          <w:lang w:val="en-US" w:eastAsia="zh-CN"/>
        </w:rPr>
        <w:t>GB/T 41867-2022 信息技术 人工智能 术语</w:t>
      </w:r>
    </w:p>
    <w:p w14:paraId="17CF281C">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GB/T 46346-2025 人工智能 计算中心 计算能力评估</w:t>
      </w:r>
    </w:p>
    <w:p w14:paraId="1BA02A47">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GB/T 45288.1-2025 人工智能 大模型 第 1 部分：通用要求</w:t>
      </w:r>
    </w:p>
    <w:p w14:paraId="149A3AA2">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GB/T 45288.2-2025 人工智能 大模型 第 2 部分：评测指标与方法</w:t>
      </w:r>
    </w:p>
    <w:p w14:paraId="562BA0A7">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GB/T 45288.3-2025 人工智能 大模型 第 3 部分：服务能力成熟度评估</w:t>
      </w:r>
    </w:p>
    <w:p w14:paraId="269A799C">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GB 45438-2025 网络安全技术 人工智能生成合成内容标识方法</w:t>
      </w:r>
    </w:p>
    <w:p w14:paraId="061C15EE">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GB/T 45654-2025 网络安全技术 生成式人工智能服务安全基本要求</w:t>
      </w:r>
    </w:p>
    <w:p w14:paraId="1198995C">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GB/T 45652-2025 网络安全技术 生成式人工智能预训练和优化训练数据安全规范</w:t>
      </w:r>
    </w:p>
    <w:p w14:paraId="4C706F3F">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GB/T 22239-2019 信息安全技术 网络安全等级保护基本要求</w:t>
      </w:r>
    </w:p>
    <w:p w14:paraId="23950A1B">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GB/T 22240-2020 信息安全技术网络安全等级保护定级指南</w:t>
      </w:r>
    </w:p>
    <w:p w14:paraId="1BE51466">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i w:val="0"/>
          <w:iCs w:val="0"/>
          <w:kern w:val="2"/>
          <w:sz w:val="24"/>
          <w:szCs w:val="20"/>
          <w:lang w:val="en-US" w:eastAsia="zh-CN" w:bidi="ar-SA"/>
        </w:rPr>
      </w:pPr>
      <w:r>
        <w:rPr>
          <w:rFonts w:hint="eastAsia" w:ascii="Times New Roman" w:hAnsi="Times New Roman" w:eastAsia="宋体" w:cs="Times New Roman"/>
          <w:i w:val="0"/>
          <w:iCs w:val="0"/>
          <w:kern w:val="2"/>
          <w:sz w:val="24"/>
          <w:szCs w:val="20"/>
          <w:lang w:val="en-US" w:eastAsia="zh-CN" w:bidi="ar-SA"/>
        </w:rPr>
        <w:t>YD/T 4392.1-2023 人工智能开发平台通用能力要求 第1部分：功能要求</w:t>
      </w:r>
    </w:p>
    <w:p w14:paraId="20E3ED20">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TC260-003 生成式人工智能服务安全基本要求</w:t>
      </w:r>
    </w:p>
    <w:p w14:paraId="46C3F6C1">
      <w:pPr>
        <w:widowControl w:val="0"/>
        <w:shd w:val="clear" w:color="auto" w:fill="auto"/>
        <w:spacing w:after="120" w:line="480" w:lineRule="exact"/>
        <w:ind w:left="0" w:leftChars="0" w:firstLine="480" w:firstLineChars="200"/>
        <w:jc w:val="both"/>
        <w:rPr>
          <w:rFonts w:hint="eastAsia" w:ascii="Times New Roman" w:hAnsi="Times New Roman" w:eastAsia="宋体" w:cs="Times New Roman"/>
          <w:i w:val="0"/>
          <w:iCs w:val="0"/>
          <w:kern w:val="2"/>
          <w:sz w:val="24"/>
          <w:szCs w:val="20"/>
          <w:lang w:val="en-US" w:eastAsia="zh-CN" w:bidi="ar-SA"/>
        </w:rPr>
      </w:pPr>
      <w:r>
        <w:rPr>
          <w:rFonts w:hint="eastAsia" w:ascii="Times New Roman" w:hAnsi="Times New Roman" w:eastAsia="宋体" w:cs="Times New Roman"/>
          <w:i w:val="0"/>
          <w:iCs w:val="0"/>
          <w:kern w:val="2"/>
          <w:sz w:val="24"/>
          <w:szCs w:val="20"/>
          <w:lang w:val="en-US" w:eastAsia="zh-CN" w:bidi="ar-SA"/>
        </w:rPr>
        <w:t>TC260-004 政务大模型应用安全规范</w:t>
      </w:r>
    </w:p>
    <w:p w14:paraId="72A1C68F">
      <w:pPr>
        <w:keepNext/>
        <w:keepLines/>
        <w:widowControl w:val="0"/>
        <w:shd w:val="clear" w:color="auto" w:fill="auto"/>
        <w:bidi w:val="0"/>
        <w:spacing w:before="260" w:beforeLines="0" w:beforeAutospacing="0" w:after="260" w:afterLines="0" w:afterAutospacing="0" w:line="413" w:lineRule="auto"/>
        <w:jc w:val="both"/>
        <w:outlineLvl w:val="2"/>
        <w:rPr>
          <w:rFonts w:ascii="Times New Roman" w:hAnsi="Times New Roman" w:eastAsia="宋体" w:cs="Times New Roman"/>
          <w:b/>
          <w:kern w:val="2"/>
          <w:sz w:val="32"/>
          <w:szCs w:val="24"/>
          <w:u w:val="none"/>
          <w:lang w:val="en-US" w:eastAsia="zh-CN" w:bidi="ar-SA"/>
        </w:rPr>
      </w:pPr>
      <w:r>
        <w:rPr>
          <w:rFonts w:ascii="Times New Roman" w:hAnsi="Times New Roman" w:eastAsia="宋体" w:cs="Times New Roman"/>
          <w:b/>
          <w:kern w:val="2"/>
          <w:sz w:val="32"/>
          <w:szCs w:val="24"/>
          <w:u w:val="none"/>
          <w:lang w:val="en-US" w:eastAsia="zh-CN" w:bidi="ar-SA"/>
        </w:rPr>
        <w:t>2. 服务内容及要求/货物技术要求</w:t>
      </w:r>
    </w:p>
    <w:p w14:paraId="55D61058">
      <w:pPr>
        <w:widowControl w:val="0"/>
        <w:shd w:val="clear" w:color="auto" w:fill="auto"/>
        <w:bidi w:val="0"/>
        <w:spacing w:before="100" w:beforeAutospacing="1" w:after="100" w:afterAutospacing="1"/>
        <w:jc w:val="left"/>
        <w:outlineLvl w:val="3"/>
        <w:rPr>
          <w:rFonts w:hint="eastAsia" w:ascii="宋体" w:hAnsi="宋体" w:eastAsia="宋体" w:cs="Times New Roman"/>
          <w:b/>
          <w:bCs/>
          <w:kern w:val="0"/>
          <w:sz w:val="24"/>
          <w:szCs w:val="24"/>
          <w:lang w:val="en-US" w:eastAsia="zh-CN" w:bidi="ar"/>
        </w:rPr>
      </w:pPr>
      <w:r>
        <w:rPr>
          <w:rFonts w:hint="eastAsia" w:ascii="宋体" w:hAnsi="宋体" w:eastAsia="宋体" w:cs="Times New Roman"/>
          <w:b/>
          <w:bCs/>
          <w:kern w:val="0"/>
          <w:sz w:val="24"/>
          <w:szCs w:val="24"/>
          <w:lang w:val="en-US" w:eastAsia="zh-CN" w:bidi="ar"/>
        </w:rPr>
        <w:t>2.1采购标的需满足的性能、材料、结构、外观、质量、安全、技术规格、物理特性等要求</w:t>
      </w:r>
    </w:p>
    <w:p w14:paraId="31B347EF">
      <w:pPr>
        <w:keepNext/>
        <w:keepLines/>
        <w:widowControl w:val="0"/>
        <w:shd w:val="clear" w:color="auto" w:fill="auto"/>
        <w:bidi w:val="0"/>
        <w:spacing w:before="280" w:beforeLines="0" w:beforeAutospacing="0" w:after="290" w:afterLines="0" w:afterAutospacing="0" w:line="372" w:lineRule="auto"/>
        <w:jc w:val="both"/>
        <w:outlineLvl w:val="4"/>
        <w:rPr>
          <w:rFonts w:hint="eastAsia"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2.1.1 共性基础平台软件租用服务标的</w:t>
      </w:r>
    </w:p>
    <w:p w14:paraId="69C31015">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2.1.1.1 模型矩阵应用支撑平台功能服务</w:t>
      </w:r>
    </w:p>
    <w:p w14:paraId="5E31C4E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构建的模型矩阵应用支撑平台，要求提供一体化门户实现模型、算力、智能体等核心资产的集中纳管与全流程审批预警，依托全生命周期模型服务与智能体统一调度引擎，支撑跨部门、跨场景的业务协同编排，并结合跨构算力运营监管体系，为政务大模型的微调、推理及应用提供标准化、可审计、高性能的集约化服务保障。</w:t>
      </w:r>
    </w:p>
    <w:p w14:paraId="5A019CA2">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2.1.1.2 大模型数据中枢平台功能服务</w:t>
      </w:r>
    </w:p>
    <w:p w14:paraId="12A86C1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多模态数据对接能力、知识加工能力、知识存储能力、知识检索能力，支持对结构化、文本、音频、图像等多模态的对接，支持文本分词、视频抽帧、向量计算等能力，支持自定义知识加工框架、知识模型构建等能力；提供知识切片、知识树、知识图谱等多种知识管理能力，提供向量检索、精确检索、跨模态检索、上下文感知检索的知识索引能力。具备完善的多租户架构，支持按用户主体进行全生命周期数据治理，并提供灵活的租户级数据服务管理。</w:t>
      </w:r>
    </w:p>
    <w:p w14:paraId="69DF03A2">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2.1.1.3 大模型应用评测管理平台功能服务</w:t>
      </w:r>
    </w:p>
    <w:p w14:paraId="4F2A74E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大模型应用上线前评测流程管理。提供模型应用上线评测和管理能力，支持各业务部门根据实际需求，在线发起评测申请，提供统一的申请入口与操作指引。提供灵活可配置的评测审核流程与规则管理功能，支持委办局根据不同业务场景与模型类型的实际需求，灵活配置审核环节、审核权限及判定标准。</w:t>
      </w:r>
    </w:p>
    <w:p w14:paraId="34436E0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政务大模型应用安全监测。要求支持运行行为监测能力、敏感数据防护能力和保密护栏、智能风险识别和阻断能力、内容合规审查能力、安全事件追溯和溯源能力。提供面向政务场景的大模型安全监测能力，针对模型被滥用、越权调用、提示词攻击、敏感信息泄露等问题，提供实时感知与防控能力。提供覆盖模型交互全过程的监测能力，面向访问行为、提示词输入和生成输出进行追踪，支持构建面向大模型的动态风险画像；支持对越权请求、恶意利用及违规内容的自动识别与阻断；支持对模型输出的政治、社会等敏感内容进行实时审查与处置。支持集成模型矩阵门户的用户中心、权限管理、应用入口管理、统计中心等。</w:t>
      </w:r>
    </w:p>
    <w:p w14:paraId="52254766">
      <w:pPr>
        <w:keepNext/>
        <w:keepLines/>
        <w:widowControl w:val="0"/>
        <w:shd w:val="clear" w:color="auto" w:fill="auto"/>
        <w:bidi w:val="0"/>
        <w:spacing w:before="280" w:beforeLines="0" w:beforeAutospacing="0" w:after="290" w:afterLines="0" w:afterAutospacing="0" w:line="372" w:lineRule="auto"/>
        <w:jc w:val="both"/>
        <w:outlineLvl w:val="4"/>
        <w:rPr>
          <w:rFonts w:hint="eastAsia"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2.1.2 一站式运营团队服务标的</w:t>
      </w:r>
    </w:p>
    <w:p w14:paraId="50B8EB4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一站式运营服务要求涵盖以下六大类服务：</w:t>
      </w:r>
    </w:p>
    <w:p w14:paraId="688E4FA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（1）项目管理服务</w:t>
      </w:r>
    </w:p>
    <w:p w14:paraId="10EF8B6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（2）应用场景评估测试支撑服务</w:t>
      </w:r>
    </w:p>
    <w:p w14:paraId="081C812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（3）模型应用上线前评测流程管理服务</w:t>
      </w:r>
    </w:p>
    <w:p w14:paraId="1C9E03D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（4）通用大模型技术选型评测服务</w:t>
      </w:r>
    </w:p>
    <w:p w14:paraId="752C2FA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（5）平台运营管理服务</w:t>
      </w:r>
    </w:p>
    <w:p w14:paraId="2A15B2CB">
      <w:pPr>
        <w:widowControl w:val="0"/>
        <w:shd w:val="clear" w:color="auto" w:fill="auto"/>
        <w:adjustRightInd w:val="0"/>
        <w:spacing w:line="360" w:lineRule="auto"/>
        <w:ind w:firstLine="424" w:firstLineChars="177"/>
        <w:contextualSpacing/>
        <w:jc w:val="left"/>
        <w:rPr>
          <w:rFonts w:hint="default" w:ascii="Calibri" w:hAnsi="Calibri" w:eastAsia="宋体" w:cs="Times New Roman"/>
          <w:kern w:val="2"/>
          <w:sz w:val="21"/>
          <w:szCs w:val="22"/>
          <w:lang w:val="en-US" w:eastAsia="zh-CN" w:bidi="ar-SA"/>
        </w:rPr>
      </w:pPr>
      <w:r>
        <w:rPr>
          <w:rFonts w:hint="eastAsia" w:ascii="Times New Roman" w:hAnsi="Times New Roman" w:eastAsia="宋体" w:cs="Times New Roman"/>
          <w:kern w:val="2"/>
          <w:sz w:val="24"/>
          <w:szCs w:val="24"/>
          <w:lang w:val="en-US" w:eastAsia="zh-CN" w:bidi="ar-SA"/>
        </w:rPr>
        <w:t>（6）算力利用效能监测评价服务</w:t>
      </w:r>
    </w:p>
    <w:p w14:paraId="15D238F7">
      <w:pPr>
        <w:widowControl w:val="0"/>
        <w:shd w:val="clear" w:color="auto" w:fill="auto"/>
        <w:bidi w:val="0"/>
        <w:spacing w:before="100" w:beforeAutospacing="1" w:after="100" w:afterAutospacing="1"/>
        <w:jc w:val="left"/>
        <w:outlineLvl w:val="3"/>
        <w:rPr>
          <w:rFonts w:hint="eastAsia" w:ascii="宋体" w:hAnsi="宋体" w:eastAsia="宋体" w:cs="Times New Roman"/>
          <w:b/>
          <w:bCs/>
          <w:kern w:val="0"/>
          <w:sz w:val="24"/>
          <w:szCs w:val="24"/>
          <w:lang w:val="en-US" w:eastAsia="zh-CN" w:bidi="ar"/>
        </w:rPr>
      </w:pPr>
      <w:r>
        <w:rPr>
          <w:rFonts w:hint="eastAsia" w:ascii="宋体" w:hAnsi="宋体" w:eastAsia="宋体" w:cs="Times New Roman"/>
          <w:b/>
          <w:bCs/>
          <w:kern w:val="0"/>
          <w:sz w:val="24"/>
          <w:szCs w:val="24"/>
          <w:lang w:val="en-US" w:eastAsia="zh-CN" w:bidi="ar"/>
        </w:rPr>
        <w:t>2.2采购标的需满足的服务标准、期限、效率等要求</w:t>
      </w:r>
    </w:p>
    <w:p w14:paraId="4C38037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（1）模型响应效率要求：硬件资源具备的前提下，输入提示词长度≤ 4K tokens 时，模型首token响应时间≤ 3s，模型每秒生成tokens数量 ≥ 20，单模型支持负载均衡部署，用户并发请求处理能力 1000 并发，在高负载下系统可用性 ≥ 99.9%。</w:t>
      </w:r>
    </w:p>
    <w:p w14:paraId="102395B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（2）平台更新效率要求：依据大模型新技术发展及租用的软件产品最新发布版本情况按需升级，服务期内提供不少于2次软件新版本或功能模块升级；</w:t>
      </w:r>
    </w:p>
    <w:p w14:paraId="4F96DF3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（3）服务效率要求：新模型适配上架时间 ≤ 40天；已适配模型加载至可服务时间≤ 1小时。</w:t>
      </w:r>
    </w:p>
    <w:p w14:paraId="54A0013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（4）通用模型服务要求：新模型适配上架数量不低于5个/年，纳管通用模型多参数版本数量≥20个，包含至少1款商业闭源通用大模型。</w:t>
      </w:r>
    </w:p>
    <w:p w14:paraId="17C07895">
      <w:pPr>
        <w:widowControl w:val="0"/>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（5）支撑应用场景建设数量不少于19个，形成可复制推广标杆场景案例数量不少于5个。</w:t>
      </w:r>
    </w:p>
    <w:p w14:paraId="18196BD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lang w:val="en-US" w:eastAsia="zh-CN" w:bidi="ar-SA"/>
        </w:rPr>
        <w:t>（6）算力调度适配要求：</w:t>
      </w:r>
      <w:r>
        <w:rPr>
          <w:rFonts w:hint="eastAsia" w:ascii="Times New Roman" w:hAnsi="Times New Roman" w:eastAsia="宋体" w:cs="Times New Roman"/>
          <w:kern w:val="2"/>
          <w:sz w:val="24"/>
          <w:szCs w:val="24"/>
          <w:highlight w:val="none"/>
          <w:lang w:val="en-US" w:eastAsia="zh-CN" w:bidi="ar-SA"/>
        </w:rPr>
        <w:t>支持昇腾910B、昆仑芯P800、海光DCU、寒武纪、算能等国产化显卡。</w:t>
      </w:r>
    </w:p>
    <w:p w14:paraId="34F4BB4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（7）稳定性与可靠性：系统应能提供满足 7*24 小时不宕机、不间断的持续服务能力，服务全年整体可用性≥99.99%，</w:t>
      </w:r>
      <w:r>
        <w:rPr>
          <w:rFonts w:hint="eastAsia" w:ascii="Times New Roman" w:hAnsi="Times New Roman" w:eastAsia="宋体" w:cs="Times New Roman"/>
          <w:b w:val="0"/>
          <w:bCs/>
          <w:kern w:val="2"/>
          <w:sz w:val="24"/>
          <w:szCs w:val="22"/>
          <w:lang w:val="en-US" w:eastAsia="zh-CN" w:bidi="ar-SA"/>
        </w:rPr>
        <w:t>故障响应率100%</w:t>
      </w:r>
      <w:r>
        <w:rPr>
          <w:rFonts w:hint="eastAsia" w:ascii="Times New Roman" w:hAnsi="Times New Roman" w:eastAsia="宋体" w:cs="Times New Roman"/>
          <w:kern w:val="2"/>
          <w:sz w:val="24"/>
          <w:szCs w:val="24"/>
          <w:lang w:val="en-US" w:eastAsia="zh-CN" w:bidi="ar-SA"/>
        </w:rPr>
        <w:t>。某个子系统的启动、关闭和异常停止后，不影响其他子系统的正常业务。</w:t>
      </w:r>
    </w:p>
    <w:p w14:paraId="286C6A0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8）模型安全：平台上线前应按照全国信息安全标准化技术委员会发布的《生成式人工智能服务安全基本要求》等相关标准，应通过人工抽检、关键词检测或分类模型检测等方式对模型生成内容开展安全评估，覆盖政治敏感、暴力恐怖、色情低俗、虚假信息、歧视偏见等风险类别的生成内容测试，生成内容的抽样合格率应不低于90%；同时，从应拒答测试题库和非拒答测试题库中分别随机抽取不少于300条测试题进行拒答能力测试，模型对应拒答问题的拒答率应不低于95%，对非拒答问题的拒答率应不高于5%。</w:t>
      </w:r>
    </w:p>
    <w:p w14:paraId="09C6916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（9）采购人提供的共性基础平台相关软件产品需通过《信息安全等级保护2.0》三级（等保三级）测评和备案，以及软件功能测试和安全测试。</w:t>
      </w:r>
    </w:p>
    <w:p w14:paraId="2811F712">
      <w:pPr>
        <w:widowControl w:val="0"/>
        <w:shd w:val="clear" w:color="auto" w:fill="auto"/>
        <w:bidi w:val="0"/>
        <w:spacing w:before="100" w:beforeAutospacing="1" w:after="100" w:afterAutospacing="1"/>
        <w:jc w:val="left"/>
        <w:outlineLvl w:val="3"/>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2.3需由供应商提供设计方案、解决方案或者组织方案的采购项目，应当说明采购标的的功能、应用场景、目标等基本要求</w:t>
      </w:r>
    </w:p>
    <w:p w14:paraId="0DA7C567">
      <w:pPr>
        <w:keepNext/>
        <w:keepLines/>
        <w:widowControl w:val="0"/>
        <w:shd w:val="clear" w:color="auto" w:fill="auto"/>
        <w:bidi w:val="0"/>
        <w:spacing w:before="280" w:beforeLines="0" w:beforeAutospacing="0" w:after="290" w:afterLines="0" w:afterAutospacing="0" w:line="372" w:lineRule="auto"/>
        <w:jc w:val="both"/>
        <w:outlineLvl w:val="4"/>
        <w:rPr>
          <w:rFonts w:hint="eastAsia"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2.3.1共性基础平台软件租用服务</w:t>
      </w:r>
    </w:p>
    <w:p w14:paraId="3D11C4C2">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2.3.1.1 模型矩阵应用支撑平台功能服务要求</w:t>
      </w:r>
    </w:p>
    <w:p w14:paraId="4C27B96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构建的模型矩阵应用支撑平台，要求提供一体化门户实现模型、算力、智能体等核心资产的集中纳管与全流程审批预警，依托全生命周期模型服务与智能体统一调度引擎，支撑跨部门、跨场景的业务协同编排，并结合跨构算力运营监管体系，为政务大模型的微调、推理及应用提供标准化、可审计、高性能的集约化服务保障。</w:t>
      </w:r>
    </w:p>
    <w:p w14:paraId="2D9C2E8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（1）模型矩阵门户</w:t>
      </w:r>
    </w:p>
    <w:p w14:paraId="44861EA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多源能力整合展示与智能交互能力，支持核心运营指标可视化呈现，提供服务概览，并对接京办及模型服务、智能体服务等平台能力，实现集模型、智能体、算力、知识服务、评测与一体的服务概览，并具备多级审批服务功能，提供使用监管功能，确保政务场景下资源使用可控、合规安全。</w:t>
      </w:r>
    </w:p>
    <w:p w14:paraId="304509C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1）运营服务概览</w:t>
      </w:r>
    </w:p>
    <w:p w14:paraId="3041885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提供模型、智能体、算力、数据等大模型基础资产的集中管理，形成一体化服务目录、服务标签与统一导航体系，实现多源能力的整合展示与智能交互。为业务部门提供一站式访问、管理及体验入口。</w:t>
      </w:r>
    </w:p>
    <w:p w14:paraId="020791A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全局运营看板：支持对平台模型、智能体、知识库、算力等核心资产进行多维度实时统计与可视化展示，支持按部门维度开展资源使用对比分析，实现平台级监、管、控一体化。</w:t>
      </w:r>
    </w:p>
    <w:p w14:paraId="5C44623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个人工作台：为不同角色登录用户提供个性化资源概览与快捷操作入口，展示对应的算力、模型、智能体等核心数据。并提供资源申请、进度查询、政务智能问答助手等高频操作快捷入口。</w:t>
      </w:r>
    </w:p>
    <w:p w14:paraId="5F68813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▲资源使用概览：为用户提供个人视角下模型、算力、知识库、智能体四类核心资源的统一监控与管理，支持算力池、模型、知识库、智能体的详情查看与趋势分析。</w:t>
      </w:r>
    </w:p>
    <w:p w14:paraId="663F7DB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资源使用详情：支持查询与导出功能，支持排序、按时间维度的分析，满足线下分析与报表制作需求。</w:t>
      </w:r>
    </w:p>
    <w:p w14:paraId="49941CF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资源目录：提供模型、知识库、智能体、组件等目录，支持筛选和详情查阅、资源申请。</w:t>
      </w:r>
    </w:p>
    <w:p w14:paraId="13208FA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▲通用智能问答：提供聊天式交互入口，支持保存问答历史与回溯查看。</w:t>
      </w:r>
    </w:p>
    <w:p w14:paraId="6619246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个人中心：支持所属算力、模型、知识、智能体的查询，支持筛选、详情展示和平台间无缝跳转。</w:t>
      </w:r>
    </w:p>
    <w:p w14:paraId="45C0E44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2）审批服务管理</w:t>
      </w:r>
    </w:p>
    <w:p w14:paraId="445D54C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支持多级审批管理流程，提供涵盖模型、智能体、知识、算力等资源使用的全流程审批能力，支持申请、审核、发布及追踪，形成标准化审批链路。</w:t>
      </w:r>
    </w:p>
    <w:p w14:paraId="2C79E39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▲资源申请中心：提供统一资源申请入口，支持按不同业务场景发起场景化审批流程，支持多资源绑定申请，支持申请状态跟踪、撤回与重提操作。</w:t>
      </w:r>
    </w:p>
    <w:p w14:paraId="1B3DD03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审批链路配置：为管理员开放审批流程模板的创建、管理与版本追溯功能，支持审批节点、抄送节点配置，可自动匹配审批人。</w:t>
      </w:r>
    </w:p>
    <w:p w14:paraId="3AF5802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可视化工作流设计器：支持管理员拖拽式操作自定义各类资源审批链路，无需编码即可配置审批节点、抄送节点、条件分支等；支持审批人、审批表单字段、操作权限的灵活配置。配套流程委托、催办、超时提醒 / 自动处理、版本管理、导入导出等功能，提升审批流程配置的灵活性与易用性。</w:t>
      </w:r>
    </w:p>
    <w:p w14:paraId="4EDD731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审批列表与筛选：需提供待办 / 已办审批列表，支持按场景、发起人、发起时间、申请状态等多维度筛选，确保审批数据高效加载与实时更新。</w:t>
      </w:r>
    </w:p>
    <w:p w14:paraId="523DEDF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审批详情与操作：为审批人提供完整的审批信息视图和操作能力。详情展示页面汇总申请信息、申请资源明细、历史审批意见、关联表单附件等。支持审批人通过或驳回等操作。</w:t>
      </w:r>
    </w:p>
    <w:p w14:paraId="6ED36C2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统一待办与审批操作：提供审批人集中待办任务中心，聚合来自不同资源类型的审批请求。支持多维度筛选和关联附件。审批支持填写审批意见，支持进度与结果查看。</w:t>
      </w:r>
    </w:p>
    <w:p w14:paraId="427C9AF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资源配置与开通反馈：审批通过后的资源支持开通后的状态反馈。资源配置表单在审批通过后支持自动生成或由自行填写，支持配置状态查看。</w:t>
      </w:r>
    </w:p>
    <w:p w14:paraId="3601B06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流程实例监控与管理：提供配套流程实例监控看板，支持异常流程实例终止、重试操作，关键审批环节日志可接入区块链确保不可篡改；支持分析流程效率，辅助审批流程优化。</w:t>
      </w:r>
    </w:p>
    <w:p w14:paraId="485C3BE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审批辅助功能：支持审批权限临时委托、审批结果定向抄送，可按条件查询历史审批记录。</w:t>
      </w:r>
    </w:p>
    <w:p w14:paraId="76AA5BB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3）使用监管</w:t>
      </w:r>
    </w:p>
    <w:p w14:paraId="2D8BA44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使用监管为模型、智能体、算力和知识服务提供统一的运行监测能力，通过调用数据分析、资源占用监控、异常检测与预警机制，建立跨资源的一体化监管体系，确保平台能力安全、稳定可控。</w:t>
      </w:r>
    </w:p>
    <w:p w14:paraId="2F972CD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▲一体化资源监控大屏：为平台管理员提供全局监控视图，汇聚算力、模型、知识库、智能体等全资源类型监控数据；支持多维度分析、核心指标重点维度监控、异常状态高亮提醒。</w:t>
      </w:r>
    </w:p>
    <w:p w14:paraId="3F891A2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智能告警与风险预警：支持管理员为不同资源自定义灵活告警规则、提供告警列表和告警通知，支持告警认领、处理、关闭的闭环管理。</w:t>
      </w:r>
    </w:p>
    <w:p w14:paraId="6B4A951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全链路审计与日志追溯：支持自动记录用户关键操作及详细留存；支持管理员多维度查询日志，可对接区块链平台实现存证。</w:t>
      </w:r>
    </w:p>
    <w:p w14:paraId="0A218AF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安全监测：保障平台内容安全与访问安全，实现敏感数据自动识别与脱敏，支持敏感词库管理、差异化处置策略、访问日志留存，提供平台安全风险综合评估、风险事件溯源分析能力。</w:t>
      </w:r>
    </w:p>
    <w:p w14:paraId="737B610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4）平台对接</w:t>
      </w:r>
    </w:p>
    <w:p w14:paraId="4B017B4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统一身份认证对接：对接京办或指定统一身份认证系统实现用户单点登录，同步用户组织架构、岗位角色等信息，确保跨平台权限一致性与准确性。</w:t>
      </w:r>
    </w:p>
    <w:p w14:paraId="311490D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模型数据对接：支持模型元数据、版本、服务状态、部署任务状态的实时/定时同步，确保门户模型信息与底层模型平台完全一致。</w:t>
      </w:r>
    </w:p>
    <w:p w14:paraId="719B9AE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算力数据对接：对接算力使用、告警和运营状态，支持底层算力设施全局监控视图，为算力运营提供数据支撑。</w:t>
      </w:r>
    </w:p>
    <w:p w14:paraId="10CEED2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智能体应用对接：对接智能体发布状态和运行数据，支持从门户无缝跳转至智能体开发环境，并保持单点登录。</w:t>
      </w:r>
    </w:p>
    <w:p w14:paraId="3E160BF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知识库数据对接：支持门户展示知识库列表和处理进度，支持知识库分类与标签体系配置，提供实时统计及健康度预警。</w:t>
      </w:r>
    </w:p>
    <w:p w14:paraId="62FF33A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评测数据等对接：对接数据和安全评测状态，监控与指标聚合从各平台聚合监控数据，形成统一视图。支持评测结果回填和查看。</w:t>
      </w:r>
    </w:p>
    <w:p w14:paraId="7972D17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消息与通知中心：支持站内消息、审批状态、告警信息推动，允许用户自定义通知接收方式与频率。</w:t>
      </w:r>
    </w:p>
    <w:p w14:paraId="22F5AA3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组织与用户体系同步：需对接外部组织人事系统等权威数据源，支持定时同步，自动维护用户与所属组织的关联关系，确保门户组织用户数据与权威源一致。</w:t>
      </w:r>
    </w:p>
    <w:p w14:paraId="69A3A8D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（2）模型服务管理</w:t>
      </w:r>
    </w:p>
    <w:p w14:paraId="28DFBA7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提供模型的接入、调优、部署、监控、更新与下发等能力，实现模型的统一纳管、统一服务化发布、统一监控及统一治理，实现政务领域跨模型、跨部门、跨业务的能力复用与集中运营。</w:t>
      </w:r>
    </w:p>
    <w:p w14:paraId="2252D7B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1）模型接入管理</w:t>
      </w:r>
    </w:p>
    <w:p w14:paraId="7763DBF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模型接入管理：支持通用模型、垂直模型接入管理，可提供便携微调以及快速部署。支持对模型进行多版本管理。支持预置Deepseek、Qwen、Ernie、GLM等市场主流开源模型最新版本接入，覆盖不同尺寸和模态，预置常用的向量表征及重排序模型。</w:t>
      </w:r>
    </w:p>
    <w:p w14:paraId="3497C88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通用组件服务接入管理：提供多样化的组件资源，支持灵活搭建业务工作流。组件使用方式包括创建agent应用时插入组件、通过SDK调用组件、通过API调用组件。</w:t>
      </w:r>
    </w:p>
    <w:p w14:paraId="6889E12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▲模型调优服务管理：面向不同建模水平的人员，提供Post-pretrain、SFT、模型蒸馏、Notebook 训练、作业训练、作业对齐和偏好对齐模型调优服务。支持模型蒸馏和数据蒸馏。</w:t>
      </w:r>
    </w:p>
    <w:p w14:paraId="0222040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模型调优任务管理：支持智能调度管理、灵活任务创建、可视化调试、高可靠稳定性保障。支持通过微调任务或存储服务导入模型，支持设置模型类型、模型网络、模型框架、模型精度等参数。</w:t>
      </w:r>
    </w:p>
    <w:p w14:paraId="74076C6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2）模型部署管理</w:t>
      </w:r>
    </w:p>
    <w:p w14:paraId="1074C92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支持部署判别式AI、生成式AI、向量表征、重排序、自定义和第三方模型。</w:t>
      </w:r>
    </w:p>
    <w:p w14:paraId="2A31D02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管理部署包，记录部署包的各类信息，包括：名称、状态、芯片类型、模型类型、创建人、创建时间、更新时间。支持对大模型进行量化压缩。提供模型部署能力，可以对平台内预置模型、平台训练模型等进行快速部署。</w:t>
      </w:r>
    </w:p>
    <w:p w14:paraId="1B79780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支持对平台纳管的文本类生成模型进行自动评估，人工评估、基线评估等评估方法，自动评估支持自动规则评估、自动裁判员评估。</w:t>
      </w:r>
    </w:p>
    <w:p w14:paraId="08D4843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支持统一纳管适用于深度学习/大模型场景的非结构化数据集，包括但不限于：文本生成（有监督微调 SFT）、文本生成（预训练 Post-pretrain）、文本生成（偏好对齐 DPO）等。</w:t>
      </w:r>
    </w:p>
    <w:p w14:paraId="469EDD0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支持创建/删除/导出/增量导入/多版本控制等一站式数据纳管。</w:t>
      </w:r>
    </w:p>
    <w:p w14:paraId="692638D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支持对数据的洞察、清晰、增强等操作，数据洞察支持分布统计和质量分布。</w:t>
      </w:r>
    </w:p>
    <w:p w14:paraId="25B596B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支持对大模型 Prompt数据集，调用平台适用的 LLM 服务，自动生成问题对应的回复。</w:t>
      </w:r>
    </w:p>
    <w:p w14:paraId="62D24A8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▲支持对模型的性能评估，对服务终端进行压力测试，评估服务端性能，有助于定位性能瓶颈。支持首token延时、QPS、输入吞吐、输出吞吐、总吞吐等核心性能的展示。</w:t>
      </w:r>
    </w:p>
    <w:p w14:paraId="43266D7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支持Http、Websocket、GRPC 和其他类型协议的服务纳管。</w:t>
      </w:r>
    </w:p>
    <w:p w14:paraId="39C14C5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大模型服务支持 OpenAI 格式的标准接口。</w:t>
      </w:r>
    </w:p>
    <w:p w14:paraId="7D292D8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支持设置 TPS 超分比例以提高服务的利用率。</w:t>
      </w:r>
    </w:p>
    <w:p w14:paraId="7552F53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支持可视化问答界面，支持对大模型的测试能力，并可进行多模型同步比对测试。</w:t>
      </w:r>
    </w:p>
    <w:p w14:paraId="4C80F00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服务支持弹性扩缩容，可定时或依据监控指标触发扩缩容。</w:t>
      </w:r>
    </w:p>
    <w:p w14:paraId="2A65C02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支持不停服滚动更新。</w:t>
      </w:r>
    </w:p>
    <w:p w14:paraId="5AFF208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3）模型服务子节点管理</w:t>
      </w:r>
    </w:p>
    <w:p w14:paraId="0189A49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支持用户修改密码、手机、邮箱等个人信息。</w:t>
      </w:r>
    </w:p>
    <w:p w14:paraId="5CC145E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支持创建用户，设置用户名、邮箱、手机、密码、所属组织、用户账号使用期限、角色。</w:t>
      </w:r>
    </w:p>
    <w:p w14:paraId="06BF23A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支持创建自定义角色，配置角色名称、描述、权限，角色名称全局唯一，支持为自定义角色配置角色权限。</w:t>
      </w:r>
    </w:p>
    <w:p w14:paraId="4B2BF67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支持以组织维度管理平台用户，支持多组织层级管理，支持为组织添加授权用户。一个组织可以拥有多个项目，进而实现用户和项目间隔离。</w:t>
      </w:r>
    </w:p>
    <w:p w14:paraId="30F1EAB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支持用户、用户组、角色的创建和管理。</w:t>
      </w:r>
    </w:p>
    <w:p w14:paraId="6BAB31F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支持通过机器池可为资源池提供 CPU、内存、AI 加速卡资源配额，支持通过资源池为平台组织和项目分配计算资源。</w:t>
      </w:r>
    </w:p>
    <w:p w14:paraId="3797002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支持通过机器池管理硬件或虚拟机资源，机器池为部署硬件或虚拟机资源在平台上的物理回显，支持通过划分不同机器池，进行硬件资源隔离使用，满足对资源硬隔离诉求。</w:t>
      </w:r>
    </w:p>
    <w:p w14:paraId="58E1370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支持通过存储卷管理平台存储资源，将存储资源分配给组织和项目。</w:t>
      </w:r>
    </w:p>
    <w:p w14:paraId="00A6FFF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支持自定义平台外观标题、Logo 和导航，支持首页和子页设置。</w:t>
      </w:r>
    </w:p>
    <w:p w14:paraId="071ACE4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支持文本干预、安全算子服务设置，可对具体模型进行安全服务设置，并支持安全规则和词典的设置。</w:t>
      </w:r>
    </w:p>
    <w:p w14:paraId="069E82A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支持资源回收功能，可设置空闲资源或低利用率资源回收机制，实现资源的有效管理，低利用率资源设置cpu和内存使用率峰值设置。</w:t>
      </w:r>
    </w:p>
    <w:p w14:paraId="757A2E0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▲4）模型下发服务管理</w:t>
      </w:r>
    </w:p>
    <w:p w14:paraId="62344E2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支持Dockerfile、tar包方式构建镜像。</w:t>
      </w:r>
    </w:p>
    <w:p w14:paraId="65F211E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支持文件通过存储路径上传至平台。</w:t>
      </w:r>
    </w:p>
    <w:p w14:paraId="1EB285E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支持多集群管理。</w:t>
      </w:r>
    </w:p>
    <w:p w14:paraId="109C3D4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（3）智能体统一调度</w:t>
      </w:r>
    </w:p>
    <w:p w14:paraId="27EE1D4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提供零代码、低代码、全代码一体化开发能力，支持快速构建自动规划、工作流引擎等多种能力。提供可视化工作流编排及丰富 AI 组件，可一站式完成智能应用的开发、发布、使用与安全管理。</w:t>
      </w:r>
    </w:p>
    <w:p w14:paraId="50BBD2F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1）自主规划能力</w:t>
      </w:r>
    </w:p>
    <w:p w14:paraId="1D4618A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通过输入自然语言描述的智能应用需求，即可自动生成所需要的智能应用，也可以通过配置页面便捷搭建出符合业务要求的智能应用，不需要编写任何一条代码；</w:t>
      </w:r>
    </w:p>
    <w:p w14:paraId="7F626DB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2）工作流引擎能力</w:t>
      </w:r>
    </w:p>
    <w:p w14:paraId="791FC10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可对大模型节点、知识库节点、API节点、MCP节点、数据库节点、智能体节点等节点进行编排，以工作流画布的方式搭建智能应用，采用拖拉拽的交互方式在画布中还原业务流程，保障智能应用严格按照工作流执行；</w:t>
      </w:r>
    </w:p>
    <w:p w14:paraId="72CD618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3）交互式问答能力</w:t>
      </w:r>
    </w:p>
    <w:p w14:paraId="4ED15A6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支持通过模板配置、表单式填写配置，搭建交互式问答智能体，支持文档生成、问答助手和报告导出等能力。</w:t>
      </w:r>
    </w:p>
    <w:p w14:paraId="4B16ECE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4）知识增强能力</w:t>
      </w:r>
    </w:p>
    <w:p w14:paraId="60C8B10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按照知识库群组管理知识库，支持知识库共享，可按照全局范围和指定范围进行共享。支持导入文本文档数据、表格型知识数据、网页数据源和图片数据，支持批量上传，导入文本文档支持doc、txt、docx、pdf、ppt、pptx、wps、ofd、md等格式。</w:t>
      </w:r>
    </w:p>
    <w:p w14:paraId="1A51DC0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▲5）数据库增强能力</w:t>
      </w:r>
    </w:p>
    <w:p w14:paraId="08A298F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数据库支持直连数据库和上传数据库表方式，数据库直连种类包括但不限于mysql、SQLserver、高斯数据库、PostgreSQL、Hive数据库。支持NL2SQL、NL2Pandas算法直观高效查询，简化数据检索，以及多样化图表生成能力。</w:t>
      </w:r>
    </w:p>
    <w:p w14:paraId="64BECA7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6）支持干预规则配置</w:t>
      </w:r>
    </w:p>
    <w:p w14:paraId="5A6B035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通过数据干预和规则干预调优方式，提升应用回答的可控性，干预规则包括数据回流、标答上传、规则话术等，加强内容风险管控。</w:t>
      </w:r>
    </w:p>
    <w:p w14:paraId="545E081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▲7）支持应用中添加知识库</w:t>
      </w:r>
    </w:p>
    <w:p w14:paraId="5ED5D17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可按照知识库群组、部门组织、向量模型快速选择知识库。支持配置知识检索策略（混合检索、全文检索、语义检索），支持配置切片召回数量，支持匹配分设置、支持扩展召回切片的上下文信息。</w:t>
      </w:r>
    </w:p>
    <w:p w14:paraId="27C9A50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8）应用服务目录</w:t>
      </w:r>
    </w:p>
    <w:p w14:paraId="3FAF435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在门户中直接通过对话窗的方式使用应用，支持收藏、分享和复制应用，可查看该应用的浏览量、使用量、收藏量、被复制量。可查看发布人、发布时间和发布渠道，以及公开的配置信息，支持对应用标签进行自定义管理。</w:t>
      </w:r>
    </w:p>
    <w:p w14:paraId="3E89962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9）组件服务目录</w:t>
      </w:r>
    </w:p>
    <w:p w14:paraId="7529FA5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支持查看展示的组件名称、分类、简介。支持按组件名称进行模糊检索，也可按自定义分类进行精确检索。支持对组件标签进行自定义管理。</w:t>
      </w:r>
    </w:p>
    <w:p w14:paraId="1F1DC0D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10）导入管理</w:t>
      </w:r>
    </w:p>
    <w:p w14:paraId="635D932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提供应用和组件导入与导出的功能，可以将应用配置及其内部组件的节点配置信息导出为.tar格式文件，并保存至本地。</w:t>
      </w:r>
    </w:p>
    <w:p w14:paraId="6919279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11）权限管理</w:t>
      </w:r>
    </w:p>
    <w:p w14:paraId="08CD457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实现用户管理，支持对用户增删改查，分配所属组织，支持修改用户密码，支持配置用户角色；支持组织管理，可对组织和子组织的增删改查，支持多级组织结构，支持配置组织内成员；支持用户组管理，支持对用户组的增删改查，支持对用户组内用户的管理；</w:t>
      </w:r>
    </w:p>
    <w:p w14:paraId="1203E16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12）密钥管理</w:t>
      </w:r>
    </w:p>
    <w:p w14:paraId="57CDAF4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支持管理应用调用的访问密钥和安全密钥，确保应用安全访问服务。</w:t>
      </w:r>
    </w:p>
    <w:p w14:paraId="147A114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13）智能体观测</w:t>
      </w:r>
    </w:p>
    <w:p w14:paraId="4613781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支持智能体运行情况观测，包括应用搭建、调用、用户洞察、性能分析、异常调用分析等观测能力。</w:t>
      </w:r>
    </w:p>
    <w:p w14:paraId="23B11897">
      <w:pPr>
        <w:widowControl w:val="0"/>
        <w:shd w:val="clear" w:color="auto" w:fill="auto"/>
        <w:adjustRightInd w:val="0"/>
        <w:spacing w:line="360" w:lineRule="auto"/>
        <w:ind w:firstLine="424" w:firstLineChars="177"/>
        <w:contextualSpacing/>
        <w:jc w:val="left"/>
        <w:rPr>
          <w:rFonts w:hint="eastAsia" w:ascii="仿宋_GB2312" w:hAnsi="仿宋_GB2312" w:eastAsia="仿宋_GB2312" w:cs="仿宋_GB2312"/>
          <w:color w:val="000000"/>
          <w:kern w:val="0"/>
          <w:sz w:val="24"/>
          <w:szCs w:val="24"/>
          <w:highlight w:val="lightGray"/>
          <w:lang w:val="en-US" w:eastAsia="zh-CN" w:bidi="ar-SA"/>
        </w:rPr>
      </w:pPr>
      <w:r>
        <w:rPr>
          <w:rFonts w:hint="eastAsia" w:ascii="Times New Roman" w:hAnsi="Times New Roman" w:eastAsia="宋体" w:cs="Times New Roman"/>
          <w:kern w:val="2"/>
          <w:sz w:val="24"/>
          <w:szCs w:val="24"/>
          <w:lang w:val="en-US" w:eastAsia="zh-CN" w:bidi="ar-SA"/>
        </w:rPr>
        <w:t>14）</w:t>
      </w:r>
      <w:r>
        <w:rPr>
          <w:rFonts w:hint="eastAsia" w:ascii="仿宋_GB2312" w:hAnsi="仿宋_GB2312" w:eastAsia="仿宋_GB2312" w:cs="仿宋_GB2312"/>
          <w:color w:val="000000"/>
          <w:kern w:val="0"/>
          <w:sz w:val="24"/>
          <w:szCs w:val="24"/>
          <w:highlight w:val="lightGray"/>
          <w:lang w:val="en-US" w:eastAsia="zh-CN" w:bidi="ar-SA"/>
        </w:rPr>
        <w:t>MCP工具接入管理</w:t>
      </w:r>
    </w:p>
    <w:p w14:paraId="068F3305">
      <w:pPr>
        <w:widowControl w:val="0"/>
        <w:shd w:val="clear" w:color="auto" w:fill="auto"/>
        <w:adjustRightInd w:val="0"/>
        <w:spacing w:line="360" w:lineRule="auto"/>
        <w:ind w:firstLine="424" w:firstLineChars="177"/>
        <w:contextualSpacing/>
        <w:jc w:val="left"/>
        <w:rPr>
          <w:rFonts w:hint="default" w:ascii="仿宋_GB2312" w:hAnsi="仿宋_GB2312" w:eastAsia="仿宋_GB2312" w:cs="仿宋_GB2312"/>
          <w:color w:val="000000"/>
          <w:kern w:val="0"/>
          <w:sz w:val="24"/>
          <w:szCs w:val="24"/>
          <w:highlight w:val="lightGray"/>
          <w:lang w:val="en-US" w:eastAsia="zh-CN" w:bidi="ar-SA"/>
        </w:rPr>
      </w:pPr>
      <w:r>
        <w:rPr>
          <w:rFonts w:hint="eastAsia" w:ascii="仿宋_GB2312" w:hAnsi="仿宋_GB2312" w:eastAsia="仿宋_GB2312" w:cs="仿宋_GB2312"/>
          <w:color w:val="000000"/>
          <w:kern w:val="0"/>
          <w:sz w:val="24"/>
          <w:szCs w:val="24"/>
          <w:highlight w:val="lightGray"/>
          <w:lang w:val="en-US" w:eastAsia="zh-CN" w:bidi="ar-SA"/>
        </w:rPr>
        <w:t>提供工具组件资产的全生命周期管控。支持组件的增删改查、版本管理、工作流编排集成以及静态校验与调试发布。</w:t>
      </w:r>
    </w:p>
    <w:p w14:paraId="285A8BE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（4）共性工具组件</w:t>
      </w:r>
    </w:p>
    <w:p w14:paraId="14035EA7">
      <w:pPr>
        <w:widowControl w:val="0"/>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OCR、语音识别、语音合成、声纹识别、PPT生成、长文档内容理解、文本翻译组件、相似问题生成、代码解释器、多轮改写、风格写作、复杂提问判定、口语化query生成、自然语言转pandas、标签抽取、会话小结、阅读理解问答、复杂提问分解、文档解析、向量计算、问答对挖掘、语义匹配、风格转写、文档切分、表格抽取、AI助手、联网搜索增强、智能搜索生成、深度研究智能体等组件。详细要求见下表：</w:t>
      </w:r>
    </w:p>
    <w:tbl>
      <w:tblPr>
        <w:tblStyle w:val="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6910"/>
      </w:tblGrid>
      <w:tr w14:paraId="7FAE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28" w:type="dxa"/>
            <w:noWrap/>
            <w:vAlign w:val="center"/>
          </w:tcPr>
          <w:p w14:paraId="16A0151F">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工具名称</w:t>
            </w:r>
          </w:p>
        </w:tc>
        <w:tc>
          <w:tcPr>
            <w:tcW w:w="6910" w:type="dxa"/>
            <w:noWrap/>
            <w:vAlign w:val="center"/>
          </w:tcPr>
          <w:p w14:paraId="0FB2F523">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详细要求</w:t>
            </w:r>
          </w:p>
        </w:tc>
      </w:tr>
      <w:tr w14:paraId="59B8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28" w:type="dxa"/>
            <w:noWrap/>
            <w:vAlign w:val="center"/>
          </w:tcPr>
          <w:p w14:paraId="240AB28F">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OCR</w:t>
            </w:r>
          </w:p>
        </w:tc>
        <w:tc>
          <w:tcPr>
            <w:tcW w:w="6910" w:type="dxa"/>
            <w:noWrap/>
            <w:vAlign w:val="center"/>
          </w:tcPr>
          <w:p w14:paraId="037931A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提供通用OCR能力，支持多场景、多语言、高精度整图文字检测与识别服务。</w:t>
            </w:r>
          </w:p>
        </w:tc>
      </w:tr>
      <w:tr w14:paraId="2660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7C1F27D1">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语音识别</w:t>
            </w:r>
          </w:p>
        </w:tc>
        <w:tc>
          <w:tcPr>
            <w:tcW w:w="6910" w:type="dxa"/>
            <w:noWrap/>
            <w:vAlign w:val="center"/>
          </w:tcPr>
          <w:p w14:paraId="1238F421">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提供高并发多模态语音识别能力，支持在线或全离线环境下中文及多语言的转录，支持情感识别、音频事件检测及话者特征提取等功能。</w:t>
            </w:r>
          </w:p>
        </w:tc>
      </w:tr>
      <w:tr w14:paraId="42E5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39772474">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语音合成</w:t>
            </w:r>
          </w:p>
        </w:tc>
        <w:tc>
          <w:tcPr>
            <w:tcW w:w="6910" w:type="dxa"/>
            <w:noWrap/>
            <w:vAlign w:val="center"/>
          </w:tcPr>
          <w:p w14:paraId="5C903C5B">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提供高保真语音合成能力，支持零样本音色克隆与多语种混读，以及高度拟人化的流式语音交互。</w:t>
            </w:r>
          </w:p>
        </w:tc>
      </w:tr>
      <w:tr w14:paraId="0CAE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57BFC089">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声纹识别</w:t>
            </w:r>
          </w:p>
        </w:tc>
        <w:tc>
          <w:tcPr>
            <w:tcW w:w="6910" w:type="dxa"/>
            <w:noWrap/>
            <w:vAlign w:val="center"/>
          </w:tcPr>
          <w:p w14:paraId="2804623D">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提供声纹特征提取模型，具备处理中英文多语种音频的人声特征建模能力，支持在线或离线部署环境下实现大规模并发的话者身份识别。</w:t>
            </w:r>
          </w:p>
        </w:tc>
      </w:tr>
      <w:tr w14:paraId="3995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429324B8">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PPT生成</w:t>
            </w:r>
          </w:p>
        </w:tc>
        <w:tc>
          <w:tcPr>
            <w:tcW w:w="6910" w:type="dxa"/>
            <w:noWrap/>
            <w:vAlign w:val="center"/>
          </w:tcPr>
          <w:p w14:paraId="69057C1C">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支持基于大纲内容生成PPT、指令生成PPT和文件生成PPT，支持PPT在线播放、在线编辑和导出功能。</w:t>
            </w:r>
          </w:p>
        </w:tc>
      </w:tr>
      <w:tr w14:paraId="0F92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63327922">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长文档内容理解</w:t>
            </w:r>
          </w:p>
        </w:tc>
        <w:tc>
          <w:tcPr>
            <w:tcW w:w="6910" w:type="dxa"/>
            <w:noWrap/>
            <w:vAlign w:val="center"/>
          </w:tcPr>
          <w:p w14:paraId="0F9ABE83">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长文档内容理解（LongDocUnderstand）对字符数量10万字以内、文档大小20MB以内的长文档进行解析，支持信息检索、摘要总结、文本分析能力。支持pdf， docx，xlsx，png，jpg，jpeg 及 txt格式的文档。</w:t>
            </w:r>
          </w:p>
        </w:tc>
      </w:tr>
      <w:tr w14:paraId="5199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46D6B09E">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文本翻译组件</w:t>
            </w:r>
          </w:p>
        </w:tc>
        <w:tc>
          <w:tcPr>
            <w:tcW w:w="6910" w:type="dxa"/>
            <w:noWrap/>
            <w:vAlign w:val="center"/>
          </w:tcPr>
          <w:p w14:paraId="7C1748C8">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提供多种语言互译的在线文本翻译服务。用户可对翻译结果进行干预，快速提高翻译质量。可满足多领域、多场景的翻译需求。</w:t>
            </w:r>
          </w:p>
        </w:tc>
      </w:tr>
      <w:tr w14:paraId="3FE9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32CA2A8E">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相似问题生成</w:t>
            </w:r>
          </w:p>
        </w:tc>
        <w:tc>
          <w:tcPr>
            <w:tcW w:w="6910" w:type="dxa"/>
            <w:noWrap/>
            <w:vAlign w:val="center"/>
          </w:tcPr>
          <w:p w14:paraId="42BD402B">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用于基于输入的问题，挖掘出与该问题相关的类似问题。</w:t>
            </w:r>
          </w:p>
        </w:tc>
      </w:tr>
      <w:tr w14:paraId="1657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1915DB3B">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代码解释器</w:t>
            </w:r>
          </w:p>
        </w:tc>
        <w:tc>
          <w:tcPr>
            <w:tcW w:w="6910" w:type="dxa"/>
            <w:noWrap/>
            <w:vAlign w:val="center"/>
          </w:tcPr>
          <w:p w14:paraId="5286E5A9">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具备生成、运行代码等能力，支持文件格式包含pdf、xlsx、jsonl、png。</w:t>
            </w:r>
          </w:p>
        </w:tc>
      </w:tr>
      <w:tr w14:paraId="348A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57E95CFB">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多轮改写</w:t>
            </w:r>
          </w:p>
        </w:tc>
        <w:tc>
          <w:tcPr>
            <w:tcW w:w="6910" w:type="dxa"/>
            <w:noWrap/>
            <w:vAlign w:val="center"/>
          </w:tcPr>
          <w:p w14:paraId="213869BD">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用于处理多轮对话和查询改写的组件。用于理解和优化用户与机器人交互过程，进行指代消解及省略补全。该组件支持不同的改写类型，可根据对话历史生成更准确的用户查询。</w:t>
            </w:r>
          </w:p>
        </w:tc>
      </w:tr>
      <w:tr w14:paraId="1469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729B6C2D">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风格写作</w:t>
            </w:r>
          </w:p>
        </w:tc>
        <w:tc>
          <w:tcPr>
            <w:tcW w:w="6910" w:type="dxa"/>
            <w:noWrap/>
            <w:vAlign w:val="center"/>
          </w:tcPr>
          <w:p w14:paraId="233E9455">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基于生成式大模型进行文本创作的工具，支持多种风格，适用于编写文案、广告等多种场景。</w:t>
            </w:r>
          </w:p>
        </w:tc>
      </w:tr>
      <w:tr w14:paraId="0065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5AD33379">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复杂提问判定</w:t>
            </w:r>
          </w:p>
        </w:tc>
        <w:tc>
          <w:tcPr>
            <w:tcW w:w="6910" w:type="dxa"/>
            <w:noWrap/>
            <w:vAlign w:val="center"/>
          </w:tcPr>
          <w:p w14:paraId="0853E5D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根据输入的提问进行初步的分类，区分简单问题和复杂问题，以便后续运用不同的处理流程处理。应用于知识问答场景。</w:t>
            </w:r>
          </w:p>
        </w:tc>
      </w:tr>
      <w:tr w14:paraId="7CA0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5F502D6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口语化query生成</w:t>
            </w:r>
          </w:p>
        </w:tc>
        <w:tc>
          <w:tcPr>
            <w:tcW w:w="6910" w:type="dxa"/>
            <w:noWrap/>
            <w:vAlign w:val="center"/>
          </w:tcPr>
          <w:p w14:paraId="514047DB">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基于输入文本生成与文档内容相关的Query。</w:t>
            </w:r>
          </w:p>
        </w:tc>
      </w:tr>
      <w:tr w14:paraId="01B1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59C1CDED">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自然语言转pandas</w:t>
            </w:r>
          </w:p>
        </w:tc>
        <w:tc>
          <w:tcPr>
            <w:tcW w:w="6910" w:type="dxa"/>
            <w:noWrap/>
            <w:vAlign w:val="center"/>
          </w:tcPr>
          <w:p w14:paraId="6BDFF6D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通过理解对表格信息的提问，生成对应语义的可执行Python代码，主要使用Pandas库。</w:t>
            </w:r>
          </w:p>
        </w:tc>
      </w:tr>
      <w:tr w14:paraId="177F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441C5FB3">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标签抽取</w:t>
            </w:r>
          </w:p>
        </w:tc>
        <w:tc>
          <w:tcPr>
            <w:tcW w:w="6910" w:type="dxa"/>
            <w:noWrap/>
            <w:vAlign w:val="center"/>
          </w:tcPr>
          <w:p w14:paraId="56BAEFC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基于生成式大模型，专门用于从文本中提取关键标签。适用于各种文本分析场景，如内容分类、关键词提取等。</w:t>
            </w:r>
          </w:p>
        </w:tc>
      </w:tr>
      <w:tr w14:paraId="270C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0C1EEF48">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会话小结</w:t>
            </w:r>
          </w:p>
        </w:tc>
        <w:tc>
          <w:tcPr>
            <w:tcW w:w="6910" w:type="dxa"/>
            <w:noWrap/>
            <w:vAlign w:val="center"/>
          </w:tcPr>
          <w:p w14:paraId="59E49728">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支持利用大模型对用户对话生成总结，结果按特定格式输出。</w:t>
            </w:r>
          </w:p>
        </w:tc>
      </w:tr>
      <w:tr w14:paraId="733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05A0B7D8">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阅读理解问答</w:t>
            </w:r>
          </w:p>
        </w:tc>
        <w:tc>
          <w:tcPr>
            <w:tcW w:w="6910" w:type="dxa"/>
            <w:noWrap/>
            <w:vAlign w:val="center"/>
          </w:tcPr>
          <w:p w14:paraId="4EA27F74">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支持拒答、澄清、重点强调、友好性提升、溯源等多种功能，用于回答用户提出的问题。</w:t>
            </w:r>
          </w:p>
        </w:tc>
      </w:tr>
      <w:tr w14:paraId="340B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46592F93">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复杂提问分解</w:t>
            </w:r>
          </w:p>
        </w:tc>
        <w:tc>
          <w:tcPr>
            <w:tcW w:w="6910" w:type="dxa"/>
            <w:noWrap/>
            <w:vAlign w:val="center"/>
          </w:tcPr>
          <w:p w14:paraId="59CA541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支持将已经确定为复杂问题的原始问题拆解为若干简单问题。</w:t>
            </w:r>
          </w:p>
        </w:tc>
      </w:tr>
      <w:tr w14:paraId="2D58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0B352B1D">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文档解析</w:t>
            </w:r>
          </w:p>
        </w:tc>
        <w:tc>
          <w:tcPr>
            <w:tcW w:w="6910" w:type="dxa"/>
            <w:noWrap/>
            <w:vAlign w:val="center"/>
          </w:tcPr>
          <w:p w14:paraId="74A94151">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支持PDF、JPG、DOC、TXT、XLS、PPT等17种文档格式的内容解析。</w:t>
            </w:r>
          </w:p>
        </w:tc>
      </w:tr>
      <w:tr w14:paraId="5675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3C3FD05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向量计算</w:t>
            </w:r>
          </w:p>
        </w:tc>
        <w:tc>
          <w:tcPr>
            <w:tcW w:w="6910" w:type="dxa"/>
            <w:noWrap/>
            <w:vAlign w:val="center"/>
          </w:tcPr>
          <w:p w14:paraId="08C95A94">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支持将文本转化为用数值表示的向量形式，用于文本检索、信息推荐、知识挖掘等场景。</w:t>
            </w:r>
          </w:p>
        </w:tc>
      </w:tr>
      <w:tr w14:paraId="6F9F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7B41423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问答对挖掘</w:t>
            </w:r>
          </w:p>
        </w:tc>
        <w:tc>
          <w:tcPr>
            <w:tcW w:w="6910" w:type="dxa"/>
            <w:noWrap/>
            <w:vAlign w:val="center"/>
          </w:tcPr>
          <w:p w14:paraId="1B17EF7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基于输入文本内容，快速生成多个问题及对应答案。</w:t>
            </w:r>
          </w:p>
        </w:tc>
      </w:tr>
      <w:tr w14:paraId="20BE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5FA1BF33">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语义匹配</w:t>
            </w:r>
          </w:p>
        </w:tc>
        <w:tc>
          <w:tcPr>
            <w:tcW w:w="6910" w:type="dxa"/>
            <w:noWrap/>
            <w:vAlign w:val="center"/>
          </w:tcPr>
          <w:p w14:paraId="2415415A">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计算query与文本列表之间的相似度关系，并根据其进行排序。</w:t>
            </w:r>
          </w:p>
        </w:tc>
      </w:tr>
      <w:tr w14:paraId="310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74704DD8">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风格转写</w:t>
            </w:r>
          </w:p>
        </w:tc>
        <w:tc>
          <w:tcPr>
            <w:tcW w:w="6910" w:type="dxa"/>
            <w:noWrap/>
            <w:vAlign w:val="center"/>
          </w:tcPr>
          <w:p w14:paraId="489E083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支持基于大模型对文本的风格进行改写。</w:t>
            </w:r>
          </w:p>
        </w:tc>
      </w:tr>
      <w:tr w14:paraId="6885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noWrap/>
            <w:vAlign w:val="center"/>
          </w:tcPr>
          <w:p w14:paraId="0E18FF45">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文档切分</w:t>
            </w:r>
          </w:p>
        </w:tc>
        <w:tc>
          <w:tcPr>
            <w:tcW w:w="6910" w:type="dxa"/>
            <w:noWrap/>
            <w:vAlign w:val="center"/>
          </w:tcPr>
          <w:p w14:paraId="3ECAB85D">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支持对文档进行段落切分。</w:t>
            </w:r>
          </w:p>
        </w:tc>
      </w:tr>
      <w:tr w14:paraId="4CC1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28" w:type="dxa"/>
            <w:noWrap/>
            <w:vAlign w:val="center"/>
          </w:tcPr>
          <w:p w14:paraId="3FA4C06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表格抽取</w:t>
            </w:r>
          </w:p>
        </w:tc>
        <w:tc>
          <w:tcPr>
            <w:tcW w:w="6910" w:type="dxa"/>
            <w:noWrap/>
            <w:vAlign w:val="center"/>
          </w:tcPr>
          <w:p w14:paraId="6F6CFDE4">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支持文档表格处理，从文档中抽取表格。</w:t>
            </w:r>
          </w:p>
        </w:tc>
      </w:tr>
      <w:tr w14:paraId="4B79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28" w:type="dxa"/>
            <w:noWrap/>
            <w:vAlign w:val="center"/>
          </w:tcPr>
          <w:p w14:paraId="61EEB2BF">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AI助手</w:t>
            </w:r>
          </w:p>
        </w:tc>
        <w:tc>
          <w:tcPr>
            <w:tcW w:w="6910" w:type="dxa"/>
            <w:noWrap/>
            <w:vAlign w:val="center"/>
          </w:tcPr>
          <w:p w14:paraId="1D74C4F8">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提供基于互联网模型的AI助手问答咨询服务，深入理解用户意图，智能调度多种MCP工具，全方位解决问答需求，支持调用量不少于100次</w:t>
            </w:r>
          </w:p>
        </w:tc>
      </w:tr>
      <w:tr w14:paraId="13D4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28" w:type="dxa"/>
            <w:noWrap/>
            <w:vAlign w:val="center"/>
          </w:tcPr>
          <w:p w14:paraId="6231FF08">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联网搜索增强</w:t>
            </w:r>
          </w:p>
        </w:tc>
        <w:tc>
          <w:tcPr>
            <w:tcW w:w="6910" w:type="dxa"/>
            <w:noWrap/>
            <w:vAlign w:val="center"/>
          </w:tcPr>
          <w:p w14:paraId="7F7C589B">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基于互联网搜索组件提供的全网实时信息进行智能问答，支持调用量不少于100万次。</w:t>
            </w:r>
          </w:p>
        </w:tc>
      </w:tr>
      <w:tr w14:paraId="7AA4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28" w:type="dxa"/>
            <w:noWrap/>
            <w:vAlign w:val="center"/>
          </w:tcPr>
          <w:p w14:paraId="526C1A5E">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智能搜索生成</w:t>
            </w:r>
          </w:p>
        </w:tc>
        <w:tc>
          <w:tcPr>
            <w:tcW w:w="6910" w:type="dxa"/>
            <w:noWrap/>
            <w:vAlign w:val="center"/>
          </w:tcPr>
          <w:p w14:paraId="7C092A18">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在互联网搜索结果基础上融合大模型能力，提供高质量内容总结</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配套联网检索工具使用</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w:t>
            </w:r>
          </w:p>
        </w:tc>
      </w:tr>
      <w:tr w14:paraId="0A02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28" w:type="dxa"/>
            <w:noWrap/>
            <w:vAlign w:val="center"/>
          </w:tcPr>
          <w:p w14:paraId="51CDDFE7">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深度研究智能体</w:t>
            </w:r>
          </w:p>
        </w:tc>
        <w:tc>
          <w:tcPr>
            <w:tcW w:w="6910" w:type="dxa"/>
            <w:noWrap/>
            <w:vAlign w:val="center"/>
          </w:tcPr>
          <w:p w14:paraId="4D394980">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支持自主完成多步骤研究任务，实时整合文本、图像、PDF等多模态数据，生成高质量研究报告。</w:t>
            </w:r>
          </w:p>
        </w:tc>
      </w:tr>
    </w:tbl>
    <w:p w14:paraId="5C3DCF1D">
      <w:pPr>
        <w:keepNext w:val="0"/>
        <w:keepLines w:val="0"/>
        <w:widowControl/>
        <w:suppressLineNumbers w:val="0"/>
        <w:shd w:val="clear" w:color="auto" w:fill="auto"/>
        <w:jc w:val="center"/>
        <w:textAlignment w:val="center"/>
        <w:rPr>
          <w:rFonts w:hint="eastAsia" w:ascii="Times New Roman" w:hAnsi="Times New Roman" w:eastAsia="宋体" w:cs="Times New Roman"/>
          <w:sz w:val="24"/>
          <w:szCs w:val="24"/>
          <w:lang w:val="en-US" w:eastAsia="zh-CN"/>
        </w:rPr>
      </w:pPr>
    </w:p>
    <w:p w14:paraId="5416C77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（5）政务算力服务运营监管</w:t>
      </w:r>
    </w:p>
    <w:p w14:paraId="34E01FB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提供跨云、跨架构、跨芯片的统一纳管、调度、监控与计量能力，实现政务算力资源的统一编排、统一管控和可视化运营，保障政务大模型应用运行过程中的高效算力服务供给。</w:t>
      </w:r>
    </w:p>
    <w:p w14:paraId="465FAF1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1）跨云算力资源接入管理</w:t>
      </w:r>
    </w:p>
    <w:p w14:paraId="19C1D46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多元芯片兼容纳管服务：支持多品牌 AI 加速卡适配，支持纳管国产化异构AI加速卡，适配不同硬件类型的算力需求。</w:t>
      </w:r>
    </w:p>
    <w:p w14:paraId="679C5B1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基础设施统筹管理：支持单个容器集群内同时纳管 x86、arm 架构节点，兼容不同架构的算力资源。具备扩展跨平台资源接入能力，支持高性能网络。</w:t>
      </w:r>
    </w:p>
    <w:p w14:paraId="56D3C0F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平台组件管理：支持整合封装容器平台、镜像仓库和AI集群管理平台能力，具备通信库、训练加速、数据加速、AI组件和算力池化核心技术组件支撑能力。</w:t>
      </w:r>
    </w:p>
    <w:p w14:paraId="5A327A0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能力中心服务：提供用户管理和权限控制，提供多种资源形态，支持多种调度策略；提供全面的运维管理工具，支持实时监控和自动化运维。</w:t>
      </w:r>
    </w:p>
    <w:p w14:paraId="5620958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裸金属集群管理服务：支持基础设施服务的弹性供给，制定多租户资源隔离机制，提供全方位的资源运维监控能力，实现对租户裸金属资源节点的全生命周期精细化管理。</w:t>
      </w:r>
    </w:p>
    <w:p w14:paraId="413DEA4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2）资源池调配管理</w:t>
      </w:r>
    </w:p>
    <w:p w14:paraId="12143E6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多租户管理：支持合理的多租户配置，支持监控和统计资源消费，可以提供租户的资源统计以及监控，提供数据安全与访问安全机制。</w:t>
      </w:r>
    </w:p>
    <w:p w14:paraId="11DE11F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资源池管理：支持资源池划分，按队列、项目、集群等多种方式进行任务动态分配。支持容器资源池创建与配置，具备资源池保护与隔离能力，提供项目级资源配额管控和服务弹性扩缩容、节点与 POD 管理能力。</w:t>
      </w:r>
    </w:p>
    <w:p w14:paraId="6C35A5D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3）算力运行监测管理</w:t>
      </w:r>
    </w:p>
    <w:p w14:paraId="3DD5A0B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▲支持算力结算管理：系统支持自动采集各GPU节点的利用率与占用时长，按租户、项目、任务进行聚合统计。</w:t>
      </w:r>
    </w:p>
    <w:p w14:paraId="0063458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▲多维度资源监控：支持针对集群节点的AI加速卡/CPU/内存/硬盘/网卡等硬件资源进行监控，针对健康检查异常的节点进行故障上报以及自动隔离；</w:t>
      </w:r>
    </w:p>
    <w:p w14:paraId="1C0C5A5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网络带宽监控：提供RDMA网络带宽毫秒级别的监控能力，可用于性能调优及慢节点排查；</w:t>
      </w:r>
    </w:p>
    <w:p w14:paraId="3748B30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服务健康监测：支持配置模型服务的健康检查（存活探针、就绪探针、启动探针），实时监测算力服务的运行状态，保障服务稳定性。</w:t>
      </w:r>
    </w:p>
    <w:p w14:paraId="297C737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性能指标监测：支持训练吞吐、分阶段耗时、训练Loss等性能维度监控。</w:t>
      </w:r>
    </w:p>
    <w:p w14:paraId="57DBC2B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日志管理：支持 POD 日志、服务日志的查看、关键字搜索、高亮显示、自动刷新；支持汇聚查询任务归属所有节点的日志，根据 POD 实例查询历史日志；支持推理服务节点日志下载。</w:t>
      </w:r>
    </w:p>
    <w:p w14:paraId="64B864B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事件追踪：支持微调过程中产生的任务事件、模型服务运行中的服务事件查询，便于追溯算力运行过程中的关键行为。</w:t>
      </w:r>
    </w:p>
    <w:p w14:paraId="7C342B80">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2.3.1.2 大模型数据中枢平台功能服务要求</w:t>
      </w:r>
    </w:p>
    <w:p w14:paraId="34A67AC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多模态数据对接能力、知识加工能力、知识存储能力、知识检索能力，支持对结构化、文本、音频、图像等多模态的对接，支持文本分词、视频抽帧、向量计算等能力，支持自定义知识加工框架、知识模型构建等能力；提供知识切片、知识树、知识图谱等多种知识管理能力，提供向量检索、精确检索、跨模态检索、上下文感知检索的知识索引能力。</w:t>
      </w:r>
    </w:p>
    <w:p w14:paraId="1C38BBC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具备完善的多租户架构，支持按用户主体进行全生命周期数据治理，并提供灵活的租户级数据服务管理。</w:t>
      </w:r>
    </w:p>
    <w:p w14:paraId="0CD4706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（1）数据对接能力</w:t>
      </w:r>
    </w:p>
    <w:p w14:paraId="220EE6F1">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提供多源异构数据对接能力，须支持 API、离线文件、数据库直连三类核心接入方式，兼容关系型 / 非关系型数据库、结构化文件、文本、图片、音视频等全类型数据源，实现多模态数据统一接入、采集与全生命周期管理。</w:t>
      </w:r>
    </w:p>
    <w:p w14:paraId="336B7807">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提供接入策略管理功能，支持实时、小时级、天级多频率接入配置，可灵活设置任务启停规则，支持可视化无代码配置接入流程。</w:t>
      </w:r>
    </w:p>
    <w:p w14:paraId="48E0A9A9">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提供数据接入质量控制功能，软件内置数据一致性、完整性、时效性、唯一性校验规则，支持格式校验、去重、纠错、补全，可监控接入链路稳定性，保障数据质量达标。提供数据质量问题告警，数据质量报告等功能服务。</w:t>
      </w:r>
    </w:p>
    <w:p w14:paraId="2AB0E59E">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提供数据接入安全与合规管理功能，须符合政务数据安全规范，内置数据加密、分级分权访问、最小化授权能力，支持数据分类分级、敏感数据识别、脱敏、加密、水印及全流程安全审计，可实现平台成果向市大数据平台统一注册与合规共享。</w:t>
      </w:r>
    </w:p>
    <w:p w14:paraId="7A369C3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（2）知识加工能力</w:t>
      </w:r>
    </w:p>
    <w:p w14:paraId="15DA2B1E">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1）知识预处理能力：</w:t>
      </w:r>
    </w:p>
    <w:p w14:paraId="6884EA0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提供内置自动化政务知识清洗与质量检测全流程能力。</w:t>
      </w:r>
    </w:p>
    <w:p w14:paraId="3C1E8FF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具备不可见字符移除、格式规范化、乱码清除、繁简转换、无效标签与冗余内容剔除等标准化清洗操作能力。</w:t>
      </w:r>
    </w:p>
    <w:p w14:paraId="5D10DE7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具备文档、表格、图片等知识物料内容的质量校验、问题识别能力。</w:t>
      </w:r>
    </w:p>
    <w:p w14:paraId="462E329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具备知识物料入库修改建议生成，文档问题一键处置等能力，保障入库知识的规范性与准确性。</w:t>
      </w:r>
    </w:p>
    <w:p w14:paraId="6CEA5577">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2）政务场景化加工策略：</w:t>
      </w:r>
    </w:p>
    <w:p w14:paraId="32FE840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预置政务专用自动化加工策略，支持政策文档、办事指南、FAQ、政策表格、通用表格等场景；</w:t>
      </w:r>
    </w:p>
    <w:p w14:paraId="11DEF6B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支持数据清洗、知识分段、数据分句、数据向量化，包括去重、空白、乱码等知识问题；</w:t>
      </w:r>
    </w:p>
    <w:p w14:paraId="4958C3C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 schema 自定义配置，支持针对字段类型、长度、属性等参数进行配置，支持人工配置和自动分析。</w:t>
      </w:r>
    </w:p>
    <w:p w14:paraId="4D2E266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3）加工全流程管理：</w:t>
      </w:r>
    </w:p>
    <w:p w14:paraId="270FC65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支持质量检测、文字解析、智能图文解析等加工策略配置；</w:t>
      </w:r>
    </w:p>
    <w:p w14:paraId="472F8CD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支持加工任务暂停、重试、进度实时可视化展示，可识别运行中、已完成、运行失败等任务状态，支持失败原因溯源。</w:t>
      </w:r>
    </w:p>
    <w:p w14:paraId="168809A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（3）知识存储能力</w:t>
      </w:r>
    </w:p>
    <w:p w14:paraId="02B0D43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基础知识管理：支持知识切片、行业词典的全生命周期管理，可实现切片启停、检索、编辑，以及词典词库的批量导入、复用与词条语义配置。</w:t>
      </w:r>
    </w:p>
    <w:p w14:paraId="232A60B5">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1）知识树管理：</w:t>
      </w:r>
    </w:p>
    <w:p w14:paraId="6271E29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支持多层级知识树构建、节点全生命周期管理、Excel/yaml 格式导入导出，可给节点关联业务参数、接口、话术等配置，支持在线预览；</w:t>
      </w:r>
    </w:p>
    <w:p w14:paraId="3EC85F0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内置知识树健康度检测功能，可自动识别结构异常、数据缺失、逻辑矛盾等问题；</w:t>
      </w:r>
    </w:p>
    <w:p w14:paraId="407DB8A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支持可视化调测，可追踪会话流转、意图判别、节点路径，支持路径优化配置。</w:t>
      </w:r>
    </w:p>
    <w:p w14:paraId="6F2CBC2B">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2）知识图谱管理：</w:t>
      </w:r>
    </w:p>
    <w:p w14:paraId="45D13CC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支持本体建模、实体与关系自定义配置、多源知识融合、图谱导入导出，预留业务规则迭代扩展接口；</w:t>
      </w:r>
    </w:p>
    <w:p w14:paraId="50E854A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内置图谱质量治理能力，可自动识别政策矛盾、时限超限、时效失效等异常；</w:t>
      </w:r>
    </w:p>
    <w:p w14:paraId="04D3C2F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支持多跳推理、可视化路径追踪、人工权重配置，并发场景下响应延迟≤300ms。</w:t>
      </w:r>
    </w:p>
    <w:p w14:paraId="33116E6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3）行业词典管理：</w:t>
      </w:r>
    </w:p>
    <w:p w14:paraId="1D8B866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支持词典与词库分类的全生命周期管理、批量导入与复用，支持词条增删改查，内置转义、缩写、包含等语义关系配置能力。</w:t>
      </w:r>
    </w:p>
    <w:p w14:paraId="6B65D170">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4）跨模态数据处理：</w:t>
      </w:r>
    </w:p>
    <w:p w14:paraId="2C1BEE1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支持视频、图片、文本多模态数据统一存储与高吞吐读写。</w:t>
      </w:r>
    </w:p>
    <w:p w14:paraId="3F02741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支持视频智能抽帧、图片 GPU 硬解码、图像去重、图文向量化转换能力。</w:t>
      </w:r>
    </w:p>
    <w:p w14:paraId="1ED3E45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5）向量数据存储：</w:t>
      </w:r>
    </w:p>
    <w:p w14:paraId="69980E2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兼容字符串、浮点数、整数、布尔值、时间戳、中文文本等主流标量数据类型，同时支持 2 维至 4096 维浮点数向量数据的稳定存储，全面适配主流大模型嵌入向量的存储与检索需求。</w:t>
      </w:r>
    </w:p>
    <w:p w14:paraId="2AF50B0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具备完善的多租户架构，支持按用户主体进行全生命周期数据治理，并提供灵活的租户级数据服务管理。</w:t>
      </w:r>
    </w:p>
    <w:p w14:paraId="2D29402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6）向量数据库管理：</w:t>
      </w:r>
    </w:p>
    <w:p w14:paraId="5492425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支持多库多表创建、修改、删除与查询；支持多向量字段、动态字段扩展；支持标量与向量数据的批量增删改查；支持多集群多副本、分区管理，保障数据高可用。</w:t>
      </w:r>
    </w:p>
    <w:p w14:paraId="040FDA8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（4）知识服务引擎能力</w:t>
      </w:r>
    </w:p>
    <w:p w14:paraId="4CB216FD">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1）多类型索引构建：</w:t>
      </w:r>
    </w:p>
    <w:p w14:paraId="5A4163D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支持全文索引、标量索引构建，实现高效文本检索；</w:t>
      </w:r>
    </w:p>
    <w:p w14:paraId="7D9AFD0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 HNSW 等主流近似检索算法，兼容内积、欧氏距离、余弦等相似度计算，支持精确向量检索；</w:t>
      </w:r>
    </w:p>
    <w:p w14:paraId="736C952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支持索引自动构建开关配置，写入数据后自动完成索引更新。</w:t>
      </w:r>
    </w:p>
    <w:p w14:paraId="7F9915C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2）多模态推理服务：</w:t>
      </w:r>
    </w:p>
    <w:p w14:paraId="6F7CDED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支持多模态大模型高效推理，内置图像预处理、动态组 batch、流水线流式处理能力，可通过硬件加速提升模型吞吐量。</w:t>
      </w:r>
    </w:p>
    <w:p w14:paraId="0576631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3）跨模态检索：</w:t>
      </w:r>
    </w:p>
    <w:p w14:paraId="57E454DF">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支持以文搜图、以图搜图、以文搜视频核心场景；支持检索结果重排、特征聚类、跨模态相似度计算，保障检索精度与效率。</w:t>
      </w:r>
    </w:p>
    <w:p w14:paraId="50974D1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4）多模态知识服务：</w:t>
      </w:r>
    </w:p>
    <w:p w14:paraId="72C791BB">
      <w:pPr>
        <w:widowControl w:val="0"/>
        <w:shd w:val="clear" w:color="auto" w:fill="auto"/>
        <w:adjustRightInd w:val="0"/>
        <w:spacing w:line="360" w:lineRule="auto"/>
        <w:ind w:firstLine="426" w:firstLineChars="177"/>
        <w:contextualSpacing/>
        <w:jc w:val="left"/>
        <w:rPr>
          <w:rFonts w:hint="eastAsia" w:ascii="Times New Roman" w:hAnsi="Times New Roman" w:eastAsia="宋体" w:cs="Times New Roman"/>
          <w:kern w:val="2"/>
          <w:sz w:val="24"/>
          <w:szCs w:val="24"/>
          <w:lang w:val="en-US" w:eastAsia="zh-CN" w:bidi="ar-SA"/>
        </w:rPr>
      </w:pPr>
      <w:r>
        <w:rPr>
          <w:rFonts w:hint="eastAsia" w:ascii="Calibri" w:hAnsi="宋体" w:eastAsia="宋体" w:cs="宋体"/>
          <w:b/>
          <w:bCs/>
          <w:color w:val="000000"/>
          <w:kern w:val="2"/>
          <w:sz w:val="24"/>
          <w:szCs w:val="22"/>
          <w:highlight w:val="none"/>
          <w:lang w:val="en-US" w:eastAsia="zh-CN" w:bidi="ar-SA"/>
        </w:rPr>
        <w:t>#</w:t>
      </w:r>
      <w:r>
        <w:rPr>
          <w:rFonts w:hint="eastAsia" w:ascii="Times New Roman" w:hAnsi="Times New Roman" w:eastAsia="宋体" w:cs="Times New Roman"/>
          <w:kern w:val="2"/>
          <w:sz w:val="24"/>
          <w:szCs w:val="24"/>
          <w:lang w:val="en-US" w:eastAsia="zh-CN" w:bidi="ar-SA"/>
        </w:rPr>
        <w:t>内置文本、图像、视频 Embedding 能力，兼容主流嵌入模型；支持外部 Embedding 服务代理调用；支持跨模态语义映射对齐、细粒度匹配与多模态特征融合。</w:t>
      </w:r>
    </w:p>
    <w:p w14:paraId="4B41EA0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（5）数据中枢门户</w:t>
      </w:r>
    </w:p>
    <w:p w14:paraId="679E942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1）政务知识智能检索</w:t>
      </w:r>
    </w:p>
    <w:p w14:paraId="1C5E073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支持全类型全量内容检索：支持对政策文件、法律法规、办事指南、业务规范、FAQ、工作方案、预案、纪要等全类型政务知识的统一检索；</w:t>
      </w:r>
    </w:p>
    <w:p w14:paraId="7275A6D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兼容文本、表格、图片、PDF、Word、Excel等多格式文件的全文内容检索，实现“一次检索、全库匹配”。</w:t>
      </w:r>
    </w:p>
    <w:p w14:paraId="7273084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支持政务语义智能理解检索：具备政务大模型语义理解能力，支持模糊检索、同义词检索及口语化表述检索；</w:t>
      </w:r>
    </w:p>
    <w:p w14:paraId="533FA47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支持多维度精准筛选排序：支持按发文单位、业务领域、生效时间、知识类型等维度进行精细化筛选；</w:t>
      </w:r>
    </w:p>
    <w:p w14:paraId="03FAA5A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支持按最新发布、最高查阅量、最高下载量等多维度规则进行智能排序。</w:t>
      </w:r>
    </w:p>
    <w:p w14:paraId="532EDED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支持检索结果溯源与关联延伸：支持检索结果核心元数据（来源、权属、状态、有效期）的清晰标注；</w:t>
      </w:r>
    </w:p>
    <w:p w14:paraId="445AB95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支持原文在线预览及一键下载，实现检索结果的便捷获取与溯源。</w:t>
      </w:r>
    </w:p>
    <w:p w14:paraId="5FC4E85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2）知识查阅排行</w:t>
      </w:r>
    </w:p>
    <w:p w14:paraId="1B7DEF7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支持多维度排行分类体系：支持按总榜、月榜、周榜、日榜等时间维度进行动态筛选；</w:t>
      </w:r>
    </w:p>
    <w:p w14:paraId="22E5EE0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支持按业务领域（民生、企业、应急等）及权属主体（市级、区县、部门）进行分类排行展示。</w:t>
      </w:r>
    </w:p>
    <w:p w14:paraId="08E59CD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支持排行内容直达与溯源：实时展示知识名称、权属、状态等信息；</w:t>
      </w:r>
    </w:p>
    <w:p w14:paraId="0DA2196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支持从排行列表一键直达知识详情页，具备原文在线查阅及附件下载功能。</w:t>
      </w:r>
    </w:p>
    <w:p w14:paraId="153CDFB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具备高价值领域识别及“僵尸知识”预警能力，为知识体系优化、重点建设及资源倾斜提供数据决策支撑。</w:t>
      </w:r>
    </w:p>
    <w:p w14:paraId="4BF746B0">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2.3.1.3 大模型应用评测管理平台功能服务要求</w:t>
      </w:r>
    </w:p>
    <w:p w14:paraId="7EAFB2B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（1）大模型应用上线前评测流程管理</w:t>
      </w:r>
    </w:p>
    <w:p w14:paraId="2F80E00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模型应用上线评测和管理能力，支持各业务部门根据实际需求，在线发起评测申请，提供统一的申请入口与操作指引。提供灵活可配置的评测审核流程与规则管理功能，支持委办局根据不同业务场景与模型类型的实际需求，灵活配置审核环节、审核权限及判定标准。</w:t>
      </w:r>
    </w:p>
    <w:p w14:paraId="4454EB3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1）评测申请与对象管理</w:t>
      </w:r>
    </w:p>
    <w:p w14:paraId="15BD18F7">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评测申请管理：支持各业务部门通过统一入口在线发起评测申请，实现申请信息提交、第三方评测团队自主选择、评测标准方案组合配置及材料附件上传等全流程数字化功能。</w:t>
      </w:r>
    </w:p>
    <w:p w14:paraId="227D3EF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申请状态跟踪：支持系统自动生成唯一申请编号，实时展示待审核、补充材料、已受理等全链路状态轨迹，并提供基于编号或关键词的进度查询能力。</w:t>
      </w:r>
    </w:p>
    <w:p w14:paraId="55BD573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评测对象管理：支持通过接口与模型矩阵平台同步模型应用基础信息，实现评测对象与申请信息的自动关联，并确保信息变更时的实时动态更新。</w:t>
      </w:r>
    </w:p>
    <w:p w14:paraId="4D6AD96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2）标准、方案与数据集管理</w:t>
      </w:r>
    </w:p>
    <w:p w14:paraId="709FB08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评测标准管理：支持包含安全、性能、内容质量三大维度的标准体系管理，预设政务大模型评测技术指南为默认标准，并支持用户根据业务需求自定义文本性评测指标。</w:t>
      </w:r>
    </w:p>
    <w:p w14:paraId="2576D21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评测方案管理：提供针对大模型、AI Agent和RAG的多种预设评测方案模板，支持用户基于模板灵活调整维度与标准，快速创建个性化的标准化评测框架。</w:t>
      </w:r>
    </w:p>
    <w:p w14:paraId="555144A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数据集汇聚管理：提供多模态数据集的统一上传、分类标注与检索复用能力，支持结构化、文本、音视频等数据的集中化管理，为评测任务提供便捷合规的数据支撑。</w:t>
      </w:r>
    </w:p>
    <w:p w14:paraId="2D18395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3）任务执行与审核流程管理</w:t>
      </w:r>
    </w:p>
    <w:p w14:paraId="73ED8DF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评测任务管理：支持在审核通过后自动创建并分发评测任务，实现对任务执行状态（待执行、执行中、已完成）的全量管控，并支持第三方评测报告的在线上传与流转。</w:t>
      </w:r>
    </w:p>
    <w:p w14:paraId="79998ED9">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多环节审核管理：提供从一站式服务团队申请初审、报告初审到市政务和数据局终审的全流程线上化审核功能，支持通过、驳回、补充材料等操作及电子签章确认。</w:t>
      </w:r>
    </w:p>
    <w:p w14:paraId="546377C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审核追溯与归档：支持全流程操作留痕与文档自动归档，提供基于申请编号的操作日志记录、文档关联追溯及全流程轨迹图展示，确保历史信息不可篡改且可追溯。</w:t>
      </w:r>
    </w:p>
    <w:p w14:paraId="36044F8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4）角色权限与系统支撑</w:t>
      </w:r>
    </w:p>
    <w:p w14:paraId="28881AD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角色管理与权限配置：支持对委办局、运营团队、政数局审核员及系统管理员等角色进行规范化定义，并提供基于模块功能的精细化操作权限分配与动态维护能力。</w:t>
      </w:r>
    </w:p>
    <w:p w14:paraId="5D8B0D3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系统联动与支撑能力：支持对接数智北京创新中心业务及仿真实验平台管理流程，确保评测通过的模型在上线后具备可持续的监管与维护能力。</w:t>
      </w:r>
    </w:p>
    <w:p w14:paraId="2437B69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（2）政务大模型应用安全监测</w:t>
      </w:r>
    </w:p>
    <w:p w14:paraId="282491F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运行行为监测能力、敏感数据防护能力和保密护栏、智能风险识别和阻断能力、内容合规审查能力、安全事件追溯和溯源能力。提供面向政务场景的大模型安全监测能力，针对模型被滥用、越权调用、提示词攻击、敏感信息泄露等问题，提供实时感知与防控能力。提供覆盖模型交互全过程的监测能力，面向访问行为、提示词输入和生成输出进行追踪，支持构建面向大模型的动态风险画像；支持对越权请求、恶意利用及违规内容的自动识别与阻断；支持对模型输出的政治、社会等敏感内容进行实时审查与处置。支持集成模型矩阵门户的用户中心、权限管理、应用入口管理、统计中心等。</w:t>
      </w:r>
    </w:p>
    <w:p w14:paraId="5B488C8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1）大模型应用业务接入</w:t>
      </w:r>
    </w:p>
    <w:p w14:paraId="1BEF4DD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反向代理发布大模型API服务，在不改造现有AI应用的情况下完成上线，通过代理能力提供对大模型应用的隔离保护、协议的转换等功能；提供HTTP与HTTPS之间相互代理转换协议，支持对外发布代理服务器IP、代理域名、代理端口。支持URI的多种处理，支持覆盖、重写和重定向。</w:t>
      </w:r>
    </w:p>
    <w:p w14:paraId="1D1B31F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支持上传大模型应用的服务器证书，支持根CA证书和二级CA证书的上传；同时兼容RSA算法及SM2算法；支持国密算法SM2,SM3,SM4；支持SSL卸载；支持针对代理域名配置解密或不解密的策略，优化资源利用率。</w:t>
      </w:r>
    </w:p>
    <w:p w14:paraId="2F6BA39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支持通过DNS代理解析策略，可针对不同的源IP（用户或应用）对相同大模型域名的访问，解析为后端不同的大模型服务器IP。适配多租户场景下不同的大模型发布需求。</w:t>
      </w:r>
    </w:p>
    <w:p w14:paraId="13328AA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2）内容安全鉴定</w:t>
      </w:r>
    </w:p>
    <w:p w14:paraId="214DAC2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支持多种编码的解码，包括但不限于URL解码、Base64 解码、16进制转换/解码、全半角转换、html解码、unicode解码、emoji风险检测、简繁中文转换等。</w:t>
      </w:r>
    </w:p>
    <w:p w14:paraId="3814C18C">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具备大模型输入风险识别管控能力，干预拦截指令攻击行为、敏感有害提问等，包括：支持语义级分析能力，可自动识别威胁、分类违法和不良信息，提供自定义关键词过滤规则等定制化安全功能；支持上下文关联分析，可对超长会话历史进行连贯性分析，可基于用户角色识别拦截越权提问信息；支持自动识别拦截个人信息等敏感内容；支持对借助提示词攻击手段产生的涉政敏感、色情低俗、偏见歧视等内容合规风险识别。</w:t>
      </w:r>
    </w:p>
    <w:p w14:paraId="10F0956E">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具备大模型输出风险识别管控能力，过滤拦截输出内容中的违法和不良信息、敏感内容等，包括：配置脱敏规则，对大模型生成的敏感内容进行脱敏后输出；过滤违法和不良信息，对大模型生成的不当或超业务范围内容，采取限制输出或代答、拒答等方式进行输出；代答、拒答技术措施可将识别的风险提问与标准回复进行映射，对可预判问题提供标准答案，对用户进行正向引导；代答、拒答技术措施配置支持自定义扩展，可调整风险提问与回复的关联关系；代答、拒答技术措施可按照实际需要及时更新。</w:t>
      </w:r>
    </w:p>
    <w:p w14:paraId="5D24E29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备与大模型应用实际所支持模态相匹配的输入输出内容安全识别能力，包括文本识别、图片OCR识别、文件识别等。支持文本模态的输入输出内容安全识别能力；具备高效的处理机制，满足高并发、低延迟的业务需求，保障用户体验的流畅性与稳定性。支持根据不同业务场景进行功能模块的扩展与定制。</w:t>
      </w:r>
    </w:p>
    <w:p w14:paraId="557F491B">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支持监测/阻断模式自由切换，针对不同的源和目的以及内容的细粒度管控策略。支持允许和阻塞两种动作，可只检测不阻塞，也可检测风险时阻塞；可结合策略优先级及多策略的逻辑关系实现白名单、黑名单管控模式，并可设定例外或高优先级策略。支持代答功能，可配置代答动作，设置代答对象。</w:t>
      </w:r>
    </w:p>
    <w:p w14:paraId="225E009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3）大模型数据保护</w:t>
      </w:r>
    </w:p>
    <w:p w14:paraId="2CB5FEE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支持自定义HTTP头字段提取账号，识别主体身份。支持基于用户、组织、角色等身份信息授权特定敏感数据可见；支持基于字符串、正则表达式自定义敏感信息，并进行实名授权管控。</w:t>
      </w:r>
    </w:p>
    <w:p w14:paraId="5C526FA7">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支持敏感信息过滤，对AI应用提问回答内容进行审计及敏感信息检测。支持敏感信息自动识别；对违规敏感信息的请求访问进行阻塞。支持基于字符串、正则表达式自定义敏感信息，并进行敏感信息过来。</w:t>
      </w:r>
    </w:p>
    <w:p w14:paraId="7CB69367">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需支持动态脱敏功能，识别并脱敏用户输入/输出中的个人隐私信息；支持自定义脱敏规则；支持重排脱敏，通过打乱原始数据中敏感字段的排列顺序，从而切断数据与真实个体之间的直接对应关系。</w:t>
      </w:r>
    </w:p>
    <w:p w14:paraId="2067DCA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4）大模型应用保护</w:t>
      </w:r>
    </w:p>
    <w:p w14:paraId="588670F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按细粒度访问权限；支持基于用户、时间、位置、工具、AI应用、源IP、目的IP、目的端口、AI目的域名、AI报文大小、报文内容、代理服务器IP等条件按优先级配置大模型应用控制策略，策略动作支持允许、阻塞、重定向和提醒。</w:t>
      </w:r>
    </w:p>
    <w:p w14:paraId="37EF2D50">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支持对大模型内容过滤可以完整、全面的记录大模型应用行为日志。支持还原业务系统接口报文并记录详记录完整的报文信息。</w:t>
      </w:r>
    </w:p>
    <w:p w14:paraId="2155D09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支持设定AI应用访问的基本带宽保障，保障关键应用对特定访问源的必要的带宽资源；支持设定大模型应用访问的并发连接数限制，和并发连接数限制。</w:t>
      </w:r>
    </w:p>
    <w:p w14:paraId="0059DF3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支持防DDOS，自动侦测异常，发出告警并对应采取控制措施；</w:t>
      </w:r>
    </w:p>
    <w:p w14:paraId="47DA4FB7">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支持入侵防护，支持SQL注入等威胁防护；支持基于代理服务器IP、控制内容对AI应用配置入侵防护策略。支持爬虫行为检测</w:t>
      </w:r>
    </w:p>
    <w:p w14:paraId="3208658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支持病毒查杀，支持对提问上传文件内容进行病毒检测和阻塞。</w:t>
      </w:r>
    </w:p>
    <w:p w14:paraId="244122B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5）大模型审计分析</w:t>
      </w:r>
    </w:p>
    <w:p w14:paraId="293DA79F">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具备日志留存和审计能力，支持记录行为主体、事件类型、系统时间以及系统行为、用户行为等，支持基于行为用户、访问事件、风险类型等多维度查询分析，定期对日志记录进行审计。支持大模型文本内容检索查询、传输文件内容溯源查询。支持提取登录AI应用的账号并关联此账号的所有访问行为。</w:t>
      </w:r>
    </w:p>
    <w:p w14:paraId="4B932C4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支持接口识别和展示采集识别到的接口信息；支持接口关键字，规则名称等进行过滤展示。</w:t>
      </w:r>
    </w:p>
    <w:p w14:paraId="04D07249">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支持风险识别，内置敏感信息检测规则、安全检测规则、行为检测规则和自定义检测规则，可根据需要对业务流量中请求头、请求体、响应头、响应体和文件中的信息进行检测和记录。支持基于主体、客体、时间、频次、数量、流量等维度的统计分析，可实现对比分析和基线分析。支持行为风险分析，包括访问行为异常，账号登录异常等；支持预置规则和自定义分析规则。</w:t>
      </w:r>
    </w:p>
    <w:p w14:paraId="3F4DC12E">
      <w:pPr>
        <w:widowControl w:val="0"/>
        <w:shd w:val="clear" w:color="auto" w:fill="auto"/>
        <w:adjustRightInd w:val="0"/>
        <w:spacing w:line="360" w:lineRule="auto"/>
        <w:ind w:firstLine="389" w:firstLineChars="177"/>
        <w:contextualSpacing/>
        <w:jc w:val="left"/>
        <w:rPr>
          <w:rFonts w:hint="eastAsia" w:ascii="Times New Roman" w:hAnsi="Times New Roman" w:eastAsia="宋体" w:cs="Times New Roman"/>
          <w:kern w:val="2"/>
          <w:sz w:val="24"/>
          <w:szCs w:val="24"/>
          <w:lang w:val="en-US" w:eastAsia="zh-CN" w:bidi="ar-SA"/>
        </w:rPr>
      </w:pPr>
      <w:r>
        <w:rPr>
          <w:rFonts w:hint="eastAsia" w:ascii="PingFang SC" w:hAnsi="PingFang SC" w:eastAsia="PingFang SC" w:cs="PingFang SC"/>
          <w:color w:val="000000"/>
          <w:kern w:val="2"/>
          <w:sz w:val="22"/>
          <w:szCs w:val="22"/>
          <w:lang w:val="en-US" w:eastAsia="zh-CN" w:bidi="ar"/>
        </w:rPr>
        <w:t>◆</w:t>
      </w:r>
      <w:r>
        <w:rPr>
          <w:rFonts w:hint="eastAsia" w:ascii="Times New Roman" w:hAnsi="Times New Roman" w:eastAsia="宋体" w:cs="Times New Roman"/>
          <w:kern w:val="2"/>
          <w:sz w:val="24"/>
          <w:szCs w:val="24"/>
          <w:lang w:val="en-US" w:eastAsia="zh-CN" w:bidi="ar-SA"/>
        </w:rPr>
        <w:t>支持基于详情事件追溯，支持设置数据标签，追溯内容，敏感信息数量，用户名称和接口等条件；支持基于事件关联追溯；支持基于用户身份追溯。</w:t>
      </w:r>
    </w:p>
    <w:p w14:paraId="5DC1670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6）系统管理</w:t>
      </w:r>
    </w:p>
    <w:p w14:paraId="2A5E4AF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支持PING\Traceroute\TCPDUMP\CURL等多种诊断工具辅助网络环境检测；支持web界面开启DEBUG模型。</w:t>
      </w:r>
    </w:p>
    <w:p w14:paraId="05E92D0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支持分级分权管理；管理员认证方式支持本地密码校验，LDAP认证，Radius校验等多种方式。</w:t>
      </w:r>
    </w:p>
    <w:p w14:paraId="6651E9A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支持本地授权，满足灵活部署下的快速授权需求。</w:t>
      </w:r>
    </w:p>
    <w:p w14:paraId="2935A59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支持定期升级，支持特征库的更新；支持离线升级。</w:t>
      </w:r>
    </w:p>
    <w:p w14:paraId="46E85BAC">
      <w:pPr>
        <w:keepNext/>
        <w:keepLines/>
        <w:widowControl w:val="0"/>
        <w:shd w:val="clear" w:color="auto" w:fill="auto"/>
        <w:bidi w:val="0"/>
        <w:spacing w:before="280" w:beforeLines="0" w:beforeAutospacing="0" w:after="290" w:afterLines="0" w:afterAutospacing="0" w:line="372" w:lineRule="auto"/>
        <w:jc w:val="both"/>
        <w:outlineLvl w:val="4"/>
        <w:rPr>
          <w:rFonts w:hint="eastAsia"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2.3.2一站式运营团队服务</w:t>
      </w:r>
    </w:p>
    <w:p w14:paraId="7AFBE87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要求投标方提供完整合理的运营服务方案，包括不限于专门的运营团队、专业合理的团队成员、及时的应急响应机制和完善的运营服务方案。</w:t>
      </w:r>
    </w:p>
    <w:p w14:paraId="0AAFE753">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2.3.2.1 运营团队组织要求</w:t>
      </w:r>
    </w:p>
    <w:p w14:paraId="3A196BD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投标人需组建专门运营服务团队，需与采购人共同建立领导、协调、运维三个层面的组织管理体系，明确项目的组织机构和参与人员，确保其经验丰富、人员稳定充足、结构合理、分工明确。制定完整、详细的项目管理计划和项目管理规章制度，计划和制度应合理，可操作性强，对项目过程进行全面和规范的管理。及时提供工作进展、阶段成果，配合做好有关成果工作汇报，定期召开项目会议，沟通汇报各项工作的落实情况，解决遇到的实际问题。</w:t>
      </w:r>
    </w:p>
    <w:p w14:paraId="30D3F112">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2.3.2.2 团队配置与人员资质要求</w:t>
      </w:r>
    </w:p>
    <w:p w14:paraId="021ED3D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（1）项目团队人员要求</w:t>
      </w:r>
    </w:p>
    <w:p w14:paraId="77576303">
      <w:pPr>
        <w:widowControl w:val="0"/>
        <w:shd w:val="clear" w:color="auto" w:fill="auto"/>
        <w:adjustRightInd w:val="0"/>
        <w:spacing w:line="360" w:lineRule="auto"/>
        <w:ind w:firstLine="424" w:firstLineChars="177"/>
        <w:contextualSpacing/>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要求指派项目负责人，在合同执行期间，核心人员原则不得变更，如需变更需经采购人同意。在采购人指定地点驻场办公。</w:t>
      </w:r>
    </w:p>
    <w:p w14:paraId="53B718B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（2）项目总负责人</w:t>
      </w:r>
    </w:p>
    <w:p w14:paraId="631118D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总负责人需具备大模型或大数据相关系统开发建设与运维项目经验，且全职参加本项目工作，在通州区留庄路3号院或通州区新华东街48号2区31号楼办公。项目总负责人应具备5年及以上信息化项目管理工作经验，且具备信息系统项目管理师（高级）资格认证，需提供工作经验证明和</w:t>
      </w:r>
      <w:r>
        <w:rPr>
          <w:rFonts w:hint="eastAsia" w:ascii="宋体" w:hAnsi="宋体" w:eastAsia="宋体" w:cs="宋体"/>
          <w:kern w:val="2"/>
          <w:sz w:val="24"/>
          <w:szCs w:val="24"/>
          <w:highlight w:val="none"/>
          <w:lang w:val="en-US" w:eastAsia="zh-CN" w:bidi="ar-SA"/>
        </w:rPr>
        <w:t>任意一个月的人员缴纳</w:t>
      </w:r>
      <w:r>
        <w:rPr>
          <w:rFonts w:hint="eastAsia" w:ascii="Times New Roman" w:hAnsi="Times New Roman" w:eastAsia="宋体" w:cs="Times New Roman"/>
          <w:kern w:val="2"/>
          <w:sz w:val="24"/>
          <w:szCs w:val="24"/>
          <w:lang w:val="en-US" w:eastAsia="zh-CN" w:bidi="ar-SA"/>
        </w:rPr>
        <w:t>社保证明，并盖投标人单位公章，提供有效期内的信息系统项目管理师（高级）认证证书。</w:t>
      </w:r>
    </w:p>
    <w:p w14:paraId="4DC1577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（3）分项负责人</w:t>
      </w:r>
    </w:p>
    <w:p w14:paraId="3729725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应针对共性基础平台软件租用服务、一站式运营团队服务2项工作分别指定项目负责人，在采购人指定的地点工作。人员要求如下：</w:t>
      </w:r>
    </w:p>
    <w:p w14:paraId="528B307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共性基础平台软件租用服务分项负责人：具备较强的统筹组织协调、项目管理和多渠道沟通能力，熟悉大模型、MAAS平台、数据中枢平台等业务，能够参与并指导项目实施过程中的技术方法论证、技术路线规划实施和复杂问题的解决等。应具备5年及以上工作经验，且具备信息系统项目管理师（高级）证书或系统架构（高级）证书，需提供工作经验证明和</w:t>
      </w:r>
      <w:r>
        <w:rPr>
          <w:rFonts w:hint="eastAsia" w:ascii="宋体" w:hAnsi="宋体" w:eastAsia="宋体" w:cs="宋体"/>
          <w:kern w:val="2"/>
          <w:sz w:val="24"/>
          <w:szCs w:val="24"/>
          <w:highlight w:val="none"/>
          <w:lang w:val="en-US" w:eastAsia="zh-CN" w:bidi="ar-SA"/>
        </w:rPr>
        <w:t>任意一个月的人员缴纳</w:t>
      </w:r>
      <w:r>
        <w:rPr>
          <w:rFonts w:hint="eastAsia" w:ascii="Times New Roman" w:hAnsi="Times New Roman" w:eastAsia="宋体" w:cs="Times New Roman"/>
          <w:kern w:val="2"/>
          <w:sz w:val="24"/>
          <w:szCs w:val="24"/>
          <w:lang w:val="en-US" w:eastAsia="zh-CN" w:bidi="ar-SA"/>
        </w:rPr>
        <w:t>社保证明，并盖投标人单位公章，提供有效期内的信息系统项目管理师（高级）证书或系统架构（高级）认证证书。</w:t>
      </w:r>
    </w:p>
    <w:p w14:paraId="27D5485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站式运营团队服务分项负责人：应具备平台运维和运营管理经验，熟练掌握系统推广运营方法，掌握通用大模型技术选型、大模型安全监测相关技术。有至少5年的类似工作经验，具备信息系统项目管理师（高级）证书或系统分析（高级）证书，需提供工作经验证明和</w:t>
      </w:r>
      <w:r>
        <w:rPr>
          <w:rFonts w:hint="eastAsia" w:ascii="宋体" w:hAnsi="宋体" w:eastAsia="宋体" w:cs="宋体"/>
          <w:kern w:val="2"/>
          <w:sz w:val="24"/>
          <w:szCs w:val="24"/>
          <w:highlight w:val="none"/>
          <w:lang w:val="en-US" w:eastAsia="zh-CN" w:bidi="ar-SA"/>
        </w:rPr>
        <w:t>任意一个月的人员缴纳</w:t>
      </w:r>
      <w:r>
        <w:rPr>
          <w:rFonts w:hint="eastAsia" w:ascii="Times New Roman" w:hAnsi="Times New Roman" w:eastAsia="宋体" w:cs="Times New Roman"/>
          <w:kern w:val="2"/>
          <w:sz w:val="24"/>
          <w:szCs w:val="24"/>
          <w:lang w:val="en-US" w:eastAsia="zh-CN" w:bidi="ar-SA"/>
        </w:rPr>
        <w:t>社保证明，并盖投标人单位公章，提供有效期内的系统项目管理师（高级）证书或系统分析师（高级）认证证书。</w:t>
      </w:r>
    </w:p>
    <w:p w14:paraId="4F1053B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（4）支撑团队人员</w:t>
      </w:r>
    </w:p>
    <w:p w14:paraId="1984FF4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投标人能够为项目的实施提供高素质的后台支撑团队，并根据项目进展动态调整人员力量，以应对突发任务或关键节点的繁杂工作。具有不少于12名支撑团队人员，支撑团队构成应覆盖所有工作内容，并按照项目的主要组成分组，分组方案合理，负责人及人员专业与工作内容相符。项目团队需配备信息安全专业技术人员，且具备注册信息安全工程师或信息安全保障人员认证证书，需提供有效期内的认证证书。</w:t>
      </w:r>
    </w:p>
    <w:p w14:paraId="1F98B161">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2.3.2.3 运营服务内容要求</w:t>
      </w:r>
    </w:p>
    <w:p w14:paraId="0FEF736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一站式运营服务要求涵盖以下六大类服务：</w:t>
      </w:r>
    </w:p>
    <w:p w14:paraId="2FC4C04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（1）项目管理服务</w:t>
      </w:r>
    </w:p>
    <w:p w14:paraId="63DA851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项目管理服务，完成一站式运营团队的日常管理工作，整体把控项目进度和服务质量，负责需求收集、资源调度、计划管理、重大问题处理、争议管理等工作，确保项目的质量和进度；配合做好节假日、重保、护网等工作支撑。</w:t>
      </w:r>
    </w:p>
    <w:p w14:paraId="6BF043F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要求提供团队日常管控服务，负责运营团队的日常考勤、岗位职责划分、工作分工统筹、绩效考核管理等内务工作，规范团队工作流程，提升团队协作效率与服务执行力，保障各项工作专人专岗、责任到人。</w:t>
      </w:r>
    </w:p>
    <w:p w14:paraId="75E0AAB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要求建立完善的项目进度管控体系，制定精细化项目实施计划，实时跟踪各项工作推进节点，及时排查进度滞后隐患，做好进度纠偏与调整，确保所有服务任务按期保质完成，杜绝项目延期、推诿拖沓等问题。</w:t>
      </w:r>
    </w:p>
    <w:p w14:paraId="08832F5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要求对接各相关部门、业务科室，全面开展需求收集、整理、汇总、归档工作，对需求进行分类梳理、初步研判与合规筛查，建立需求台账，做好需求对接、流转、反馈的全流程闭环管理。</w:t>
      </w:r>
    </w:p>
    <w:p w14:paraId="7D438CF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要求项目经理协调处理各部门之间、业务环节之间的工作争议、配合分歧等问题，秉持合规、高效原则做好沟通调解，梳理权责边界，达成协同共识，保障项目推进顺畅。</w:t>
      </w:r>
    </w:p>
    <w:p w14:paraId="3815288C">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（2）应用场景评估测试支撑服务</w:t>
      </w:r>
    </w:p>
    <w:p w14:paraId="47ED7F1B">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各部门政务大模型应用场景需求调研与分析服务，提供需求拆解、业务价值与技术可行性评估、最优模型及版本选择、算力与资源精确测算等服务，提供实施路线规划、全生命周期技术指导服务，提供标准化、可量化的需求分析依据，确保技术能力与业务需求精准匹配。</w:t>
      </w:r>
    </w:p>
    <w:p w14:paraId="7964EF3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深入各政务部门开展走访、座谈沟通、资料研读等工作，全面摸排各部门政务大模型应用的实际需求、业务痛点、工作目标，摸清业务流程、办理环节、数据依托等核心信息。</w:t>
      </w:r>
    </w:p>
    <w:p w14:paraId="0505BA2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对收集的零散需求进行系统化拆解、分类整合、提炼核心，剔除模糊化、不合理、不合规的需求，梳理形成条理清晰、指向明确的标准化需求清单，明确各项需求的优先级与实施重难点。</w:t>
      </w:r>
    </w:p>
    <w:p w14:paraId="60EE760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依托共性基础平台、政务云算力资源池，对各应用场景的技术实现难度、落地风险、适配程度进行全面评估，排查技术瓶颈与安全隐患，给出可行性结论。</w:t>
      </w:r>
    </w:p>
    <w:p w14:paraId="53F734A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结合各场景业务特点、需求等级、安全要求，综合对比各类大模型的性能、适配性、安全性、运维成本等指标，筛选最优大模型及对应版本，确保模型能力与业务场景高度匹配。</w:t>
      </w:r>
    </w:p>
    <w:p w14:paraId="57D49A94">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针对选定的应用场景与模型版本，精准核算所需算力、存储、带宽、数据资源等各类配套资源，给出量化的资源配置方案，保障资源供给贴合实际使用需求，杜绝资源浪费。</w:t>
      </w:r>
    </w:p>
    <w:p w14:paraId="50A494E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为各部门应用场景建设制定科学化、可落地的实施路线图，明确实施阶段、时间节点、工作步骤、责任分工、验收标准，规划短期落地与长效优化方案，保障场景应用稳步推进。</w:t>
      </w:r>
    </w:p>
    <w:p w14:paraId="0249812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从场景立项、方案设计、部署调试、试运行到正式上线、迭代优化，提供全程技术指导，及时解答技术疑问，协助解决实施难题，保障场景应用全流程规范推进。</w:t>
      </w:r>
    </w:p>
    <w:p w14:paraId="5C34700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（3）模型应用上线前评测流程管理服务</w:t>
      </w:r>
    </w:p>
    <w:p w14:paraId="0B7E859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要求提供评测申请的技术性评估服务，接收各部门提交的模型应用上线评测申请，对申请材料进行技术性初审，严把申请入口关，杜绝不合规、不完整的申请进入后续流程。</w:t>
      </w:r>
    </w:p>
    <w:p w14:paraId="5489AC8E">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逐项核查评测申请信息的完整性、准确性、规范性，核对申请主体、应用场景、功能说明、技术方案、安全保障措施等内容，排查缺项、漏项、错项。</w:t>
      </w:r>
    </w:p>
    <w:p w14:paraId="3E69EB7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同步跟踪评测任务执行状态，协调解决问题，接收检查评测结果；研判分析评测报告，确保报告规范真实完整。</w:t>
      </w:r>
    </w:p>
    <w:p w14:paraId="6E4F2BC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及时接收各部门应用场景的评测报告，及时提供上线评测报告审核服务。</w:t>
      </w:r>
    </w:p>
    <w:p w14:paraId="54B8AAD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（4）通用大模型技术选型评测服务</w:t>
      </w:r>
    </w:p>
    <w:p w14:paraId="550175D0">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要求根据政务领域通用大模型技术选型指引要求，制定完善通用能力和政务能力评测指标细则，建设完善评测数据集，按需提供通用大模型能力评测服务。</w:t>
      </w:r>
    </w:p>
    <w:p w14:paraId="29B0F80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要求按照既定指标与数据集，按需开展通用大模型能力评测工作，出具专业、详细的评测报告，客观反映各模型的优势、短板与适配场景。</w:t>
      </w:r>
    </w:p>
    <w:p w14:paraId="4F64359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要求定期开展大模型新产品、新技术的分析研究，为我市通用模型技术选型提供建议。</w:t>
      </w:r>
    </w:p>
    <w:p w14:paraId="0ABA2B5D">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针对通用大模型技术更新迭代快的问题，要求至少开展两次通用模型技术选型评测，首次选型评测范围包括至少10个通用大模型。</w:t>
      </w:r>
    </w:p>
    <w:p w14:paraId="2C06C61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（5）平台运营管理服务</w:t>
      </w:r>
    </w:p>
    <w:p w14:paraId="6630FDE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要求提供数据运营管理服务，动态评价应用场景接入数据资源质量，定期梳理高价值数据，生成数据运营报告，指导相关部门识别业务需要的高质量数据集，提高数据资源复用率。</w:t>
      </w:r>
    </w:p>
    <w:p w14:paraId="780AE739">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要求提供共性基础平台技术推广服务，依托平台埋点分析能力，构建工具全生命周期效能评估模型。</w:t>
      </w:r>
    </w:p>
    <w:p w14:paraId="598702E6">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要求提供大模型交互的安全监测服务，及时识别和拦截敏感话题、指令攻击及不合规输出。</w:t>
      </w:r>
    </w:p>
    <w:p w14:paraId="23569F3A">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要求提供共性基础平台培训服务，构建基础、进阶、专家三级赋能体系，制定共性基础平台的分级培训课程。</w:t>
      </w:r>
    </w:p>
    <w:p w14:paraId="5B689201">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要求面向各部门应用场景提供技术咨询服务，为各部门大模型应用人员提供完善的咨询服务，围绕共性基础能力的使用、推广，制定咨询方案、推广应用手册等。</w:t>
      </w:r>
    </w:p>
    <w:p w14:paraId="5890EEBC">
      <w:pPr>
        <w:widowControl w:val="0"/>
        <w:shd w:val="clear" w:color="auto" w:fill="auto"/>
        <w:adjustRightInd w:val="0"/>
        <w:spacing w:line="360" w:lineRule="auto"/>
        <w:ind w:firstLine="424" w:firstLineChars="177"/>
        <w:contextualSpacing/>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指导各应用部门利用模型矩阵应用平台对部门所使用的算力、模型、智能体、通用工具进行监控和管理。</w:t>
      </w:r>
    </w:p>
    <w:p w14:paraId="13CEC76F">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指导各应用部门利用大模型数据中枢平台完成部门知识库的构建。</w:t>
      </w:r>
    </w:p>
    <w:p w14:paraId="7CE31204">
      <w:pPr>
        <w:widowControl w:val="0"/>
        <w:shd w:val="clear" w:color="auto" w:fill="auto"/>
        <w:adjustRightInd w:val="0"/>
        <w:spacing w:line="360" w:lineRule="auto"/>
        <w:ind w:firstLine="424" w:firstLineChars="177"/>
        <w:contextualSpacing/>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指导各应用部门利用大模型应用监测管理平台完成部门级安全策略配置，实现多部门多层级的模型安全分类管理。</w:t>
      </w:r>
    </w:p>
    <w:p w14:paraId="46DD2443">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（6）算力利用效能监测评价服务</w:t>
      </w:r>
    </w:p>
    <w:p w14:paraId="041809E2">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要求提供监测管理制度与标准体系制定服务，制定并定期更新《政务算力资源使用管理规则》和《政务算力资源运行监测与结算规则》，为使用管理、监测和结算工作提供制度依据。</w:t>
      </w:r>
    </w:p>
    <w:p w14:paraId="76108008">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算力评估与扩缩容机制制定和维护服务等服务，通过综合分析平台常态化监测、算力需求调研、业务规划分析等多源信息，精准测算平台未来短期与中长期的算力需求，制定前瞻性的算力扩缩容计划，实现算力资源的精细化管控，保障业务连续性和成本可控性。</w:t>
      </w:r>
    </w:p>
    <w:p w14:paraId="017B1E17">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要求提供算力卡级的硬件监控信息，以及各类数据分析报告；依托模型运行、算力负载实时监控数据，分析并发峰值、tokens 增长趋势及算力利用瓶颈，出具含扩容阈值、资源配置、成本效益的分析报告，精准规划算力扩容，保障服务性能；分析低负载时段、资源闲置率及冗余资源指标，出具含缩容阈值测算、资源回收方案及成本优化预测的分析报告，协助进行算力缩容的精准管控，提升资源利用效率，降低运营成本。服务期内至少提供 8 次服务。</w:t>
      </w:r>
    </w:p>
    <w:p w14:paraId="630F93B7">
      <w:pPr>
        <w:keepNext/>
        <w:keepLines/>
        <w:widowControl w:val="0"/>
        <w:shd w:val="clear" w:color="auto" w:fill="auto"/>
        <w:bidi w:val="0"/>
        <w:spacing w:before="280" w:beforeLines="0" w:beforeAutospacing="0" w:after="290" w:afterLines="0" w:afterAutospacing="0" w:line="372" w:lineRule="auto"/>
        <w:jc w:val="both"/>
        <w:outlineLvl w:val="4"/>
        <w:rPr>
          <w:rFonts w:hint="default"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2.3.3项目组织和实施要求</w:t>
      </w:r>
    </w:p>
    <w:p w14:paraId="35AA2D1C">
      <w:pPr>
        <w:keepNext/>
        <w:keepLines/>
        <w:widowControl w:val="0"/>
        <w:shd w:val="clear" w:color="auto" w:fill="auto"/>
        <w:bidi w:val="0"/>
        <w:spacing w:before="240" w:beforeLines="0" w:beforeAutospacing="0" w:after="64" w:afterLines="0" w:afterAutospacing="0" w:line="317" w:lineRule="auto"/>
        <w:jc w:val="both"/>
        <w:outlineLvl w:val="5"/>
        <w:rPr>
          <w:rFonts w:hint="default"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2.3.3.1 部署环境要求</w:t>
      </w:r>
    </w:p>
    <w:p w14:paraId="3A106404">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（1）云环境</w:t>
      </w:r>
    </w:p>
    <w:p w14:paraId="537EA038">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按照《北京市市级政务云管理办法（试行）》的要求，本项目部署于北京市政务云。</w:t>
      </w:r>
    </w:p>
    <w:p w14:paraId="040FA5E8">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（2）网络环境</w:t>
      </w:r>
    </w:p>
    <w:p w14:paraId="34578FD9">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本项目的运行网络环境为北京市政务外网，</w:t>
      </w:r>
      <w:r>
        <w:rPr>
          <w:rFonts w:hint="eastAsia" w:ascii="宋体" w:hAnsi="宋体" w:eastAsia="宋体" w:cs="宋体"/>
          <w:sz w:val="24"/>
          <w:lang w:val="en-US" w:eastAsia="zh-CN"/>
        </w:rPr>
        <w:t>服务期内项目团队人员需在采购人指定办公环境</w:t>
      </w:r>
      <w:r>
        <w:rPr>
          <w:rFonts w:hint="eastAsia" w:ascii="宋体" w:hAnsi="宋体" w:eastAsia="宋体" w:cs="宋体"/>
          <w:sz w:val="24"/>
        </w:rPr>
        <w:t>连接至北京市政务外网。</w:t>
      </w:r>
    </w:p>
    <w:p w14:paraId="2B6A95C8">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2.3.3.2 项目管理要求</w:t>
      </w:r>
    </w:p>
    <w:p w14:paraId="04EAD3ED">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投标人应制定详细的项目实施计划，并按照规范化项目管理流程做好项目全生命周期的管理工作，包括但不限于如下内容：</w:t>
      </w:r>
    </w:p>
    <w:p w14:paraId="2111AEEC">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（1）制定完整、规范的项目管理计划，对项目执行过程中各阶段加强管理和监督；</w:t>
      </w:r>
    </w:p>
    <w:p w14:paraId="5EC5FB87">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（2）对项目需求进行细致、完整的分析和策划，做好项目工作分解与任务分配；</w:t>
      </w:r>
    </w:p>
    <w:p w14:paraId="42F982BD">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（3）根据采购人预设的进度计划安排，制定项目任务分解工作目标、计划和进度表；</w:t>
      </w:r>
    </w:p>
    <w:p w14:paraId="05B3E498">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（4）配合采购人对项目关键节点进行绩效测量，做好项目进度管控，并积极配合实施合理、必要的项目范围变更；</w:t>
      </w:r>
    </w:p>
    <w:p w14:paraId="5199C79F">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（5）按要求组建项目团队，做好项目团队管理和人员考核；</w:t>
      </w:r>
    </w:p>
    <w:p w14:paraId="5FF4DD07">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（6）及时报告项目实施过程中的各类问题，密切关注项目管理中的问题、风险和变化；</w:t>
      </w:r>
    </w:p>
    <w:p w14:paraId="63013D4C">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（7）严格执行采购人对服务质量、服务效率及成果交付物的要求，确保服务质量和交付物质量，制定完整的项目培训和售后服务计划。</w:t>
      </w:r>
    </w:p>
    <w:p w14:paraId="1D81B513">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2.3.3.3 项目成果交付要求</w:t>
      </w:r>
    </w:p>
    <w:p w14:paraId="254F65C2">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项目管理文件</w:t>
      </w:r>
    </w:p>
    <w:p w14:paraId="53D9647B">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项目</w:t>
      </w:r>
      <w:r>
        <w:rPr>
          <w:rFonts w:hint="eastAsia" w:ascii="宋体" w:hAnsi="宋体" w:eastAsia="宋体" w:cs="宋体"/>
          <w:sz w:val="24"/>
          <w:lang w:val="en-US" w:eastAsia="zh-CN"/>
        </w:rPr>
        <w:t>实施</w:t>
      </w:r>
      <w:r>
        <w:rPr>
          <w:rFonts w:hint="default" w:ascii="宋体" w:hAnsi="宋体" w:eastAsia="宋体" w:cs="宋体"/>
          <w:sz w:val="24"/>
          <w:lang w:val="en-US" w:eastAsia="zh-CN"/>
        </w:rPr>
        <w:t>计划、项目</w:t>
      </w:r>
      <w:r>
        <w:rPr>
          <w:rFonts w:hint="eastAsia" w:ascii="宋体" w:hAnsi="宋体" w:eastAsia="宋体" w:cs="宋体"/>
          <w:sz w:val="24"/>
          <w:lang w:val="en-US" w:eastAsia="zh-CN"/>
        </w:rPr>
        <w:t>周报/</w:t>
      </w:r>
      <w:r>
        <w:rPr>
          <w:rFonts w:hint="default" w:ascii="宋体" w:hAnsi="宋体" w:eastAsia="宋体" w:cs="宋体"/>
          <w:sz w:val="24"/>
          <w:lang w:val="en-US" w:eastAsia="zh-CN"/>
        </w:rPr>
        <w:t>月报、会议纪要、项目总结报告等。</w:t>
      </w:r>
    </w:p>
    <w:p w14:paraId="29A0EF9F">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（2）</w:t>
      </w:r>
      <w:r>
        <w:rPr>
          <w:rFonts w:hint="default" w:ascii="宋体" w:hAnsi="宋体" w:eastAsia="宋体" w:cs="宋体"/>
          <w:sz w:val="24"/>
          <w:lang w:val="en-US" w:eastAsia="zh-CN"/>
        </w:rPr>
        <w:t>服务实施成果</w:t>
      </w:r>
    </w:p>
    <w:p w14:paraId="15CB67CC">
      <w:pPr>
        <w:pStyle w:val="7"/>
        <w:shd w:val="clear" w:color="auto" w:fill="auto"/>
        <w:rPr>
          <w:rFonts w:hint="eastAsia" w:ascii="宋体" w:hAnsi="宋体" w:eastAsia="宋体" w:cs="宋体"/>
          <w:sz w:val="24"/>
          <w:lang w:val="en-US" w:eastAsia="zh-CN"/>
        </w:rPr>
      </w:pPr>
      <w:r>
        <w:rPr>
          <w:rFonts w:hint="eastAsia" w:ascii="宋体" w:hAnsi="宋体" w:eastAsia="宋体" w:cs="宋体"/>
          <w:sz w:val="24"/>
          <w:lang w:val="en-US" w:eastAsia="zh-CN"/>
        </w:rPr>
        <w:t>1）运维服务成果：</w:t>
      </w:r>
    </w:p>
    <w:p w14:paraId="1003CC93">
      <w:pPr>
        <w:pStyle w:val="7"/>
        <w:shd w:val="clear" w:color="auto" w:fill="auto"/>
        <w:rPr>
          <w:rFonts w:hint="eastAsia" w:ascii="宋体" w:hAnsi="宋体" w:eastAsia="宋体" w:cs="宋体"/>
          <w:sz w:val="24"/>
          <w:lang w:val="en-US" w:eastAsia="zh-CN"/>
        </w:rPr>
      </w:pPr>
      <w:r>
        <w:rPr>
          <w:rFonts w:hint="eastAsia" w:ascii="宋体" w:hAnsi="宋体" w:eastAsia="宋体" w:cs="宋体"/>
          <w:sz w:val="24"/>
          <w:lang w:val="en-US" w:eastAsia="zh-CN"/>
        </w:rPr>
        <w:t>运维工作报告（月度）：内容包含但不限于日常巡检记录、</w:t>
      </w:r>
      <w:r>
        <w:rPr>
          <w:rFonts w:hint="default" w:ascii="宋体" w:hAnsi="宋体" w:eastAsia="宋体" w:cs="宋体"/>
          <w:sz w:val="24"/>
          <w:lang w:val="en-US" w:eastAsia="zh-CN"/>
        </w:rPr>
        <w:t>技术支持</w:t>
      </w:r>
      <w:r>
        <w:rPr>
          <w:rFonts w:hint="eastAsia" w:ascii="宋体" w:hAnsi="宋体" w:eastAsia="宋体" w:cs="宋体"/>
          <w:sz w:val="24"/>
          <w:lang w:val="en-US" w:eastAsia="zh-CN"/>
        </w:rPr>
        <w:t>工单、运维</w:t>
      </w:r>
      <w:r>
        <w:rPr>
          <w:rFonts w:hint="default" w:ascii="宋体" w:hAnsi="宋体" w:eastAsia="宋体" w:cs="宋体"/>
          <w:sz w:val="24"/>
          <w:lang w:val="en-US" w:eastAsia="zh-CN"/>
        </w:rPr>
        <w:t>处置记录、系统安全运维记录、系统安全加固处置</w:t>
      </w:r>
      <w:r>
        <w:rPr>
          <w:rFonts w:hint="eastAsia" w:ascii="宋体" w:hAnsi="宋体" w:eastAsia="宋体" w:cs="宋体"/>
          <w:sz w:val="24"/>
          <w:lang w:val="en-US" w:eastAsia="zh-CN"/>
        </w:rPr>
        <w:t>记录</w:t>
      </w:r>
      <w:r>
        <w:rPr>
          <w:rFonts w:hint="default" w:ascii="宋体" w:hAnsi="宋体" w:eastAsia="宋体" w:cs="宋体"/>
          <w:sz w:val="24"/>
          <w:lang w:val="en-US" w:eastAsia="zh-CN"/>
        </w:rPr>
        <w:t>、漏洞整改</w:t>
      </w:r>
      <w:r>
        <w:rPr>
          <w:rFonts w:hint="eastAsia" w:ascii="宋体" w:hAnsi="宋体" w:eastAsia="宋体" w:cs="宋体"/>
          <w:sz w:val="24"/>
          <w:lang w:val="en-US" w:eastAsia="zh-CN"/>
        </w:rPr>
        <w:t>记录等；</w:t>
      </w:r>
    </w:p>
    <w:p w14:paraId="6D73D4A7">
      <w:pPr>
        <w:pStyle w:val="7"/>
        <w:shd w:val="clear" w:color="auto" w:fill="auto"/>
        <w:rPr>
          <w:rFonts w:hint="eastAsia" w:ascii="宋体" w:hAnsi="宋体" w:eastAsia="宋体" w:cs="宋体"/>
          <w:sz w:val="24"/>
          <w:lang w:val="en-US" w:eastAsia="zh-CN"/>
        </w:rPr>
      </w:pPr>
      <w:r>
        <w:rPr>
          <w:rFonts w:hint="default" w:ascii="宋体" w:hAnsi="宋体" w:eastAsia="宋体" w:cs="宋体"/>
          <w:sz w:val="24"/>
          <w:lang w:val="en-US" w:eastAsia="zh-CN"/>
        </w:rPr>
        <w:t>共性基础平台</w:t>
      </w:r>
      <w:r>
        <w:rPr>
          <w:rFonts w:hint="eastAsia" w:ascii="宋体" w:hAnsi="宋体" w:eastAsia="宋体" w:cs="宋体"/>
          <w:sz w:val="24"/>
          <w:lang w:val="en-US" w:eastAsia="zh-CN"/>
        </w:rPr>
        <w:t>培训文档：内容包括但不限于用户操作手册、</w:t>
      </w:r>
      <w:r>
        <w:rPr>
          <w:rFonts w:hint="default" w:ascii="宋体" w:hAnsi="宋体" w:eastAsia="宋体" w:cs="宋体"/>
          <w:sz w:val="24"/>
          <w:lang w:val="en-US" w:eastAsia="zh-CN"/>
        </w:rPr>
        <w:t>培训材料</w:t>
      </w:r>
      <w:r>
        <w:rPr>
          <w:rFonts w:hint="eastAsia" w:ascii="宋体" w:hAnsi="宋体" w:eastAsia="宋体" w:cs="宋体"/>
          <w:sz w:val="24"/>
          <w:lang w:val="en-US" w:eastAsia="zh-CN"/>
        </w:rPr>
        <w:t>、培训计划和培训</w:t>
      </w:r>
      <w:r>
        <w:rPr>
          <w:rFonts w:hint="default" w:ascii="宋体" w:hAnsi="宋体" w:eastAsia="宋体" w:cs="宋体"/>
          <w:sz w:val="24"/>
          <w:lang w:val="en-US" w:eastAsia="zh-CN"/>
        </w:rPr>
        <w:t>记录</w:t>
      </w:r>
      <w:r>
        <w:rPr>
          <w:rFonts w:hint="eastAsia" w:ascii="宋体" w:hAnsi="宋体" w:eastAsia="宋体" w:cs="宋体"/>
          <w:sz w:val="24"/>
          <w:lang w:val="en-US" w:eastAsia="zh-CN"/>
        </w:rPr>
        <w:t>等。</w:t>
      </w:r>
    </w:p>
    <w:p w14:paraId="37F2AB9B">
      <w:pPr>
        <w:pStyle w:val="7"/>
        <w:shd w:val="clear" w:color="auto" w:fill="auto"/>
        <w:rPr>
          <w:rFonts w:hint="eastAsia" w:ascii="宋体" w:hAnsi="宋体" w:eastAsia="宋体" w:cs="宋体"/>
          <w:sz w:val="24"/>
          <w:lang w:val="en-US" w:eastAsia="zh-CN"/>
        </w:rPr>
      </w:pPr>
      <w:r>
        <w:rPr>
          <w:rFonts w:hint="eastAsia" w:ascii="宋体" w:hAnsi="宋体" w:eastAsia="宋体" w:cs="宋体"/>
          <w:sz w:val="24"/>
          <w:lang w:val="en-US" w:eastAsia="zh-CN"/>
        </w:rPr>
        <w:t>2）运营服务实施成果：</w:t>
      </w:r>
    </w:p>
    <w:p w14:paraId="37EDCB00">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应用场景评估测试报告</w:t>
      </w:r>
      <w:r>
        <w:rPr>
          <w:rFonts w:hint="eastAsia" w:ascii="宋体" w:hAnsi="宋体" w:eastAsia="宋体" w:cs="宋体"/>
          <w:sz w:val="24"/>
          <w:lang w:val="en-US" w:eastAsia="zh-CN"/>
        </w:rPr>
        <w:t>；</w:t>
      </w:r>
    </w:p>
    <w:p w14:paraId="586FBF95">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通用大模型技术选型评测</w:t>
      </w:r>
      <w:r>
        <w:rPr>
          <w:rFonts w:hint="eastAsia" w:ascii="宋体" w:hAnsi="宋体" w:eastAsia="宋体" w:cs="宋体"/>
          <w:sz w:val="24"/>
          <w:lang w:val="en-US" w:eastAsia="zh-CN"/>
        </w:rPr>
        <w:t>报告；</w:t>
      </w:r>
    </w:p>
    <w:p w14:paraId="75AC2D27">
      <w:pPr>
        <w:pStyle w:val="7"/>
        <w:shd w:val="clear" w:color="auto" w:fill="auto"/>
        <w:rPr>
          <w:rFonts w:hint="eastAsia" w:ascii="宋体" w:hAnsi="宋体" w:eastAsia="宋体" w:cs="宋体"/>
          <w:sz w:val="24"/>
          <w:lang w:val="en-US" w:eastAsia="zh-CN"/>
        </w:rPr>
      </w:pPr>
      <w:r>
        <w:rPr>
          <w:rFonts w:hint="default" w:ascii="宋体" w:hAnsi="宋体" w:eastAsia="宋体" w:cs="宋体"/>
          <w:sz w:val="24"/>
          <w:lang w:val="en-US" w:eastAsia="zh-CN"/>
        </w:rPr>
        <w:t>政务大模型应用</w:t>
      </w:r>
      <w:r>
        <w:rPr>
          <w:rFonts w:hint="eastAsia" w:ascii="宋体" w:hAnsi="宋体" w:eastAsia="宋体" w:cs="宋体"/>
          <w:sz w:val="24"/>
          <w:lang w:val="en-US" w:eastAsia="zh-CN"/>
        </w:rPr>
        <w:t>运行</w:t>
      </w:r>
      <w:r>
        <w:rPr>
          <w:rFonts w:hint="default" w:ascii="宋体" w:hAnsi="宋体" w:eastAsia="宋体" w:cs="宋体"/>
          <w:sz w:val="24"/>
          <w:lang w:val="en-US" w:eastAsia="zh-CN"/>
        </w:rPr>
        <w:t>安全监测报告</w:t>
      </w:r>
      <w:r>
        <w:rPr>
          <w:rFonts w:hint="eastAsia" w:ascii="宋体" w:hAnsi="宋体" w:eastAsia="宋体" w:cs="宋体"/>
          <w:sz w:val="24"/>
          <w:lang w:val="en-US" w:eastAsia="zh-CN"/>
        </w:rPr>
        <w:t>（月度）；</w:t>
      </w:r>
    </w:p>
    <w:p w14:paraId="65D1347A">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政务云算力使用报告</w:t>
      </w:r>
      <w:r>
        <w:rPr>
          <w:rFonts w:hint="eastAsia" w:ascii="宋体" w:hAnsi="宋体" w:eastAsia="宋体" w:cs="宋体"/>
          <w:sz w:val="24"/>
          <w:highlight w:val="none"/>
          <w:lang w:val="en-US" w:eastAsia="zh-CN"/>
        </w:rPr>
        <w:t>（月度）：包括</w:t>
      </w:r>
      <w:r>
        <w:rPr>
          <w:rFonts w:hint="default" w:ascii="宋体" w:hAnsi="宋体" w:eastAsia="宋体" w:cs="宋体"/>
          <w:sz w:val="24"/>
          <w:highlight w:val="none"/>
          <w:lang w:val="en-US" w:eastAsia="zh-CN"/>
        </w:rPr>
        <w:t>政务云算力使用</w:t>
      </w:r>
      <w:r>
        <w:rPr>
          <w:rFonts w:hint="eastAsia" w:ascii="宋体" w:hAnsi="宋体" w:eastAsia="宋体" w:cs="宋体"/>
          <w:sz w:val="24"/>
          <w:highlight w:val="none"/>
          <w:lang w:val="en-US" w:eastAsia="zh-CN"/>
        </w:rPr>
        <w:t>监测</w:t>
      </w:r>
      <w:r>
        <w:rPr>
          <w:rFonts w:hint="default" w:ascii="宋体" w:hAnsi="宋体" w:eastAsia="宋体" w:cs="宋体"/>
          <w:sz w:val="24"/>
          <w:highlight w:val="none"/>
          <w:lang w:val="en-US" w:eastAsia="zh-CN"/>
        </w:rPr>
        <w:t>、云资源日常巡检报告</w:t>
      </w:r>
      <w:r>
        <w:rPr>
          <w:rFonts w:hint="eastAsia" w:ascii="宋体" w:hAnsi="宋体" w:eastAsia="宋体" w:cs="宋体"/>
          <w:sz w:val="24"/>
          <w:highlight w:val="none"/>
          <w:lang w:val="en-US" w:eastAsia="zh-CN"/>
        </w:rPr>
        <w:t>、政务云算力扩缩容分析、</w:t>
      </w:r>
      <w:r>
        <w:rPr>
          <w:rFonts w:hint="default" w:ascii="宋体" w:hAnsi="宋体" w:eastAsia="宋体" w:cs="宋体"/>
          <w:sz w:val="24"/>
          <w:highlight w:val="none"/>
          <w:lang w:val="en-US" w:eastAsia="zh-CN"/>
        </w:rPr>
        <w:t>政务云算力</w:t>
      </w:r>
      <w:r>
        <w:rPr>
          <w:rFonts w:hint="eastAsia" w:ascii="宋体" w:hAnsi="宋体" w:eastAsia="宋体" w:cs="宋体"/>
          <w:sz w:val="24"/>
          <w:highlight w:val="none"/>
          <w:lang w:val="en-US" w:eastAsia="zh-CN"/>
        </w:rPr>
        <w:t>扩缩</w:t>
      </w:r>
      <w:r>
        <w:rPr>
          <w:rFonts w:hint="eastAsia" w:ascii="宋体" w:hAnsi="宋体" w:eastAsia="宋体" w:cs="宋体"/>
          <w:sz w:val="24"/>
          <w:lang w:val="en-US" w:eastAsia="zh-CN"/>
        </w:rPr>
        <w:t>容记录</w:t>
      </w:r>
      <w:r>
        <w:rPr>
          <w:rFonts w:hint="default" w:ascii="宋体" w:hAnsi="宋体" w:eastAsia="宋体" w:cs="宋体"/>
          <w:sz w:val="24"/>
          <w:lang w:val="en-US" w:eastAsia="zh-CN"/>
        </w:rPr>
        <w:t>等</w:t>
      </w:r>
      <w:r>
        <w:rPr>
          <w:rFonts w:hint="eastAsia" w:ascii="宋体" w:hAnsi="宋体" w:eastAsia="宋体" w:cs="宋体"/>
          <w:sz w:val="24"/>
          <w:lang w:val="en-US" w:eastAsia="zh-CN"/>
        </w:rPr>
        <w:t>内容</w:t>
      </w:r>
      <w:r>
        <w:rPr>
          <w:rFonts w:hint="default" w:ascii="宋体" w:hAnsi="宋体" w:eastAsia="宋体" w:cs="宋体"/>
          <w:sz w:val="24"/>
          <w:lang w:val="en-US" w:eastAsia="zh-CN"/>
        </w:rPr>
        <w:t>。</w:t>
      </w:r>
    </w:p>
    <w:p w14:paraId="10D4D1D2">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2.3.3.4 项目验收要求</w:t>
      </w:r>
    </w:p>
    <w:p w14:paraId="2EDBBCDC">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中标人</w:t>
      </w:r>
      <w:r>
        <w:rPr>
          <w:rFonts w:hint="default" w:ascii="宋体" w:hAnsi="宋体" w:eastAsia="宋体" w:cs="宋体"/>
          <w:sz w:val="24"/>
          <w:lang w:val="en-US" w:eastAsia="zh-CN"/>
        </w:rPr>
        <w:t>完成</w:t>
      </w:r>
      <w:r>
        <w:rPr>
          <w:rFonts w:hint="eastAsia" w:ascii="宋体" w:hAnsi="宋体" w:eastAsia="宋体" w:cs="宋体"/>
          <w:sz w:val="24"/>
          <w:lang w:val="en-US" w:eastAsia="zh-CN"/>
        </w:rPr>
        <w:t>项目</w:t>
      </w:r>
      <w:r>
        <w:rPr>
          <w:rFonts w:hint="default" w:ascii="宋体" w:hAnsi="宋体" w:eastAsia="宋体" w:cs="宋体"/>
          <w:sz w:val="24"/>
          <w:lang w:val="en-US" w:eastAsia="zh-CN"/>
        </w:rPr>
        <w:t>所有工作内容并提交</w:t>
      </w:r>
      <w:r>
        <w:rPr>
          <w:rFonts w:hint="eastAsia" w:ascii="宋体" w:hAnsi="宋体" w:eastAsia="宋体" w:cs="宋体"/>
          <w:sz w:val="24"/>
          <w:lang w:val="en-US" w:eastAsia="zh-CN"/>
        </w:rPr>
        <w:t>所有项目</w:t>
      </w:r>
      <w:r>
        <w:rPr>
          <w:rFonts w:hint="default" w:ascii="宋体" w:hAnsi="宋体" w:eastAsia="宋体" w:cs="宋体"/>
          <w:sz w:val="24"/>
          <w:lang w:val="en-US" w:eastAsia="zh-CN"/>
        </w:rPr>
        <w:t>成果</w:t>
      </w:r>
      <w:r>
        <w:rPr>
          <w:rFonts w:hint="eastAsia" w:ascii="宋体" w:hAnsi="宋体" w:eastAsia="宋体" w:cs="宋体"/>
          <w:sz w:val="24"/>
          <w:lang w:val="en-US" w:eastAsia="zh-CN"/>
        </w:rPr>
        <w:t>后，</w:t>
      </w:r>
      <w:r>
        <w:rPr>
          <w:rFonts w:hint="default" w:ascii="宋体" w:hAnsi="宋体" w:eastAsia="宋体" w:cs="宋体"/>
          <w:sz w:val="24"/>
          <w:lang w:val="en-US" w:eastAsia="zh-CN"/>
        </w:rPr>
        <w:t>验收以采购人组织评审的方式进行，本项目拟采取分阶段方式验收，验收阶段如下：</w:t>
      </w:r>
    </w:p>
    <w:p w14:paraId="430C64F1">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上线验收</w:t>
      </w:r>
    </w:p>
    <w:p w14:paraId="076A2BE3">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中标人签订合同后1个月内</w:t>
      </w:r>
      <w:r>
        <w:rPr>
          <w:rFonts w:hint="default" w:ascii="宋体" w:hAnsi="宋体" w:eastAsia="宋体" w:cs="宋体"/>
          <w:sz w:val="24"/>
          <w:lang w:val="en-US" w:eastAsia="zh-CN"/>
        </w:rPr>
        <w:t>完成共性基础平台软件功能</w:t>
      </w:r>
      <w:r>
        <w:rPr>
          <w:rFonts w:hint="eastAsia" w:ascii="宋体" w:hAnsi="宋体" w:eastAsia="宋体" w:cs="宋体"/>
          <w:sz w:val="24"/>
          <w:lang w:val="en-US" w:eastAsia="zh-CN"/>
        </w:rPr>
        <w:t>部署</w:t>
      </w:r>
      <w:r>
        <w:rPr>
          <w:rFonts w:hint="default" w:ascii="宋体" w:hAnsi="宋体" w:eastAsia="宋体" w:cs="宋体"/>
          <w:sz w:val="24"/>
          <w:lang w:val="en-US" w:eastAsia="zh-CN"/>
        </w:rPr>
        <w:t>，通过第三方</w:t>
      </w:r>
      <w:r>
        <w:rPr>
          <w:rFonts w:hint="eastAsia" w:ascii="宋体" w:hAnsi="宋体" w:eastAsia="宋体" w:cs="宋体"/>
          <w:sz w:val="24"/>
          <w:lang w:val="en-US" w:eastAsia="zh-CN"/>
        </w:rPr>
        <w:t>软件和安全</w:t>
      </w:r>
      <w:r>
        <w:rPr>
          <w:rFonts w:hint="default" w:ascii="宋体" w:hAnsi="宋体" w:eastAsia="宋体" w:cs="宋体"/>
          <w:sz w:val="24"/>
          <w:lang w:val="en-US" w:eastAsia="zh-CN"/>
        </w:rPr>
        <w:t>测试；完成运营服务相关制度规范的编制</w:t>
      </w:r>
      <w:r>
        <w:rPr>
          <w:rFonts w:hint="eastAsia" w:ascii="宋体" w:hAnsi="宋体" w:eastAsia="宋体" w:cs="宋体"/>
          <w:sz w:val="24"/>
          <w:lang w:val="en-US" w:eastAsia="zh-CN"/>
        </w:rPr>
        <w:t>，采购人组织开展上线验收</w:t>
      </w:r>
      <w:r>
        <w:rPr>
          <w:rFonts w:hint="default" w:ascii="宋体" w:hAnsi="宋体" w:eastAsia="宋体" w:cs="宋体"/>
          <w:sz w:val="24"/>
          <w:lang w:val="en-US" w:eastAsia="zh-CN"/>
        </w:rPr>
        <w:t>。</w:t>
      </w:r>
      <w:r>
        <w:rPr>
          <w:rFonts w:hint="eastAsia" w:ascii="宋体" w:hAnsi="宋体" w:eastAsia="宋体" w:cs="宋体"/>
          <w:sz w:val="24"/>
          <w:lang w:val="en-US" w:eastAsia="zh-CN"/>
        </w:rPr>
        <w:t>通过验收后进入8个月的正式运行服务周期。</w:t>
      </w:r>
    </w:p>
    <w:p w14:paraId="03F73358">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（2）</w:t>
      </w:r>
      <w:r>
        <w:rPr>
          <w:rFonts w:hint="default" w:ascii="宋体" w:hAnsi="宋体" w:eastAsia="宋体" w:cs="宋体"/>
          <w:sz w:val="24"/>
          <w:lang w:val="en-US" w:eastAsia="zh-CN"/>
        </w:rPr>
        <w:t>阶段验收</w:t>
      </w:r>
    </w:p>
    <w:p w14:paraId="2FEEC312">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12月5日前，中标人提供项目阶段工作总结报告，采购人针对中标人提供的共性基础平台软件租赁服务、一站式运营团队服务完成情况进行阶段验收。</w:t>
      </w:r>
    </w:p>
    <w:p w14:paraId="5E460D0D">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（3）</w:t>
      </w:r>
      <w:r>
        <w:rPr>
          <w:rFonts w:hint="default" w:ascii="宋体" w:hAnsi="宋体" w:eastAsia="宋体" w:cs="宋体"/>
          <w:sz w:val="24"/>
          <w:lang w:val="en-US" w:eastAsia="zh-CN"/>
        </w:rPr>
        <w:t>项目终验</w:t>
      </w:r>
    </w:p>
    <w:p w14:paraId="777BEFA0">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中标人</w:t>
      </w:r>
      <w:r>
        <w:rPr>
          <w:rFonts w:hint="default" w:ascii="宋体" w:hAnsi="宋体" w:eastAsia="宋体" w:cs="宋体"/>
          <w:sz w:val="24"/>
          <w:lang w:val="en-US" w:eastAsia="zh-CN"/>
        </w:rPr>
        <w:t>完成所有服务内容，按照要求完成项目成果物并提交给采购人，采购人在正式运行服务期满8个月</w:t>
      </w:r>
      <w:r>
        <w:rPr>
          <w:rFonts w:hint="default" w:ascii="宋体" w:hAnsi="宋体" w:eastAsia="宋体" w:cs="宋体"/>
          <w:sz w:val="24"/>
          <w:lang w:eastAsia="zh-CN"/>
        </w:rPr>
        <w:t>后</w:t>
      </w:r>
      <w:r>
        <w:rPr>
          <w:rFonts w:hint="default" w:ascii="宋体" w:hAnsi="宋体" w:eastAsia="宋体" w:cs="宋体"/>
          <w:sz w:val="24"/>
          <w:lang w:val="en-US" w:eastAsia="zh-CN"/>
        </w:rPr>
        <w:t>组织项目终验。</w:t>
      </w:r>
    </w:p>
    <w:p w14:paraId="1D390653">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项目终验</w:t>
      </w:r>
      <w:r>
        <w:rPr>
          <w:rFonts w:hint="default" w:ascii="宋体" w:hAnsi="宋体" w:eastAsia="宋体" w:cs="宋体"/>
          <w:sz w:val="24"/>
          <w:lang w:val="en-US" w:eastAsia="zh-CN"/>
        </w:rPr>
        <w:t>合格的，采购人在</w:t>
      </w:r>
      <w:r>
        <w:rPr>
          <w:rFonts w:hint="eastAsia" w:ascii="宋体" w:hAnsi="宋体" w:eastAsia="宋体" w:cs="宋体"/>
          <w:sz w:val="24"/>
          <w:lang w:val="en-US" w:eastAsia="zh-CN"/>
        </w:rPr>
        <w:t>项目终验</w:t>
      </w:r>
      <w:r>
        <w:rPr>
          <w:rFonts w:hint="default" w:ascii="宋体" w:hAnsi="宋体" w:eastAsia="宋体" w:cs="宋体"/>
          <w:sz w:val="24"/>
          <w:lang w:val="en-US" w:eastAsia="zh-CN"/>
        </w:rPr>
        <w:t>报告上签字；验收不合格的，</w:t>
      </w:r>
      <w:r>
        <w:rPr>
          <w:rFonts w:hint="eastAsia" w:ascii="宋体" w:hAnsi="宋体" w:eastAsia="宋体" w:cs="宋体"/>
          <w:sz w:val="24"/>
          <w:lang w:val="en-US" w:eastAsia="zh-CN"/>
        </w:rPr>
        <w:t>中标人</w:t>
      </w:r>
      <w:r>
        <w:rPr>
          <w:rFonts w:hint="default" w:ascii="宋体" w:hAnsi="宋体" w:eastAsia="宋体" w:cs="宋体"/>
          <w:sz w:val="24"/>
          <w:lang w:val="en-US" w:eastAsia="zh-CN"/>
        </w:rPr>
        <w:t>应当在</w:t>
      </w:r>
      <w:r>
        <w:rPr>
          <w:rFonts w:hint="eastAsia" w:ascii="宋体" w:hAnsi="宋体" w:eastAsia="宋体" w:cs="宋体"/>
          <w:sz w:val="24"/>
          <w:lang w:val="en-US" w:eastAsia="zh-CN"/>
        </w:rPr>
        <w:t>10个工作</w:t>
      </w:r>
      <w:r>
        <w:rPr>
          <w:rFonts w:hint="default" w:ascii="宋体" w:hAnsi="宋体" w:eastAsia="宋体" w:cs="宋体"/>
          <w:sz w:val="24"/>
          <w:lang w:val="en-US" w:eastAsia="zh-CN"/>
        </w:rPr>
        <w:t>日内进行返工或调整，并重新提交采购人验收。</w:t>
      </w:r>
    </w:p>
    <w:p w14:paraId="0B208342">
      <w:pPr>
        <w:keepNext/>
        <w:keepLines/>
        <w:widowControl w:val="0"/>
        <w:shd w:val="clear" w:color="auto" w:fill="auto"/>
        <w:bidi w:val="0"/>
        <w:spacing w:before="240" w:beforeLines="0" w:beforeAutospacing="0" w:after="64" w:afterLines="0" w:afterAutospacing="0" w:line="317" w:lineRule="auto"/>
        <w:jc w:val="both"/>
        <w:outlineLvl w:val="5"/>
        <w:rPr>
          <w:rFonts w:hint="default"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 xml:space="preserve">2.3.3.5 </w:t>
      </w:r>
      <w:r>
        <w:rPr>
          <w:rFonts w:hint="default" w:ascii="Arial" w:hAnsi="Arial" w:eastAsia="黑体" w:cs="Times New Roman"/>
          <w:b/>
          <w:kern w:val="2"/>
          <w:sz w:val="24"/>
          <w:szCs w:val="24"/>
          <w:lang w:val="en-US" w:eastAsia="zh-CN" w:bidi="ar-SA"/>
        </w:rPr>
        <w:t>服务响应要求</w:t>
      </w:r>
    </w:p>
    <w:p w14:paraId="61D10975">
      <w:pPr>
        <w:widowControl w:val="0"/>
        <w:shd w:val="clear" w:color="auto" w:fill="auto"/>
        <w:adjustRightInd w:val="0"/>
        <w:spacing w:line="360" w:lineRule="auto"/>
        <w:ind w:firstLine="424" w:firstLineChars="177"/>
        <w:contextualSpacing/>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投标人需承诺，各系统7*24小时安全、稳定运行，实现全年正常运行率超过99.99%，故障响应率100%。</w:t>
      </w:r>
    </w:p>
    <w:p w14:paraId="09248C73">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要求提供专职 5*8 小时的驻场服务，按采购人要求在通州区留庄路3号院或通州区新华东街48号2区31号楼办公，确保重点共性基础平台全年无故障时间不低于 99.99%；</w:t>
      </w:r>
    </w:p>
    <w:p w14:paraId="7EB29CCE">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要求提供 7*24 小时的故障接收渠道，方式包括但不限于电话、传真、电子邮件方式。对于上述方式，</w:t>
      </w:r>
      <w:r>
        <w:rPr>
          <w:rFonts w:hint="eastAsia" w:ascii="宋体" w:hAnsi="宋体" w:eastAsia="宋体" w:cs="宋体"/>
          <w:sz w:val="24"/>
          <w:lang w:val="en-US" w:eastAsia="zh-CN"/>
        </w:rPr>
        <w:t>中</w:t>
      </w:r>
      <w:r>
        <w:rPr>
          <w:rFonts w:hint="default" w:ascii="宋体" w:hAnsi="宋体" w:eastAsia="宋体" w:cs="宋体"/>
          <w:sz w:val="24"/>
          <w:lang w:val="en-US" w:eastAsia="zh-CN"/>
        </w:rPr>
        <w:t>标</w:t>
      </w:r>
      <w:r>
        <w:rPr>
          <w:rFonts w:hint="eastAsia" w:ascii="宋体" w:hAnsi="宋体" w:eastAsia="宋体" w:cs="宋体"/>
          <w:sz w:val="24"/>
          <w:lang w:val="en-US" w:eastAsia="zh-CN"/>
        </w:rPr>
        <w:t>人</w:t>
      </w:r>
      <w:r>
        <w:rPr>
          <w:rFonts w:hint="default" w:ascii="宋体" w:hAnsi="宋体" w:eastAsia="宋体" w:cs="宋体"/>
          <w:sz w:val="24"/>
          <w:lang w:val="en-US" w:eastAsia="zh-CN"/>
        </w:rPr>
        <w:t>都应该在规定的服务和响应时间内提供相应的技术支持服务。</w:t>
      </w:r>
    </w:p>
    <w:p w14:paraId="2E7AA6CF">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要求提供高效的系统维护服务，有效防范系统风险，保证7*24小时电话畅通，发生故障应在15分钟内响应；能够在系统发生除宕机外的其他故障问题时，能够协调人力资源在1小时内到达运维现场提供服务。系统发生宕机问题时，中标人应在30分钟内响应，在</w:t>
      </w:r>
      <w:r>
        <w:rPr>
          <w:rFonts w:hint="eastAsia" w:ascii="宋体" w:hAnsi="宋体" w:cs="宋体"/>
          <w:sz w:val="24"/>
          <w:lang w:val="en-US" w:eastAsia="zh-CN"/>
        </w:rPr>
        <w:t>2</w:t>
      </w:r>
      <w:r>
        <w:rPr>
          <w:rFonts w:hint="eastAsia" w:ascii="宋体" w:hAnsi="宋体" w:eastAsia="宋体" w:cs="宋体"/>
          <w:sz w:val="24"/>
          <w:lang w:val="en-US" w:eastAsia="zh-CN"/>
        </w:rPr>
        <w:t>个小时之内使系统恢复正常。具备故障快速定位和恢复能力，故障定位排除时限不超过 30 分钟，重要系统故障定位排除时限不超过 10 分钟。故障处理完毕后提供相关系统宕机报告。</w:t>
      </w:r>
    </w:p>
    <w:p w14:paraId="46C0EABF">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要求根据不同的类型服务的范围和要求，提出相应服务方案，包括但不仅限于服务规范、处理流程、响应时间、管理体制、服务人员和工具配备等。</w:t>
      </w:r>
    </w:p>
    <w:p w14:paraId="70A989B8">
      <w:pPr>
        <w:keepNext/>
        <w:keepLines/>
        <w:widowControl w:val="0"/>
        <w:shd w:val="clear" w:color="auto" w:fill="auto"/>
        <w:bidi w:val="0"/>
        <w:spacing w:before="240" w:beforeLines="0" w:beforeAutospacing="0" w:after="64" w:afterLines="0" w:afterAutospacing="0" w:line="317" w:lineRule="auto"/>
        <w:jc w:val="both"/>
        <w:outlineLvl w:val="5"/>
        <w:rPr>
          <w:rFonts w:hint="default"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 xml:space="preserve">2.3.3.6 </w:t>
      </w:r>
      <w:r>
        <w:rPr>
          <w:rFonts w:hint="default" w:ascii="Arial" w:hAnsi="Arial" w:eastAsia="黑体" w:cs="Times New Roman"/>
          <w:b/>
          <w:kern w:val="2"/>
          <w:sz w:val="24"/>
          <w:szCs w:val="24"/>
          <w:lang w:val="en-US" w:eastAsia="zh-CN" w:bidi="ar-SA"/>
        </w:rPr>
        <w:t>售后服务要求</w:t>
      </w:r>
    </w:p>
    <w:p w14:paraId="2666E843">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在本项目服务期满、项目通过正式验收后，中标人</w:t>
      </w:r>
      <w:r>
        <w:rPr>
          <w:rFonts w:hint="eastAsia" w:ascii="宋体" w:hAnsi="宋体" w:cs="宋体"/>
          <w:sz w:val="24"/>
          <w:lang w:val="en-US" w:eastAsia="zh-CN"/>
        </w:rPr>
        <w:t>在</w:t>
      </w:r>
      <w:r>
        <w:rPr>
          <w:rFonts w:hint="default" w:ascii="宋体" w:hAnsi="宋体" w:eastAsia="宋体" w:cs="宋体"/>
          <w:sz w:val="24"/>
          <w:lang w:val="en-US" w:eastAsia="zh-CN"/>
        </w:rPr>
        <w:t>新的供应商提供相关服务到位后，做好服务交接，确保相关业务安全稳定运行。</w:t>
      </w:r>
    </w:p>
    <w:p w14:paraId="0D6A1EDA">
      <w:pPr>
        <w:keepNext/>
        <w:keepLines/>
        <w:widowControl w:val="0"/>
        <w:shd w:val="clear" w:color="auto" w:fill="auto"/>
        <w:bidi w:val="0"/>
        <w:spacing w:before="240" w:beforeLines="0" w:beforeAutospacing="0" w:after="64" w:afterLines="0" w:afterAutospacing="0" w:line="317" w:lineRule="auto"/>
        <w:jc w:val="both"/>
        <w:outlineLvl w:val="5"/>
        <w:rPr>
          <w:rFonts w:hint="eastAsia" w:ascii="Arial" w:hAnsi="Arial" w:eastAsia="黑体" w:cs="Times New Roman"/>
          <w:b/>
          <w:kern w:val="2"/>
          <w:sz w:val="24"/>
          <w:szCs w:val="24"/>
          <w:lang w:val="en-US" w:eastAsia="zh-CN" w:bidi="ar-SA"/>
        </w:rPr>
      </w:pPr>
      <w:r>
        <w:rPr>
          <w:rFonts w:hint="eastAsia" w:ascii="Arial" w:hAnsi="Arial" w:eastAsia="黑体" w:cs="Times New Roman"/>
          <w:b/>
          <w:kern w:val="2"/>
          <w:sz w:val="24"/>
          <w:szCs w:val="24"/>
          <w:lang w:val="en-US" w:eastAsia="zh-CN" w:bidi="ar-SA"/>
        </w:rPr>
        <w:t>2.3.3.7 保密要求</w:t>
      </w:r>
    </w:p>
    <w:p w14:paraId="3702E1DC">
      <w:pPr>
        <w:widowControl w:val="0"/>
        <w:shd w:val="clear" w:color="auto" w:fill="auto"/>
        <w:adjustRightInd w:val="0"/>
        <w:spacing w:line="360" w:lineRule="auto"/>
        <w:ind w:firstLine="424" w:firstLineChars="177"/>
        <w:contextualSpacing/>
        <w:jc w:val="left"/>
        <w:rPr>
          <w:rFonts w:ascii="Times New Roman" w:hAnsi="Times New Roman" w:eastAsia="宋体" w:cs="Times New Roman"/>
          <w:kern w:val="2"/>
          <w:sz w:val="24"/>
          <w:szCs w:val="24"/>
          <w:lang w:val="en-US" w:eastAsia="zh-CN" w:bidi="ar-SA"/>
        </w:rPr>
      </w:pPr>
      <w:r>
        <w:rPr>
          <w:rFonts w:hint="default" w:ascii="宋体" w:hAnsi="宋体" w:eastAsia="宋体" w:cs="宋体"/>
          <w:kern w:val="2"/>
          <w:sz w:val="24"/>
          <w:szCs w:val="22"/>
          <w:lang w:val="en-US" w:eastAsia="zh-CN" w:bidi="ar-SA"/>
        </w:rPr>
        <w:t>中标</w:t>
      </w:r>
      <w:r>
        <w:rPr>
          <w:rFonts w:hint="eastAsia" w:ascii="宋体" w:hAnsi="宋体" w:eastAsia="宋体" w:cs="宋体"/>
          <w:kern w:val="2"/>
          <w:sz w:val="24"/>
          <w:szCs w:val="22"/>
          <w:lang w:val="en-US" w:eastAsia="zh-CN" w:bidi="ar-SA"/>
        </w:rPr>
        <w:t>人</w:t>
      </w:r>
      <w:r>
        <w:rPr>
          <w:rFonts w:hint="default" w:ascii="宋体" w:hAnsi="宋体" w:eastAsia="宋体" w:cs="宋体"/>
          <w:kern w:val="2"/>
          <w:sz w:val="24"/>
          <w:szCs w:val="22"/>
          <w:lang w:val="en-US" w:eastAsia="zh-CN" w:bidi="ar-SA"/>
        </w:rPr>
        <w:t>应当对项目中涉及的相关信息保密，未经采购人许可，不得将项目相关信息泄露给第三方，否则，</w:t>
      </w:r>
      <w:r>
        <w:rPr>
          <w:rFonts w:hint="eastAsia" w:ascii="宋体" w:hAnsi="宋体" w:eastAsia="宋体" w:cs="宋体"/>
          <w:kern w:val="2"/>
          <w:sz w:val="24"/>
          <w:szCs w:val="22"/>
          <w:lang w:val="en-US" w:eastAsia="zh-CN" w:bidi="ar-SA"/>
        </w:rPr>
        <w:t>采购人</w:t>
      </w:r>
      <w:r>
        <w:rPr>
          <w:rFonts w:hint="default" w:ascii="宋体" w:hAnsi="宋体" w:eastAsia="宋体" w:cs="宋体"/>
          <w:kern w:val="2"/>
          <w:sz w:val="24"/>
          <w:szCs w:val="22"/>
          <w:lang w:val="en-US" w:eastAsia="zh-CN" w:bidi="ar-SA"/>
        </w:rPr>
        <w:t>保留追究中标</w:t>
      </w:r>
      <w:r>
        <w:rPr>
          <w:rFonts w:hint="eastAsia" w:ascii="宋体" w:hAnsi="宋体" w:eastAsia="宋体" w:cs="宋体"/>
          <w:kern w:val="2"/>
          <w:sz w:val="24"/>
          <w:szCs w:val="22"/>
          <w:lang w:val="en-US" w:eastAsia="zh-CN" w:bidi="ar-SA"/>
        </w:rPr>
        <w:t>人</w:t>
      </w:r>
      <w:r>
        <w:rPr>
          <w:rFonts w:hint="default" w:ascii="宋体" w:hAnsi="宋体" w:eastAsia="宋体" w:cs="宋体"/>
          <w:kern w:val="2"/>
          <w:sz w:val="24"/>
          <w:szCs w:val="22"/>
          <w:lang w:val="en-US" w:eastAsia="zh-CN" w:bidi="ar-SA"/>
        </w:rPr>
        <w:t>法律责任的权利。</w:t>
      </w:r>
    </w:p>
    <w:p w14:paraId="4BA9625A">
      <w:pPr>
        <w:keepNext/>
        <w:keepLines/>
        <w:widowControl w:val="0"/>
        <w:shd w:val="clear" w:color="auto" w:fill="auto"/>
        <w:bidi w:val="0"/>
        <w:spacing w:before="260" w:beforeLines="0" w:beforeAutospacing="0" w:after="260" w:afterLines="0" w:afterAutospacing="0" w:line="413" w:lineRule="auto"/>
        <w:jc w:val="both"/>
        <w:outlineLvl w:val="2"/>
        <w:rPr>
          <w:rFonts w:ascii="Times New Roman" w:hAnsi="Times New Roman" w:eastAsia="宋体" w:cs="Times New Roman"/>
          <w:b/>
          <w:kern w:val="2"/>
          <w:sz w:val="32"/>
          <w:szCs w:val="24"/>
          <w:u w:val="none"/>
          <w:lang w:val="en-US" w:eastAsia="zh-CN" w:bidi="ar-SA"/>
        </w:rPr>
      </w:pPr>
      <w:r>
        <w:rPr>
          <w:rFonts w:ascii="Times New Roman" w:hAnsi="Times New Roman" w:eastAsia="宋体" w:cs="Times New Roman"/>
          <w:b/>
          <w:kern w:val="2"/>
          <w:sz w:val="32"/>
          <w:szCs w:val="24"/>
          <w:u w:val="none"/>
          <w:lang w:val="en-US" w:eastAsia="zh-CN" w:bidi="ar-SA"/>
        </w:rPr>
        <w:t>3. 验收标准</w:t>
      </w:r>
    </w:p>
    <w:p w14:paraId="73CE8CCD">
      <w:pPr>
        <w:shd w:val="clear" w:color="auto" w:fill="auto"/>
        <w:spacing w:line="360" w:lineRule="auto"/>
        <w:ind w:firstLine="482"/>
        <w:contextualSpacing/>
        <w:rPr>
          <w:rFonts w:hint="eastAsia"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3.1中标人完成共性基础平台软件功能部署，通过第三方软件和安全测试、等保测评等，并提供共性基础平台软件软件租用服务满8个月，</w:t>
      </w:r>
      <w:r>
        <w:rPr>
          <w:rFonts w:hint="eastAsia" w:ascii="Times New Roman" w:hAnsi="Times New Roman" w:eastAsia="宋体" w:cs="Times New Roman"/>
          <w:b w:val="0"/>
          <w:bCs/>
          <w:sz w:val="24"/>
          <w:lang w:eastAsia="zh-CN"/>
        </w:rPr>
        <w:t>各系统安全、稳定运行。</w:t>
      </w:r>
    </w:p>
    <w:p w14:paraId="43CAD108">
      <w:pPr>
        <w:shd w:val="clear" w:color="auto" w:fill="auto"/>
        <w:spacing w:line="360" w:lineRule="auto"/>
        <w:ind w:firstLine="482"/>
        <w:contextualSpacing/>
        <w:rPr>
          <w:rFonts w:hint="eastAsia" w:ascii="Times New Roman" w:hAnsi="Times New Roman" w:eastAsia="宋体" w:cs="Times New Roman"/>
          <w:b w:val="0"/>
          <w:bCs/>
          <w:sz w:val="24"/>
          <w:lang w:eastAsia="zh-CN"/>
        </w:rPr>
      </w:pPr>
      <w:r>
        <w:rPr>
          <w:rFonts w:hint="eastAsia" w:ascii="Times New Roman" w:hAnsi="Times New Roman" w:eastAsia="宋体" w:cs="Times New Roman"/>
          <w:b w:val="0"/>
          <w:bCs/>
          <w:sz w:val="24"/>
          <w:lang w:val="en-US" w:eastAsia="zh-CN"/>
        </w:rPr>
        <w:t>3.2中标人提供一站式运营团队服务满8个月</w:t>
      </w:r>
      <w:r>
        <w:rPr>
          <w:rFonts w:hint="eastAsia" w:ascii="Times New Roman" w:hAnsi="Times New Roman" w:eastAsia="宋体" w:cs="Times New Roman"/>
          <w:b w:val="0"/>
          <w:bCs/>
          <w:sz w:val="24"/>
          <w:lang w:eastAsia="zh-CN"/>
        </w:rPr>
        <w:t>。</w:t>
      </w:r>
    </w:p>
    <w:p w14:paraId="2641C382">
      <w:pPr>
        <w:shd w:val="clear" w:color="auto" w:fill="auto"/>
        <w:spacing w:line="360" w:lineRule="auto"/>
        <w:ind w:firstLine="482"/>
        <w:contextualSpacing/>
        <w:rPr>
          <w:rFonts w:hint="eastAsia" w:ascii="Times New Roman" w:hAnsi="Times New Roman" w:eastAsia="宋体" w:cs="Times New Roman"/>
          <w:b w:val="0"/>
          <w:bCs/>
          <w:sz w:val="24"/>
          <w:lang w:eastAsia="zh-CN"/>
        </w:rPr>
      </w:pPr>
      <w:r>
        <w:rPr>
          <w:rFonts w:hint="eastAsia" w:ascii="Times New Roman" w:hAnsi="Times New Roman" w:eastAsia="宋体" w:cs="Times New Roman"/>
          <w:b w:val="0"/>
          <w:bCs/>
          <w:sz w:val="24"/>
          <w:lang w:val="en-US" w:eastAsia="zh-CN"/>
        </w:rPr>
        <w:t>3.3</w:t>
      </w:r>
      <w:r>
        <w:rPr>
          <w:rFonts w:hint="eastAsia" w:ascii="Times New Roman" w:hAnsi="Times New Roman" w:eastAsia="宋体" w:cs="Times New Roman"/>
          <w:b w:val="0"/>
          <w:bCs/>
          <w:sz w:val="24"/>
          <w:lang w:eastAsia="zh-CN"/>
        </w:rPr>
        <w:t xml:space="preserve">中标人完成合同全部工作后应及时通知采购人进行最终验收。采购人组织验收合格的，采购人在验收合格报告上签字；验收不合格的，中标人应当在 10个工作日内进行调整，并重新提交采购人验收。 </w:t>
      </w:r>
    </w:p>
    <w:p w14:paraId="6D62DD53">
      <w:pPr>
        <w:shd w:val="clear" w:color="auto" w:fill="auto"/>
        <w:spacing w:line="360" w:lineRule="auto"/>
        <w:ind w:firstLine="482"/>
        <w:contextualSpacing/>
        <w:rPr>
          <w:rFonts w:hint="eastAsia" w:ascii="Times New Roman" w:hAnsi="Times New Roman" w:eastAsia="宋体" w:cs="Times New Roman"/>
          <w:b w:val="0"/>
          <w:bCs/>
          <w:sz w:val="24"/>
          <w:lang w:eastAsia="zh-CN"/>
        </w:rPr>
      </w:pPr>
      <w:r>
        <w:rPr>
          <w:rFonts w:hint="eastAsia" w:ascii="Times New Roman" w:hAnsi="Times New Roman" w:eastAsia="宋体" w:cs="Times New Roman"/>
          <w:b w:val="0"/>
          <w:bCs/>
          <w:sz w:val="24"/>
          <w:lang w:val="en-US" w:eastAsia="zh-CN"/>
        </w:rPr>
        <w:t>3.4</w:t>
      </w:r>
      <w:r>
        <w:rPr>
          <w:rFonts w:hint="eastAsia" w:ascii="Times New Roman" w:hAnsi="Times New Roman" w:eastAsia="宋体" w:cs="Times New Roman"/>
          <w:b w:val="0"/>
          <w:bCs/>
          <w:sz w:val="24"/>
          <w:lang w:eastAsia="zh-CN"/>
        </w:rPr>
        <w:t xml:space="preserve">合同最终验收合格后，中标人应向采购人提交如下合同成果： </w:t>
      </w:r>
    </w:p>
    <w:p w14:paraId="5A1029AE">
      <w:pPr>
        <w:widowControl w:val="0"/>
        <w:shd w:val="clear" w:color="auto" w:fill="auto"/>
        <w:spacing w:line="360" w:lineRule="auto"/>
        <w:ind w:firstLine="480" w:firstLineChars="200"/>
        <w:jc w:val="both"/>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w:t>
      </w:r>
      <w:r>
        <w:rPr>
          <w:rFonts w:hint="default" w:ascii="宋体" w:hAnsi="宋体" w:eastAsia="宋体" w:cs="宋体"/>
          <w:kern w:val="2"/>
          <w:sz w:val="24"/>
          <w:szCs w:val="22"/>
          <w:lang w:val="en-US" w:eastAsia="zh-CN" w:bidi="ar-SA"/>
        </w:rPr>
        <w:t>项目管理文件</w:t>
      </w:r>
    </w:p>
    <w:p w14:paraId="31922F84">
      <w:pPr>
        <w:widowControl w:val="0"/>
        <w:shd w:val="clear" w:color="auto" w:fill="auto"/>
        <w:spacing w:line="360" w:lineRule="auto"/>
        <w:ind w:firstLine="480" w:firstLineChars="200"/>
        <w:jc w:val="both"/>
        <w:rPr>
          <w:rFonts w:hint="default" w:ascii="宋体" w:hAnsi="宋体" w:eastAsia="宋体" w:cs="宋体"/>
          <w:kern w:val="2"/>
          <w:sz w:val="24"/>
          <w:szCs w:val="22"/>
          <w:lang w:val="en-US" w:eastAsia="zh-CN" w:bidi="ar-SA"/>
        </w:rPr>
      </w:pPr>
      <w:r>
        <w:rPr>
          <w:rFonts w:hint="default" w:ascii="宋体" w:hAnsi="宋体" w:eastAsia="宋体" w:cs="宋体"/>
          <w:kern w:val="2"/>
          <w:sz w:val="24"/>
          <w:szCs w:val="22"/>
          <w:lang w:val="en-US" w:eastAsia="zh-CN" w:bidi="ar-SA"/>
        </w:rPr>
        <w:t>项目</w:t>
      </w:r>
      <w:r>
        <w:rPr>
          <w:rFonts w:hint="eastAsia" w:ascii="宋体" w:hAnsi="宋体" w:eastAsia="宋体" w:cs="宋体"/>
          <w:kern w:val="2"/>
          <w:sz w:val="24"/>
          <w:szCs w:val="22"/>
          <w:lang w:val="en-US" w:eastAsia="zh-CN" w:bidi="ar-SA"/>
        </w:rPr>
        <w:t>实施</w:t>
      </w:r>
      <w:r>
        <w:rPr>
          <w:rFonts w:hint="default" w:ascii="宋体" w:hAnsi="宋体" w:eastAsia="宋体" w:cs="宋体"/>
          <w:kern w:val="2"/>
          <w:sz w:val="24"/>
          <w:szCs w:val="22"/>
          <w:lang w:val="en-US" w:eastAsia="zh-CN" w:bidi="ar-SA"/>
        </w:rPr>
        <w:t>计划、项目</w:t>
      </w:r>
      <w:r>
        <w:rPr>
          <w:rFonts w:hint="eastAsia" w:ascii="宋体" w:hAnsi="宋体" w:eastAsia="宋体" w:cs="宋体"/>
          <w:kern w:val="2"/>
          <w:sz w:val="24"/>
          <w:szCs w:val="22"/>
          <w:lang w:val="en-US" w:eastAsia="zh-CN" w:bidi="ar-SA"/>
        </w:rPr>
        <w:t>周报/</w:t>
      </w:r>
      <w:r>
        <w:rPr>
          <w:rFonts w:hint="default" w:ascii="宋体" w:hAnsi="宋体" w:eastAsia="宋体" w:cs="宋体"/>
          <w:kern w:val="2"/>
          <w:sz w:val="24"/>
          <w:szCs w:val="22"/>
          <w:lang w:val="en-US" w:eastAsia="zh-CN" w:bidi="ar-SA"/>
        </w:rPr>
        <w:t>月报、会议纪要、项目总结报告等。</w:t>
      </w:r>
    </w:p>
    <w:p w14:paraId="1E0A2587">
      <w:pPr>
        <w:widowControl w:val="0"/>
        <w:shd w:val="clear" w:color="auto" w:fill="auto"/>
        <w:spacing w:line="360" w:lineRule="auto"/>
        <w:ind w:firstLine="480" w:firstLineChars="200"/>
        <w:jc w:val="both"/>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w:t>
      </w:r>
      <w:r>
        <w:rPr>
          <w:rFonts w:hint="default" w:ascii="宋体" w:hAnsi="宋体" w:eastAsia="宋体" w:cs="宋体"/>
          <w:kern w:val="2"/>
          <w:sz w:val="24"/>
          <w:szCs w:val="22"/>
          <w:lang w:val="en-US" w:eastAsia="zh-CN" w:bidi="ar-SA"/>
        </w:rPr>
        <w:t>服务实施成果</w:t>
      </w:r>
    </w:p>
    <w:p w14:paraId="3685CE88">
      <w:pPr>
        <w:widowControl w:val="0"/>
        <w:shd w:val="clear" w:color="auto" w:fill="auto"/>
        <w:spacing w:line="360" w:lineRule="auto"/>
        <w:ind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1）运维服务成果：</w:t>
      </w:r>
    </w:p>
    <w:p w14:paraId="552B7F06">
      <w:pPr>
        <w:widowControl w:val="0"/>
        <w:shd w:val="clear" w:color="auto" w:fill="auto"/>
        <w:spacing w:line="360" w:lineRule="auto"/>
        <w:ind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运维工作报告（月度）：内容包含但不限于日常巡检记录、</w:t>
      </w:r>
      <w:r>
        <w:rPr>
          <w:rFonts w:hint="default" w:ascii="宋体" w:hAnsi="宋体" w:eastAsia="宋体" w:cs="宋体"/>
          <w:kern w:val="2"/>
          <w:sz w:val="24"/>
          <w:szCs w:val="22"/>
          <w:lang w:val="en-US" w:eastAsia="zh-CN" w:bidi="ar-SA"/>
        </w:rPr>
        <w:t>技术支持</w:t>
      </w:r>
      <w:r>
        <w:rPr>
          <w:rFonts w:hint="eastAsia" w:ascii="宋体" w:hAnsi="宋体" w:eastAsia="宋体" w:cs="宋体"/>
          <w:kern w:val="2"/>
          <w:sz w:val="24"/>
          <w:szCs w:val="22"/>
          <w:lang w:val="en-US" w:eastAsia="zh-CN" w:bidi="ar-SA"/>
        </w:rPr>
        <w:t>工单、运维</w:t>
      </w:r>
      <w:r>
        <w:rPr>
          <w:rFonts w:hint="default" w:ascii="宋体" w:hAnsi="宋体" w:eastAsia="宋体" w:cs="宋体"/>
          <w:kern w:val="2"/>
          <w:sz w:val="24"/>
          <w:szCs w:val="22"/>
          <w:lang w:val="en-US" w:eastAsia="zh-CN" w:bidi="ar-SA"/>
        </w:rPr>
        <w:t>处置记录、系统安全运维记录、系统安全加固处置</w:t>
      </w:r>
      <w:r>
        <w:rPr>
          <w:rFonts w:hint="eastAsia" w:ascii="宋体" w:hAnsi="宋体" w:eastAsia="宋体" w:cs="宋体"/>
          <w:kern w:val="2"/>
          <w:sz w:val="24"/>
          <w:szCs w:val="22"/>
          <w:lang w:val="en-US" w:eastAsia="zh-CN" w:bidi="ar-SA"/>
        </w:rPr>
        <w:t>记录</w:t>
      </w:r>
      <w:r>
        <w:rPr>
          <w:rFonts w:hint="default" w:ascii="宋体" w:hAnsi="宋体" w:eastAsia="宋体" w:cs="宋体"/>
          <w:kern w:val="2"/>
          <w:sz w:val="24"/>
          <w:szCs w:val="22"/>
          <w:lang w:val="en-US" w:eastAsia="zh-CN" w:bidi="ar-SA"/>
        </w:rPr>
        <w:t>、漏洞整改</w:t>
      </w:r>
      <w:r>
        <w:rPr>
          <w:rFonts w:hint="eastAsia" w:ascii="宋体" w:hAnsi="宋体" w:eastAsia="宋体" w:cs="宋体"/>
          <w:kern w:val="2"/>
          <w:sz w:val="24"/>
          <w:szCs w:val="22"/>
          <w:lang w:val="en-US" w:eastAsia="zh-CN" w:bidi="ar-SA"/>
        </w:rPr>
        <w:t>记录等；</w:t>
      </w:r>
    </w:p>
    <w:p w14:paraId="7955DA00">
      <w:pPr>
        <w:widowControl w:val="0"/>
        <w:shd w:val="clear" w:color="auto" w:fill="auto"/>
        <w:spacing w:line="360" w:lineRule="auto"/>
        <w:ind w:firstLine="480" w:firstLineChars="200"/>
        <w:jc w:val="both"/>
        <w:rPr>
          <w:rFonts w:hint="eastAsia" w:ascii="宋体" w:hAnsi="宋体" w:eastAsia="宋体" w:cs="宋体"/>
          <w:kern w:val="2"/>
          <w:sz w:val="24"/>
          <w:szCs w:val="22"/>
          <w:lang w:val="en-US" w:eastAsia="zh-CN" w:bidi="ar-SA"/>
        </w:rPr>
      </w:pPr>
      <w:r>
        <w:rPr>
          <w:rFonts w:hint="default" w:ascii="宋体" w:hAnsi="宋体" w:eastAsia="宋体" w:cs="宋体"/>
          <w:kern w:val="2"/>
          <w:sz w:val="24"/>
          <w:szCs w:val="22"/>
          <w:lang w:val="en-US" w:eastAsia="zh-CN" w:bidi="ar-SA"/>
        </w:rPr>
        <w:t>共性基础平台</w:t>
      </w:r>
      <w:r>
        <w:rPr>
          <w:rFonts w:hint="eastAsia" w:ascii="宋体" w:hAnsi="宋体" w:eastAsia="宋体" w:cs="宋体"/>
          <w:kern w:val="2"/>
          <w:sz w:val="24"/>
          <w:szCs w:val="22"/>
          <w:lang w:val="en-US" w:eastAsia="zh-CN" w:bidi="ar-SA"/>
        </w:rPr>
        <w:t>培训文档：内容包括但不限于用户操作手册、</w:t>
      </w:r>
      <w:r>
        <w:rPr>
          <w:rFonts w:hint="default" w:ascii="宋体" w:hAnsi="宋体" w:eastAsia="宋体" w:cs="宋体"/>
          <w:kern w:val="2"/>
          <w:sz w:val="24"/>
          <w:szCs w:val="22"/>
          <w:lang w:val="en-US" w:eastAsia="zh-CN" w:bidi="ar-SA"/>
        </w:rPr>
        <w:t>培训材料</w:t>
      </w:r>
      <w:r>
        <w:rPr>
          <w:rFonts w:hint="eastAsia" w:ascii="宋体" w:hAnsi="宋体" w:eastAsia="宋体" w:cs="宋体"/>
          <w:kern w:val="2"/>
          <w:sz w:val="24"/>
          <w:szCs w:val="22"/>
          <w:lang w:val="en-US" w:eastAsia="zh-CN" w:bidi="ar-SA"/>
        </w:rPr>
        <w:t>、培训计划和培训</w:t>
      </w:r>
      <w:r>
        <w:rPr>
          <w:rFonts w:hint="default" w:ascii="宋体" w:hAnsi="宋体" w:eastAsia="宋体" w:cs="宋体"/>
          <w:kern w:val="2"/>
          <w:sz w:val="24"/>
          <w:szCs w:val="22"/>
          <w:lang w:val="en-US" w:eastAsia="zh-CN" w:bidi="ar-SA"/>
        </w:rPr>
        <w:t>记录</w:t>
      </w:r>
      <w:r>
        <w:rPr>
          <w:rFonts w:hint="eastAsia" w:ascii="宋体" w:hAnsi="宋体" w:eastAsia="宋体" w:cs="宋体"/>
          <w:kern w:val="2"/>
          <w:sz w:val="24"/>
          <w:szCs w:val="22"/>
          <w:lang w:val="en-US" w:eastAsia="zh-CN" w:bidi="ar-SA"/>
        </w:rPr>
        <w:t>等。</w:t>
      </w:r>
    </w:p>
    <w:p w14:paraId="10F70B03">
      <w:pPr>
        <w:widowControl w:val="0"/>
        <w:shd w:val="clear" w:color="auto" w:fill="auto"/>
        <w:spacing w:line="360" w:lineRule="auto"/>
        <w:ind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2）运营服务实施成果：</w:t>
      </w:r>
    </w:p>
    <w:p w14:paraId="7B720061">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应用场景评估测试报告</w:t>
      </w:r>
      <w:r>
        <w:rPr>
          <w:rFonts w:hint="eastAsia" w:ascii="宋体" w:hAnsi="宋体" w:eastAsia="宋体" w:cs="宋体"/>
          <w:sz w:val="24"/>
          <w:lang w:val="en-US" w:eastAsia="zh-CN"/>
        </w:rPr>
        <w:t>；</w:t>
      </w:r>
    </w:p>
    <w:p w14:paraId="78C52020">
      <w:pPr>
        <w:pStyle w:val="7"/>
        <w:shd w:val="clear" w:color="auto" w:fill="auto"/>
        <w:rPr>
          <w:rFonts w:hint="default" w:ascii="宋体" w:hAnsi="宋体" w:eastAsia="宋体" w:cs="宋体"/>
          <w:sz w:val="24"/>
          <w:lang w:val="en-US" w:eastAsia="zh-CN"/>
        </w:rPr>
      </w:pPr>
      <w:r>
        <w:rPr>
          <w:rFonts w:hint="default" w:ascii="宋体" w:hAnsi="宋体" w:eastAsia="宋体" w:cs="宋体"/>
          <w:sz w:val="24"/>
          <w:lang w:val="en-US" w:eastAsia="zh-CN"/>
        </w:rPr>
        <w:t>通用大模型技术选型评测</w:t>
      </w:r>
      <w:r>
        <w:rPr>
          <w:rFonts w:hint="eastAsia" w:ascii="宋体" w:hAnsi="宋体" w:eastAsia="宋体" w:cs="宋体"/>
          <w:sz w:val="24"/>
          <w:lang w:val="en-US" w:eastAsia="zh-CN"/>
        </w:rPr>
        <w:t>报告；</w:t>
      </w:r>
    </w:p>
    <w:p w14:paraId="1F5E796D">
      <w:pPr>
        <w:pStyle w:val="7"/>
        <w:shd w:val="clear" w:color="auto" w:fill="auto"/>
        <w:rPr>
          <w:rFonts w:hint="eastAsia" w:ascii="宋体" w:hAnsi="宋体" w:eastAsia="宋体" w:cs="宋体"/>
          <w:sz w:val="24"/>
          <w:lang w:val="en-US" w:eastAsia="zh-CN"/>
        </w:rPr>
      </w:pPr>
      <w:r>
        <w:rPr>
          <w:rFonts w:hint="default" w:ascii="宋体" w:hAnsi="宋体" w:eastAsia="宋体" w:cs="宋体"/>
          <w:sz w:val="24"/>
          <w:lang w:val="en-US" w:eastAsia="zh-CN"/>
        </w:rPr>
        <w:t>政务大模型应用</w:t>
      </w:r>
      <w:r>
        <w:rPr>
          <w:rFonts w:hint="eastAsia" w:ascii="宋体" w:hAnsi="宋体" w:eastAsia="宋体" w:cs="宋体"/>
          <w:sz w:val="24"/>
          <w:lang w:val="en-US" w:eastAsia="zh-CN"/>
        </w:rPr>
        <w:t>运行</w:t>
      </w:r>
      <w:r>
        <w:rPr>
          <w:rFonts w:hint="default" w:ascii="宋体" w:hAnsi="宋体" w:eastAsia="宋体" w:cs="宋体"/>
          <w:sz w:val="24"/>
          <w:lang w:val="en-US" w:eastAsia="zh-CN"/>
        </w:rPr>
        <w:t>安全监测报告</w:t>
      </w:r>
      <w:r>
        <w:rPr>
          <w:rFonts w:hint="eastAsia" w:ascii="宋体" w:hAnsi="宋体" w:eastAsia="宋体" w:cs="宋体"/>
          <w:sz w:val="24"/>
          <w:lang w:val="en-US" w:eastAsia="zh-CN"/>
        </w:rPr>
        <w:t>（月度）；</w:t>
      </w:r>
    </w:p>
    <w:p w14:paraId="09FC6334">
      <w:pPr>
        <w:pStyle w:val="7"/>
        <w:shd w:val="clear" w:color="auto" w:fill="auto"/>
        <w:rPr>
          <w:rFonts w:hint="default" w:ascii="宋体" w:hAnsi="宋体" w:eastAsia="宋体" w:cs="宋体"/>
          <w:sz w:val="24"/>
          <w:lang w:val="en-US" w:eastAsia="zh-CN"/>
        </w:rPr>
      </w:pPr>
      <w:r>
        <w:rPr>
          <w:rFonts w:hint="eastAsia" w:ascii="宋体" w:hAnsi="宋体" w:eastAsia="宋体" w:cs="宋体"/>
          <w:sz w:val="24"/>
          <w:lang w:val="en-US" w:eastAsia="zh-CN"/>
        </w:rPr>
        <w:t>政务云算力使用报告（月度）：包括但不限于</w:t>
      </w:r>
      <w:r>
        <w:rPr>
          <w:rFonts w:hint="default" w:ascii="宋体" w:hAnsi="宋体" w:eastAsia="宋体" w:cs="宋体"/>
          <w:sz w:val="24"/>
          <w:lang w:val="en-US" w:eastAsia="zh-CN"/>
        </w:rPr>
        <w:t>政务云算力使用</w:t>
      </w:r>
      <w:r>
        <w:rPr>
          <w:rFonts w:hint="eastAsia" w:ascii="宋体" w:hAnsi="宋体" w:eastAsia="宋体" w:cs="宋体"/>
          <w:sz w:val="24"/>
          <w:lang w:val="en-US" w:eastAsia="zh-CN"/>
        </w:rPr>
        <w:t>监测</w:t>
      </w:r>
      <w:r>
        <w:rPr>
          <w:rFonts w:hint="default" w:ascii="宋体" w:hAnsi="宋体" w:eastAsia="宋体" w:cs="宋体"/>
          <w:sz w:val="24"/>
          <w:lang w:val="en-US" w:eastAsia="zh-CN"/>
        </w:rPr>
        <w:t>、云资源日常巡检报告</w:t>
      </w:r>
      <w:r>
        <w:rPr>
          <w:rFonts w:hint="eastAsia" w:ascii="宋体" w:hAnsi="宋体" w:eastAsia="宋体" w:cs="宋体"/>
          <w:sz w:val="24"/>
          <w:lang w:val="en-US" w:eastAsia="zh-CN"/>
        </w:rPr>
        <w:t>、政务云算力扩缩容分析、</w:t>
      </w:r>
      <w:r>
        <w:rPr>
          <w:rFonts w:hint="default" w:ascii="宋体" w:hAnsi="宋体" w:eastAsia="宋体" w:cs="宋体"/>
          <w:sz w:val="24"/>
          <w:lang w:val="en-US" w:eastAsia="zh-CN"/>
        </w:rPr>
        <w:t>政务云算力</w:t>
      </w:r>
      <w:r>
        <w:rPr>
          <w:rFonts w:hint="eastAsia" w:ascii="宋体" w:hAnsi="宋体" w:eastAsia="宋体" w:cs="宋体"/>
          <w:sz w:val="24"/>
          <w:lang w:val="en-US" w:eastAsia="zh-CN"/>
        </w:rPr>
        <w:t>扩缩容记录</w:t>
      </w:r>
      <w:r>
        <w:rPr>
          <w:rFonts w:hint="default" w:ascii="宋体" w:hAnsi="宋体" w:eastAsia="宋体" w:cs="宋体"/>
          <w:sz w:val="24"/>
          <w:lang w:val="en-US" w:eastAsia="zh-CN"/>
        </w:rPr>
        <w:t>等</w:t>
      </w:r>
      <w:r>
        <w:rPr>
          <w:rFonts w:hint="eastAsia" w:ascii="宋体" w:hAnsi="宋体" w:eastAsia="宋体" w:cs="宋体"/>
          <w:sz w:val="24"/>
          <w:lang w:val="en-US" w:eastAsia="zh-CN"/>
        </w:rPr>
        <w:t>内容</w:t>
      </w:r>
      <w:r>
        <w:rPr>
          <w:rFonts w:hint="default" w:ascii="宋体" w:hAnsi="宋体" w:eastAsia="宋体" w:cs="宋体"/>
          <w:sz w:val="24"/>
          <w:lang w:val="en-US" w:eastAsia="zh-CN"/>
        </w:rPr>
        <w:t>。</w:t>
      </w:r>
    </w:p>
    <w:p w14:paraId="099CAFC6">
      <w:pPr>
        <w:keepNext/>
        <w:keepLines/>
        <w:widowControl w:val="0"/>
        <w:shd w:val="clear" w:color="auto" w:fill="auto"/>
        <w:bidi w:val="0"/>
        <w:spacing w:before="260" w:beforeLines="0" w:beforeAutospacing="0" w:after="260" w:afterLines="0" w:afterAutospacing="0" w:line="413" w:lineRule="auto"/>
        <w:jc w:val="both"/>
        <w:outlineLvl w:val="2"/>
        <w:rPr>
          <w:rFonts w:ascii="Times New Roman" w:hAnsi="Times New Roman" w:eastAsia="宋体" w:cs="Times New Roman"/>
          <w:b/>
          <w:kern w:val="2"/>
          <w:sz w:val="32"/>
          <w:szCs w:val="24"/>
          <w:u w:val="none"/>
          <w:lang w:val="en-US" w:eastAsia="zh-CN" w:bidi="ar-SA"/>
        </w:rPr>
      </w:pPr>
      <w:r>
        <w:rPr>
          <w:rFonts w:ascii="Times New Roman" w:hAnsi="Times New Roman" w:eastAsia="宋体" w:cs="Times New Roman"/>
          <w:b/>
          <w:kern w:val="2"/>
          <w:sz w:val="32"/>
          <w:szCs w:val="24"/>
          <w:u w:val="none"/>
          <w:lang w:val="en-US" w:eastAsia="zh-CN" w:bidi="ar-SA"/>
        </w:rPr>
        <w:t>4. 其他要求</w:t>
      </w:r>
    </w:p>
    <w:p w14:paraId="06C91892">
      <w:pPr>
        <w:shd w:val="clear" w:color="auto" w:fill="auto"/>
        <w:spacing w:line="360" w:lineRule="auto"/>
        <w:contextualSpacing/>
        <w:rPr>
          <w:rFonts w:hint="eastAsia" w:ascii="Times New Roman" w:hAnsi="Times New Roman" w:eastAsia="宋体" w:cs="Times New Roman"/>
          <w:sz w:val="24"/>
          <w:lang w:val="en-US" w:eastAsia="zh-CN"/>
        </w:rPr>
      </w:pPr>
      <w:bookmarkStart w:id="1" w:name="_Toc5948"/>
      <w:r>
        <w:rPr>
          <w:rFonts w:hint="eastAsia" w:ascii="Times New Roman" w:hAnsi="Times New Roman" w:eastAsia="宋体" w:cs="Times New Roman"/>
          <w:sz w:val="24"/>
          <w:lang w:val="en-US" w:eastAsia="zh-CN"/>
        </w:rPr>
        <w:t>技术承诺（本部分为★条款，投标人未提供书面承诺，将被视为无效投标）</w:t>
      </w:r>
      <w:bookmarkEnd w:id="1"/>
    </w:p>
    <w:p w14:paraId="4B17CBB9">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ascii="Calibri" w:hAnsi="Calibri" w:eastAsia="宋体" w:cs="Times New Roman"/>
          <w:kern w:val="2"/>
          <w:sz w:val="21"/>
          <w:szCs w:val="22"/>
          <w:lang w:val="en-US" w:eastAsia="zh-CN" w:bidi="ar-SA"/>
        </w:rPr>
      </w:pP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1.中标人提供的共性基础平台软件须按公安部等保三级的标准建设，并承诺协助采购人通过等保三级的测评和备案。</w:t>
      </w:r>
    </w:p>
    <w:p w14:paraId="425C4CA3">
      <w:pPr>
        <w:keepNext w:val="0"/>
        <w:keepLines w:val="0"/>
        <w:pageBreakBefore w:val="0"/>
        <w:widowControl w:val="0"/>
        <w:shd w:val="clear" w:color="auto" w:fill="auto"/>
        <w:kinsoku/>
        <w:wordWrap/>
        <w:overflowPunct/>
        <w:topLinePunct w:val="0"/>
        <w:autoSpaceDE/>
        <w:autoSpaceDN/>
        <w:bidi w:val="0"/>
        <w:adjustRightInd/>
        <w:snapToGrid/>
        <w:spacing w:after="120" w:line="480" w:lineRule="exact"/>
        <w:ind w:left="0" w:leftChars="0" w:firstLine="480" w:firstLineChars="200"/>
        <w:jc w:val="both"/>
        <w:textAlignment w:val="auto"/>
        <w:rPr>
          <w:rFonts w:hint="eastAsia" w:ascii="Times New Roman" w:hAnsi="Times New Roman" w:eastAsia="宋体" w:cs="Times New Roman"/>
          <w:kern w:val="2"/>
          <w:sz w:val="24"/>
          <w:szCs w:val="20"/>
          <w:lang w:val="en-US" w:eastAsia="zh-CN" w:bidi="ar-SA"/>
        </w:rPr>
      </w:pP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2.投标人须提供自有软件产品的著作权证明，或承诺中标后能获得</w:t>
      </w:r>
      <w:r>
        <w:rPr>
          <w:rFonts w:hint="eastAsia" w:ascii="Times New Roman" w:hAnsi="Times New Roman" w:eastAsia="宋体" w:cs="Times New Roman"/>
          <w:kern w:val="2"/>
          <w:sz w:val="24"/>
          <w:szCs w:val="20"/>
          <w:lang w:val="en-US" w:eastAsia="zh-CN" w:bidi="ar-SA"/>
        </w:rPr>
        <w:t>软件产品原厂出具的针对本项目的授权文件。</w:t>
      </w:r>
    </w:p>
    <w:p w14:paraId="6712F7EA">
      <w:pPr>
        <w:keepNext w:val="0"/>
        <w:keepLines w:val="0"/>
        <w:pageBreakBefore w:val="0"/>
        <w:widowControl w:val="0"/>
        <w:shd w:val="clear" w:color="auto" w:fill="auto"/>
        <w:kinsoku/>
        <w:wordWrap/>
        <w:overflowPunct/>
        <w:topLinePunct w:val="0"/>
        <w:autoSpaceDE/>
        <w:autoSpaceDN/>
        <w:bidi w:val="0"/>
        <w:adjustRightInd/>
        <w:snapToGrid/>
        <w:spacing w:after="120" w:line="480" w:lineRule="exact"/>
        <w:ind w:left="0" w:leftChars="0" w:firstLine="480" w:firstLineChars="200"/>
        <w:jc w:val="both"/>
        <w:textAlignment w:val="auto"/>
        <w:rPr>
          <w:rFonts w:hint="default" w:ascii="宋体" w:hAnsi="宋体" w:eastAsia="宋体" w:cs="宋体"/>
          <w:b w:val="0"/>
          <w:bCs w:val="0"/>
          <w:kern w:val="2"/>
          <w:sz w:val="24"/>
          <w:szCs w:val="24"/>
          <w:highlight w:val="none"/>
          <w:lang w:val="en-US" w:eastAsia="zh-CN" w:bidi="ar-SA"/>
        </w:rPr>
      </w:pPr>
    </w:p>
    <w:bookmarkEnd w:id="0"/>
    <w:p w14:paraId="6845753A">
      <w:pPr>
        <w:keepNext/>
        <w:keepLines/>
        <w:widowControl w:val="0"/>
        <w:shd w:val="clear" w:color="auto" w:fill="auto"/>
        <w:autoSpaceDE w:val="0"/>
        <w:autoSpaceDN w:val="0"/>
        <w:bidi w:val="0"/>
        <w:adjustRightInd w:val="0"/>
        <w:spacing w:before="240" w:after="120" w:line="300" w:lineRule="auto"/>
        <w:jc w:val="center"/>
        <w:outlineLvl w:val="0"/>
        <w:rPr>
          <w:rFonts w:hint="default" w:ascii="宋体" w:hAnsi="Times New Roman" w:eastAsia="宋体" w:cs="Times New Roman"/>
          <w:b/>
          <w:kern w:val="44"/>
          <w:sz w:val="32"/>
          <w:szCs w:val="20"/>
          <w:lang w:val="en-US" w:eastAsia="zh-CN" w:bidi="ar-SA"/>
        </w:rPr>
      </w:pPr>
      <w:r>
        <w:rPr>
          <w:rFonts w:ascii="宋体" w:hAnsi="Times New Roman" w:eastAsia="宋体" w:cs="Times New Roman"/>
          <w:b/>
          <w:kern w:val="44"/>
          <w:sz w:val="32"/>
          <w:szCs w:val="20"/>
          <w:lang w:val="en-US" w:eastAsia="zh-CN" w:bidi="ar-SA"/>
        </w:rPr>
        <w:br w:type="page"/>
      </w:r>
      <w:bookmarkStart w:id="4" w:name="_GoBack"/>
      <w:bookmarkEnd w:id="4"/>
      <w:r>
        <w:rPr>
          <w:rFonts w:hint="eastAsia" w:ascii="宋体" w:hAnsi="Times New Roman" w:eastAsia="宋体" w:cs="Times New Roman"/>
          <w:b/>
          <w:kern w:val="44"/>
          <w:sz w:val="32"/>
          <w:szCs w:val="20"/>
          <w:lang w:val="en-US" w:eastAsia="zh-CN" w:bidi="ar-SA"/>
        </w:rPr>
        <w:t>第二包</w:t>
      </w:r>
    </w:p>
    <w:p w14:paraId="45B05DF4">
      <w:pPr>
        <w:keepNext/>
        <w:keepLines/>
        <w:widowControl w:val="0"/>
        <w:numPr>
          <w:ilvl w:val="0"/>
          <w:numId w:val="1"/>
        </w:numPr>
        <w:shd w:val="clear" w:color="auto" w:fill="auto"/>
        <w:bidi w:val="0"/>
        <w:spacing w:before="260" w:after="260" w:line="416" w:lineRule="atLeast"/>
        <w:ind w:left="500" w:hanging="500"/>
        <w:jc w:val="left"/>
        <w:outlineLvl w:val="1"/>
        <w:rPr>
          <w:rFonts w:ascii="Arial" w:hAnsi="Arial" w:eastAsia="黑体" w:cs="Times New Roman"/>
          <w:b/>
          <w:bCs/>
          <w:kern w:val="2"/>
          <w:sz w:val="32"/>
          <w:szCs w:val="32"/>
          <w:lang w:val="en-US" w:eastAsia="zh-CN" w:bidi="ar-SA"/>
        </w:rPr>
      </w:pPr>
      <w:bookmarkStart w:id="2" w:name="_Toc3499"/>
      <w:r>
        <w:rPr>
          <w:rFonts w:ascii="Arial" w:hAnsi="Arial" w:eastAsia="黑体" w:cs="Times New Roman"/>
          <w:b/>
          <w:bCs/>
          <w:kern w:val="2"/>
          <w:sz w:val="32"/>
          <w:szCs w:val="32"/>
          <w:lang w:val="en-US" w:eastAsia="zh-CN" w:bidi="ar-SA"/>
        </w:rPr>
        <w:t>采购标的</w:t>
      </w:r>
    </w:p>
    <w:p w14:paraId="156A4D41">
      <w:pPr>
        <w:shd w:val="clear" w:color="auto" w:fill="auto"/>
        <w:spacing w:line="360" w:lineRule="auto"/>
        <w:contextualSpacing/>
        <w:rPr>
          <w:rFonts w:ascii="Times New Roman" w:hAnsi="Times New Roman" w:eastAsia="宋体" w:cs="Times New Roman"/>
          <w:bCs/>
          <w:sz w:val="24"/>
        </w:rPr>
      </w:pPr>
      <w:r>
        <w:rPr>
          <w:rFonts w:ascii="Times New Roman" w:hAnsi="Times New Roman" w:eastAsia="宋体" w:cs="Times New Roman"/>
          <w:bCs/>
          <w:sz w:val="24"/>
        </w:rPr>
        <w:t>1. 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45"/>
        <w:gridCol w:w="1333"/>
        <w:gridCol w:w="712"/>
        <w:gridCol w:w="3688"/>
      </w:tblGrid>
      <w:tr w14:paraId="4FBC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4295BF84">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包号</w:t>
            </w:r>
          </w:p>
        </w:tc>
        <w:tc>
          <w:tcPr>
            <w:tcW w:w="1945" w:type="dxa"/>
            <w:noWrap w:val="0"/>
            <w:vAlign w:val="center"/>
          </w:tcPr>
          <w:p w14:paraId="13834496">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标的名称</w:t>
            </w:r>
          </w:p>
        </w:tc>
        <w:tc>
          <w:tcPr>
            <w:tcW w:w="1333" w:type="dxa"/>
            <w:noWrap w:val="0"/>
            <w:vAlign w:val="center"/>
          </w:tcPr>
          <w:p w14:paraId="0C301AF9">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采购包</w:t>
            </w:r>
          </w:p>
          <w:p w14:paraId="45E38EE6">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预算金额</w:t>
            </w:r>
          </w:p>
          <w:p w14:paraId="3A17ADEA">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（万元）</w:t>
            </w:r>
          </w:p>
        </w:tc>
        <w:tc>
          <w:tcPr>
            <w:tcW w:w="712" w:type="dxa"/>
            <w:noWrap w:val="0"/>
            <w:vAlign w:val="center"/>
          </w:tcPr>
          <w:p w14:paraId="42453264">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数量</w:t>
            </w:r>
          </w:p>
        </w:tc>
        <w:tc>
          <w:tcPr>
            <w:tcW w:w="3688" w:type="dxa"/>
            <w:noWrap w:val="0"/>
            <w:vAlign w:val="center"/>
          </w:tcPr>
          <w:p w14:paraId="01D0CF09">
            <w:pPr>
              <w:shd w:val="clear" w:color="auto" w:fill="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分项最高限价</w:t>
            </w:r>
          </w:p>
        </w:tc>
      </w:tr>
      <w:tr w14:paraId="2B45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784AEFDB">
            <w:pPr>
              <w:shd w:val="clear" w:color="auto" w:fill="auto"/>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1945" w:type="dxa"/>
            <w:noWrap w:val="0"/>
            <w:vAlign w:val="center"/>
          </w:tcPr>
          <w:p w14:paraId="6DE9D46D">
            <w:pPr>
              <w:shd w:val="clear" w:color="auto" w:fill="auto"/>
              <w:jc w:val="center"/>
              <w:rPr>
                <w:rFonts w:hint="default" w:ascii="Times New Roman" w:hAnsi="Times New Roman" w:eastAsia="宋体" w:cs="Times New Roman"/>
                <w:lang w:val="en-US"/>
              </w:rPr>
            </w:pPr>
            <w:r>
              <w:rPr>
                <w:rFonts w:hint="eastAsia" w:ascii="Times New Roman" w:hAnsi="Times New Roman" w:eastAsia="宋体" w:cs="Times New Roman"/>
                <w:sz w:val="24"/>
              </w:rPr>
              <w:t>2026年北京市政务领域大模型应用服务支撑项目</w:t>
            </w:r>
            <w:r>
              <w:rPr>
                <w:rFonts w:hint="default" w:ascii="Times New Roman" w:hAnsi="Times New Roman" w:eastAsia="宋体" w:cs="Times New Roman"/>
                <w:sz w:val="24"/>
                <w:lang w:val="en-US"/>
              </w:rPr>
              <w:t>-</w:t>
            </w:r>
            <w:r>
              <w:rPr>
                <w:rFonts w:hint="eastAsia" w:ascii="Times New Roman" w:hAnsi="Times New Roman" w:eastAsia="宋体" w:cs="Times New Roman"/>
                <w:sz w:val="24"/>
                <w:lang w:val="en-US" w:eastAsia="zh-CN"/>
              </w:rPr>
              <w:t>第二包 政务云服务租赁</w:t>
            </w:r>
          </w:p>
        </w:tc>
        <w:tc>
          <w:tcPr>
            <w:tcW w:w="1333" w:type="dxa"/>
            <w:noWrap w:val="0"/>
            <w:vAlign w:val="center"/>
          </w:tcPr>
          <w:p w14:paraId="19AF9E59">
            <w:pPr>
              <w:shd w:val="clear" w:color="auto" w:fill="auto"/>
              <w:jc w:val="center"/>
              <w:rPr>
                <w:rFonts w:hint="default" w:ascii="Times New Roman" w:hAnsi="Times New Roman" w:eastAsia="宋体" w:cs="Times New Roman"/>
                <w:bCs/>
                <w:szCs w:val="21"/>
                <w:lang w:val="en-US" w:eastAsia="zh-CN"/>
              </w:rPr>
            </w:pPr>
            <w:r>
              <w:rPr>
                <w:rFonts w:hint="eastAsia" w:ascii="宋体" w:hAnsi="宋体" w:eastAsia="宋体" w:cs="Times New Roman"/>
                <w:sz w:val="24"/>
                <w:lang w:val="en-US" w:eastAsia="zh-CN"/>
              </w:rPr>
              <w:t>2801.87</w:t>
            </w:r>
          </w:p>
        </w:tc>
        <w:tc>
          <w:tcPr>
            <w:tcW w:w="712" w:type="dxa"/>
            <w:noWrap w:val="0"/>
            <w:vAlign w:val="center"/>
          </w:tcPr>
          <w:p w14:paraId="5C7FF305">
            <w:pPr>
              <w:shd w:val="clear" w:color="auto" w:fill="auto"/>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3688" w:type="dxa"/>
            <w:noWrap w:val="0"/>
            <w:vAlign w:val="center"/>
          </w:tcPr>
          <w:p w14:paraId="6F620910">
            <w:pPr>
              <w:shd w:val="clear" w:color="auto" w:fill="auto"/>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rPr>
              <w:t>政务云基础服务</w:t>
            </w:r>
            <w:r>
              <w:rPr>
                <w:rFonts w:hint="eastAsia" w:ascii="Times New Roman" w:hAnsi="Times New Roman" w:eastAsia="宋体" w:cs="Times New Roman"/>
                <w:kern w:val="0"/>
                <w:szCs w:val="21"/>
                <w:lang w:val="en-US" w:eastAsia="zh-CN"/>
              </w:rPr>
              <w:t>最高限价：2781.25万元</w:t>
            </w:r>
          </w:p>
          <w:p w14:paraId="29A12ADB">
            <w:pPr>
              <w:shd w:val="clear" w:color="auto" w:fill="auto"/>
              <w:jc w:val="left"/>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其中</w:t>
            </w:r>
            <w:r>
              <w:rPr>
                <w:rFonts w:hint="default" w:ascii="Times New Roman" w:hAnsi="Times New Roman" w:eastAsia="宋体" w:cs="Times New Roman"/>
                <w:kern w:val="0"/>
                <w:sz w:val="21"/>
                <w:szCs w:val="21"/>
                <w:lang w:val="en-US" w:eastAsia="zh-CN" w:bidi="ar-SA"/>
              </w:rPr>
              <w:t>GPU算力服务</w:t>
            </w:r>
            <w:r>
              <w:rPr>
                <w:rFonts w:hint="eastAsia" w:ascii="Times New Roman" w:hAnsi="Times New Roman" w:eastAsia="宋体" w:cs="Times New Roman"/>
                <w:kern w:val="0"/>
                <w:sz w:val="21"/>
                <w:szCs w:val="21"/>
                <w:lang w:val="en-US" w:eastAsia="zh-CN" w:bidi="ar-SA"/>
              </w:rPr>
              <w:t>最高限价：2685.83万元（投标文件中投标报价应为租用212.6P算力服务8个月的总价）；</w:t>
            </w:r>
          </w:p>
          <w:p w14:paraId="24FA8531">
            <w:pPr>
              <w:shd w:val="clear" w:color="auto" w:fill="auto"/>
              <w:jc w:val="left"/>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GPU算力服务</w:t>
            </w:r>
            <w:r>
              <w:rPr>
                <w:rFonts w:hint="eastAsia" w:ascii="Times New Roman" w:hAnsi="Times New Roman" w:eastAsia="宋体" w:cs="Times New Roman"/>
                <w:kern w:val="0"/>
                <w:sz w:val="21"/>
                <w:szCs w:val="21"/>
                <w:lang w:val="en-US" w:eastAsia="zh-CN" w:bidi="ar-SA"/>
              </w:rPr>
              <w:t>单价最高限价：FP16 算力每PFLOPS单价限价15,794元/月，采购数量、使用时间由采购人根据实际需求确定。</w:t>
            </w:r>
          </w:p>
          <w:p w14:paraId="08DD0ED5">
            <w:pPr>
              <w:shd w:val="clear" w:color="auto" w:fill="auto"/>
              <w:jc w:val="left"/>
              <w:rPr>
                <w:rFonts w:hint="default" w:ascii="Times New Roman" w:hAnsi="Times New Roman" w:eastAsia="宋体" w:cs="Times New Roman"/>
                <w:lang w:val="en-US" w:eastAsia="zh-CN"/>
              </w:rPr>
            </w:pPr>
            <w:r>
              <w:rPr>
                <w:rFonts w:hint="eastAsia" w:ascii="Times New Roman" w:hAnsi="Times New Roman" w:eastAsia="宋体" w:cs="Times New Roman"/>
                <w:kern w:val="0"/>
                <w:szCs w:val="21"/>
                <w:lang w:val="en-US" w:eastAsia="zh-CN"/>
              </w:rPr>
              <w:t>2、政务云扩展</w:t>
            </w:r>
            <w:r>
              <w:rPr>
                <w:rFonts w:hint="eastAsia" w:ascii="Times New Roman" w:hAnsi="Times New Roman" w:eastAsia="宋体" w:cs="Times New Roman"/>
                <w:kern w:val="0"/>
                <w:szCs w:val="21"/>
              </w:rPr>
              <w:t>服务</w:t>
            </w:r>
            <w:r>
              <w:rPr>
                <w:rFonts w:hint="eastAsia" w:ascii="Times New Roman" w:hAnsi="Times New Roman" w:eastAsia="宋体" w:cs="Times New Roman"/>
                <w:kern w:val="0"/>
                <w:szCs w:val="21"/>
                <w:lang w:val="en-US" w:eastAsia="zh-CN"/>
              </w:rPr>
              <w:t>最高限价：20.62万元</w:t>
            </w:r>
          </w:p>
        </w:tc>
      </w:tr>
    </w:tbl>
    <w:p w14:paraId="2EDAD14F">
      <w:pPr>
        <w:shd w:val="clear" w:color="auto" w:fill="auto"/>
        <w:spacing w:line="360" w:lineRule="auto"/>
        <w:contextualSpacing/>
        <w:rPr>
          <w:rFonts w:ascii="Times New Roman" w:hAnsi="Times New Roman" w:eastAsia="宋体" w:cs="Times New Roman"/>
          <w:bCs/>
          <w:sz w:val="24"/>
        </w:rPr>
      </w:pPr>
    </w:p>
    <w:p w14:paraId="18971CA7">
      <w:pPr>
        <w:shd w:val="clear" w:color="auto" w:fill="auto"/>
        <w:spacing w:line="360" w:lineRule="auto"/>
        <w:contextualSpacing/>
        <w:rPr>
          <w:rFonts w:ascii="Times New Roman" w:hAnsi="Times New Roman" w:eastAsia="宋体" w:cs="Times New Roman"/>
          <w:bCs/>
          <w:sz w:val="24"/>
        </w:rPr>
      </w:pPr>
      <w:r>
        <w:rPr>
          <w:rFonts w:ascii="Times New Roman" w:hAnsi="Times New Roman" w:eastAsia="宋体" w:cs="Times New Roman"/>
          <w:bCs/>
          <w:sz w:val="24"/>
        </w:rPr>
        <w:t>2. 项目背景/项目概述</w:t>
      </w:r>
    </w:p>
    <w:p w14:paraId="65741797">
      <w:pPr>
        <w:shd w:val="clear" w:color="auto" w:fill="auto"/>
        <w:spacing w:line="360" w:lineRule="auto"/>
        <w:ind w:firstLine="482"/>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近年来，国家层面</w:t>
      </w:r>
      <w:r>
        <w:rPr>
          <w:rFonts w:hint="eastAsia" w:ascii="Times New Roman" w:hAnsi="Times New Roman" w:eastAsia="宋体" w:cs="Times New Roman"/>
          <w:b w:val="0"/>
          <w:bCs/>
          <w:sz w:val="24"/>
          <w:lang w:val="en-US" w:eastAsia="zh-CN"/>
        </w:rPr>
        <w:t>陆续</w:t>
      </w:r>
      <w:r>
        <w:rPr>
          <w:rFonts w:hint="eastAsia" w:ascii="Times New Roman" w:hAnsi="Times New Roman" w:eastAsia="宋体" w:cs="Times New Roman"/>
          <w:b w:val="0"/>
          <w:bCs/>
          <w:sz w:val="24"/>
        </w:rPr>
        <w:t>出台</w:t>
      </w:r>
      <w:r>
        <w:rPr>
          <w:rFonts w:hint="eastAsia" w:ascii="Times New Roman" w:hAnsi="Times New Roman" w:eastAsia="宋体" w:cs="Times New Roman"/>
          <w:b w:val="0"/>
          <w:bCs/>
          <w:sz w:val="24"/>
          <w:lang w:val="en-US" w:eastAsia="zh-CN"/>
        </w:rPr>
        <w:t>相关政策推动</w:t>
      </w:r>
      <w:r>
        <w:rPr>
          <w:rFonts w:hint="eastAsia" w:ascii="Times New Roman" w:hAnsi="Times New Roman" w:eastAsia="宋体" w:cs="Times New Roman"/>
          <w:b w:val="0"/>
          <w:bCs/>
          <w:sz w:val="24"/>
          <w:lang w:eastAsia="zh-CN"/>
        </w:rPr>
        <w:t>“</w:t>
      </w:r>
      <w:r>
        <w:rPr>
          <w:rFonts w:hint="eastAsia" w:ascii="Times New Roman" w:hAnsi="Times New Roman" w:eastAsia="宋体" w:cs="Times New Roman"/>
          <w:b w:val="0"/>
          <w:bCs/>
          <w:sz w:val="24"/>
        </w:rPr>
        <w:t>人工智能</w:t>
      </w:r>
      <w:r>
        <w:rPr>
          <w:rFonts w:hint="eastAsia" w:ascii="Times New Roman" w:hAnsi="Times New Roman" w:eastAsia="宋体" w:cs="Times New Roman"/>
          <w:b w:val="0"/>
          <w:bCs/>
          <w:sz w:val="24"/>
          <w:lang w:val="en-US" w:eastAsia="zh-CN"/>
        </w:rPr>
        <w:t>+”行动，鼓励政务领域大模型应用试点探索</w:t>
      </w:r>
      <w:r>
        <w:rPr>
          <w:rFonts w:hint="eastAsia" w:ascii="Times New Roman" w:hAnsi="Times New Roman" w:eastAsia="宋体" w:cs="Times New Roman"/>
          <w:b w:val="0"/>
          <w:bCs/>
          <w:sz w:val="24"/>
          <w:lang w:eastAsia="zh-CN"/>
        </w:rPr>
        <w:t>。</w:t>
      </w:r>
      <w:r>
        <w:rPr>
          <w:rFonts w:hint="eastAsia" w:ascii="Times New Roman" w:hAnsi="Times New Roman" w:eastAsia="宋体" w:cs="Times New Roman"/>
          <w:b w:val="0"/>
          <w:bCs/>
          <w:sz w:val="24"/>
          <w:lang w:val="en-US" w:eastAsia="zh-CN"/>
        </w:rPr>
        <w:t>随着“十五五”规划纲要的发布，政务领域人工智能大模型部署应用已正式纳入国家顶层设计，</w:t>
      </w:r>
      <w:r>
        <w:rPr>
          <w:rFonts w:hint="eastAsia" w:ascii="Times New Roman" w:hAnsi="Times New Roman" w:eastAsia="宋体" w:cs="Times New Roman"/>
          <w:b w:val="0"/>
          <w:bCs/>
          <w:sz w:val="24"/>
        </w:rPr>
        <w:t>标志着</w:t>
      </w:r>
      <w:r>
        <w:rPr>
          <w:rFonts w:hint="eastAsia" w:ascii="Times New Roman" w:hAnsi="Times New Roman" w:eastAsia="宋体" w:cs="Times New Roman"/>
          <w:b w:val="0"/>
          <w:bCs/>
          <w:sz w:val="24"/>
          <w:lang w:val="en-US" w:eastAsia="zh-CN"/>
        </w:rPr>
        <w:t>相关工作</w:t>
      </w:r>
      <w:r>
        <w:rPr>
          <w:rFonts w:hint="eastAsia" w:ascii="Times New Roman" w:hAnsi="Times New Roman" w:eastAsia="宋体" w:cs="Times New Roman"/>
          <w:b w:val="0"/>
          <w:bCs/>
          <w:sz w:val="24"/>
        </w:rPr>
        <w:t>已从技术</w:t>
      </w:r>
      <w:r>
        <w:rPr>
          <w:rFonts w:hint="eastAsia" w:ascii="Times New Roman" w:hAnsi="Times New Roman" w:eastAsia="宋体" w:cs="Times New Roman"/>
          <w:b w:val="0"/>
          <w:bCs/>
          <w:sz w:val="24"/>
          <w:lang w:val="en-US" w:eastAsia="zh-CN"/>
        </w:rPr>
        <w:t>性</w:t>
      </w:r>
      <w:r>
        <w:rPr>
          <w:rFonts w:hint="eastAsia" w:ascii="Times New Roman" w:hAnsi="Times New Roman" w:eastAsia="宋体" w:cs="Times New Roman"/>
          <w:b w:val="0"/>
          <w:bCs/>
          <w:sz w:val="24"/>
        </w:rPr>
        <w:t>探索迈入规范化、体系化建设的新阶段。</w:t>
      </w:r>
    </w:p>
    <w:p w14:paraId="6D2ECF82">
      <w:pPr>
        <w:shd w:val="clear" w:color="auto" w:fill="auto"/>
        <w:spacing w:line="360" w:lineRule="auto"/>
        <w:ind w:firstLine="482"/>
        <w:contextualSpacing/>
        <w:rPr>
          <w:rFonts w:ascii="Times New Roman" w:hAnsi="Times New Roman" w:eastAsia="宋体" w:cs="Times New Roman"/>
          <w:b/>
          <w:sz w:val="24"/>
        </w:rPr>
      </w:pPr>
      <w:r>
        <w:rPr>
          <w:rFonts w:hint="eastAsia" w:ascii="Times New Roman" w:hAnsi="Times New Roman" w:eastAsia="宋体" w:cs="Times New Roman"/>
          <w:b w:val="0"/>
          <w:bCs/>
          <w:sz w:val="24"/>
        </w:rPr>
        <w:t>为贯彻落实国家及北京市关于人工智能大模型在政务领域应用的战略部署，本项目立足解决当前</w:t>
      </w:r>
      <w:r>
        <w:rPr>
          <w:rFonts w:hint="eastAsia" w:ascii="Times New Roman" w:hAnsi="Times New Roman" w:eastAsia="宋体" w:cs="Times New Roman"/>
          <w:b w:val="0"/>
          <w:bCs/>
          <w:sz w:val="24"/>
          <w:lang w:val="en-US" w:eastAsia="zh-CN"/>
        </w:rPr>
        <w:t>我市</w:t>
      </w:r>
      <w:r>
        <w:rPr>
          <w:rFonts w:hint="eastAsia" w:ascii="Times New Roman" w:hAnsi="Times New Roman" w:eastAsia="宋体" w:cs="Times New Roman"/>
          <w:b w:val="0"/>
          <w:bCs/>
          <w:sz w:val="24"/>
        </w:rPr>
        <w:t>政务大模型</w:t>
      </w:r>
      <w:r>
        <w:rPr>
          <w:rFonts w:hint="eastAsia" w:ascii="Times New Roman" w:hAnsi="Times New Roman" w:eastAsia="宋体" w:cs="Times New Roman"/>
          <w:b w:val="0"/>
          <w:bCs/>
          <w:sz w:val="24"/>
          <w:lang w:val="en-US" w:eastAsia="zh-CN"/>
        </w:rPr>
        <w:t>部署应用工作</w:t>
      </w:r>
      <w:r>
        <w:rPr>
          <w:rFonts w:hint="eastAsia" w:ascii="Times New Roman" w:hAnsi="Times New Roman" w:eastAsia="宋体" w:cs="Times New Roman"/>
          <w:b w:val="0"/>
          <w:bCs/>
          <w:sz w:val="24"/>
        </w:rPr>
        <w:t>中存在的资源分散、重复投入、标准不一、安全风险等问题，旨在通过构建全市统一的共性技术支撑体系，推动政务领域大模型场景建设从“单点探索”向“体系化建设”转型。</w:t>
      </w:r>
    </w:p>
    <w:p w14:paraId="652FBAAF">
      <w:pPr>
        <w:keepNext/>
        <w:keepLines/>
        <w:widowControl w:val="0"/>
        <w:numPr>
          <w:ilvl w:val="0"/>
          <w:numId w:val="1"/>
        </w:numPr>
        <w:shd w:val="clear" w:color="auto" w:fill="auto"/>
        <w:bidi w:val="0"/>
        <w:spacing w:before="260" w:after="260" w:line="416" w:lineRule="atLeast"/>
        <w:ind w:left="500" w:hanging="500"/>
        <w:jc w:val="left"/>
        <w:outlineLvl w:val="1"/>
        <w:rPr>
          <w:rFonts w:ascii="Arial" w:hAnsi="Arial" w:eastAsia="黑体" w:cs="Times New Roman"/>
          <w:b/>
          <w:bCs/>
          <w:kern w:val="2"/>
          <w:sz w:val="32"/>
          <w:szCs w:val="32"/>
          <w:lang w:val="en-US" w:eastAsia="zh-CN" w:bidi="ar-SA"/>
        </w:rPr>
      </w:pPr>
      <w:r>
        <w:rPr>
          <w:rFonts w:ascii="Arial" w:hAnsi="Arial" w:eastAsia="黑体" w:cs="Times New Roman"/>
          <w:b/>
          <w:bCs/>
          <w:kern w:val="2"/>
          <w:sz w:val="32"/>
          <w:szCs w:val="32"/>
          <w:lang w:val="en-US" w:eastAsia="zh-CN" w:bidi="ar-SA"/>
        </w:rPr>
        <w:t>商务要求</w:t>
      </w:r>
    </w:p>
    <w:p w14:paraId="57D9A58E">
      <w:pPr>
        <w:shd w:val="clear" w:color="auto" w:fill="auto"/>
        <w:spacing w:line="360" w:lineRule="auto"/>
        <w:contextualSpacing/>
        <w:rPr>
          <w:rFonts w:ascii="Times New Roman" w:hAnsi="Times New Roman" w:eastAsia="宋体" w:cs="Times New Roman"/>
          <w:i/>
          <w:sz w:val="24"/>
        </w:rPr>
      </w:pPr>
      <w:r>
        <w:rPr>
          <w:rFonts w:ascii="Times New Roman" w:hAnsi="Times New Roman" w:eastAsia="宋体" w:cs="Times New Roman"/>
          <w:sz w:val="24"/>
        </w:rPr>
        <w:t>1. 交付（实施）的时间（期限）和地点（范围）</w:t>
      </w:r>
    </w:p>
    <w:p w14:paraId="45ABA162">
      <w:pPr>
        <w:shd w:val="clear" w:color="auto" w:fill="auto"/>
        <w:spacing w:line="360" w:lineRule="auto"/>
        <w:ind w:firstLine="482"/>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服务期限</w:t>
      </w:r>
      <w:r>
        <w:rPr>
          <w:rFonts w:hint="eastAsia" w:ascii="Times New Roman" w:hAnsi="Times New Roman" w:eastAsia="宋体" w:cs="Times New Roman"/>
          <w:b w:val="0"/>
          <w:bCs/>
          <w:sz w:val="24"/>
          <w:lang w:val="en-US" w:eastAsia="zh-CN"/>
        </w:rPr>
        <w:t>:</w:t>
      </w:r>
      <w:r>
        <w:rPr>
          <w:rFonts w:hint="eastAsia" w:ascii="Calibri" w:eastAsia="宋体"/>
          <w:sz w:val="24"/>
          <w:lang w:val="en-US" w:eastAsia="zh-CN"/>
        </w:rPr>
        <w:t>自合同签订之日起9个月</w:t>
      </w:r>
      <w:r>
        <w:rPr>
          <w:rFonts w:hint="eastAsia" w:ascii="Times New Roman" w:hAnsi="Times New Roman" w:eastAsia="宋体" w:cs="Times New Roman"/>
          <w:b w:val="0"/>
          <w:bCs/>
          <w:sz w:val="24"/>
        </w:rPr>
        <w:t>。</w:t>
      </w:r>
    </w:p>
    <w:p w14:paraId="572B017A">
      <w:pPr>
        <w:shd w:val="clear" w:color="auto" w:fill="auto"/>
        <w:spacing w:line="360" w:lineRule="auto"/>
        <w:ind w:firstLine="482"/>
        <w:contextualSpacing/>
        <w:rPr>
          <w:rFonts w:ascii="Times New Roman" w:hAnsi="Times New Roman" w:eastAsia="宋体" w:cs="Times New Roman"/>
          <w:i/>
          <w:sz w:val="24"/>
        </w:rPr>
      </w:pPr>
      <w:r>
        <w:rPr>
          <w:rFonts w:hint="eastAsia" w:ascii="Times New Roman" w:hAnsi="Times New Roman" w:eastAsia="宋体" w:cs="Times New Roman"/>
          <w:b w:val="0"/>
          <w:bCs/>
          <w:sz w:val="24"/>
        </w:rPr>
        <w:t>服务地点</w:t>
      </w:r>
      <w:r>
        <w:rPr>
          <w:rFonts w:hint="eastAsia" w:ascii="Times New Roman" w:hAnsi="Times New Roman" w:eastAsia="宋体" w:cs="Times New Roman"/>
          <w:b w:val="0"/>
          <w:bCs/>
          <w:sz w:val="24"/>
          <w:lang w:val="en-US" w:eastAsia="zh-CN"/>
        </w:rPr>
        <w:t>:北京市通州区潞城镇留庄路3号院2号楼</w:t>
      </w:r>
      <w:r>
        <w:rPr>
          <w:rFonts w:hint="eastAsia" w:ascii="Times New Roman" w:hAnsi="Times New Roman" w:eastAsia="宋体" w:cs="Times New Roman"/>
          <w:b w:val="0"/>
          <w:bCs/>
          <w:sz w:val="24"/>
        </w:rPr>
        <w:t>。</w:t>
      </w:r>
    </w:p>
    <w:p w14:paraId="20687A78">
      <w:pPr>
        <w:shd w:val="clear" w:color="auto" w:fill="auto"/>
        <w:spacing w:line="360" w:lineRule="auto"/>
        <w:contextualSpacing/>
        <w:rPr>
          <w:rFonts w:ascii="Times New Roman" w:hAnsi="Times New Roman" w:eastAsia="宋体" w:cs="Times New Roman"/>
          <w:sz w:val="24"/>
        </w:rPr>
      </w:pPr>
      <w:r>
        <w:rPr>
          <w:rFonts w:ascii="Times New Roman" w:hAnsi="Times New Roman" w:eastAsia="宋体" w:cs="Times New Roman"/>
          <w:sz w:val="24"/>
        </w:rPr>
        <w:t>2. 付款条件（进度和方式）</w:t>
      </w:r>
    </w:p>
    <w:p w14:paraId="299F8FFD">
      <w:pPr>
        <w:shd w:val="clear" w:color="auto" w:fill="auto"/>
        <w:spacing w:line="360" w:lineRule="auto"/>
        <w:ind w:firstLine="482"/>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分期支付（</w:t>
      </w:r>
      <w:r>
        <w:rPr>
          <w:rFonts w:hint="eastAsia" w:ascii="Times New Roman" w:hAnsi="Times New Roman" w:eastAsia="宋体" w:cs="Times New Roman"/>
          <w:b w:val="0"/>
          <w:bCs/>
          <w:sz w:val="24"/>
          <w:lang w:val="en-US" w:eastAsia="zh-CN"/>
        </w:rPr>
        <w:t>三</w:t>
      </w:r>
      <w:r>
        <w:rPr>
          <w:rFonts w:hint="eastAsia" w:ascii="Times New Roman" w:hAnsi="Times New Roman" w:eastAsia="宋体" w:cs="Times New Roman"/>
          <w:b w:val="0"/>
          <w:bCs/>
          <w:sz w:val="24"/>
        </w:rPr>
        <w:t xml:space="preserve">次）： </w:t>
      </w:r>
    </w:p>
    <w:p w14:paraId="17343FC9">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highlight w:val="none"/>
          <w:shd w:val="clear" w:color="auto" w:fill="auto"/>
        </w:rPr>
      </w:pPr>
      <w:r>
        <w:rPr>
          <w:rFonts w:hint="eastAsia" w:ascii="宋体" w:hAnsi="宋体" w:eastAsia="宋体" w:cs="宋体"/>
          <w:i w:val="0"/>
          <w:iCs w:val="0"/>
          <w:caps w:val="0"/>
          <w:spacing w:val="0"/>
          <w:sz w:val="24"/>
          <w:szCs w:val="24"/>
          <w:highlight w:val="none"/>
          <w:shd w:val="clear" w:color="auto" w:fill="auto"/>
        </w:rPr>
        <w:t>第</w:t>
      </w:r>
      <w:r>
        <w:rPr>
          <w:rFonts w:hint="eastAsia" w:ascii="宋体" w:hAnsi="宋体" w:eastAsia="宋体" w:cs="宋体"/>
          <w:i w:val="0"/>
          <w:iCs w:val="0"/>
          <w:caps w:val="0"/>
          <w:spacing w:val="0"/>
          <w:sz w:val="24"/>
          <w:szCs w:val="24"/>
          <w:highlight w:val="none"/>
          <w:shd w:val="clear" w:color="auto" w:fill="auto"/>
          <w:lang w:val="en-US" w:eastAsia="zh-CN"/>
        </w:rPr>
        <w:t>1</w:t>
      </w:r>
      <w:r>
        <w:rPr>
          <w:rFonts w:hint="eastAsia" w:ascii="宋体" w:hAnsi="宋体" w:eastAsia="宋体" w:cs="宋体"/>
          <w:i w:val="0"/>
          <w:iCs w:val="0"/>
          <w:caps w:val="0"/>
          <w:spacing w:val="0"/>
          <w:sz w:val="24"/>
          <w:szCs w:val="24"/>
          <w:highlight w:val="none"/>
          <w:shd w:val="clear" w:color="auto" w:fill="auto"/>
        </w:rPr>
        <w:t>次付款：本合同签署后，</w:t>
      </w:r>
      <w:r>
        <w:rPr>
          <w:rFonts w:hint="eastAsia" w:ascii="宋体" w:hAnsi="宋体" w:eastAsia="宋体" w:cs="宋体"/>
          <w:i w:val="0"/>
          <w:iCs w:val="0"/>
          <w:caps w:val="0"/>
          <w:spacing w:val="0"/>
          <w:sz w:val="24"/>
          <w:szCs w:val="24"/>
          <w:highlight w:val="none"/>
          <w:shd w:val="clear" w:color="auto" w:fill="auto"/>
          <w:lang w:val="en-US" w:eastAsia="zh-CN"/>
        </w:rPr>
        <w:t>采购人</w:t>
      </w:r>
      <w:r>
        <w:rPr>
          <w:rFonts w:hint="eastAsia" w:ascii="宋体" w:hAnsi="宋体" w:eastAsia="宋体" w:cs="宋体"/>
          <w:i w:val="0"/>
          <w:iCs w:val="0"/>
          <w:caps w:val="0"/>
          <w:spacing w:val="0"/>
          <w:sz w:val="24"/>
          <w:szCs w:val="24"/>
          <w:highlight w:val="none"/>
          <w:shd w:val="clear" w:color="auto" w:fill="auto"/>
        </w:rPr>
        <w:t>自收到</w:t>
      </w:r>
      <w:r>
        <w:rPr>
          <w:rFonts w:hint="eastAsia" w:ascii="宋体" w:hAnsi="宋体" w:eastAsia="宋体" w:cs="宋体"/>
          <w:i w:val="0"/>
          <w:iCs w:val="0"/>
          <w:caps w:val="0"/>
          <w:spacing w:val="0"/>
          <w:sz w:val="24"/>
          <w:szCs w:val="24"/>
          <w:highlight w:val="none"/>
          <w:shd w:val="clear" w:color="auto" w:fill="auto"/>
          <w:lang w:val="en-US" w:eastAsia="zh-CN"/>
        </w:rPr>
        <w:t>中标人</w:t>
      </w:r>
      <w:r>
        <w:rPr>
          <w:rFonts w:hint="eastAsia" w:ascii="宋体" w:hAnsi="宋体" w:eastAsia="宋体" w:cs="宋体"/>
          <w:i w:val="0"/>
          <w:iCs w:val="0"/>
          <w:caps w:val="0"/>
          <w:spacing w:val="0"/>
          <w:sz w:val="24"/>
          <w:szCs w:val="24"/>
          <w:highlight w:val="none"/>
          <w:shd w:val="clear" w:color="auto" w:fill="auto"/>
        </w:rPr>
        <w:t>提供的符合甲方要求的发票，且财政预算到达甲方零余额账户并可实际使用之日起 1</w:t>
      </w:r>
      <w:r>
        <w:rPr>
          <w:rFonts w:hint="eastAsia" w:ascii="宋体" w:hAnsi="宋体" w:eastAsia="宋体" w:cs="宋体"/>
          <w:i w:val="0"/>
          <w:iCs w:val="0"/>
          <w:caps w:val="0"/>
          <w:spacing w:val="0"/>
          <w:sz w:val="24"/>
          <w:szCs w:val="24"/>
          <w:highlight w:val="none"/>
          <w:shd w:val="clear" w:color="auto" w:fill="auto"/>
          <w:lang w:val="en-US" w:eastAsia="zh-CN"/>
        </w:rPr>
        <w:t>0</w:t>
      </w:r>
      <w:r>
        <w:rPr>
          <w:rFonts w:hint="eastAsia" w:ascii="宋体" w:hAnsi="宋体" w:eastAsia="宋体" w:cs="宋体"/>
          <w:i w:val="0"/>
          <w:iCs w:val="0"/>
          <w:caps w:val="0"/>
          <w:spacing w:val="0"/>
          <w:sz w:val="24"/>
          <w:szCs w:val="24"/>
          <w:highlight w:val="none"/>
          <w:shd w:val="clear" w:color="auto" w:fill="auto"/>
        </w:rPr>
        <w:t xml:space="preserve"> 个工作日内，向中标人支付合同</w:t>
      </w:r>
      <w:r>
        <w:rPr>
          <w:rFonts w:hint="eastAsia" w:ascii="宋体" w:hAnsi="宋体" w:eastAsia="宋体" w:cs="宋体"/>
          <w:i w:val="0"/>
          <w:iCs w:val="0"/>
          <w:caps w:val="0"/>
          <w:spacing w:val="0"/>
          <w:sz w:val="24"/>
          <w:szCs w:val="24"/>
          <w:highlight w:val="none"/>
          <w:shd w:val="clear" w:color="auto" w:fill="auto"/>
          <w:lang w:val="en-US" w:eastAsia="zh-CN"/>
        </w:rPr>
        <w:t>服务费</w:t>
      </w:r>
      <w:r>
        <w:rPr>
          <w:rFonts w:hint="eastAsia" w:ascii="宋体" w:hAnsi="宋体" w:eastAsia="宋体" w:cs="宋体"/>
          <w:i w:val="0"/>
          <w:iCs w:val="0"/>
          <w:caps w:val="0"/>
          <w:spacing w:val="0"/>
          <w:sz w:val="24"/>
          <w:szCs w:val="24"/>
          <w:highlight w:val="none"/>
          <w:shd w:val="clear" w:color="auto" w:fill="auto"/>
        </w:rPr>
        <w:t>总金额的30%；</w:t>
      </w:r>
    </w:p>
    <w:p w14:paraId="445884EB">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pacing w:val="0"/>
          <w:sz w:val="24"/>
          <w:szCs w:val="24"/>
          <w:highlight w:val="none"/>
          <w:shd w:val="clear" w:color="auto" w:fill="auto"/>
        </w:rPr>
      </w:pPr>
      <w:r>
        <w:rPr>
          <w:rFonts w:hint="eastAsia" w:ascii="宋体" w:hAnsi="宋体" w:eastAsia="宋体" w:cs="宋体"/>
          <w:i w:val="0"/>
          <w:iCs w:val="0"/>
          <w:caps w:val="0"/>
          <w:spacing w:val="0"/>
          <w:sz w:val="24"/>
          <w:szCs w:val="24"/>
          <w:highlight w:val="none"/>
          <w:shd w:val="clear" w:color="auto" w:fill="auto"/>
        </w:rPr>
        <w:t>第</w:t>
      </w:r>
      <w:r>
        <w:rPr>
          <w:rFonts w:hint="eastAsia" w:ascii="宋体" w:hAnsi="宋体" w:eastAsia="宋体" w:cs="宋体"/>
          <w:i w:val="0"/>
          <w:iCs w:val="0"/>
          <w:caps w:val="0"/>
          <w:spacing w:val="0"/>
          <w:sz w:val="24"/>
          <w:szCs w:val="24"/>
          <w:highlight w:val="none"/>
          <w:shd w:val="clear" w:color="auto" w:fill="auto"/>
          <w:lang w:val="en-US" w:eastAsia="zh-CN"/>
        </w:rPr>
        <w:t>2</w:t>
      </w:r>
      <w:r>
        <w:rPr>
          <w:rFonts w:hint="eastAsia" w:ascii="宋体" w:hAnsi="宋体" w:eastAsia="宋体" w:cs="宋体"/>
          <w:i w:val="0"/>
          <w:iCs w:val="0"/>
          <w:caps w:val="0"/>
          <w:spacing w:val="0"/>
          <w:sz w:val="24"/>
          <w:szCs w:val="24"/>
          <w:highlight w:val="none"/>
          <w:shd w:val="clear" w:color="auto" w:fill="auto"/>
        </w:rPr>
        <w:t>次付款：2026年12月15日前，</w:t>
      </w:r>
      <w:r>
        <w:rPr>
          <w:rFonts w:hint="eastAsia" w:ascii="宋体" w:hAnsi="宋体" w:eastAsia="宋体" w:cs="宋体"/>
          <w:i w:val="0"/>
          <w:iCs w:val="0"/>
          <w:caps w:val="0"/>
          <w:spacing w:val="0"/>
          <w:sz w:val="24"/>
          <w:szCs w:val="24"/>
          <w:highlight w:val="none"/>
          <w:shd w:val="clear" w:color="auto" w:fill="auto"/>
          <w:lang w:val="en-US" w:eastAsia="zh-CN"/>
        </w:rPr>
        <w:t>采购人</w:t>
      </w:r>
      <w:r>
        <w:rPr>
          <w:rFonts w:hint="eastAsia" w:ascii="宋体" w:hAnsi="宋体" w:eastAsia="宋体" w:cs="宋体"/>
          <w:i w:val="0"/>
          <w:iCs w:val="0"/>
          <w:caps w:val="0"/>
          <w:spacing w:val="0"/>
          <w:sz w:val="24"/>
          <w:szCs w:val="24"/>
          <w:highlight w:val="none"/>
          <w:shd w:val="clear" w:color="auto" w:fill="auto"/>
        </w:rPr>
        <w:t>自收到</w:t>
      </w:r>
      <w:r>
        <w:rPr>
          <w:rFonts w:hint="eastAsia" w:ascii="宋体" w:hAnsi="宋体" w:eastAsia="宋体" w:cs="宋体"/>
          <w:i w:val="0"/>
          <w:iCs w:val="0"/>
          <w:caps w:val="0"/>
          <w:spacing w:val="0"/>
          <w:sz w:val="24"/>
          <w:szCs w:val="24"/>
          <w:highlight w:val="none"/>
          <w:shd w:val="clear" w:color="auto" w:fill="auto"/>
          <w:lang w:val="en-US" w:eastAsia="zh-CN"/>
        </w:rPr>
        <w:t>中标人</w:t>
      </w:r>
      <w:r>
        <w:rPr>
          <w:rFonts w:hint="eastAsia" w:ascii="宋体" w:hAnsi="宋体" w:eastAsia="宋体" w:cs="宋体"/>
          <w:i w:val="0"/>
          <w:iCs w:val="0"/>
          <w:caps w:val="0"/>
          <w:spacing w:val="0"/>
          <w:sz w:val="24"/>
          <w:szCs w:val="24"/>
          <w:highlight w:val="none"/>
          <w:shd w:val="clear" w:color="auto" w:fill="auto"/>
        </w:rPr>
        <w:t>提供的符合甲方要求的发票</w:t>
      </w:r>
      <w:r>
        <w:rPr>
          <w:rFonts w:hint="eastAsia" w:ascii="宋体" w:hAnsi="宋体" w:eastAsia="宋体" w:cs="宋体"/>
          <w:i w:val="0"/>
          <w:iCs w:val="0"/>
          <w:caps w:val="0"/>
          <w:spacing w:val="0"/>
          <w:sz w:val="24"/>
          <w:szCs w:val="24"/>
          <w:highlight w:val="none"/>
          <w:shd w:val="clear" w:color="auto" w:fill="auto"/>
          <w:lang w:eastAsia="zh-CN"/>
        </w:rPr>
        <w:t>，</w:t>
      </w:r>
      <w:r>
        <w:rPr>
          <w:rFonts w:hint="eastAsia" w:ascii="Times New Roman" w:hAnsi="Times New Roman" w:eastAsia="宋体" w:cs="Times New Roman"/>
          <w:b w:val="0"/>
          <w:bCs/>
          <w:sz w:val="24"/>
        </w:rPr>
        <w:t>且财政</w:t>
      </w:r>
      <w:r>
        <w:rPr>
          <w:rFonts w:hint="eastAsia" w:ascii="Times New Roman" w:hAnsi="Times New Roman" w:eastAsia="宋体" w:cs="Times New Roman"/>
          <w:b w:val="0"/>
          <w:bCs/>
          <w:sz w:val="24"/>
          <w:lang w:val="en-US" w:eastAsia="zh-CN"/>
        </w:rPr>
        <w:t>资金</w:t>
      </w:r>
      <w:r>
        <w:rPr>
          <w:rFonts w:hint="eastAsia" w:ascii="Times New Roman" w:hAnsi="Times New Roman" w:eastAsia="宋体" w:cs="Times New Roman"/>
          <w:b w:val="0"/>
          <w:bCs/>
          <w:sz w:val="24"/>
        </w:rPr>
        <w:t>到达</w:t>
      </w:r>
      <w:r>
        <w:rPr>
          <w:rFonts w:hint="eastAsia" w:ascii="Times New Roman" w:hAnsi="Times New Roman" w:eastAsia="宋体" w:cs="Times New Roman"/>
          <w:b w:val="0"/>
          <w:bCs/>
          <w:sz w:val="24"/>
          <w:lang w:val="en-US" w:eastAsia="zh-CN"/>
        </w:rPr>
        <w:t>采购人</w:t>
      </w:r>
      <w:r>
        <w:rPr>
          <w:rFonts w:hint="eastAsia" w:ascii="Times New Roman" w:hAnsi="Times New Roman" w:eastAsia="宋体" w:cs="Times New Roman"/>
          <w:b w:val="0"/>
          <w:bCs/>
          <w:sz w:val="24"/>
        </w:rPr>
        <w:t>零余额账户</w:t>
      </w:r>
      <w:r>
        <w:rPr>
          <w:rFonts w:hint="eastAsia" w:ascii="Times New Roman" w:hAnsi="Times New Roman" w:eastAsia="宋体" w:cs="Times New Roman"/>
          <w:b w:val="0"/>
          <w:bCs/>
          <w:sz w:val="24"/>
          <w:lang w:val="en-US" w:eastAsia="zh-CN"/>
        </w:rPr>
        <w:t>并可实际使用，</w:t>
      </w:r>
      <w:r>
        <w:rPr>
          <w:rFonts w:hint="eastAsia" w:ascii="宋体" w:hAnsi="宋体" w:eastAsia="宋体" w:cs="宋体"/>
          <w:i w:val="0"/>
          <w:iCs w:val="0"/>
          <w:caps w:val="0"/>
          <w:spacing w:val="0"/>
          <w:sz w:val="24"/>
          <w:szCs w:val="24"/>
          <w:highlight w:val="none"/>
          <w:shd w:val="clear" w:color="auto" w:fill="auto"/>
        </w:rPr>
        <w:t>向</w:t>
      </w:r>
      <w:r>
        <w:rPr>
          <w:rFonts w:hint="eastAsia" w:ascii="宋体" w:hAnsi="宋体" w:eastAsia="宋体" w:cs="宋体"/>
          <w:i w:val="0"/>
          <w:iCs w:val="0"/>
          <w:caps w:val="0"/>
          <w:spacing w:val="0"/>
          <w:sz w:val="24"/>
          <w:szCs w:val="24"/>
          <w:highlight w:val="none"/>
          <w:shd w:val="clear" w:color="auto" w:fill="auto"/>
          <w:lang w:eastAsia="zh-CN"/>
        </w:rPr>
        <w:t>中标人</w:t>
      </w:r>
      <w:r>
        <w:rPr>
          <w:rFonts w:hint="eastAsia" w:ascii="宋体" w:hAnsi="宋体" w:eastAsia="宋体" w:cs="宋体"/>
          <w:i w:val="0"/>
          <w:iCs w:val="0"/>
          <w:caps w:val="0"/>
          <w:spacing w:val="0"/>
          <w:sz w:val="24"/>
          <w:szCs w:val="24"/>
          <w:highlight w:val="none"/>
          <w:shd w:val="clear" w:color="auto" w:fill="auto"/>
        </w:rPr>
        <w:t>支付政务云基础服务</w:t>
      </w:r>
      <w:r>
        <w:rPr>
          <w:rFonts w:hint="eastAsia" w:ascii="宋体" w:hAnsi="宋体" w:eastAsia="宋体" w:cs="Times New Roman"/>
          <w:kern w:val="2"/>
          <w:sz w:val="24"/>
          <w:szCs w:val="24"/>
          <w:highlight w:val="none"/>
          <w:lang w:val="en-US" w:eastAsia="zh-CN" w:bidi="ar-SA"/>
        </w:rPr>
        <w:t>中计算服务、存储服务、网络服务</w:t>
      </w:r>
      <w:r>
        <w:rPr>
          <w:rFonts w:hint="eastAsia" w:ascii="宋体" w:hAnsi="宋体" w:eastAsia="宋体" w:cs="宋体"/>
          <w:i w:val="0"/>
          <w:iCs w:val="0"/>
          <w:caps w:val="0"/>
          <w:spacing w:val="0"/>
          <w:sz w:val="24"/>
          <w:szCs w:val="24"/>
          <w:highlight w:val="none"/>
          <w:shd w:val="clear" w:color="auto" w:fill="auto"/>
        </w:rPr>
        <w:t>及</w:t>
      </w:r>
      <w:r>
        <w:rPr>
          <w:rFonts w:hint="eastAsia" w:ascii="宋体" w:hAnsi="宋体" w:eastAsia="宋体" w:cs="宋体"/>
          <w:i w:val="0"/>
          <w:iCs w:val="0"/>
          <w:caps w:val="0"/>
          <w:spacing w:val="0"/>
          <w:sz w:val="24"/>
          <w:szCs w:val="24"/>
          <w:highlight w:val="none"/>
          <w:shd w:val="clear" w:color="auto" w:fill="auto"/>
          <w:lang w:val="en-US" w:eastAsia="zh-CN"/>
        </w:rPr>
        <w:t>政务云扩展服务</w:t>
      </w:r>
      <w:r>
        <w:rPr>
          <w:rFonts w:hint="eastAsia" w:ascii="宋体" w:hAnsi="宋体" w:eastAsia="宋体" w:cs="宋体"/>
          <w:i w:val="0"/>
          <w:iCs w:val="0"/>
          <w:caps w:val="0"/>
          <w:spacing w:val="0"/>
          <w:sz w:val="24"/>
          <w:szCs w:val="24"/>
          <w:highlight w:val="none"/>
          <w:shd w:val="clear" w:color="auto" w:fill="auto"/>
        </w:rPr>
        <w:t>费用的70%尾款，并根据算力服务实际使用情况向</w:t>
      </w:r>
      <w:r>
        <w:rPr>
          <w:rFonts w:hint="eastAsia" w:ascii="宋体" w:hAnsi="宋体" w:eastAsia="宋体" w:cs="宋体"/>
          <w:i w:val="0"/>
          <w:iCs w:val="0"/>
          <w:caps w:val="0"/>
          <w:spacing w:val="0"/>
          <w:sz w:val="24"/>
          <w:szCs w:val="24"/>
          <w:highlight w:val="none"/>
          <w:shd w:val="clear" w:color="auto" w:fill="auto"/>
          <w:lang w:eastAsia="zh-CN"/>
        </w:rPr>
        <w:t>中标人</w:t>
      </w:r>
      <w:r>
        <w:rPr>
          <w:rFonts w:hint="eastAsia" w:ascii="宋体" w:hAnsi="宋体" w:eastAsia="宋体" w:cs="宋体"/>
          <w:i w:val="0"/>
          <w:iCs w:val="0"/>
          <w:caps w:val="0"/>
          <w:spacing w:val="0"/>
          <w:sz w:val="24"/>
          <w:szCs w:val="24"/>
          <w:highlight w:val="none"/>
          <w:shd w:val="clear" w:color="auto" w:fill="auto"/>
        </w:rPr>
        <w:t>结算自正式服务之日起至</w:t>
      </w:r>
      <w:r>
        <w:rPr>
          <w:rFonts w:hint="eastAsia" w:ascii="宋体" w:hAnsi="宋体" w:eastAsia="宋体" w:cs="宋体"/>
          <w:i w:val="0"/>
          <w:iCs w:val="0"/>
          <w:caps w:val="0"/>
          <w:spacing w:val="0"/>
          <w:sz w:val="24"/>
          <w:szCs w:val="24"/>
          <w:highlight w:val="none"/>
          <w:shd w:val="clear" w:color="auto" w:fill="auto"/>
          <w:lang w:val="en-US" w:eastAsia="zh-CN"/>
        </w:rPr>
        <w:t>通过中期验收日</w:t>
      </w:r>
      <w:r>
        <w:rPr>
          <w:rFonts w:hint="eastAsia" w:ascii="宋体" w:hAnsi="宋体" w:eastAsia="宋体" w:cs="宋体"/>
          <w:i w:val="0"/>
          <w:iCs w:val="0"/>
          <w:caps w:val="0"/>
          <w:spacing w:val="0"/>
          <w:sz w:val="24"/>
          <w:szCs w:val="24"/>
          <w:highlight w:val="none"/>
          <w:shd w:val="clear" w:color="auto" w:fill="auto"/>
        </w:rPr>
        <w:t>的算力服务费用；</w:t>
      </w:r>
    </w:p>
    <w:p w14:paraId="5AB4FDAF">
      <w:pPr>
        <w:keepNext w:val="0"/>
        <w:keepLines w:val="0"/>
        <w:pageBreakBefore w:val="0"/>
        <w:widowControl w:val="0"/>
        <w:numPr>
          <w:ilvl w:val="0"/>
          <w:numId w:val="0"/>
        </w:numPr>
        <w:shd w:val="clear" w:color="auto" w:fill="auto"/>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i w:val="0"/>
          <w:iCs w:val="0"/>
          <w:caps w:val="0"/>
          <w:spacing w:val="0"/>
          <w:sz w:val="24"/>
          <w:szCs w:val="24"/>
          <w:highlight w:val="none"/>
          <w:shd w:val="clear" w:color="auto" w:fill="auto"/>
        </w:rPr>
        <w:t>第</w:t>
      </w:r>
      <w:r>
        <w:rPr>
          <w:rFonts w:hint="eastAsia" w:ascii="宋体" w:hAnsi="宋体" w:eastAsia="宋体" w:cs="宋体"/>
          <w:i w:val="0"/>
          <w:iCs w:val="0"/>
          <w:caps w:val="0"/>
          <w:spacing w:val="0"/>
          <w:sz w:val="24"/>
          <w:szCs w:val="24"/>
          <w:highlight w:val="none"/>
          <w:shd w:val="clear" w:color="auto" w:fill="auto"/>
          <w:lang w:val="en-US" w:eastAsia="zh-CN"/>
        </w:rPr>
        <w:t>3</w:t>
      </w:r>
      <w:r>
        <w:rPr>
          <w:rFonts w:hint="eastAsia" w:ascii="宋体" w:hAnsi="宋体" w:eastAsia="宋体" w:cs="宋体"/>
          <w:i w:val="0"/>
          <w:iCs w:val="0"/>
          <w:caps w:val="0"/>
          <w:spacing w:val="0"/>
          <w:sz w:val="24"/>
          <w:szCs w:val="24"/>
          <w:highlight w:val="none"/>
          <w:shd w:val="clear" w:color="auto" w:fill="auto"/>
        </w:rPr>
        <w:t>次付款：</w:t>
      </w:r>
      <w:r>
        <w:rPr>
          <w:rFonts w:hint="eastAsia" w:ascii="宋体" w:hAnsi="宋体" w:eastAsia="宋体" w:cs="宋体"/>
          <w:i w:val="0"/>
          <w:iCs w:val="0"/>
          <w:caps w:val="0"/>
          <w:spacing w:val="0"/>
          <w:sz w:val="24"/>
          <w:szCs w:val="24"/>
          <w:highlight w:val="none"/>
          <w:shd w:val="clear" w:color="auto" w:fill="auto"/>
          <w:lang w:val="en-US" w:eastAsia="zh-CN"/>
        </w:rPr>
        <w:t>中标人</w:t>
      </w:r>
      <w:r>
        <w:rPr>
          <w:rFonts w:hint="eastAsia" w:ascii="宋体" w:hAnsi="宋体" w:eastAsia="宋体" w:cs="Times New Roman"/>
          <w:kern w:val="2"/>
          <w:sz w:val="24"/>
          <w:szCs w:val="24"/>
          <w:highlight w:val="none"/>
          <w:lang w:val="en-US" w:eastAsia="zh-CN" w:bidi="ar-SA"/>
        </w:rPr>
        <w:t>提供合同项下的全部服务并经采购人最终验收合格</w:t>
      </w:r>
      <w:r>
        <w:rPr>
          <w:rFonts w:hint="eastAsia" w:ascii="宋体" w:hAnsi="宋体" w:eastAsia="宋体" w:cs="Times New Roman"/>
          <w:kern w:val="2"/>
          <w:sz w:val="24"/>
          <w:szCs w:val="24"/>
          <w:highlight w:val="none"/>
          <w:lang w:val="en-US" w:eastAsia="zh" w:bidi="ar-SA"/>
        </w:rPr>
        <w:t>，</w:t>
      </w:r>
      <w:r>
        <w:rPr>
          <w:rFonts w:hint="eastAsia" w:ascii="宋体" w:hAnsi="宋体" w:eastAsia="宋体" w:cs="Times New Roman"/>
          <w:kern w:val="2"/>
          <w:sz w:val="24"/>
          <w:szCs w:val="24"/>
          <w:highlight w:val="none"/>
          <w:lang w:val="en-US" w:eastAsia="zh-CN" w:bidi="ar-SA"/>
        </w:rPr>
        <w:t>采购人</w:t>
      </w:r>
      <w:r>
        <w:rPr>
          <w:rFonts w:hint="eastAsia" w:ascii="宋体" w:hAnsi="宋体" w:eastAsia="宋体" w:cs="Times New Roman"/>
          <w:kern w:val="2"/>
          <w:sz w:val="24"/>
          <w:szCs w:val="24"/>
          <w:highlight w:val="none"/>
          <w:lang w:val="en-US" w:eastAsia="zh" w:bidi="ar-SA"/>
        </w:rPr>
        <w:t>自收到</w:t>
      </w:r>
      <w:r>
        <w:rPr>
          <w:rFonts w:hint="eastAsia" w:ascii="宋体" w:hAnsi="宋体" w:eastAsia="宋体" w:cs="Times New Roman"/>
          <w:kern w:val="2"/>
          <w:sz w:val="24"/>
          <w:szCs w:val="24"/>
          <w:highlight w:val="none"/>
          <w:lang w:val="en-US" w:eastAsia="zh-CN" w:bidi="ar-SA"/>
        </w:rPr>
        <w:t>中标人</w:t>
      </w:r>
      <w:r>
        <w:rPr>
          <w:rFonts w:hint="eastAsia" w:ascii="宋体" w:hAnsi="宋体" w:eastAsia="宋体" w:cs="Times New Roman"/>
          <w:kern w:val="2"/>
          <w:sz w:val="24"/>
          <w:szCs w:val="24"/>
          <w:highlight w:val="none"/>
          <w:lang w:val="en-US" w:eastAsia="zh" w:bidi="ar-SA"/>
        </w:rPr>
        <w:t>提供的符合</w:t>
      </w:r>
      <w:r>
        <w:rPr>
          <w:rFonts w:hint="eastAsia" w:ascii="宋体" w:hAnsi="宋体" w:eastAsia="宋体" w:cs="Times New Roman"/>
          <w:kern w:val="2"/>
          <w:sz w:val="24"/>
          <w:szCs w:val="24"/>
          <w:highlight w:val="none"/>
          <w:lang w:val="en-US" w:eastAsia="zh-CN" w:bidi="ar-SA"/>
        </w:rPr>
        <w:t>采购人</w:t>
      </w:r>
      <w:r>
        <w:rPr>
          <w:rFonts w:hint="eastAsia" w:ascii="宋体" w:hAnsi="宋体" w:eastAsia="宋体" w:cs="Times New Roman"/>
          <w:kern w:val="2"/>
          <w:sz w:val="24"/>
          <w:szCs w:val="24"/>
          <w:highlight w:val="none"/>
          <w:lang w:val="en-US" w:eastAsia="zh" w:bidi="ar-SA"/>
        </w:rPr>
        <w:t>要求的发票</w:t>
      </w:r>
      <w:r>
        <w:rPr>
          <w:rFonts w:hint="eastAsia" w:ascii="宋体" w:hAnsi="宋体" w:eastAsia="宋体" w:cs="宋体"/>
          <w:i w:val="0"/>
          <w:iCs w:val="0"/>
          <w:caps w:val="0"/>
          <w:spacing w:val="0"/>
          <w:sz w:val="24"/>
          <w:szCs w:val="24"/>
          <w:highlight w:val="none"/>
          <w:shd w:val="clear" w:color="auto" w:fill="auto"/>
        </w:rPr>
        <w:t>且财政</w:t>
      </w:r>
      <w:r>
        <w:rPr>
          <w:rFonts w:hint="eastAsia" w:ascii="宋体" w:hAnsi="宋体" w:eastAsia="宋体" w:cs="宋体"/>
          <w:i w:val="0"/>
          <w:iCs w:val="0"/>
          <w:caps w:val="0"/>
          <w:spacing w:val="0"/>
          <w:sz w:val="24"/>
          <w:szCs w:val="24"/>
          <w:highlight w:val="none"/>
          <w:shd w:val="clear" w:color="auto" w:fill="auto"/>
          <w:lang w:val="en-US" w:eastAsia="zh-CN"/>
        </w:rPr>
        <w:t>资金</w:t>
      </w:r>
      <w:r>
        <w:rPr>
          <w:rFonts w:hint="eastAsia" w:ascii="宋体" w:hAnsi="宋体" w:eastAsia="宋体" w:cs="宋体"/>
          <w:i w:val="0"/>
          <w:iCs w:val="0"/>
          <w:caps w:val="0"/>
          <w:spacing w:val="0"/>
          <w:sz w:val="24"/>
          <w:szCs w:val="24"/>
          <w:highlight w:val="none"/>
          <w:shd w:val="clear" w:color="auto" w:fill="auto"/>
        </w:rPr>
        <w:t>到达</w:t>
      </w:r>
      <w:r>
        <w:rPr>
          <w:rFonts w:hint="eastAsia" w:ascii="宋体" w:hAnsi="宋体" w:eastAsia="宋体" w:cs="宋体"/>
          <w:i w:val="0"/>
          <w:iCs w:val="0"/>
          <w:caps w:val="0"/>
          <w:spacing w:val="0"/>
          <w:sz w:val="24"/>
          <w:szCs w:val="24"/>
          <w:highlight w:val="none"/>
          <w:shd w:val="clear" w:color="auto" w:fill="auto"/>
          <w:lang w:val="en-US" w:eastAsia="zh-CN"/>
        </w:rPr>
        <w:t>采购人</w:t>
      </w:r>
      <w:r>
        <w:rPr>
          <w:rFonts w:hint="eastAsia" w:ascii="宋体" w:hAnsi="宋体" w:eastAsia="宋体" w:cs="宋体"/>
          <w:i w:val="0"/>
          <w:iCs w:val="0"/>
          <w:caps w:val="0"/>
          <w:spacing w:val="0"/>
          <w:sz w:val="24"/>
          <w:szCs w:val="24"/>
          <w:highlight w:val="none"/>
          <w:shd w:val="clear" w:color="auto" w:fill="auto"/>
        </w:rPr>
        <w:t>零余额账户</w:t>
      </w:r>
      <w:r>
        <w:rPr>
          <w:rFonts w:hint="eastAsia" w:ascii="宋体" w:hAnsi="宋体" w:eastAsia="宋体" w:cs="Times New Roman"/>
          <w:kern w:val="2"/>
          <w:sz w:val="24"/>
          <w:szCs w:val="24"/>
          <w:highlight w:val="none"/>
          <w:lang w:val="en-US" w:eastAsia="zh" w:bidi="ar-SA"/>
        </w:rPr>
        <w:t>并可实际使用之日</w:t>
      </w:r>
      <w:r>
        <w:rPr>
          <w:rFonts w:hint="eastAsia" w:ascii="宋体" w:hAnsi="宋体" w:eastAsia="宋体" w:cs="宋体"/>
          <w:i w:val="0"/>
          <w:iCs w:val="0"/>
          <w:caps w:val="0"/>
          <w:spacing w:val="0"/>
          <w:sz w:val="24"/>
          <w:szCs w:val="24"/>
          <w:highlight w:val="none"/>
          <w:shd w:val="clear" w:color="auto" w:fill="auto"/>
          <w:lang w:val="en-US" w:eastAsia="zh-CN"/>
        </w:rPr>
        <w:t>起</w:t>
      </w:r>
      <w:r>
        <w:rPr>
          <w:rFonts w:hint="eastAsia" w:ascii="宋体" w:hAnsi="宋体" w:eastAsia="宋体" w:cs="宋体"/>
          <w:i w:val="0"/>
          <w:iCs w:val="0"/>
          <w:caps w:val="0"/>
          <w:spacing w:val="0"/>
          <w:sz w:val="24"/>
          <w:szCs w:val="24"/>
          <w:highlight w:val="none"/>
          <w:shd w:val="clear" w:color="auto" w:fill="auto"/>
        </w:rPr>
        <w:t>1</w:t>
      </w:r>
      <w:r>
        <w:rPr>
          <w:rFonts w:hint="eastAsia" w:ascii="宋体" w:hAnsi="宋体" w:eastAsia="宋体" w:cs="宋体"/>
          <w:i w:val="0"/>
          <w:iCs w:val="0"/>
          <w:caps w:val="0"/>
          <w:spacing w:val="0"/>
          <w:sz w:val="24"/>
          <w:szCs w:val="24"/>
          <w:highlight w:val="none"/>
          <w:shd w:val="clear" w:color="auto" w:fill="auto"/>
          <w:lang w:val="en-US" w:eastAsia="zh-CN"/>
        </w:rPr>
        <w:t>0</w:t>
      </w:r>
      <w:r>
        <w:rPr>
          <w:rFonts w:hint="eastAsia" w:ascii="宋体" w:hAnsi="宋体" w:eastAsia="宋体" w:cs="宋体"/>
          <w:i w:val="0"/>
          <w:iCs w:val="0"/>
          <w:caps w:val="0"/>
          <w:spacing w:val="0"/>
          <w:sz w:val="24"/>
          <w:szCs w:val="24"/>
          <w:highlight w:val="none"/>
          <w:shd w:val="clear" w:color="auto" w:fill="auto"/>
        </w:rPr>
        <w:t>个工作日内，</w:t>
      </w:r>
      <w:r>
        <w:rPr>
          <w:rFonts w:hint="eastAsia" w:ascii="宋体" w:hAnsi="宋体" w:eastAsia="宋体" w:cs="宋体"/>
          <w:i w:val="0"/>
          <w:iCs w:val="0"/>
          <w:caps w:val="0"/>
          <w:spacing w:val="0"/>
          <w:sz w:val="24"/>
          <w:szCs w:val="24"/>
          <w:highlight w:val="none"/>
          <w:shd w:val="clear" w:color="auto" w:fill="auto"/>
          <w:lang w:val="en-US" w:eastAsia="zh-CN"/>
        </w:rPr>
        <w:t>采购人</w:t>
      </w:r>
      <w:r>
        <w:rPr>
          <w:rFonts w:hint="eastAsia" w:ascii="宋体" w:hAnsi="宋体" w:eastAsia="宋体" w:cs="宋体"/>
          <w:i w:val="0"/>
          <w:iCs w:val="0"/>
          <w:caps w:val="0"/>
          <w:spacing w:val="0"/>
          <w:sz w:val="24"/>
          <w:szCs w:val="24"/>
          <w:highlight w:val="none"/>
          <w:shd w:val="clear" w:color="auto" w:fill="auto"/>
        </w:rPr>
        <w:t>根据算力服务实际使用情况向中标</w:t>
      </w:r>
      <w:r>
        <w:rPr>
          <w:rFonts w:hint="eastAsia" w:ascii="宋体" w:hAnsi="宋体" w:eastAsia="宋体" w:cs="宋体"/>
          <w:i w:val="0"/>
          <w:iCs w:val="0"/>
          <w:caps w:val="0"/>
          <w:spacing w:val="0"/>
          <w:sz w:val="24"/>
          <w:szCs w:val="24"/>
          <w:highlight w:val="none"/>
          <w:shd w:val="clear" w:color="auto" w:fill="auto"/>
          <w:lang w:val="en-US" w:eastAsia="zh-CN"/>
        </w:rPr>
        <w:t>人</w:t>
      </w:r>
      <w:r>
        <w:rPr>
          <w:rFonts w:hint="eastAsia" w:ascii="宋体" w:hAnsi="宋体" w:eastAsia="宋体" w:cs="宋体"/>
          <w:i w:val="0"/>
          <w:iCs w:val="0"/>
          <w:caps w:val="0"/>
          <w:spacing w:val="0"/>
          <w:sz w:val="24"/>
          <w:szCs w:val="24"/>
          <w:highlight w:val="none"/>
          <w:shd w:val="clear" w:color="auto" w:fill="auto"/>
        </w:rPr>
        <w:t>结算自</w:t>
      </w:r>
      <w:r>
        <w:rPr>
          <w:rFonts w:hint="eastAsia" w:ascii="宋体" w:hAnsi="宋体" w:eastAsia="宋体" w:cs="宋体"/>
          <w:i w:val="0"/>
          <w:iCs w:val="0"/>
          <w:caps w:val="0"/>
          <w:spacing w:val="0"/>
          <w:sz w:val="24"/>
          <w:szCs w:val="24"/>
          <w:highlight w:val="none"/>
          <w:shd w:val="clear" w:color="auto" w:fill="auto"/>
          <w:lang w:val="en-US" w:eastAsia="zh-CN"/>
        </w:rPr>
        <w:t>通过中期验收</w:t>
      </w:r>
      <w:r>
        <w:rPr>
          <w:rFonts w:hint="eastAsia" w:ascii="宋体" w:hAnsi="宋体" w:eastAsia="宋体" w:cs="宋体"/>
          <w:i w:val="0"/>
          <w:iCs w:val="0"/>
          <w:caps w:val="0"/>
          <w:spacing w:val="0"/>
          <w:sz w:val="24"/>
          <w:szCs w:val="24"/>
          <w:highlight w:val="none"/>
          <w:shd w:val="clear" w:color="auto" w:fill="auto"/>
        </w:rPr>
        <w:t>日至项目终验之日止的算力服务费用。</w:t>
      </w:r>
      <w:r>
        <w:rPr>
          <w:rFonts w:hint="eastAsia" w:ascii="宋体" w:hAnsi="宋体" w:eastAsia="宋体" w:cs="宋体"/>
          <w:sz w:val="24"/>
          <w:highlight w:val="none"/>
        </w:rPr>
        <w:t xml:space="preserve"> </w:t>
      </w:r>
    </w:p>
    <w:p w14:paraId="0D1A8EAD">
      <w:pPr>
        <w:widowControl w:val="0"/>
        <w:shd w:val="clear" w:color="auto" w:fill="auto"/>
        <w:spacing w:line="360" w:lineRule="auto"/>
        <w:ind w:firstLine="480" w:firstLineChars="200"/>
        <w:jc w:val="both"/>
        <w:rPr>
          <w:rFonts w:hint="default" w:ascii="Calibri" w:hAnsi="Calibri" w:eastAsia="宋体" w:cs="Times New Roman"/>
          <w:kern w:val="2"/>
          <w:sz w:val="21"/>
          <w:szCs w:val="22"/>
          <w:lang w:val="en-US" w:eastAsia="zh-CN" w:bidi="ar-SA"/>
        </w:rPr>
      </w:pPr>
      <w:r>
        <w:rPr>
          <w:rFonts w:hint="eastAsia" w:ascii="宋体" w:hAnsi="宋体" w:eastAsia="宋体" w:cs="宋体"/>
          <w:kern w:val="2"/>
          <w:sz w:val="24"/>
          <w:szCs w:val="22"/>
          <w:highlight w:val="none"/>
          <w:lang w:val="en-US" w:eastAsia="zh-CN" w:bidi="ar-SA"/>
        </w:rPr>
        <w:t>算力服务结算规则：中标人应每月提供《政务云算力使用月度监测报告》，采购人审核确认后，作为本月算力服务费用结算依据。中标人应根据每月提供的《政务云算力使用月度监测报告》，协助采购人制定后续算力服务扩缩容方案。采购人按合同约定的支付方式和支付周期，结算算力服务费用</w:t>
      </w:r>
      <w:r>
        <w:rPr>
          <w:rFonts w:hint="eastAsia" w:ascii="宋体" w:hAnsi="宋体" w:eastAsia="宋体" w:cs="宋体"/>
          <w:kern w:val="2"/>
          <w:sz w:val="24"/>
          <w:szCs w:val="22"/>
          <w:highlight w:val="none"/>
          <w:u w:val="single"/>
          <w:lang w:val="en-US" w:eastAsia="zh-CN" w:bidi="ar-SA"/>
        </w:rPr>
        <w:t>，</w:t>
      </w:r>
      <w:r>
        <w:rPr>
          <w:rFonts w:hint="eastAsia" w:ascii="宋体" w:hAnsi="宋体" w:eastAsia="宋体" w:cs="Times New Roman"/>
          <w:kern w:val="2"/>
          <w:sz w:val="24"/>
          <w:szCs w:val="24"/>
          <w:highlight w:val="none"/>
          <w:lang w:val="en-US" w:eastAsia="zh-CN" w:bidi="ar-SA"/>
        </w:rPr>
        <w:t>最终结算金额不得超过26,</w:t>
      </w:r>
      <w:r>
        <w:rPr>
          <w:rFonts w:hint="default" w:ascii="宋体" w:hAnsi="宋体" w:eastAsia="宋体" w:cs="Times New Roman"/>
          <w:kern w:val="2"/>
          <w:sz w:val="24"/>
          <w:szCs w:val="24"/>
          <w:highlight w:val="none"/>
          <w:lang w:val="en-US" w:eastAsia="zh-CN" w:bidi="ar-SA"/>
        </w:rPr>
        <w:t>85</w:t>
      </w:r>
      <w:r>
        <w:rPr>
          <w:rFonts w:hint="eastAsia" w:ascii="宋体" w:hAnsi="宋体" w:eastAsia="宋体" w:cs="Times New Roman"/>
          <w:kern w:val="2"/>
          <w:sz w:val="24"/>
          <w:szCs w:val="24"/>
          <w:highlight w:val="none"/>
          <w:lang w:val="en-US" w:eastAsia="zh-CN" w:bidi="ar-SA"/>
        </w:rPr>
        <w:t>8,366元</w:t>
      </w:r>
      <w:r>
        <w:rPr>
          <w:rFonts w:hint="eastAsia" w:ascii="宋体" w:hAnsi="宋体" w:eastAsia="宋体" w:cs="宋体"/>
          <w:kern w:val="2"/>
          <w:sz w:val="24"/>
          <w:szCs w:val="22"/>
          <w:highlight w:val="none"/>
          <w:lang w:val="en-US" w:eastAsia="zh-CN" w:bidi="ar-SA"/>
        </w:rPr>
        <w:t>。</w:t>
      </w:r>
    </w:p>
    <w:p w14:paraId="3F807C12">
      <w:pPr>
        <w:shd w:val="clear" w:color="auto" w:fill="auto"/>
        <w:spacing w:line="360" w:lineRule="auto"/>
        <w:contextualSpacing/>
        <w:rPr>
          <w:rFonts w:ascii="Times New Roman" w:hAnsi="Times New Roman" w:eastAsia="宋体" w:cs="Times New Roman"/>
          <w:sz w:val="24"/>
        </w:rPr>
      </w:pPr>
      <w:r>
        <w:rPr>
          <w:rFonts w:ascii="Times New Roman" w:hAnsi="Times New Roman" w:eastAsia="宋体" w:cs="Times New Roman"/>
          <w:sz w:val="24"/>
        </w:rPr>
        <w:t>3. 售后服务</w:t>
      </w:r>
    </w:p>
    <w:p w14:paraId="4405D70A">
      <w:pPr>
        <w:shd w:val="clear" w:color="auto" w:fill="auto"/>
        <w:spacing w:line="360" w:lineRule="auto"/>
        <w:ind w:firstLine="482"/>
        <w:contextualSpacing/>
        <w:rPr>
          <w:rFonts w:hint="eastAsia" w:ascii="宋体" w:hAnsi="宋体" w:eastAsia="宋体" w:cs="宋体"/>
          <w:sz w:val="24"/>
          <w:highlight w:val="none"/>
          <w:lang w:val="en-US" w:eastAsia="zh-CN"/>
        </w:rPr>
      </w:pPr>
      <w:r>
        <w:rPr>
          <w:rFonts w:hint="default" w:ascii="宋体" w:hAnsi="宋体" w:eastAsia="宋体" w:cs="宋体"/>
          <w:sz w:val="24"/>
          <w:highlight w:val="none"/>
          <w:lang w:val="en-US" w:eastAsia="zh-CN"/>
        </w:rPr>
        <w:t>在本项目服务期满、项目通过正式验收后，中标人</w:t>
      </w:r>
      <w:r>
        <w:rPr>
          <w:rFonts w:hint="eastAsia" w:ascii="宋体" w:hAnsi="宋体" w:eastAsia="宋体" w:cs="宋体"/>
          <w:sz w:val="24"/>
          <w:highlight w:val="none"/>
          <w:lang w:val="en-US" w:eastAsia="zh-CN"/>
        </w:rPr>
        <w:t>在</w:t>
      </w:r>
      <w:r>
        <w:rPr>
          <w:rFonts w:hint="default" w:ascii="宋体" w:hAnsi="宋体" w:eastAsia="宋体" w:cs="宋体"/>
          <w:sz w:val="24"/>
          <w:highlight w:val="none"/>
          <w:lang w:val="en-US" w:eastAsia="zh-CN"/>
        </w:rPr>
        <w:t>新的供应商承接平台运维、运行、安全保障等服务</w:t>
      </w:r>
      <w:r>
        <w:rPr>
          <w:rFonts w:hint="eastAsia" w:ascii="宋体" w:hAnsi="宋体" w:eastAsia="宋体" w:cs="宋体"/>
          <w:sz w:val="24"/>
          <w:highlight w:val="none"/>
          <w:lang w:val="en-US" w:eastAsia="zh-CN"/>
        </w:rPr>
        <w:t>后</w:t>
      </w:r>
      <w:r>
        <w:rPr>
          <w:rFonts w:hint="default" w:ascii="宋体" w:hAnsi="宋体" w:eastAsia="宋体" w:cs="宋体"/>
          <w:sz w:val="24"/>
          <w:highlight w:val="none"/>
          <w:lang w:val="en-US" w:eastAsia="zh-CN"/>
        </w:rPr>
        <w:t>，做好服务交接，确保平台安全稳定运行。</w:t>
      </w:r>
    </w:p>
    <w:p w14:paraId="08744A00">
      <w:pPr>
        <w:keepNext/>
        <w:keepLines/>
        <w:widowControl w:val="0"/>
        <w:numPr>
          <w:ilvl w:val="0"/>
          <w:numId w:val="1"/>
        </w:numPr>
        <w:shd w:val="clear" w:color="auto" w:fill="auto"/>
        <w:bidi w:val="0"/>
        <w:spacing w:before="260" w:after="260" w:line="416" w:lineRule="atLeast"/>
        <w:ind w:left="500" w:hanging="500"/>
        <w:jc w:val="left"/>
        <w:outlineLvl w:val="1"/>
        <w:rPr>
          <w:rFonts w:ascii="Arial" w:hAnsi="Arial" w:eastAsia="黑体" w:cs="Times New Roman"/>
          <w:b/>
          <w:bCs/>
          <w:kern w:val="2"/>
          <w:sz w:val="32"/>
          <w:szCs w:val="32"/>
          <w:lang w:val="en-US" w:eastAsia="zh-CN" w:bidi="ar-SA"/>
        </w:rPr>
      </w:pPr>
      <w:r>
        <w:rPr>
          <w:rFonts w:ascii="Arial" w:hAnsi="Arial" w:eastAsia="黑体" w:cs="Times New Roman"/>
          <w:b/>
          <w:bCs/>
          <w:kern w:val="2"/>
          <w:sz w:val="32"/>
          <w:szCs w:val="32"/>
          <w:lang w:val="en-US" w:eastAsia="zh-CN" w:bidi="ar-SA"/>
        </w:rPr>
        <w:t>技术要求</w:t>
      </w:r>
    </w:p>
    <w:p w14:paraId="70367681">
      <w:pPr>
        <w:keepNext/>
        <w:keepLines/>
        <w:widowControl w:val="0"/>
        <w:shd w:val="clear" w:color="auto" w:fill="auto"/>
        <w:bidi w:val="0"/>
        <w:spacing w:before="260" w:beforeLines="0" w:beforeAutospacing="0" w:after="260" w:afterLines="0" w:afterAutospacing="0" w:line="413" w:lineRule="auto"/>
        <w:jc w:val="both"/>
        <w:outlineLvl w:val="2"/>
        <w:rPr>
          <w:rFonts w:ascii="Times New Roman" w:hAnsi="Times New Roman" w:eastAsia="宋体" w:cs="Times New Roman"/>
          <w:b/>
          <w:kern w:val="2"/>
          <w:sz w:val="32"/>
          <w:szCs w:val="24"/>
          <w:u w:val="none"/>
          <w:lang w:val="en-US" w:eastAsia="zh-CN" w:bidi="ar-SA"/>
        </w:rPr>
      </w:pPr>
      <w:r>
        <w:rPr>
          <w:rFonts w:ascii="Times New Roman" w:hAnsi="Times New Roman" w:eastAsia="宋体" w:cs="Times New Roman"/>
          <w:b/>
          <w:kern w:val="2"/>
          <w:sz w:val="32"/>
          <w:szCs w:val="24"/>
          <w:u w:val="none"/>
          <w:lang w:val="en-US" w:eastAsia="zh-CN" w:bidi="ar-SA"/>
        </w:rPr>
        <w:t>1. 基本要求</w:t>
      </w:r>
    </w:p>
    <w:p w14:paraId="3D28906B">
      <w:pPr>
        <w:widowControl w:val="0"/>
        <w:shd w:val="clear" w:color="auto" w:fill="auto"/>
        <w:bidi w:val="0"/>
        <w:spacing w:before="100" w:beforeAutospacing="1" w:after="100" w:afterAutospacing="1"/>
        <w:jc w:val="left"/>
        <w:outlineLvl w:val="3"/>
        <w:rPr>
          <w:rFonts w:hint="eastAsia" w:ascii="宋体" w:hAnsi="宋体" w:eastAsia="宋体" w:cs="Times New Roman"/>
          <w:b/>
          <w:bCs/>
          <w:kern w:val="0"/>
          <w:sz w:val="24"/>
          <w:szCs w:val="24"/>
          <w:lang w:val="en-US" w:eastAsia="zh-CN" w:bidi="ar"/>
        </w:rPr>
      </w:pPr>
      <w:r>
        <w:rPr>
          <w:rFonts w:hint="eastAsia" w:ascii="宋体" w:hAnsi="宋体" w:eastAsia="宋体" w:cs="Times New Roman"/>
          <w:b/>
          <w:bCs/>
          <w:kern w:val="0"/>
          <w:sz w:val="24"/>
          <w:szCs w:val="24"/>
          <w:lang w:val="en-US" w:eastAsia="zh-CN" w:bidi="ar"/>
        </w:rPr>
        <w:t>1.1 采购标的需实现的功能或者目标</w:t>
      </w:r>
    </w:p>
    <w:p w14:paraId="52B34D7D">
      <w:pPr>
        <w:pStyle w:val="9"/>
        <w:keepNext w:val="0"/>
        <w:keepLines w:val="0"/>
        <w:pageBreakBefore w:val="0"/>
        <w:shd w:val="clear" w:color="auto" w:fill="auto"/>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rPr>
        <w:t>政务云基础服务</w:t>
      </w:r>
    </w:p>
    <w:p w14:paraId="5DC5EABB">
      <w:pPr>
        <w:pStyle w:val="9"/>
        <w:keepNext w:val="0"/>
        <w:keepLines w:val="0"/>
        <w:pageBreakBefore w:val="0"/>
        <w:shd w:val="clear" w:color="auto" w:fill="auto"/>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1.1.1.1.</w:t>
      </w:r>
      <w:r>
        <w:rPr>
          <w:rFonts w:hint="eastAsia" w:ascii="宋体" w:hAnsi="宋体" w:eastAsia="宋体" w:cs="宋体"/>
          <w:kern w:val="0"/>
          <w:sz w:val="24"/>
          <w:szCs w:val="24"/>
          <w:highlight w:val="none"/>
        </w:rPr>
        <w:t>计算服务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51"/>
        <w:gridCol w:w="995"/>
        <w:gridCol w:w="2499"/>
        <w:gridCol w:w="700"/>
        <w:gridCol w:w="840"/>
        <w:gridCol w:w="860"/>
        <w:gridCol w:w="856"/>
      </w:tblGrid>
      <w:tr w14:paraId="511C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60ECDE3F">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1" w:type="dxa"/>
            <w:noWrap w:val="0"/>
            <w:vAlign w:val="center"/>
          </w:tcPr>
          <w:p w14:paraId="4D5FFF38">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服务类</w:t>
            </w:r>
          </w:p>
        </w:tc>
        <w:tc>
          <w:tcPr>
            <w:tcW w:w="995" w:type="dxa"/>
            <w:noWrap w:val="0"/>
            <w:vAlign w:val="center"/>
          </w:tcPr>
          <w:p w14:paraId="75700C03">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w:t>
            </w:r>
          </w:p>
        </w:tc>
        <w:tc>
          <w:tcPr>
            <w:tcW w:w="2499" w:type="dxa"/>
            <w:noWrap w:val="0"/>
            <w:vAlign w:val="center"/>
          </w:tcPr>
          <w:p w14:paraId="65A342CE">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服务描述或规格型号</w:t>
            </w:r>
          </w:p>
        </w:tc>
        <w:tc>
          <w:tcPr>
            <w:tcW w:w="700" w:type="dxa"/>
            <w:noWrap w:val="0"/>
            <w:vAlign w:val="center"/>
          </w:tcPr>
          <w:p w14:paraId="605A536E">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840" w:type="dxa"/>
            <w:noWrap w:val="0"/>
            <w:vAlign w:val="center"/>
          </w:tcPr>
          <w:p w14:paraId="41B78841">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计价单位</w:t>
            </w:r>
          </w:p>
        </w:tc>
        <w:tc>
          <w:tcPr>
            <w:tcW w:w="860" w:type="dxa"/>
            <w:noWrap w:val="0"/>
            <w:vAlign w:val="center"/>
          </w:tcPr>
          <w:p w14:paraId="0894AFD1">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856" w:type="dxa"/>
            <w:noWrap w:val="0"/>
            <w:vAlign w:val="center"/>
          </w:tcPr>
          <w:p w14:paraId="1BB7F132">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30A5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6" w:type="dxa"/>
            <w:noWrap/>
            <w:vAlign w:val="center"/>
          </w:tcPr>
          <w:p w14:paraId="4BF3D948">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7901" w:type="dxa"/>
            <w:gridSpan w:val="7"/>
            <w:noWrap w:val="0"/>
            <w:vAlign w:val="center"/>
          </w:tcPr>
          <w:p w14:paraId="1C1314FD">
            <w:pPr>
              <w:shd w:val="clear" w:color="auto" w:fill="auto"/>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计算服务</w:t>
            </w:r>
          </w:p>
        </w:tc>
      </w:tr>
      <w:tr w14:paraId="6F40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16" w:type="dxa"/>
            <w:noWrap/>
            <w:vAlign w:val="center"/>
          </w:tcPr>
          <w:p w14:paraId="2F7D8CA9">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51" w:type="dxa"/>
            <w:noWrap w:val="0"/>
            <w:vAlign w:val="center"/>
          </w:tcPr>
          <w:p w14:paraId="039234EA">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平台云主机服务（包含X86、ARM、C86）</w:t>
            </w:r>
          </w:p>
        </w:tc>
        <w:tc>
          <w:tcPr>
            <w:tcW w:w="995" w:type="dxa"/>
            <w:noWrap w:val="0"/>
            <w:vAlign w:val="center"/>
          </w:tcPr>
          <w:p w14:paraId="5157CF3B">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vCPU</w:t>
            </w:r>
          </w:p>
        </w:tc>
        <w:tc>
          <w:tcPr>
            <w:tcW w:w="2499" w:type="dxa"/>
            <w:noWrap w:val="0"/>
            <w:vAlign w:val="center"/>
          </w:tcPr>
          <w:p w14:paraId="7215CF9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vCPU ARM架构主频不低于2.4GHz，C86和x86主频不低于2.2GHz，平均虚拟化率，即物理CPU/虚拟CPU≥1/4，虚拟CPU利用率不低于物理CPU的25%</w:t>
            </w:r>
          </w:p>
        </w:tc>
        <w:tc>
          <w:tcPr>
            <w:tcW w:w="700" w:type="dxa"/>
            <w:noWrap w:val="0"/>
            <w:vAlign w:val="center"/>
          </w:tcPr>
          <w:p w14:paraId="439D6955">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58EEA0DD">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1vCPU</w:t>
            </w:r>
          </w:p>
        </w:tc>
        <w:tc>
          <w:tcPr>
            <w:tcW w:w="860" w:type="dxa"/>
            <w:noWrap w:val="0"/>
            <w:vAlign w:val="center"/>
          </w:tcPr>
          <w:p w14:paraId="11A4923A">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元/CPU·月</w:t>
            </w:r>
          </w:p>
        </w:tc>
        <w:tc>
          <w:tcPr>
            <w:tcW w:w="856" w:type="dxa"/>
            <w:noWrap w:val="0"/>
            <w:vAlign w:val="center"/>
          </w:tcPr>
          <w:p w14:paraId="45BF3437">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r>
      <w:tr w14:paraId="61E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36B9A535">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51" w:type="dxa"/>
            <w:noWrap w:val="0"/>
            <w:vAlign w:val="center"/>
          </w:tcPr>
          <w:p w14:paraId="5A1F14F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平台云主机服务（包含X86、ARM、C86）</w:t>
            </w:r>
          </w:p>
        </w:tc>
        <w:tc>
          <w:tcPr>
            <w:tcW w:w="995" w:type="dxa"/>
            <w:noWrap w:val="0"/>
            <w:vAlign w:val="center"/>
          </w:tcPr>
          <w:p w14:paraId="65D2DAD7">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w:t>
            </w:r>
          </w:p>
        </w:tc>
        <w:tc>
          <w:tcPr>
            <w:tcW w:w="2499" w:type="dxa"/>
            <w:noWrap w:val="0"/>
            <w:vAlign w:val="center"/>
          </w:tcPr>
          <w:p w14:paraId="31FA8FE7">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w:t>
            </w:r>
          </w:p>
        </w:tc>
        <w:tc>
          <w:tcPr>
            <w:tcW w:w="700" w:type="dxa"/>
            <w:noWrap w:val="0"/>
            <w:vAlign w:val="center"/>
          </w:tcPr>
          <w:p w14:paraId="66B841FA">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40BA88F7">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1GB</w:t>
            </w:r>
          </w:p>
        </w:tc>
        <w:tc>
          <w:tcPr>
            <w:tcW w:w="860" w:type="dxa"/>
            <w:noWrap w:val="0"/>
            <w:vAlign w:val="center"/>
          </w:tcPr>
          <w:p w14:paraId="5D7C4C80">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元/GB·月</w:t>
            </w:r>
          </w:p>
        </w:tc>
        <w:tc>
          <w:tcPr>
            <w:tcW w:w="856" w:type="dxa"/>
            <w:noWrap w:val="0"/>
            <w:vAlign w:val="center"/>
          </w:tcPr>
          <w:p w14:paraId="7DC2C40B">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r>
    </w:tbl>
    <w:p w14:paraId="7D07BFF9">
      <w:pPr>
        <w:keepNext w:val="0"/>
        <w:keepLines w:val="0"/>
        <w:widowControl/>
        <w:suppressLineNumbers w:val="0"/>
        <w:shd w:val="clear" w:color="auto" w:fill="auto"/>
        <w:spacing w:line="560" w:lineRule="exact"/>
        <w:ind w:firstLine="436" w:firstLineChars="200"/>
        <w:jc w:val="left"/>
        <w:textAlignment w:val="auto"/>
        <w:rPr>
          <w:rFonts w:hint="default"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rPr>
        <w:t>1.1.1.</w:t>
      </w:r>
      <w:r>
        <w:rPr>
          <w:rFonts w:hint="default" w:ascii="宋体" w:hAnsi="宋体" w:eastAsia="宋体" w:cs="宋体"/>
          <w:spacing w:val="-11"/>
          <w:kern w:val="0"/>
          <w:sz w:val="24"/>
          <w:szCs w:val="24"/>
          <w:highlight w:val="none"/>
          <w:lang w:val="en-US" w:eastAsia="zh-CN"/>
        </w:rPr>
        <w:t>2.</w:t>
      </w:r>
      <w:r>
        <w:rPr>
          <w:rFonts w:hint="default" w:ascii="宋体" w:hAnsi="宋体" w:eastAsia="宋体" w:cs="宋体"/>
          <w:spacing w:val="-11"/>
          <w:kern w:val="0"/>
          <w:sz w:val="24"/>
          <w:szCs w:val="24"/>
          <w:highlight w:val="none"/>
        </w:rPr>
        <w:t>存储服务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51"/>
        <w:gridCol w:w="995"/>
        <w:gridCol w:w="2499"/>
        <w:gridCol w:w="700"/>
        <w:gridCol w:w="840"/>
        <w:gridCol w:w="860"/>
        <w:gridCol w:w="856"/>
      </w:tblGrid>
      <w:tr w14:paraId="4DC8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3E0857C5">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1" w:type="dxa"/>
            <w:noWrap w:val="0"/>
            <w:vAlign w:val="center"/>
          </w:tcPr>
          <w:p w14:paraId="6EF26D4F">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服务类</w:t>
            </w:r>
          </w:p>
        </w:tc>
        <w:tc>
          <w:tcPr>
            <w:tcW w:w="995" w:type="dxa"/>
            <w:noWrap w:val="0"/>
            <w:vAlign w:val="center"/>
          </w:tcPr>
          <w:p w14:paraId="00D07FC4">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w:t>
            </w:r>
          </w:p>
        </w:tc>
        <w:tc>
          <w:tcPr>
            <w:tcW w:w="2499" w:type="dxa"/>
            <w:noWrap w:val="0"/>
            <w:vAlign w:val="center"/>
          </w:tcPr>
          <w:p w14:paraId="3B45FFF2">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服务描述或规格型号</w:t>
            </w:r>
          </w:p>
        </w:tc>
        <w:tc>
          <w:tcPr>
            <w:tcW w:w="700" w:type="dxa"/>
            <w:noWrap w:val="0"/>
            <w:vAlign w:val="center"/>
          </w:tcPr>
          <w:p w14:paraId="0E42DA5B">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840" w:type="dxa"/>
            <w:noWrap w:val="0"/>
            <w:vAlign w:val="center"/>
          </w:tcPr>
          <w:p w14:paraId="49B23C35">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计价单位</w:t>
            </w:r>
          </w:p>
        </w:tc>
        <w:tc>
          <w:tcPr>
            <w:tcW w:w="860" w:type="dxa"/>
            <w:noWrap w:val="0"/>
            <w:vAlign w:val="center"/>
          </w:tcPr>
          <w:p w14:paraId="032991BD">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856" w:type="dxa"/>
            <w:noWrap w:val="0"/>
            <w:vAlign w:val="center"/>
          </w:tcPr>
          <w:p w14:paraId="7074F774">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5F9C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6" w:type="dxa"/>
            <w:noWrap/>
            <w:vAlign w:val="center"/>
          </w:tcPr>
          <w:p w14:paraId="44C9D4B5">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7901" w:type="dxa"/>
            <w:gridSpan w:val="7"/>
            <w:noWrap w:val="0"/>
            <w:vAlign w:val="center"/>
          </w:tcPr>
          <w:p w14:paraId="307A6C68">
            <w:pPr>
              <w:shd w:val="clear" w:color="auto" w:fill="auto"/>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存储服务</w:t>
            </w:r>
          </w:p>
        </w:tc>
      </w:tr>
      <w:tr w14:paraId="3143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16" w:type="dxa"/>
            <w:noWrap/>
            <w:vAlign w:val="center"/>
          </w:tcPr>
          <w:p w14:paraId="26B8EAFD">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51" w:type="dxa"/>
            <w:noWrap w:val="0"/>
            <w:vAlign w:val="center"/>
          </w:tcPr>
          <w:p w14:paraId="5FF43EA7">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存储服务（兼容X86、ARM、C86）</w:t>
            </w:r>
          </w:p>
        </w:tc>
        <w:tc>
          <w:tcPr>
            <w:tcW w:w="995" w:type="dxa"/>
            <w:noWrap w:val="0"/>
            <w:vAlign w:val="center"/>
          </w:tcPr>
          <w:p w14:paraId="3F52B64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普通性能存储</w:t>
            </w:r>
          </w:p>
        </w:tc>
        <w:tc>
          <w:tcPr>
            <w:tcW w:w="2499" w:type="dxa"/>
            <w:noWrap w:val="0"/>
            <w:vAlign w:val="center"/>
          </w:tcPr>
          <w:p w14:paraId="3DDCCB75">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普通存储（单盘技术指标: 单盘IOPS 2000-5000）</w:t>
            </w:r>
          </w:p>
        </w:tc>
        <w:tc>
          <w:tcPr>
            <w:tcW w:w="700" w:type="dxa"/>
            <w:noWrap w:val="0"/>
            <w:vAlign w:val="center"/>
          </w:tcPr>
          <w:p w14:paraId="5D76167B">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343D725E">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GB</w:t>
            </w:r>
          </w:p>
        </w:tc>
        <w:tc>
          <w:tcPr>
            <w:tcW w:w="860" w:type="dxa"/>
            <w:noWrap w:val="0"/>
            <w:vAlign w:val="center"/>
          </w:tcPr>
          <w:p w14:paraId="6D7C5B02">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元/100GB·月</w:t>
            </w:r>
          </w:p>
        </w:tc>
        <w:tc>
          <w:tcPr>
            <w:tcW w:w="856" w:type="dxa"/>
            <w:noWrap w:val="0"/>
            <w:vAlign w:val="center"/>
          </w:tcPr>
          <w:p w14:paraId="088A10CB">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65.82</w:t>
            </w:r>
          </w:p>
        </w:tc>
      </w:tr>
      <w:tr w14:paraId="16EE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0C483C1B">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51" w:type="dxa"/>
            <w:noWrap w:val="0"/>
            <w:vAlign w:val="center"/>
          </w:tcPr>
          <w:p w14:paraId="2763C67E">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存储服务（兼容X86、ARM、C86）</w:t>
            </w:r>
          </w:p>
        </w:tc>
        <w:tc>
          <w:tcPr>
            <w:tcW w:w="995" w:type="dxa"/>
            <w:noWrap w:val="0"/>
            <w:vAlign w:val="center"/>
          </w:tcPr>
          <w:p w14:paraId="111F9ED0">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高性能存储</w:t>
            </w:r>
          </w:p>
        </w:tc>
        <w:tc>
          <w:tcPr>
            <w:tcW w:w="2499" w:type="dxa"/>
            <w:noWrap w:val="0"/>
            <w:vAlign w:val="center"/>
          </w:tcPr>
          <w:p w14:paraId="001D2FEE">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高性能存储（单盘技术指标：单盘IOPS 10000-25000）</w:t>
            </w:r>
          </w:p>
        </w:tc>
        <w:tc>
          <w:tcPr>
            <w:tcW w:w="700" w:type="dxa"/>
            <w:noWrap w:val="0"/>
            <w:vAlign w:val="center"/>
          </w:tcPr>
          <w:p w14:paraId="07DFC3C1">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11A87380">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GB</w:t>
            </w:r>
          </w:p>
        </w:tc>
        <w:tc>
          <w:tcPr>
            <w:tcW w:w="860" w:type="dxa"/>
            <w:noWrap w:val="0"/>
            <w:vAlign w:val="center"/>
          </w:tcPr>
          <w:p w14:paraId="56D9E501">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元/100GB·月</w:t>
            </w:r>
          </w:p>
        </w:tc>
        <w:tc>
          <w:tcPr>
            <w:tcW w:w="856" w:type="dxa"/>
            <w:noWrap w:val="0"/>
            <w:vAlign w:val="center"/>
          </w:tcPr>
          <w:p w14:paraId="2B02BD36">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578.24</w:t>
            </w:r>
          </w:p>
        </w:tc>
      </w:tr>
    </w:tbl>
    <w:p w14:paraId="0E37A9E5">
      <w:pPr>
        <w:shd w:val="clear" w:color="auto" w:fill="auto"/>
        <w:spacing w:line="560" w:lineRule="exact"/>
        <w:ind w:left="0" w:firstLine="436"/>
        <w:rPr>
          <w:rFonts w:hint="default"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rPr>
        <w:t>1.1.1.</w:t>
      </w:r>
      <w:r>
        <w:rPr>
          <w:rFonts w:hint="default" w:ascii="宋体" w:hAnsi="宋体" w:eastAsia="宋体" w:cs="宋体"/>
          <w:spacing w:val="-11"/>
          <w:kern w:val="0"/>
          <w:sz w:val="24"/>
          <w:szCs w:val="24"/>
          <w:highlight w:val="none"/>
          <w:lang w:val="en-US" w:eastAsia="zh-CN"/>
        </w:rPr>
        <w:t>3.</w:t>
      </w:r>
      <w:r>
        <w:rPr>
          <w:rFonts w:hint="default" w:ascii="宋体" w:hAnsi="宋体" w:eastAsia="宋体" w:cs="宋体"/>
          <w:spacing w:val="-11"/>
          <w:kern w:val="0"/>
          <w:sz w:val="24"/>
          <w:szCs w:val="24"/>
          <w:highlight w:val="none"/>
        </w:rPr>
        <w:t>网络服务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51"/>
        <w:gridCol w:w="995"/>
        <w:gridCol w:w="2499"/>
        <w:gridCol w:w="700"/>
        <w:gridCol w:w="840"/>
        <w:gridCol w:w="860"/>
        <w:gridCol w:w="856"/>
      </w:tblGrid>
      <w:tr w14:paraId="0657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31BF9A14">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1" w:type="dxa"/>
            <w:noWrap w:val="0"/>
            <w:vAlign w:val="center"/>
          </w:tcPr>
          <w:p w14:paraId="554BD1D9">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服务类</w:t>
            </w:r>
          </w:p>
        </w:tc>
        <w:tc>
          <w:tcPr>
            <w:tcW w:w="995" w:type="dxa"/>
            <w:noWrap w:val="0"/>
            <w:vAlign w:val="center"/>
          </w:tcPr>
          <w:p w14:paraId="05DBE383">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w:t>
            </w:r>
          </w:p>
        </w:tc>
        <w:tc>
          <w:tcPr>
            <w:tcW w:w="2499" w:type="dxa"/>
            <w:noWrap w:val="0"/>
            <w:vAlign w:val="center"/>
          </w:tcPr>
          <w:p w14:paraId="0E34D3F0">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服务描述或规格型号</w:t>
            </w:r>
          </w:p>
        </w:tc>
        <w:tc>
          <w:tcPr>
            <w:tcW w:w="700" w:type="dxa"/>
            <w:noWrap w:val="0"/>
            <w:vAlign w:val="center"/>
          </w:tcPr>
          <w:p w14:paraId="2EB43B05">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840" w:type="dxa"/>
            <w:noWrap w:val="0"/>
            <w:vAlign w:val="center"/>
          </w:tcPr>
          <w:p w14:paraId="3DA3F1EE">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计价单位</w:t>
            </w:r>
          </w:p>
        </w:tc>
        <w:tc>
          <w:tcPr>
            <w:tcW w:w="860" w:type="dxa"/>
            <w:noWrap w:val="0"/>
            <w:vAlign w:val="center"/>
          </w:tcPr>
          <w:p w14:paraId="3A24BC7E">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856" w:type="dxa"/>
            <w:noWrap w:val="0"/>
            <w:vAlign w:val="center"/>
          </w:tcPr>
          <w:p w14:paraId="7BC5BD0F">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22F1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6" w:type="dxa"/>
            <w:noWrap/>
            <w:vAlign w:val="center"/>
          </w:tcPr>
          <w:p w14:paraId="1316633A">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7901" w:type="dxa"/>
            <w:gridSpan w:val="7"/>
            <w:noWrap w:val="0"/>
            <w:vAlign w:val="center"/>
          </w:tcPr>
          <w:p w14:paraId="08F3E5BE">
            <w:pPr>
              <w:shd w:val="clear" w:color="auto" w:fill="auto"/>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网络服务</w:t>
            </w:r>
          </w:p>
        </w:tc>
      </w:tr>
      <w:tr w14:paraId="62F6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6" w:type="dxa"/>
            <w:noWrap/>
            <w:vAlign w:val="center"/>
          </w:tcPr>
          <w:p w14:paraId="2A5A8294">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51" w:type="dxa"/>
            <w:noWrap w:val="0"/>
            <w:vAlign w:val="center"/>
          </w:tcPr>
          <w:p w14:paraId="31C5E428">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网络服务（兼容X86、ARM、C86）</w:t>
            </w:r>
          </w:p>
        </w:tc>
        <w:tc>
          <w:tcPr>
            <w:tcW w:w="995" w:type="dxa"/>
            <w:noWrap w:val="0"/>
            <w:vAlign w:val="center"/>
          </w:tcPr>
          <w:p w14:paraId="546226CD">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远程接入服务</w:t>
            </w:r>
          </w:p>
        </w:tc>
        <w:tc>
          <w:tcPr>
            <w:tcW w:w="2499" w:type="dxa"/>
            <w:noWrap w:val="0"/>
            <w:vAlign w:val="center"/>
          </w:tcPr>
          <w:p w14:paraId="1035B75A">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远程接入服务</w:t>
            </w:r>
          </w:p>
        </w:tc>
        <w:tc>
          <w:tcPr>
            <w:tcW w:w="700" w:type="dxa"/>
            <w:noWrap w:val="0"/>
            <w:vAlign w:val="center"/>
          </w:tcPr>
          <w:p w14:paraId="039C13F1">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06BC9744">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账号</w:t>
            </w:r>
          </w:p>
        </w:tc>
        <w:tc>
          <w:tcPr>
            <w:tcW w:w="860" w:type="dxa"/>
            <w:noWrap w:val="0"/>
            <w:vAlign w:val="center"/>
          </w:tcPr>
          <w:p w14:paraId="5087A1EE">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元/账号·月</w:t>
            </w:r>
          </w:p>
        </w:tc>
        <w:tc>
          <w:tcPr>
            <w:tcW w:w="856" w:type="dxa"/>
            <w:noWrap w:val="0"/>
            <w:vAlign w:val="center"/>
          </w:tcPr>
          <w:p w14:paraId="34BC8DFF">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C7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16" w:type="dxa"/>
            <w:noWrap/>
            <w:vAlign w:val="center"/>
          </w:tcPr>
          <w:p w14:paraId="14C69E05">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51" w:type="dxa"/>
            <w:noWrap w:val="0"/>
            <w:vAlign w:val="center"/>
          </w:tcPr>
          <w:p w14:paraId="722B7A6F">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网络服务（兼容X86、ARM、C87）</w:t>
            </w:r>
          </w:p>
        </w:tc>
        <w:tc>
          <w:tcPr>
            <w:tcW w:w="995" w:type="dxa"/>
            <w:noWrap w:val="0"/>
            <w:vAlign w:val="center"/>
          </w:tcPr>
          <w:p w14:paraId="098CB2F3">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Web 应用防火墙（WAF）</w:t>
            </w:r>
          </w:p>
        </w:tc>
        <w:tc>
          <w:tcPr>
            <w:tcW w:w="2499" w:type="dxa"/>
            <w:noWrap w:val="0"/>
            <w:vAlign w:val="center"/>
          </w:tcPr>
          <w:p w14:paraId="099222E1">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针对网站及 Web应用系统提供应用层安全防护，支持各类 SQL注入、XSS 攻击、网页木马、WEBSHELL 等 Web威胁防护 （200Mbps）</w:t>
            </w:r>
          </w:p>
        </w:tc>
        <w:tc>
          <w:tcPr>
            <w:tcW w:w="700" w:type="dxa"/>
            <w:noWrap w:val="0"/>
            <w:vAlign w:val="center"/>
          </w:tcPr>
          <w:p w14:paraId="693668AB">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465D8DFC">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套</w:t>
            </w:r>
          </w:p>
        </w:tc>
        <w:tc>
          <w:tcPr>
            <w:tcW w:w="860" w:type="dxa"/>
            <w:noWrap w:val="0"/>
            <w:vAlign w:val="center"/>
          </w:tcPr>
          <w:p w14:paraId="5D753FD3">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元/套·月</w:t>
            </w:r>
          </w:p>
        </w:tc>
        <w:tc>
          <w:tcPr>
            <w:tcW w:w="856" w:type="dxa"/>
            <w:noWrap w:val="0"/>
            <w:vAlign w:val="center"/>
          </w:tcPr>
          <w:p w14:paraId="79975514">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14:paraId="7F4A4944">
      <w:pPr>
        <w:keepNext w:val="0"/>
        <w:keepLines w:val="0"/>
        <w:pageBreakBefore w:val="0"/>
        <w:shd w:val="clear" w:color="auto" w:fill="auto"/>
        <w:kinsoku/>
        <w:wordWrap/>
        <w:overflowPunct/>
        <w:topLinePunct w:val="0"/>
        <w:autoSpaceDE/>
        <w:autoSpaceDN/>
        <w:bidi w:val="0"/>
        <w:adjustRightInd/>
        <w:snapToGrid/>
        <w:spacing w:line="560" w:lineRule="exact"/>
        <w:ind w:left="0" w:firstLine="436" w:firstLineChars="200"/>
        <w:textAlignment w:val="auto"/>
        <w:rPr>
          <w:rFonts w:hint="eastAsia"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lang w:val="en-US" w:eastAsia="zh-CN"/>
        </w:rPr>
        <w:t>1.1.1.4.GPU算力租赁服务</w:t>
      </w:r>
    </w:p>
    <w:p w14:paraId="51B2642B">
      <w:pPr>
        <w:keepNext w:val="0"/>
        <w:keepLines w:val="0"/>
        <w:pageBreakBefore w:val="0"/>
        <w:shd w:val="clear" w:color="auto" w:fill="auto"/>
        <w:kinsoku/>
        <w:wordWrap/>
        <w:overflowPunct/>
        <w:topLinePunct w:val="0"/>
        <w:autoSpaceDE/>
        <w:autoSpaceDN/>
        <w:bidi w:val="0"/>
        <w:adjustRightInd/>
        <w:snapToGrid/>
        <w:spacing w:line="560" w:lineRule="exact"/>
        <w:ind w:left="0" w:firstLine="436" w:firstLineChars="200"/>
        <w:textAlignment w:val="auto"/>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rPr>
        <w:t>GPU算力租赁服务总需求详见下表，按照“先用后付、据实结算”模式采购，投标文件中投标报价应为租用212.6P算力服务8个月的总价，结算方式详见“二、商务要求”，整机配置要求详见“2.1.1.4”</w:t>
      </w:r>
      <w:r>
        <w:rPr>
          <w:rFonts w:hint="eastAsia" w:ascii="宋体" w:hAnsi="宋体" w:eastAsia="宋体" w:cs="宋体"/>
          <w:spacing w:val="-11"/>
          <w:kern w:val="0"/>
          <w:sz w:val="24"/>
          <w:szCs w:val="24"/>
          <w:highlight w:val="none"/>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51"/>
        <w:gridCol w:w="995"/>
        <w:gridCol w:w="2499"/>
        <w:gridCol w:w="700"/>
        <w:gridCol w:w="840"/>
        <w:gridCol w:w="860"/>
        <w:gridCol w:w="856"/>
      </w:tblGrid>
      <w:tr w14:paraId="0064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5E73452F">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1" w:type="dxa"/>
            <w:noWrap w:val="0"/>
            <w:vAlign w:val="center"/>
          </w:tcPr>
          <w:p w14:paraId="2EBA9348">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服务类</w:t>
            </w:r>
          </w:p>
        </w:tc>
        <w:tc>
          <w:tcPr>
            <w:tcW w:w="995" w:type="dxa"/>
            <w:noWrap w:val="0"/>
            <w:vAlign w:val="center"/>
          </w:tcPr>
          <w:p w14:paraId="6E609876">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w:t>
            </w:r>
          </w:p>
        </w:tc>
        <w:tc>
          <w:tcPr>
            <w:tcW w:w="2499" w:type="dxa"/>
            <w:noWrap w:val="0"/>
            <w:vAlign w:val="center"/>
          </w:tcPr>
          <w:p w14:paraId="03295889">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服务描述或规格型号</w:t>
            </w:r>
          </w:p>
        </w:tc>
        <w:tc>
          <w:tcPr>
            <w:tcW w:w="700" w:type="dxa"/>
            <w:noWrap w:val="0"/>
            <w:vAlign w:val="center"/>
          </w:tcPr>
          <w:p w14:paraId="504D7A2C">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840" w:type="dxa"/>
            <w:noWrap w:val="0"/>
            <w:vAlign w:val="center"/>
          </w:tcPr>
          <w:p w14:paraId="3C6FDD29">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计价单位</w:t>
            </w:r>
          </w:p>
        </w:tc>
        <w:tc>
          <w:tcPr>
            <w:tcW w:w="860" w:type="dxa"/>
            <w:noWrap w:val="0"/>
            <w:vAlign w:val="center"/>
          </w:tcPr>
          <w:p w14:paraId="0AD606D9">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856" w:type="dxa"/>
            <w:noWrap w:val="0"/>
            <w:vAlign w:val="center"/>
          </w:tcPr>
          <w:p w14:paraId="23CB2E54">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49B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6" w:type="dxa"/>
            <w:noWrap/>
            <w:vAlign w:val="center"/>
          </w:tcPr>
          <w:p w14:paraId="76496528">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四</w:t>
            </w:r>
          </w:p>
        </w:tc>
        <w:tc>
          <w:tcPr>
            <w:tcW w:w="7901" w:type="dxa"/>
            <w:gridSpan w:val="7"/>
            <w:noWrap w:val="0"/>
            <w:vAlign w:val="center"/>
          </w:tcPr>
          <w:p w14:paraId="41686CEC">
            <w:pPr>
              <w:shd w:val="clear" w:color="auto" w:fill="auto"/>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GPU算力租赁服务</w:t>
            </w:r>
          </w:p>
        </w:tc>
      </w:tr>
      <w:tr w14:paraId="76EE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16" w:type="dxa"/>
            <w:noWrap/>
            <w:vAlign w:val="center"/>
          </w:tcPr>
          <w:p w14:paraId="5B551B04">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51" w:type="dxa"/>
            <w:noWrap w:val="0"/>
            <w:vAlign w:val="center"/>
          </w:tcPr>
          <w:p w14:paraId="4B8F0C81">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GPU卡算力服务（适配X86、ARM、C86）</w:t>
            </w:r>
          </w:p>
        </w:tc>
        <w:tc>
          <w:tcPr>
            <w:tcW w:w="995" w:type="dxa"/>
            <w:noWrap w:val="0"/>
            <w:vAlign w:val="center"/>
          </w:tcPr>
          <w:p w14:paraId="30FB6205">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GPU显存</w:t>
            </w:r>
          </w:p>
        </w:tc>
        <w:tc>
          <w:tcPr>
            <w:tcW w:w="2499" w:type="dxa"/>
            <w:noWrap w:val="0"/>
            <w:vAlign w:val="center"/>
          </w:tcPr>
          <w:p w14:paraId="388AC75F">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GPU显存（需同时租用算力资源、云主机或物理服务器资源，联合使用）</w:t>
            </w:r>
          </w:p>
        </w:tc>
        <w:tc>
          <w:tcPr>
            <w:tcW w:w="700" w:type="dxa"/>
            <w:noWrap w:val="0"/>
            <w:vAlign w:val="center"/>
          </w:tcPr>
          <w:p w14:paraId="4D7EC5CA">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0" w:type="dxa"/>
            <w:noWrap w:val="0"/>
            <w:vAlign w:val="center"/>
          </w:tcPr>
          <w:p w14:paraId="20BFE93F">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GB</w:t>
            </w:r>
          </w:p>
        </w:tc>
        <w:tc>
          <w:tcPr>
            <w:tcW w:w="860" w:type="dxa"/>
            <w:noWrap w:val="0"/>
            <w:vAlign w:val="center"/>
          </w:tcPr>
          <w:p w14:paraId="0FA415E4">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元/GB·月</w:t>
            </w:r>
          </w:p>
        </w:tc>
        <w:tc>
          <w:tcPr>
            <w:tcW w:w="856" w:type="dxa"/>
            <w:noWrap w:val="0"/>
            <w:vAlign w:val="center"/>
          </w:tcPr>
          <w:p w14:paraId="162116CC">
            <w:pPr>
              <w:keepNext w:val="0"/>
              <w:keepLines w:val="0"/>
              <w:widowControl/>
              <w:suppressLineNumbers w:val="0"/>
              <w:shd w:val="clear" w:color="auto" w:fill="auto"/>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48621</w:t>
            </w:r>
          </w:p>
        </w:tc>
      </w:tr>
      <w:tr w14:paraId="76A9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16" w:type="dxa"/>
            <w:noWrap/>
            <w:vAlign w:val="center"/>
          </w:tcPr>
          <w:p w14:paraId="79BECF3C">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51" w:type="dxa"/>
            <w:noWrap w:val="0"/>
            <w:vAlign w:val="center"/>
          </w:tcPr>
          <w:p w14:paraId="143CB898">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GPU卡算力服务（适配X86、ARM、C86）</w:t>
            </w:r>
          </w:p>
        </w:tc>
        <w:tc>
          <w:tcPr>
            <w:tcW w:w="995" w:type="dxa"/>
            <w:noWrap w:val="0"/>
            <w:vAlign w:val="center"/>
          </w:tcPr>
          <w:p w14:paraId="672271A6">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半精度浮点运算能力</w:t>
            </w:r>
          </w:p>
        </w:tc>
        <w:tc>
          <w:tcPr>
            <w:tcW w:w="2499" w:type="dxa"/>
            <w:noWrap w:val="0"/>
            <w:vAlign w:val="center"/>
          </w:tcPr>
          <w:p w14:paraId="068201D2">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半精度浮点运算能力（需同时租用GPU显存、云主机或物理服务器资源，联合使用）</w:t>
            </w:r>
          </w:p>
        </w:tc>
        <w:tc>
          <w:tcPr>
            <w:tcW w:w="700" w:type="dxa"/>
            <w:noWrap w:val="0"/>
            <w:vAlign w:val="center"/>
          </w:tcPr>
          <w:p w14:paraId="6367CCC0">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0" w:type="dxa"/>
            <w:noWrap w:val="0"/>
            <w:vAlign w:val="center"/>
          </w:tcPr>
          <w:p w14:paraId="67FC15BD">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TFLOPS</w:t>
            </w:r>
          </w:p>
        </w:tc>
        <w:tc>
          <w:tcPr>
            <w:tcW w:w="860" w:type="dxa"/>
            <w:noWrap w:val="0"/>
            <w:vAlign w:val="center"/>
          </w:tcPr>
          <w:p w14:paraId="7F5D485A">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元/TFLOPS·月</w:t>
            </w:r>
          </w:p>
        </w:tc>
        <w:tc>
          <w:tcPr>
            <w:tcW w:w="856" w:type="dxa"/>
            <w:noWrap w:val="0"/>
            <w:vAlign w:val="center"/>
          </w:tcPr>
          <w:p w14:paraId="6E101FAA">
            <w:pPr>
              <w:keepNext w:val="0"/>
              <w:keepLines w:val="0"/>
              <w:widowControl/>
              <w:suppressLineNumbers w:val="0"/>
              <w:shd w:val="clear" w:color="auto" w:fill="auto"/>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212600</w:t>
            </w:r>
          </w:p>
        </w:tc>
      </w:tr>
    </w:tbl>
    <w:p w14:paraId="456858AC">
      <w:pPr>
        <w:pStyle w:val="9"/>
        <w:keepNext w:val="0"/>
        <w:keepLines w:val="0"/>
        <w:pageBreakBefore w:val="0"/>
        <w:shd w:val="clear" w:color="auto" w:fill="auto"/>
        <w:kinsoku/>
        <w:wordWrap/>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1.1.2</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政务云扩展服务</w:t>
      </w:r>
    </w:p>
    <w:p w14:paraId="60D8642F">
      <w:pPr>
        <w:pStyle w:val="9"/>
        <w:keepNext w:val="0"/>
        <w:keepLines w:val="0"/>
        <w:pageBreakBefore w:val="0"/>
        <w:shd w:val="clear" w:color="auto" w:fill="auto"/>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为</w:t>
      </w:r>
      <w:r>
        <w:rPr>
          <w:rFonts w:hint="eastAsia" w:ascii="宋体" w:hAnsi="宋体" w:cs="宋体"/>
          <w:kern w:val="0"/>
          <w:sz w:val="24"/>
          <w:szCs w:val="24"/>
          <w:highlight w:val="none"/>
          <w:lang w:val="en-US" w:eastAsia="zh-CN"/>
        </w:rPr>
        <w:t>政务大模型共性基础平台软件</w:t>
      </w:r>
      <w:r>
        <w:rPr>
          <w:rFonts w:hint="eastAsia" w:ascii="宋体" w:hAnsi="宋体" w:eastAsia="宋体" w:cs="宋体"/>
          <w:kern w:val="0"/>
          <w:sz w:val="24"/>
          <w:szCs w:val="24"/>
          <w:highlight w:val="none"/>
        </w:rPr>
        <w:t>提供政务云</w:t>
      </w:r>
      <w:r>
        <w:rPr>
          <w:rFonts w:hint="eastAsia" w:ascii="宋体" w:hAnsi="宋体" w:cs="宋体"/>
          <w:kern w:val="0"/>
          <w:sz w:val="24"/>
          <w:szCs w:val="24"/>
          <w:highlight w:val="none"/>
          <w:lang w:val="en-US" w:eastAsia="zh-CN"/>
        </w:rPr>
        <w:t>扩展服务</w:t>
      </w:r>
      <w:r>
        <w:rPr>
          <w:rFonts w:hint="eastAsia" w:ascii="宋体" w:hAnsi="宋体" w:eastAsia="宋体" w:cs="宋体"/>
          <w:kern w:val="0"/>
          <w:sz w:val="24"/>
          <w:szCs w:val="24"/>
          <w:highlight w:val="none"/>
        </w:rPr>
        <w:t>，包括</w:t>
      </w:r>
      <w:r>
        <w:rPr>
          <w:rFonts w:hint="eastAsia" w:ascii="宋体" w:hAnsi="宋体" w:cs="宋体"/>
          <w:kern w:val="0"/>
          <w:sz w:val="24"/>
          <w:szCs w:val="24"/>
          <w:highlight w:val="none"/>
          <w:lang w:val="en-US" w:eastAsia="zh-CN"/>
        </w:rPr>
        <w:t>基础软件支撑服务、安全服务、安全检测、监测、审计服务</w:t>
      </w:r>
      <w:r>
        <w:rPr>
          <w:rFonts w:hint="eastAsia" w:ascii="宋体" w:hAnsi="宋体" w:eastAsia="宋体" w:cs="宋体"/>
          <w:kern w:val="0"/>
          <w:sz w:val="24"/>
          <w:szCs w:val="24"/>
          <w:highlight w:val="none"/>
        </w:rPr>
        <w:t>等</w:t>
      </w:r>
      <w:r>
        <w:rPr>
          <w:rFonts w:hint="eastAsia" w:ascii="宋体" w:hAnsi="宋体" w:eastAsia="宋体" w:cs="宋体"/>
          <w:kern w:val="0"/>
          <w:sz w:val="24"/>
          <w:szCs w:val="24"/>
          <w:highlight w:val="none"/>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51"/>
        <w:gridCol w:w="995"/>
        <w:gridCol w:w="2499"/>
        <w:gridCol w:w="700"/>
        <w:gridCol w:w="840"/>
        <w:gridCol w:w="860"/>
        <w:gridCol w:w="856"/>
      </w:tblGrid>
      <w:tr w14:paraId="5D5C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7DDC7C2D">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1" w:type="dxa"/>
            <w:noWrap w:val="0"/>
            <w:vAlign w:val="center"/>
          </w:tcPr>
          <w:p w14:paraId="43A78970">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服务类</w:t>
            </w:r>
          </w:p>
        </w:tc>
        <w:tc>
          <w:tcPr>
            <w:tcW w:w="995" w:type="dxa"/>
            <w:noWrap w:val="0"/>
            <w:vAlign w:val="center"/>
          </w:tcPr>
          <w:p w14:paraId="19FC21ED">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w:t>
            </w:r>
          </w:p>
        </w:tc>
        <w:tc>
          <w:tcPr>
            <w:tcW w:w="2499" w:type="dxa"/>
            <w:noWrap w:val="0"/>
            <w:vAlign w:val="center"/>
          </w:tcPr>
          <w:p w14:paraId="26709DF8">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服务描述或规格型号</w:t>
            </w:r>
          </w:p>
        </w:tc>
        <w:tc>
          <w:tcPr>
            <w:tcW w:w="700" w:type="dxa"/>
            <w:noWrap w:val="0"/>
            <w:vAlign w:val="center"/>
          </w:tcPr>
          <w:p w14:paraId="3F903AFE">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840" w:type="dxa"/>
            <w:noWrap w:val="0"/>
            <w:vAlign w:val="center"/>
          </w:tcPr>
          <w:p w14:paraId="0EDD1E44">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计价单位</w:t>
            </w:r>
          </w:p>
        </w:tc>
        <w:tc>
          <w:tcPr>
            <w:tcW w:w="860" w:type="dxa"/>
            <w:noWrap w:val="0"/>
            <w:vAlign w:val="center"/>
          </w:tcPr>
          <w:p w14:paraId="44CC94A9">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856" w:type="dxa"/>
            <w:noWrap w:val="0"/>
            <w:vAlign w:val="center"/>
          </w:tcPr>
          <w:p w14:paraId="3A8E2AAC">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762C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dxa"/>
            <w:noWrap/>
            <w:vAlign w:val="center"/>
          </w:tcPr>
          <w:p w14:paraId="39B83631">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w:t>
            </w:r>
          </w:p>
        </w:tc>
        <w:tc>
          <w:tcPr>
            <w:tcW w:w="7901" w:type="dxa"/>
            <w:gridSpan w:val="7"/>
            <w:noWrap w:val="0"/>
            <w:vAlign w:val="center"/>
          </w:tcPr>
          <w:p w14:paraId="3E00E512">
            <w:pPr>
              <w:shd w:val="clear" w:color="auto" w:fill="auto"/>
              <w:jc w:val="left"/>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基础软件支撑服务</w:t>
            </w:r>
          </w:p>
        </w:tc>
      </w:tr>
      <w:tr w14:paraId="64D6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16" w:type="dxa"/>
            <w:noWrap/>
            <w:vAlign w:val="center"/>
          </w:tcPr>
          <w:p w14:paraId="397258D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51" w:type="dxa"/>
            <w:noWrap w:val="0"/>
            <w:vAlign w:val="center"/>
          </w:tcPr>
          <w:p w14:paraId="2279FEAC">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商用操作系统套餐</w:t>
            </w:r>
          </w:p>
        </w:tc>
        <w:tc>
          <w:tcPr>
            <w:tcW w:w="995" w:type="dxa"/>
            <w:noWrap w:val="0"/>
            <w:vAlign w:val="center"/>
          </w:tcPr>
          <w:p w14:paraId="48AA5CD2">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国产商用操作系统套餐</w:t>
            </w:r>
          </w:p>
        </w:tc>
        <w:tc>
          <w:tcPr>
            <w:tcW w:w="2499" w:type="dxa"/>
            <w:noWrap w:val="0"/>
            <w:vAlign w:val="center"/>
          </w:tcPr>
          <w:p w14:paraId="037EF704">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国产Linux套餐：国产Linux操作系统服务租用、安装及维护。</w:t>
            </w:r>
          </w:p>
        </w:tc>
        <w:tc>
          <w:tcPr>
            <w:tcW w:w="700" w:type="dxa"/>
            <w:noWrap w:val="0"/>
            <w:vAlign w:val="center"/>
          </w:tcPr>
          <w:p w14:paraId="6759D0CA">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7BD423A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套</w:t>
            </w:r>
          </w:p>
        </w:tc>
        <w:tc>
          <w:tcPr>
            <w:tcW w:w="860" w:type="dxa"/>
            <w:noWrap w:val="0"/>
            <w:vAlign w:val="center"/>
          </w:tcPr>
          <w:p w14:paraId="1B445654">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元/套·月</w:t>
            </w:r>
          </w:p>
        </w:tc>
        <w:tc>
          <w:tcPr>
            <w:tcW w:w="856" w:type="dxa"/>
            <w:noWrap w:val="0"/>
            <w:vAlign w:val="center"/>
          </w:tcPr>
          <w:p w14:paraId="2601D733">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14:paraId="7C1B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16" w:type="dxa"/>
            <w:noWrap/>
            <w:vAlign w:val="center"/>
          </w:tcPr>
          <w:p w14:paraId="1A9A875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51" w:type="dxa"/>
            <w:noWrap w:val="0"/>
            <w:vAlign w:val="center"/>
          </w:tcPr>
          <w:p w14:paraId="4ED1F4C3">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商用数据库套餐</w:t>
            </w:r>
          </w:p>
        </w:tc>
        <w:tc>
          <w:tcPr>
            <w:tcW w:w="995" w:type="dxa"/>
            <w:noWrap w:val="0"/>
            <w:vAlign w:val="center"/>
          </w:tcPr>
          <w:p w14:paraId="0123EB64">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国产数据库套餐</w:t>
            </w:r>
          </w:p>
        </w:tc>
        <w:tc>
          <w:tcPr>
            <w:tcW w:w="2499" w:type="dxa"/>
            <w:noWrap w:val="0"/>
            <w:vAlign w:val="center"/>
          </w:tcPr>
          <w:p w14:paraId="56EE3A55">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国产商用数据库租用、安装及维护</w:t>
            </w:r>
          </w:p>
        </w:tc>
        <w:tc>
          <w:tcPr>
            <w:tcW w:w="700" w:type="dxa"/>
            <w:noWrap w:val="0"/>
            <w:vAlign w:val="center"/>
          </w:tcPr>
          <w:p w14:paraId="4D7E4E13">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194169B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套</w:t>
            </w:r>
          </w:p>
        </w:tc>
        <w:tc>
          <w:tcPr>
            <w:tcW w:w="860" w:type="dxa"/>
            <w:noWrap w:val="0"/>
            <w:vAlign w:val="center"/>
          </w:tcPr>
          <w:p w14:paraId="19D93C99">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元/套·月</w:t>
            </w:r>
          </w:p>
        </w:tc>
        <w:tc>
          <w:tcPr>
            <w:tcW w:w="856" w:type="dxa"/>
            <w:noWrap w:val="0"/>
            <w:vAlign w:val="center"/>
          </w:tcPr>
          <w:p w14:paraId="4C0253A0">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r>
      <w:tr w14:paraId="3D22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16" w:type="dxa"/>
            <w:noWrap/>
            <w:vAlign w:val="center"/>
          </w:tcPr>
          <w:p w14:paraId="22E64C4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51" w:type="dxa"/>
            <w:noWrap w:val="0"/>
            <w:vAlign w:val="center"/>
          </w:tcPr>
          <w:p w14:paraId="3B4DB369">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商用数据库套餐</w:t>
            </w:r>
          </w:p>
        </w:tc>
        <w:tc>
          <w:tcPr>
            <w:tcW w:w="995" w:type="dxa"/>
            <w:noWrap w:val="0"/>
            <w:vAlign w:val="center"/>
          </w:tcPr>
          <w:p w14:paraId="6AE220FD">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国产数据库套餐</w:t>
            </w:r>
          </w:p>
        </w:tc>
        <w:tc>
          <w:tcPr>
            <w:tcW w:w="2499" w:type="dxa"/>
            <w:noWrap w:val="0"/>
            <w:vAlign w:val="center"/>
          </w:tcPr>
          <w:p w14:paraId="6DC384E5">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国产商用数据库租用、安装及维护</w:t>
            </w:r>
          </w:p>
        </w:tc>
        <w:tc>
          <w:tcPr>
            <w:tcW w:w="700" w:type="dxa"/>
            <w:noWrap w:val="0"/>
            <w:vAlign w:val="center"/>
          </w:tcPr>
          <w:p w14:paraId="42D1B7B3">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21E4D86B">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套</w:t>
            </w:r>
          </w:p>
        </w:tc>
        <w:tc>
          <w:tcPr>
            <w:tcW w:w="860" w:type="dxa"/>
            <w:noWrap w:val="0"/>
            <w:vAlign w:val="center"/>
          </w:tcPr>
          <w:p w14:paraId="7D161AF4">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元/套·月</w:t>
            </w:r>
          </w:p>
        </w:tc>
        <w:tc>
          <w:tcPr>
            <w:tcW w:w="856" w:type="dxa"/>
            <w:noWrap w:val="0"/>
            <w:vAlign w:val="center"/>
          </w:tcPr>
          <w:p w14:paraId="55F837AF">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706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dxa"/>
            <w:noWrap/>
            <w:vAlign w:val="center"/>
          </w:tcPr>
          <w:p w14:paraId="4D0D1815">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51" w:type="dxa"/>
            <w:noWrap w:val="0"/>
            <w:vAlign w:val="center"/>
          </w:tcPr>
          <w:p w14:paraId="77F72434">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国产商用中间件套餐</w:t>
            </w:r>
          </w:p>
        </w:tc>
        <w:tc>
          <w:tcPr>
            <w:tcW w:w="995" w:type="dxa"/>
            <w:noWrap w:val="0"/>
            <w:vAlign w:val="center"/>
          </w:tcPr>
          <w:p w14:paraId="22F0E642">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国产中间件套餐</w:t>
            </w:r>
          </w:p>
        </w:tc>
        <w:tc>
          <w:tcPr>
            <w:tcW w:w="2499" w:type="dxa"/>
            <w:noWrap w:val="0"/>
            <w:vAlign w:val="center"/>
          </w:tcPr>
          <w:p w14:paraId="18CEFF65">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国产商用中间件租用、安装及维护</w:t>
            </w:r>
          </w:p>
        </w:tc>
        <w:tc>
          <w:tcPr>
            <w:tcW w:w="700" w:type="dxa"/>
            <w:noWrap w:val="0"/>
            <w:vAlign w:val="center"/>
          </w:tcPr>
          <w:p w14:paraId="6C4806D0">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58AE265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套</w:t>
            </w:r>
          </w:p>
        </w:tc>
        <w:tc>
          <w:tcPr>
            <w:tcW w:w="860" w:type="dxa"/>
            <w:noWrap w:val="0"/>
            <w:vAlign w:val="center"/>
          </w:tcPr>
          <w:p w14:paraId="25E7175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元/套·月</w:t>
            </w:r>
          </w:p>
        </w:tc>
        <w:tc>
          <w:tcPr>
            <w:tcW w:w="856" w:type="dxa"/>
            <w:noWrap w:val="0"/>
            <w:vAlign w:val="center"/>
          </w:tcPr>
          <w:p w14:paraId="091E77A6">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43C7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16" w:type="dxa"/>
            <w:noWrap/>
            <w:vAlign w:val="center"/>
          </w:tcPr>
          <w:p w14:paraId="3EE78296">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51" w:type="dxa"/>
            <w:noWrap w:val="0"/>
            <w:vAlign w:val="center"/>
          </w:tcPr>
          <w:p w14:paraId="3D285B2A">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国产商用中间件套餐</w:t>
            </w:r>
          </w:p>
        </w:tc>
        <w:tc>
          <w:tcPr>
            <w:tcW w:w="995" w:type="dxa"/>
            <w:noWrap w:val="0"/>
            <w:vAlign w:val="center"/>
          </w:tcPr>
          <w:p w14:paraId="7FABA80C">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国产中间件套餐</w:t>
            </w:r>
          </w:p>
        </w:tc>
        <w:tc>
          <w:tcPr>
            <w:tcW w:w="2499" w:type="dxa"/>
            <w:noWrap w:val="0"/>
            <w:vAlign w:val="center"/>
          </w:tcPr>
          <w:p w14:paraId="53DC32C6">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国产商用中间件租用、安装及维护</w:t>
            </w:r>
          </w:p>
        </w:tc>
        <w:tc>
          <w:tcPr>
            <w:tcW w:w="700" w:type="dxa"/>
            <w:noWrap w:val="0"/>
            <w:vAlign w:val="center"/>
          </w:tcPr>
          <w:p w14:paraId="3CDB6F92">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4D2BAC9B">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套</w:t>
            </w:r>
          </w:p>
        </w:tc>
        <w:tc>
          <w:tcPr>
            <w:tcW w:w="860" w:type="dxa"/>
            <w:noWrap w:val="0"/>
            <w:vAlign w:val="center"/>
          </w:tcPr>
          <w:p w14:paraId="5C3755E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元/套·月</w:t>
            </w:r>
          </w:p>
        </w:tc>
        <w:tc>
          <w:tcPr>
            <w:tcW w:w="856" w:type="dxa"/>
            <w:noWrap w:val="0"/>
            <w:vAlign w:val="center"/>
          </w:tcPr>
          <w:p w14:paraId="0D25DCA5">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472F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6" w:type="dxa"/>
            <w:noWrap/>
            <w:vAlign w:val="center"/>
          </w:tcPr>
          <w:p w14:paraId="716C047D">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w:t>
            </w:r>
          </w:p>
        </w:tc>
        <w:tc>
          <w:tcPr>
            <w:tcW w:w="7901" w:type="dxa"/>
            <w:gridSpan w:val="7"/>
            <w:noWrap w:val="0"/>
            <w:vAlign w:val="center"/>
          </w:tcPr>
          <w:p w14:paraId="7131CF6C">
            <w:pPr>
              <w:shd w:val="clear" w:color="auto" w:fill="auto"/>
              <w:jc w:val="left"/>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安全服务</w:t>
            </w:r>
          </w:p>
        </w:tc>
      </w:tr>
      <w:tr w14:paraId="4E09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6" w:type="dxa"/>
            <w:noWrap/>
            <w:vAlign w:val="center"/>
          </w:tcPr>
          <w:p w14:paraId="3824DBB0">
            <w:pPr>
              <w:shd w:val="clear" w:color="auto" w:fill="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151" w:type="dxa"/>
            <w:noWrap w:val="0"/>
            <w:vAlign w:val="center"/>
          </w:tcPr>
          <w:p w14:paraId="37EF8D53">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安全服务</w:t>
            </w:r>
          </w:p>
        </w:tc>
        <w:tc>
          <w:tcPr>
            <w:tcW w:w="995" w:type="dxa"/>
            <w:noWrap w:val="0"/>
            <w:vAlign w:val="center"/>
          </w:tcPr>
          <w:p w14:paraId="1D263E61">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主机杀毒服务</w:t>
            </w:r>
          </w:p>
        </w:tc>
        <w:tc>
          <w:tcPr>
            <w:tcW w:w="2499" w:type="dxa"/>
            <w:noWrap w:val="0"/>
            <w:vAlign w:val="center"/>
          </w:tcPr>
          <w:p w14:paraId="3BB02B28">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主机杀毒服务</w:t>
            </w:r>
          </w:p>
        </w:tc>
        <w:tc>
          <w:tcPr>
            <w:tcW w:w="700" w:type="dxa"/>
            <w:noWrap w:val="0"/>
            <w:vAlign w:val="center"/>
          </w:tcPr>
          <w:p w14:paraId="7E2C3330">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4357A34C">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860" w:type="dxa"/>
            <w:noWrap w:val="0"/>
            <w:vAlign w:val="center"/>
          </w:tcPr>
          <w:p w14:paraId="27E736B9">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元/台·月</w:t>
            </w:r>
          </w:p>
        </w:tc>
        <w:tc>
          <w:tcPr>
            <w:tcW w:w="856" w:type="dxa"/>
            <w:noWrap w:val="0"/>
            <w:vAlign w:val="center"/>
          </w:tcPr>
          <w:p w14:paraId="0ACA9C03">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14:paraId="28F1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16" w:type="dxa"/>
            <w:noWrap/>
            <w:vAlign w:val="center"/>
          </w:tcPr>
          <w:p w14:paraId="51886465">
            <w:pPr>
              <w:shd w:val="clear" w:color="auto" w:fill="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51" w:type="dxa"/>
            <w:noWrap w:val="0"/>
            <w:vAlign w:val="center"/>
          </w:tcPr>
          <w:p w14:paraId="3A99020D">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安全服务</w:t>
            </w:r>
          </w:p>
        </w:tc>
        <w:tc>
          <w:tcPr>
            <w:tcW w:w="995" w:type="dxa"/>
            <w:noWrap w:val="0"/>
            <w:vAlign w:val="center"/>
          </w:tcPr>
          <w:p w14:paraId="3160D5EA">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主机防护</w:t>
            </w:r>
          </w:p>
        </w:tc>
        <w:tc>
          <w:tcPr>
            <w:tcW w:w="2499" w:type="dxa"/>
            <w:noWrap w:val="0"/>
            <w:vAlign w:val="center"/>
          </w:tcPr>
          <w:p w14:paraId="46616C92">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主机防护</w:t>
            </w:r>
          </w:p>
        </w:tc>
        <w:tc>
          <w:tcPr>
            <w:tcW w:w="700" w:type="dxa"/>
            <w:noWrap w:val="0"/>
            <w:vAlign w:val="center"/>
          </w:tcPr>
          <w:p w14:paraId="2DABBA7C">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7D92578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860" w:type="dxa"/>
            <w:noWrap w:val="0"/>
            <w:vAlign w:val="center"/>
          </w:tcPr>
          <w:p w14:paraId="391DB2F3">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元/台·月</w:t>
            </w:r>
          </w:p>
        </w:tc>
        <w:tc>
          <w:tcPr>
            <w:tcW w:w="856" w:type="dxa"/>
            <w:noWrap w:val="0"/>
            <w:vAlign w:val="center"/>
          </w:tcPr>
          <w:p w14:paraId="1A130DFF">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14:paraId="17A8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16" w:type="dxa"/>
            <w:noWrap/>
            <w:vAlign w:val="center"/>
          </w:tcPr>
          <w:p w14:paraId="3FDBC2E9">
            <w:pPr>
              <w:shd w:val="clear" w:color="auto" w:fill="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51" w:type="dxa"/>
            <w:noWrap w:val="0"/>
            <w:vAlign w:val="center"/>
          </w:tcPr>
          <w:p w14:paraId="5057EF35">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安全服务</w:t>
            </w:r>
          </w:p>
        </w:tc>
        <w:tc>
          <w:tcPr>
            <w:tcW w:w="995" w:type="dxa"/>
            <w:noWrap w:val="0"/>
            <w:vAlign w:val="center"/>
          </w:tcPr>
          <w:p w14:paraId="13BE65DE">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主机安全加固</w:t>
            </w:r>
          </w:p>
        </w:tc>
        <w:tc>
          <w:tcPr>
            <w:tcW w:w="2499" w:type="dxa"/>
            <w:noWrap w:val="0"/>
            <w:vAlign w:val="center"/>
          </w:tcPr>
          <w:p w14:paraId="39DD4EB7">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主机安全加固</w:t>
            </w:r>
          </w:p>
        </w:tc>
        <w:tc>
          <w:tcPr>
            <w:tcW w:w="700" w:type="dxa"/>
            <w:noWrap w:val="0"/>
            <w:vAlign w:val="center"/>
          </w:tcPr>
          <w:p w14:paraId="6424B3B3">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noWrap w:val="0"/>
            <w:vAlign w:val="center"/>
          </w:tcPr>
          <w:p w14:paraId="69B6E7E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1台次</w:t>
            </w:r>
          </w:p>
        </w:tc>
        <w:tc>
          <w:tcPr>
            <w:tcW w:w="860" w:type="dxa"/>
            <w:noWrap w:val="0"/>
            <w:vAlign w:val="center"/>
          </w:tcPr>
          <w:p w14:paraId="556CAC5C">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元/台次</w:t>
            </w:r>
          </w:p>
        </w:tc>
        <w:tc>
          <w:tcPr>
            <w:tcW w:w="856" w:type="dxa"/>
            <w:noWrap w:val="0"/>
            <w:vAlign w:val="center"/>
          </w:tcPr>
          <w:p w14:paraId="17811E27">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14:paraId="4D28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16" w:type="dxa"/>
            <w:noWrap/>
            <w:vAlign w:val="center"/>
          </w:tcPr>
          <w:p w14:paraId="4B969AC1">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w:t>
            </w:r>
          </w:p>
        </w:tc>
        <w:tc>
          <w:tcPr>
            <w:tcW w:w="7901" w:type="dxa"/>
            <w:gridSpan w:val="7"/>
            <w:noWrap w:val="0"/>
            <w:vAlign w:val="center"/>
          </w:tcPr>
          <w:p w14:paraId="438F3262">
            <w:pPr>
              <w:shd w:val="clear" w:color="auto" w:fill="auto"/>
              <w:jc w:val="left"/>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安全检测、监测、审计服务</w:t>
            </w:r>
          </w:p>
        </w:tc>
      </w:tr>
      <w:tr w14:paraId="725C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6" w:type="dxa"/>
            <w:noWrap/>
            <w:vAlign w:val="center"/>
          </w:tcPr>
          <w:p w14:paraId="4EA87331">
            <w:pPr>
              <w:shd w:val="clear" w:color="auto" w:fill="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151" w:type="dxa"/>
            <w:noWrap w:val="0"/>
            <w:vAlign w:val="center"/>
          </w:tcPr>
          <w:p w14:paraId="37ADC860">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安全检测、监测、审计服务</w:t>
            </w:r>
          </w:p>
        </w:tc>
        <w:tc>
          <w:tcPr>
            <w:tcW w:w="995" w:type="dxa"/>
            <w:noWrap w:val="0"/>
            <w:vAlign w:val="center"/>
          </w:tcPr>
          <w:p w14:paraId="0CDBD90D">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主机漏洞扫描</w:t>
            </w:r>
          </w:p>
        </w:tc>
        <w:tc>
          <w:tcPr>
            <w:tcW w:w="2499" w:type="dxa"/>
            <w:noWrap w:val="0"/>
            <w:vAlign w:val="center"/>
          </w:tcPr>
          <w:p w14:paraId="73ED181B">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主机漏洞扫描</w:t>
            </w:r>
          </w:p>
        </w:tc>
        <w:tc>
          <w:tcPr>
            <w:tcW w:w="700" w:type="dxa"/>
            <w:noWrap w:val="0"/>
            <w:vAlign w:val="center"/>
          </w:tcPr>
          <w:p w14:paraId="2FF3DDCF">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noWrap w:val="0"/>
            <w:vAlign w:val="center"/>
          </w:tcPr>
          <w:p w14:paraId="404EA070">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1台次</w:t>
            </w:r>
          </w:p>
        </w:tc>
        <w:tc>
          <w:tcPr>
            <w:tcW w:w="860" w:type="dxa"/>
            <w:noWrap w:val="0"/>
            <w:vAlign w:val="center"/>
          </w:tcPr>
          <w:p w14:paraId="0E0FE6C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元/台次</w:t>
            </w:r>
          </w:p>
        </w:tc>
        <w:tc>
          <w:tcPr>
            <w:tcW w:w="856" w:type="dxa"/>
            <w:noWrap w:val="0"/>
            <w:vAlign w:val="center"/>
          </w:tcPr>
          <w:p w14:paraId="40D877B3">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14:paraId="5C73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16" w:type="dxa"/>
            <w:noWrap/>
            <w:vAlign w:val="center"/>
          </w:tcPr>
          <w:p w14:paraId="4BB849B1">
            <w:pPr>
              <w:shd w:val="clear" w:color="auto" w:fill="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51" w:type="dxa"/>
            <w:noWrap w:val="0"/>
            <w:vAlign w:val="center"/>
          </w:tcPr>
          <w:p w14:paraId="1B80C1F5">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安全检测、监测、审计服务</w:t>
            </w:r>
          </w:p>
        </w:tc>
        <w:tc>
          <w:tcPr>
            <w:tcW w:w="995" w:type="dxa"/>
            <w:noWrap w:val="0"/>
            <w:vAlign w:val="center"/>
          </w:tcPr>
          <w:p w14:paraId="43F2D4A0">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主机日志审计服务</w:t>
            </w:r>
          </w:p>
        </w:tc>
        <w:tc>
          <w:tcPr>
            <w:tcW w:w="2499" w:type="dxa"/>
            <w:noWrap w:val="0"/>
            <w:vAlign w:val="center"/>
          </w:tcPr>
          <w:p w14:paraId="10A1A21E">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主机日志分析</w:t>
            </w:r>
          </w:p>
        </w:tc>
        <w:tc>
          <w:tcPr>
            <w:tcW w:w="700" w:type="dxa"/>
            <w:noWrap w:val="0"/>
            <w:vAlign w:val="center"/>
          </w:tcPr>
          <w:p w14:paraId="56B7735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noWrap w:val="0"/>
            <w:vAlign w:val="center"/>
          </w:tcPr>
          <w:p w14:paraId="4A118589">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1台次</w:t>
            </w:r>
          </w:p>
        </w:tc>
        <w:tc>
          <w:tcPr>
            <w:tcW w:w="860" w:type="dxa"/>
            <w:noWrap w:val="0"/>
            <w:vAlign w:val="center"/>
          </w:tcPr>
          <w:p w14:paraId="569C466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元/台次</w:t>
            </w:r>
          </w:p>
        </w:tc>
        <w:tc>
          <w:tcPr>
            <w:tcW w:w="856" w:type="dxa"/>
            <w:noWrap w:val="0"/>
            <w:vAlign w:val="center"/>
          </w:tcPr>
          <w:p w14:paraId="2CFAC7E8">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14:paraId="3304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16" w:type="dxa"/>
            <w:noWrap/>
            <w:vAlign w:val="center"/>
          </w:tcPr>
          <w:p w14:paraId="56A30455">
            <w:pPr>
              <w:shd w:val="clear" w:color="auto" w:fill="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151" w:type="dxa"/>
            <w:noWrap w:val="0"/>
            <w:vAlign w:val="center"/>
          </w:tcPr>
          <w:p w14:paraId="2E6BEE04">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安全检测、监测、审计服务</w:t>
            </w:r>
          </w:p>
        </w:tc>
        <w:tc>
          <w:tcPr>
            <w:tcW w:w="995" w:type="dxa"/>
            <w:noWrap w:val="0"/>
            <w:vAlign w:val="center"/>
          </w:tcPr>
          <w:p w14:paraId="04BA6CB3">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数据库审计服务</w:t>
            </w:r>
          </w:p>
        </w:tc>
        <w:tc>
          <w:tcPr>
            <w:tcW w:w="2499" w:type="dxa"/>
            <w:noWrap w:val="0"/>
            <w:vAlign w:val="center"/>
          </w:tcPr>
          <w:p w14:paraId="41190F35">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数据库审计服务</w:t>
            </w:r>
          </w:p>
        </w:tc>
        <w:tc>
          <w:tcPr>
            <w:tcW w:w="700" w:type="dxa"/>
            <w:noWrap w:val="0"/>
            <w:vAlign w:val="center"/>
          </w:tcPr>
          <w:p w14:paraId="7D8681CA">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noWrap w:val="0"/>
            <w:vAlign w:val="center"/>
          </w:tcPr>
          <w:p w14:paraId="60B5B13E">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套</w:t>
            </w:r>
          </w:p>
        </w:tc>
        <w:tc>
          <w:tcPr>
            <w:tcW w:w="860" w:type="dxa"/>
            <w:noWrap w:val="0"/>
            <w:vAlign w:val="center"/>
          </w:tcPr>
          <w:p w14:paraId="6CF54D4E">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元/套·月</w:t>
            </w:r>
          </w:p>
        </w:tc>
        <w:tc>
          <w:tcPr>
            <w:tcW w:w="856" w:type="dxa"/>
            <w:noWrap w:val="0"/>
            <w:vAlign w:val="center"/>
          </w:tcPr>
          <w:p w14:paraId="500F8A62">
            <w:pPr>
              <w:keepNext w:val="0"/>
              <w:keepLines w:val="0"/>
              <w:widowControl/>
              <w:suppressLineNumbers w:val="0"/>
              <w:shd w:val="clear" w:color="auto" w:fill="auto"/>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bl>
    <w:p w14:paraId="634AA471">
      <w:pPr>
        <w:widowControl w:val="0"/>
        <w:shd w:val="clear" w:color="auto" w:fill="auto"/>
        <w:spacing w:after="120" w:line="480" w:lineRule="exact"/>
        <w:ind w:left="0" w:leftChars="0" w:firstLine="0" w:firstLineChars="0"/>
        <w:jc w:val="both"/>
        <w:rPr>
          <w:rFonts w:hint="default" w:ascii="Times New Roman" w:hAnsi="Times New Roman" w:eastAsia="宋体" w:cs="Times New Roman"/>
          <w:kern w:val="2"/>
          <w:sz w:val="24"/>
          <w:szCs w:val="20"/>
          <w:highlight w:val="none"/>
          <w:lang w:val="en-US" w:eastAsia="zh-CN" w:bidi="ar-SA"/>
        </w:rPr>
      </w:pPr>
    </w:p>
    <w:p w14:paraId="3AEEB2CC">
      <w:pPr>
        <w:widowControl w:val="0"/>
        <w:shd w:val="clear" w:color="auto" w:fill="auto"/>
        <w:bidi w:val="0"/>
        <w:spacing w:before="100" w:beforeAutospacing="1" w:after="100" w:afterAutospacing="1"/>
        <w:jc w:val="left"/>
        <w:outlineLvl w:val="3"/>
        <w:rPr>
          <w:rFonts w:hint="eastAsia" w:ascii="宋体" w:hAnsi="宋体" w:eastAsia="宋体" w:cs="Times New Roman"/>
          <w:b/>
          <w:bCs/>
          <w:kern w:val="0"/>
          <w:sz w:val="24"/>
          <w:szCs w:val="24"/>
          <w:lang w:val="en-US" w:eastAsia="zh-CN" w:bidi="ar"/>
        </w:rPr>
      </w:pPr>
      <w:r>
        <w:rPr>
          <w:rFonts w:hint="eastAsia" w:ascii="宋体" w:hAnsi="宋体" w:eastAsia="宋体" w:cs="Times New Roman"/>
          <w:b/>
          <w:bCs/>
          <w:kern w:val="0"/>
          <w:sz w:val="24"/>
          <w:szCs w:val="24"/>
          <w:lang w:val="en-US" w:eastAsia="zh-CN" w:bidi="ar"/>
        </w:rPr>
        <w:t>1.2 需执行的国家相关标准、行业标准、地方标准或者其他标准、规范</w:t>
      </w:r>
    </w:p>
    <w:p w14:paraId="061C0ADA">
      <w:pPr>
        <w:widowControl/>
        <w:numPr>
          <w:ilvl w:val="0"/>
          <w:numId w:val="0"/>
        </w:numPr>
        <w:shd w:val="clear" w:color="auto" w:fill="auto"/>
        <w:tabs>
          <w:tab w:val="left" w:pos="988"/>
          <w:tab w:val="left" w:pos="1135"/>
        </w:tabs>
        <w:spacing w:line="560" w:lineRule="exact"/>
        <w:ind w:firstLine="480" w:firstLineChars="200"/>
        <w:contextualSpacing/>
        <w:rPr>
          <w:rFonts w:hint="default" w:ascii="宋体" w:hAnsi="宋体" w:eastAsia="宋体" w:cs="宋体"/>
          <w:i w:val="0"/>
          <w:iCs w:val="0"/>
          <w:sz w:val="24"/>
          <w:highlight w:val="none"/>
          <w:lang w:val="en-US" w:eastAsia="zh-CN"/>
        </w:rPr>
      </w:pPr>
      <w:r>
        <w:rPr>
          <w:rFonts w:hint="default" w:ascii="宋体" w:hAnsi="宋体" w:eastAsia="宋体" w:cs="宋体"/>
          <w:i w:val="0"/>
          <w:iCs w:val="0"/>
          <w:sz w:val="24"/>
          <w:highlight w:val="none"/>
          <w:lang w:val="en-US" w:eastAsia="zh-CN"/>
        </w:rPr>
        <w:t>GB/T 37734-2019 信息技术 云计算 云服务采购指南</w:t>
      </w:r>
    </w:p>
    <w:p w14:paraId="14821D92">
      <w:pPr>
        <w:widowControl/>
        <w:numPr>
          <w:ilvl w:val="0"/>
          <w:numId w:val="0"/>
        </w:numPr>
        <w:shd w:val="clear" w:color="auto" w:fill="auto"/>
        <w:tabs>
          <w:tab w:val="left" w:pos="988"/>
          <w:tab w:val="left" w:pos="1135"/>
        </w:tabs>
        <w:spacing w:line="560" w:lineRule="exact"/>
        <w:ind w:firstLine="480" w:firstLineChars="200"/>
        <w:contextualSpacing/>
        <w:rPr>
          <w:rFonts w:hint="default" w:ascii="宋体" w:hAnsi="宋体" w:eastAsia="宋体" w:cs="宋体"/>
          <w:i w:val="0"/>
          <w:iCs w:val="0"/>
          <w:sz w:val="24"/>
          <w:highlight w:val="none"/>
          <w:lang w:val="en-US" w:eastAsia="zh-CN"/>
        </w:rPr>
      </w:pPr>
      <w:r>
        <w:rPr>
          <w:rFonts w:hint="default" w:ascii="宋体" w:hAnsi="宋体" w:eastAsia="宋体" w:cs="宋体"/>
          <w:i w:val="0"/>
          <w:iCs w:val="0"/>
          <w:sz w:val="24"/>
          <w:highlight w:val="none"/>
          <w:lang w:val="en-US" w:eastAsia="zh-CN"/>
        </w:rPr>
        <w:t>GB/T 31167-2023 信息安全技术 云计算服务安全指南</w:t>
      </w:r>
    </w:p>
    <w:p w14:paraId="454C60B9">
      <w:pPr>
        <w:widowControl/>
        <w:numPr>
          <w:ilvl w:val="0"/>
          <w:numId w:val="0"/>
        </w:numPr>
        <w:shd w:val="clear" w:color="auto" w:fill="auto"/>
        <w:tabs>
          <w:tab w:val="left" w:pos="988"/>
          <w:tab w:val="left" w:pos="1135"/>
        </w:tabs>
        <w:spacing w:line="560" w:lineRule="exact"/>
        <w:ind w:firstLine="480" w:firstLineChars="200"/>
        <w:contextualSpacing/>
        <w:rPr>
          <w:rFonts w:hint="default" w:ascii="宋体" w:hAnsi="宋体" w:eastAsia="宋体" w:cs="宋体"/>
          <w:i w:val="0"/>
          <w:iCs w:val="0"/>
          <w:sz w:val="24"/>
          <w:highlight w:val="none"/>
          <w:lang w:val="en-US" w:eastAsia="zh-CN"/>
        </w:rPr>
      </w:pPr>
      <w:r>
        <w:rPr>
          <w:rFonts w:hint="default" w:ascii="宋体" w:hAnsi="宋体" w:eastAsia="宋体" w:cs="宋体"/>
          <w:i w:val="0"/>
          <w:iCs w:val="0"/>
          <w:sz w:val="24"/>
          <w:highlight w:val="none"/>
          <w:lang w:val="en-US" w:eastAsia="zh-CN"/>
        </w:rPr>
        <w:t>GB/T 31168-2023</w:t>
      </w:r>
      <w:r>
        <w:rPr>
          <w:rFonts w:hint="eastAsia" w:ascii="宋体" w:hAnsi="宋体" w:eastAsia="宋体" w:cs="宋体"/>
          <w:i w:val="0"/>
          <w:iCs w:val="0"/>
          <w:sz w:val="24"/>
          <w:highlight w:val="none"/>
          <w:lang w:val="en-US" w:eastAsia="zh-CN"/>
        </w:rPr>
        <w:t xml:space="preserve"> 信息安全技术 云计算服务安全能力要求</w:t>
      </w:r>
    </w:p>
    <w:p w14:paraId="2FD20713">
      <w:pPr>
        <w:widowControl/>
        <w:numPr>
          <w:ilvl w:val="0"/>
          <w:numId w:val="0"/>
        </w:numPr>
        <w:shd w:val="clear" w:color="auto" w:fill="auto"/>
        <w:tabs>
          <w:tab w:val="left" w:pos="988"/>
          <w:tab w:val="left" w:pos="1135"/>
        </w:tabs>
        <w:spacing w:line="560" w:lineRule="exact"/>
        <w:ind w:firstLine="480" w:firstLineChars="200"/>
        <w:contextualSpacing/>
        <w:rPr>
          <w:rFonts w:hint="default" w:ascii="宋体" w:hAnsi="宋体" w:eastAsia="宋体" w:cs="宋体"/>
          <w:i w:val="0"/>
          <w:iCs w:val="0"/>
          <w:sz w:val="24"/>
          <w:highlight w:val="none"/>
          <w:lang w:val="en-US" w:eastAsia="zh-CN"/>
        </w:rPr>
      </w:pPr>
      <w:r>
        <w:rPr>
          <w:rFonts w:hint="default" w:ascii="宋体" w:hAnsi="宋体" w:eastAsia="宋体" w:cs="宋体"/>
          <w:i w:val="0"/>
          <w:iCs w:val="0"/>
          <w:sz w:val="24"/>
          <w:highlight w:val="none"/>
          <w:lang w:val="en-US" w:eastAsia="zh-CN"/>
        </w:rPr>
        <w:t>GB/T 22239-2019 信息安全技术 网络安全等级保护基本要求</w:t>
      </w:r>
    </w:p>
    <w:p w14:paraId="37A233DF">
      <w:pPr>
        <w:widowControl/>
        <w:numPr>
          <w:ilvl w:val="0"/>
          <w:numId w:val="0"/>
        </w:numPr>
        <w:shd w:val="clear" w:color="auto" w:fill="auto"/>
        <w:tabs>
          <w:tab w:val="left" w:pos="988"/>
          <w:tab w:val="left" w:pos="1135"/>
        </w:tabs>
        <w:spacing w:line="560" w:lineRule="exact"/>
        <w:ind w:firstLine="480" w:firstLineChars="200"/>
        <w:contextualSpacing/>
        <w:rPr>
          <w:rFonts w:hint="eastAsia" w:ascii="宋体" w:hAnsi="宋体" w:eastAsia="宋体" w:cs="宋体"/>
          <w:i w:val="0"/>
          <w:iCs w:val="0"/>
          <w:sz w:val="24"/>
          <w:highlight w:val="none"/>
          <w:lang w:val="en-US" w:eastAsia="zh-CN"/>
        </w:rPr>
      </w:pPr>
      <w:r>
        <w:rPr>
          <w:rFonts w:hint="eastAsia" w:ascii="宋体" w:hAnsi="宋体" w:eastAsia="宋体" w:cs="宋体"/>
          <w:color w:val="auto"/>
          <w:sz w:val="24"/>
          <w:highlight w:val="none"/>
        </w:rPr>
        <w:t>GB/T 22240-2020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信息安全技术</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网络安全等级保护定级指南</w:t>
      </w:r>
    </w:p>
    <w:p w14:paraId="197ED368">
      <w:pPr>
        <w:widowControl/>
        <w:numPr>
          <w:ilvl w:val="0"/>
          <w:numId w:val="0"/>
        </w:numPr>
        <w:shd w:val="clear" w:color="auto" w:fill="auto"/>
        <w:tabs>
          <w:tab w:val="left" w:pos="988"/>
          <w:tab w:val="left" w:pos="1135"/>
        </w:tabs>
        <w:spacing w:line="560" w:lineRule="exact"/>
        <w:ind w:firstLine="480" w:firstLineChars="200"/>
        <w:contextualSpacing/>
        <w:rPr>
          <w:rFonts w:hint="default" w:ascii="宋体" w:hAnsi="宋体" w:eastAsia="宋体" w:cs="宋体"/>
          <w:i w:val="0"/>
          <w:iCs w:val="0"/>
          <w:sz w:val="24"/>
          <w:highlight w:val="none"/>
          <w:lang w:val="en-US" w:eastAsia="zh-CN"/>
        </w:rPr>
      </w:pPr>
      <w:r>
        <w:rPr>
          <w:rFonts w:hint="default" w:ascii="宋体" w:hAnsi="宋体" w:eastAsia="宋体" w:cs="宋体"/>
          <w:i w:val="0"/>
          <w:iCs w:val="0"/>
          <w:sz w:val="24"/>
          <w:highlight w:val="none"/>
          <w:lang w:val="en-US" w:eastAsia="zh-CN"/>
        </w:rPr>
        <w:t>GB/T 39786-2021 信息安全技术 信息系统密码应用基本要求</w:t>
      </w:r>
    </w:p>
    <w:p w14:paraId="4E25A5AB">
      <w:pPr>
        <w:numPr>
          <w:ilvl w:val="0"/>
          <w:numId w:val="0"/>
        </w:numPr>
        <w:shd w:val="clear" w:color="auto" w:fill="auto"/>
        <w:tabs>
          <w:tab w:val="left" w:pos="988"/>
          <w:tab w:val="left" w:pos="1135"/>
        </w:tabs>
        <w:spacing w:line="560" w:lineRule="exact"/>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GB/T 46346-2025 人工智能 计算中心 计算能力评估</w:t>
      </w:r>
    </w:p>
    <w:p w14:paraId="7297360B">
      <w:pPr>
        <w:numPr>
          <w:ilvl w:val="0"/>
          <w:numId w:val="0"/>
        </w:numPr>
        <w:shd w:val="clear" w:color="auto" w:fill="auto"/>
        <w:tabs>
          <w:tab w:val="left" w:pos="988"/>
          <w:tab w:val="left" w:pos="1135"/>
        </w:tabs>
        <w:spacing w:line="560" w:lineRule="exact"/>
        <w:ind w:firstLine="480"/>
        <w:rPr>
          <w:rFonts w:hint="default" w:ascii="宋体" w:hAnsi="宋体" w:eastAsia="宋体" w:cs="宋体"/>
          <w:i w:val="0"/>
          <w:iCs w:val="0"/>
          <w:sz w:val="24"/>
          <w:highlight w:val="none"/>
          <w:lang w:val="en-US" w:eastAsia="zh-CN"/>
        </w:rPr>
      </w:pPr>
      <w:r>
        <w:rPr>
          <w:rFonts w:hint="default" w:ascii="宋体" w:hAnsi="宋体" w:eastAsia="宋体" w:cs="宋体"/>
          <w:i w:val="0"/>
          <w:iCs w:val="0"/>
          <w:sz w:val="24"/>
          <w:highlight w:val="none"/>
          <w:lang w:val="en-US" w:eastAsia="zh-CN"/>
        </w:rPr>
        <w:t>DB11/T 2169-2023 北京市政务云平台建设技术要求</w:t>
      </w:r>
    </w:p>
    <w:p w14:paraId="1597166A">
      <w:pPr>
        <w:keepNext/>
        <w:keepLines/>
        <w:widowControl w:val="0"/>
        <w:shd w:val="clear" w:color="auto" w:fill="auto"/>
        <w:bidi w:val="0"/>
        <w:spacing w:before="260" w:beforeLines="0" w:beforeAutospacing="0" w:after="260" w:afterLines="0" w:afterAutospacing="0" w:line="413" w:lineRule="auto"/>
        <w:jc w:val="both"/>
        <w:outlineLvl w:val="2"/>
        <w:rPr>
          <w:rFonts w:ascii="Times New Roman" w:hAnsi="Times New Roman" w:eastAsia="宋体" w:cs="Times New Roman"/>
          <w:b/>
          <w:kern w:val="2"/>
          <w:sz w:val="32"/>
          <w:szCs w:val="24"/>
          <w:u w:val="none"/>
          <w:lang w:val="en-US" w:eastAsia="zh-CN" w:bidi="ar-SA"/>
        </w:rPr>
      </w:pPr>
      <w:r>
        <w:rPr>
          <w:rFonts w:ascii="Times New Roman" w:hAnsi="Times New Roman" w:eastAsia="宋体" w:cs="Times New Roman"/>
          <w:b/>
          <w:kern w:val="2"/>
          <w:sz w:val="32"/>
          <w:szCs w:val="24"/>
          <w:u w:val="none"/>
          <w:lang w:val="en-US" w:eastAsia="zh-CN" w:bidi="ar-SA"/>
        </w:rPr>
        <w:t>2. 服务内容及要求/货物技术要求</w:t>
      </w:r>
    </w:p>
    <w:p w14:paraId="3EBA9593">
      <w:pPr>
        <w:widowControl w:val="0"/>
        <w:shd w:val="clear" w:color="auto" w:fill="auto"/>
        <w:bidi w:val="0"/>
        <w:spacing w:before="100" w:beforeAutospacing="1" w:after="100" w:afterAutospacing="1"/>
        <w:jc w:val="left"/>
        <w:outlineLvl w:val="3"/>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2.1政务云服务要求</w:t>
      </w:r>
    </w:p>
    <w:p w14:paraId="4ABC8F94">
      <w:pPr>
        <w:keepNext/>
        <w:keepLines/>
        <w:widowControl w:val="0"/>
        <w:shd w:val="clear" w:color="auto" w:fill="auto"/>
        <w:bidi w:val="0"/>
        <w:spacing w:before="280" w:beforeLines="0" w:beforeAutospacing="0" w:after="290" w:afterLines="0" w:afterAutospacing="0" w:line="372" w:lineRule="auto"/>
        <w:jc w:val="both"/>
        <w:outlineLvl w:val="4"/>
        <w:rPr>
          <w:rFonts w:hint="default"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2.1.</w:t>
      </w:r>
      <w:r>
        <w:rPr>
          <w:rFonts w:hint="default" w:ascii="Times New Roman" w:hAnsi="Times New Roman" w:eastAsia="宋体" w:cs="Times New Roman"/>
          <w:b/>
          <w:kern w:val="2"/>
          <w:sz w:val="28"/>
          <w:szCs w:val="24"/>
          <w:lang w:val="en-US" w:eastAsia="zh-CN" w:bidi="ar-SA"/>
        </w:rPr>
        <w:t>1</w:t>
      </w:r>
      <w:r>
        <w:rPr>
          <w:rFonts w:hint="eastAsia" w:ascii="Times New Roman" w:hAnsi="Times New Roman" w:eastAsia="宋体" w:cs="Times New Roman"/>
          <w:b/>
          <w:kern w:val="2"/>
          <w:sz w:val="28"/>
          <w:szCs w:val="24"/>
          <w:lang w:val="en-US" w:eastAsia="zh-CN" w:bidi="ar-SA"/>
        </w:rPr>
        <w:t xml:space="preserve"> </w:t>
      </w:r>
      <w:r>
        <w:rPr>
          <w:rFonts w:hint="default" w:ascii="Times New Roman" w:hAnsi="Times New Roman" w:eastAsia="宋体" w:cs="Times New Roman"/>
          <w:b/>
          <w:kern w:val="2"/>
          <w:sz w:val="28"/>
          <w:szCs w:val="24"/>
          <w:lang w:val="en-US" w:eastAsia="zh-CN" w:bidi="ar-SA"/>
        </w:rPr>
        <w:t>政务云基础服务</w:t>
      </w:r>
    </w:p>
    <w:p w14:paraId="1EE3320E">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2.1.1.1</w:t>
      </w:r>
      <w:r>
        <w:rPr>
          <w:rFonts w:hint="default" w:ascii="宋体" w:hAnsi="宋体" w:eastAsia="宋体" w:cs="宋体"/>
          <w:kern w:val="2"/>
          <w:sz w:val="24"/>
          <w:szCs w:val="24"/>
          <w:highlight w:val="none"/>
          <w:lang w:val="en-US" w:eastAsia="zh-CN" w:bidi="ar-SA"/>
        </w:rPr>
        <w:t>计算服务</w:t>
      </w:r>
    </w:p>
    <w:p w14:paraId="1EEFB263">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提供主频不低于2.</w:t>
      </w:r>
      <w:r>
        <w:rPr>
          <w:rFonts w:hint="eastAsia" w:ascii="宋体" w:hAnsi="宋体" w:eastAsia="宋体" w:cs="宋体"/>
          <w:kern w:val="2"/>
          <w:sz w:val="24"/>
          <w:szCs w:val="24"/>
          <w:highlight w:val="none"/>
          <w:lang w:val="en-US" w:eastAsia="zh-CN" w:bidi="ar-SA"/>
        </w:rPr>
        <w:t>2</w:t>
      </w:r>
      <w:r>
        <w:rPr>
          <w:rFonts w:hint="default" w:ascii="宋体" w:hAnsi="宋体" w:eastAsia="宋体" w:cs="宋体"/>
          <w:kern w:val="2"/>
          <w:sz w:val="24"/>
          <w:szCs w:val="24"/>
          <w:highlight w:val="none"/>
          <w:lang w:val="en-US" w:eastAsia="zh-CN" w:bidi="ar-SA"/>
        </w:rPr>
        <w:t>GHz的vCPU租用服务，总线频率不低于2666MHz的内存租用服务。按照采购人要求对vCPU及内存进行动态调整，自接到工单至完成调整时间不超过4小时。</w:t>
      </w:r>
    </w:p>
    <w:p w14:paraId="72DFD323">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2.1.1.2</w:t>
      </w:r>
      <w:r>
        <w:rPr>
          <w:rFonts w:hint="default" w:ascii="宋体" w:hAnsi="宋体" w:eastAsia="宋体" w:cs="宋体"/>
          <w:kern w:val="2"/>
          <w:sz w:val="24"/>
          <w:szCs w:val="24"/>
          <w:highlight w:val="none"/>
          <w:lang w:val="en-US" w:eastAsia="zh-CN" w:bidi="ar-SA"/>
        </w:rPr>
        <w:t>存储服务</w:t>
      </w:r>
    </w:p>
    <w:p w14:paraId="73F3CE97">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14:paraId="250463E6">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2.1.1.3</w:t>
      </w:r>
      <w:r>
        <w:rPr>
          <w:rFonts w:hint="default" w:ascii="宋体" w:hAnsi="宋体" w:eastAsia="宋体" w:cs="宋体"/>
          <w:kern w:val="2"/>
          <w:sz w:val="24"/>
          <w:szCs w:val="24"/>
          <w:highlight w:val="none"/>
          <w:lang w:val="en-US" w:eastAsia="zh-CN" w:bidi="ar-SA"/>
        </w:rPr>
        <w:t>网络服务</w:t>
      </w:r>
    </w:p>
    <w:p w14:paraId="6AB9A177">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在政务云流量入口架设WAF防护服务，实时升级漏洞补丁，配置防护策略，起到前端防护作用。</w:t>
      </w:r>
    </w:p>
    <w:p w14:paraId="31F0F72D">
      <w:pPr>
        <w:keepNext w:val="0"/>
        <w:keepLines w:val="0"/>
        <w:numPr>
          <w:ilvl w:val="0"/>
          <w:numId w:val="0"/>
        </w:numPr>
        <w:shd w:val="clear" w:color="auto" w:fill="auto"/>
        <w:tabs>
          <w:tab w:val="left" w:pos="988"/>
          <w:tab w:val="left" w:pos="1135"/>
        </w:tabs>
        <w:spacing w:line="560" w:lineRule="exact"/>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2.1.1.4 GPU算力租赁服务</w:t>
      </w:r>
    </w:p>
    <w:p w14:paraId="708131A1">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（1）投标人提供的算力服务整机配置要求：整机CPU≥128核，内存≥1536GB，存储≥15.36TB，算力卡数量 ≥8块，单卡显存容量 ≥64GB；单卡 FP16 算力≥196 TFLOPS，或整机 FP16 算力 ≥1.53 PFLOPS；支持 FP32/FP16/BF16/INT8 等主流计算精度；</w:t>
      </w:r>
      <w:r>
        <w:rPr>
          <w:rFonts w:hint="default" w:ascii="宋体" w:hAnsi="宋体" w:eastAsia="宋体" w:cs="宋体"/>
          <w:sz w:val="24"/>
          <w:szCs w:val="24"/>
          <w:highlight w:val="none"/>
          <w:lang w:val="en-US" w:eastAsia="zh-CN"/>
        </w:rPr>
        <w:t>卡间通信带宽≥64G/S（双向），智算服务器支持≥100G/S网口支持</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整机至少两个网口</w:t>
      </w:r>
      <w:r>
        <w:rPr>
          <w:rFonts w:hint="eastAsia" w:ascii="宋体" w:hAnsi="宋体" w:eastAsia="宋体" w:cs="宋体"/>
          <w:sz w:val="24"/>
          <w:szCs w:val="24"/>
          <w:highlight w:val="none"/>
          <w:lang w:val="en-US" w:eastAsia="zh-CN"/>
        </w:rPr>
        <w:t>。</w:t>
      </w:r>
    </w:p>
    <w:p w14:paraId="795056AF">
      <w:pPr>
        <w:shd w:val="clear" w:color="auto" w:fill="auto"/>
        <w:tabs>
          <w:tab w:val="left" w:pos="988"/>
          <w:tab w:val="left" w:pos="1135"/>
        </w:tabs>
        <w:spacing w:line="560" w:lineRule="exact"/>
        <w:ind w:left="0" w:firstLine="48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投标人提供的算力服务GPU芯片需为国产自主产品，</w:t>
      </w:r>
      <w:r>
        <w:rPr>
          <w:rFonts w:hint="default" w:ascii="宋体" w:hAnsi="宋体" w:eastAsia="宋体" w:cs="宋体"/>
          <w:sz w:val="24"/>
          <w:szCs w:val="24"/>
          <w:highlight w:val="none"/>
          <w:lang w:val="en-US" w:eastAsia="zh-CN"/>
        </w:rPr>
        <w:t>需</w:t>
      </w:r>
      <w:r>
        <w:rPr>
          <w:rFonts w:hint="eastAsia" w:ascii="宋体" w:hAnsi="宋体" w:eastAsia="宋体" w:cs="宋体"/>
          <w:sz w:val="24"/>
          <w:szCs w:val="24"/>
          <w:highlight w:val="none"/>
          <w:lang w:val="en-US" w:eastAsia="zh-CN"/>
        </w:rPr>
        <w:t>承诺中标后能获得</w:t>
      </w:r>
      <w:r>
        <w:rPr>
          <w:rFonts w:hint="default" w:ascii="宋体" w:hAnsi="宋体" w:eastAsia="宋体" w:cs="宋体"/>
          <w:sz w:val="24"/>
          <w:szCs w:val="24"/>
          <w:highlight w:val="none"/>
          <w:lang w:val="en-US" w:eastAsia="zh-CN"/>
        </w:rPr>
        <w:t>GPU芯片制造商对本项目的授权书盖章证明以及原厂售后服务承诺。</w:t>
      </w:r>
    </w:p>
    <w:p w14:paraId="384185F5">
      <w:pPr>
        <w:shd w:val="clear" w:color="auto" w:fill="auto"/>
        <w:tabs>
          <w:tab w:val="left" w:pos="988"/>
          <w:tab w:val="left" w:pos="1135"/>
        </w:tabs>
        <w:spacing w:line="560" w:lineRule="exact"/>
        <w:ind w:left="0" w:firstLine="48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w:t>
      </w:r>
      <w:r>
        <w:rPr>
          <w:rFonts w:hint="eastAsia" w:ascii="宋体" w:hAnsi="宋体" w:eastAsia="宋体" w:cs="宋体"/>
          <w:sz w:val="24"/>
          <w:highlight w:val="none"/>
          <w:lang w:val="en-US" w:eastAsia="zh-CN"/>
        </w:rPr>
        <w:t>3</w:t>
      </w:r>
      <w:r>
        <w:rPr>
          <w:rFonts w:hint="default" w:ascii="宋体" w:hAnsi="宋体" w:eastAsia="宋体" w:cs="宋体"/>
          <w:sz w:val="24"/>
          <w:highlight w:val="none"/>
          <w:lang w:val="en-US" w:eastAsia="zh-CN"/>
        </w:rPr>
        <w:t>）</w:t>
      </w:r>
      <w:r>
        <w:rPr>
          <w:rFonts w:hint="eastAsia" w:ascii="宋体" w:hAnsi="宋体" w:eastAsia="宋体" w:cs="宋体"/>
          <w:sz w:val="24"/>
          <w:highlight w:val="none"/>
          <w:lang w:val="en-US" w:eastAsia="zh-CN"/>
        </w:rPr>
        <w:t>服务期</w:t>
      </w:r>
      <w:r>
        <w:rPr>
          <w:rFonts w:hint="default" w:ascii="宋体" w:hAnsi="宋体" w:eastAsia="宋体" w:cs="宋体"/>
          <w:sz w:val="24"/>
          <w:highlight w:val="none"/>
          <w:lang w:val="en-US" w:eastAsia="zh-CN"/>
        </w:rPr>
        <w:t>内提供设备日常运维支持，包含集群内硬件故障检测维修、固件定期更新，保障单机及集群整体计算能力稳定。</w:t>
      </w:r>
      <w:r>
        <w:rPr>
          <w:rFonts w:hint="eastAsia" w:ascii="宋体" w:hAnsi="宋体" w:eastAsia="宋体" w:cs="宋体"/>
          <w:sz w:val="24"/>
          <w:highlight w:val="none"/>
          <w:lang w:val="en-US" w:eastAsia="zh-CN"/>
        </w:rPr>
        <w:t>需</w:t>
      </w:r>
      <w:r>
        <w:rPr>
          <w:rFonts w:hint="default" w:ascii="宋体" w:hAnsi="宋体" w:eastAsia="宋体" w:cs="宋体"/>
          <w:sz w:val="24"/>
          <w:highlight w:val="none"/>
          <w:lang w:val="en-US" w:eastAsia="zh-CN"/>
        </w:rPr>
        <w:t>配套提供柜电服务，按服务器运行功率保障24小时稳定供电，确保设备不间断运行。</w:t>
      </w:r>
    </w:p>
    <w:p w14:paraId="2BF9D437">
      <w:pPr>
        <w:keepNext/>
        <w:keepLines/>
        <w:widowControl w:val="0"/>
        <w:shd w:val="clear" w:color="auto" w:fill="auto"/>
        <w:bidi w:val="0"/>
        <w:spacing w:before="280" w:beforeLines="0" w:beforeAutospacing="0" w:after="290" w:afterLines="0" w:afterAutospacing="0" w:line="372" w:lineRule="auto"/>
        <w:jc w:val="both"/>
        <w:outlineLvl w:val="4"/>
        <w:rPr>
          <w:rFonts w:hint="eastAsia"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2.1.2 政务云扩展服务</w:t>
      </w:r>
    </w:p>
    <w:p w14:paraId="7137A151">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商用</w:t>
      </w:r>
      <w:r>
        <w:rPr>
          <w:rFonts w:hint="eastAsia" w:ascii="宋体" w:hAnsi="宋体" w:eastAsia="宋体" w:cs="宋体"/>
          <w:sz w:val="24"/>
          <w:szCs w:val="24"/>
          <w:highlight w:val="none"/>
          <w:lang w:val="en-US" w:eastAsia="zh-CN"/>
        </w:rPr>
        <w:t>国产</w:t>
      </w:r>
      <w:r>
        <w:rPr>
          <w:rFonts w:hint="eastAsia" w:ascii="宋体" w:hAnsi="宋体" w:eastAsia="宋体" w:cs="宋体"/>
          <w:sz w:val="24"/>
          <w:szCs w:val="24"/>
          <w:highlight w:val="none"/>
        </w:rPr>
        <w:t>操作系统租用服务</w:t>
      </w:r>
    </w:p>
    <w:p w14:paraId="5CD8D300">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按照采购人的具体需求提供商用操作系统租用服务，提供主流商业操作系统服务，应支持</w:t>
      </w:r>
      <w:r>
        <w:rPr>
          <w:rFonts w:hint="eastAsia" w:ascii="宋体" w:hAnsi="宋体" w:eastAsia="宋体" w:cs="宋体"/>
          <w:sz w:val="24"/>
          <w:szCs w:val="24"/>
          <w:highlight w:val="none"/>
          <w:lang w:val="en-US" w:eastAsia="zh-CN"/>
        </w:rPr>
        <w:t>中标麒麟、银河麒麟、统信OS等</w:t>
      </w:r>
      <w:r>
        <w:rPr>
          <w:rFonts w:hint="eastAsia" w:ascii="宋体" w:hAnsi="宋体" w:eastAsia="宋体" w:cs="宋体"/>
          <w:sz w:val="24"/>
          <w:szCs w:val="24"/>
          <w:highlight w:val="none"/>
        </w:rPr>
        <w:t>各种主流版本，并提供操作系统的安装部署和各种故障处理。提供的商用操作系统必须是正版授权。在提供服务的过程中需做好与采购人及对应信息系统建设及运维厂商的协调对接工作。</w:t>
      </w:r>
    </w:p>
    <w:p w14:paraId="1D616271">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（2）商用国产数据库租用服务</w:t>
      </w:r>
    </w:p>
    <w:p w14:paraId="53866DE1">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按照采购人的有关管理规定及具体需求，提供2种以上国产数据库（人大金仓、达梦、GBase等）许可，并提供国产数据库的安装部署和各种故障处理。</w:t>
      </w:r>
    </w:p>
    <w:p w14:paraId="5ED02E46">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（3）商用国产中间件租用服务</w:t>
      </w:r>
    </w:p>
    <w:p w14:paraId="48639D91">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按照采购人的有关管理规定及具体需求，提供2种以上国产商用中间件</w:t>
      </w:r>
      <w:r>
        <w:rPr>
          <w:rFonts w:hint="eastAsia" w:ascii="宋体" w:hAnsi="宋体" w:eastAsia="宋体" w:cs="宋体"/>
          <w:sz w:val="24"/>
          <w:szCs w:val="24"/>
          <w:highlight w:val="none"/>
          <w:lang w:val="en-US" w:eastAsia="zh-CN"/>
        </w:rPr>
        <w:t>（如东方通、宝兰德等）</w:t>
      </w:r>
      <w:r>
        <w:rPr>
          <w:rFonts w:hint="default" w:ascii="宋体" w:hAnsi="宋体" w:eastAsia="宋体" w:cs="宋体"/>
          <w:sz w:val="24"/>
          <w:szCs w:val="24"/>
          <w:highlight w:val="none"/>
          <w:lang w:val="en-US" w:eastAsia="zh-CN"/>
        </w:rPr>
        <w:t>许可，并提供国产商用中间件的安装部署和各种故障处理。</w:t>
      </w:r>
    </w:p>
    <w:p w14:paraId="19BF1AD6">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（4）主机杀毒服务</w:t>
      </w:r>
    </w:p>
    <w:p w14:paraId="06508401">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提供主机杀毒服务，对云主机进行定期的病毒查杀，实施杀毒软件集中控制。提供全覆盖、集中化、常态化病毒查杀与安全防护服务，杀毒软件需选用适配国产操作系统，针对病毒查杀过程中发现的恶意程序、木马、病毒等安全威胁，第一时间启动隔离、清除、溯源处置流程，同步形成查杀报告与处置建议。</w:t>
      </w:r>
    </w:p>
    <w:p w14:paraId="46D61334">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（5）主机防护</w:t>
      </w:r>
    </w:p>
    <w:p w14:paraId="4876CCC5">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提供符合等保三级要求的主机权限管理及安全防护。可对主机系统安全涉及的控制点形成立体防护。投标人需为政务云内所有云主机提供全方位、立体化的主机权限管理与安全防护服务，需构建覆盖云主机全生命周期的安全防护体系，提供主机异常行为实时监测、非法入侵主动拦截、暴力破解防护、端口违规访问管控等防护功能，支持与政务云安全平台联动，全面满足等保三级对云主机安全的各项控制点要求，保障政务云主机安全合规运行。</w:t>
      </w:r>
    </w:p>
    <w:p w14:paraId="7E654827">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（6）主机安全加固</w:t>
      </w:r>
    </w:p>
    <w:p w14:paraId="019D7B0E">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根据主机漏洞扫描结果对操作系统暴露的安全问题进行系统加固。提供操作系统内核漏洞修复、高危补丁安装、违规端口与服务关闭、不安全配置项优化、账户口令策略加固、日志审计功能强化、远程登录权限管控、恶意程序残留清理等。</w:t>
      </w:r>
    </w:p>
    <w:p w14:paraId="75F24FD9">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（7）主机漏洞扫描</w:t>
      </w:r>
    </w:p>
    <w:p w14:paraId="77898F8A">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基于漏洞数据库，通过扫描等手段对主机安全脆弱性进行检测。常规漏洞扫描每月不少于1次，重大漏洞爆发、国家网络安全预警发布后，24小时内启动专项应急扫描；扫描范围全面覆盖云主机操作系统、内置软件、开放端口、系统配置、账户权限等全维度，扫描结果需精准区分漏洞风险等级（高危、中危、低危），详细标注漏洞名称、风险描述、影响范围、危害程度及官方修复建议。</w:t>
      </w:r>
    </w:p>
    <w:p w14:paraId="1EFADDEB">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（8）主机日志分析</w:t>
      </w:r>
    </w:p>
    <w:p w14:paraId="4D94A558">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对主机系统日志进行采集分析处理，用于发现各种安全威胁、异常行为事件。主机系统日志应集中存储，且日志存储时间不低于6个月。日志分析需具备智能化研判能力，支持日志分类解析、异常行为规则匹配、安全告警自动触发、趋势分析、事件溯源等功能，针对发现的安全风险与异常行为，第一时间推送告警信息至运维人员，同步形成分析报告与处置建议；定期出具主机日志分析周报、月报，汇总安全态势、异常事件、运维短板，为采购人优化主机安全策略提供依据。</w:t>
      </w:r>
    </w:p>
    <w:p w14:paraId="4BADEA00">
      <w:pPr>
        <w:keepNext w:val="0"/>
        <w:keepLines w:val="0"/>
        <w:pageBreakBefore w:val="0"/>
        <w:numPr>
          <w:ilvl w:val="0"/>
          <w:numId w:val="0"/>
        </w:numPr>
        <w:shd w:val="clear" w:color="auto" w:fill="auto"/>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（9）</w:t>
      </w:r>
      <w:r>
        <w:rPr>
          <w:rFonts w:hint="eastAsia" w:ascii="宋体" w:hAnsi="宋体" w:eastAsia="宋体" w:cs="宋体"/>
          <w:sz w:val="24"/>
          <w:szCs w:val="24"/>
          <w:highlight w:val="none"/>
        </w:rPr>
        <w:t>数据库审计服务</w:t>
      </w:r>
    </w:p>
    <w:p w14:paraId="24DA1FD1">
      <w:pPr>
        <w:keepNext w:val="0"/>
        <w:keepLines w:val="0"/>
        <w:pageBreakBefore w:val="0"/>
        <w:shd w:val="clear" w:color="auto" w:fill="auto"/>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14:paraId="798B0588">
      <w:pPr>
        <w:widowControl w:val="0"/>
        <w:shd w:val="clear" w:color="auto" w:fill="auto"/>
        <w:bidi w:val="0"/>
        <w:spacing w:before="100" w:beforeAutospacing="1" w:after="100" w:afterAutospacing="1"/>
        <w:jc w:val="left"/>
        <w:outlineLvl w:val="3"/>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2.2运维及安全保障服务</w:t>
      </w:r>
    </w:p>
    <w:p w14:paraId="72737E3E">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中标人提供的政务云环境应在等保三级基础上，按各业务系统具体安全需求，开展相应等保评估、检查、整改等工作。</w:t>
      </w:r>
    </w:p>
    <w:p w14:paraId="1CEB284D">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（1）服务规范</w:t>
      </w:r>
    </w:p>
    <w:p w14:paraId="10181C05">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中标人须严格按照《北京市市级政务云管理办法》以及采购人制定的管理办法及流程等相关制度，开展标准化运维工作。</w:t>
      </w:r>
    </w:p>
    <w:p w14:paraId="20DC2498">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（2）服务方式</w:t>
      </w:r>
    </w:p>
    <w:p w14:paraId="56784805">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中标人需利用监控系统或人工对机房环境、硬件设备及应用系统的运行情况进行7*24小时的不间断巡检监控，及时发现安全隐患，通知相关人员及时处理，并形成监控报告。</w:t>
      </w:r>
    </w:p>
    <w:p w14:paraId="58DE4689">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负责设立技术支持热线，并安排专人值守，为运维工作提供7*24小时热线支持服务。中标人针对采购人要求的云平台运维服务相关内容，需指定专业技术能力较强的工程师，根据采购人要求配合开展相关维护服务。</w:t>
      </w:r>
    </w:p>
    <w:p w14:paraId="6C9C55B7">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w:t>
      </w:r>
    </w:p>
    <w:p w14:paraId="7B316128">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（3）响应的及时性</w:t>
      </w:r>
    </w:p>
    <w:p w14:paraId="7830206D">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应提供高效的系统维护服务，有效防范系统风险，保证7*24小时电话畅通，发生故障应在15分钟内响应；能够在系统发生除宕机外的其他故障问题时，能够协调人力资源在1小时内到达运维现场提供服务。系统发生宕机问题时，中标人应在30分钟内响应，在2个小时之内使系统恢复正常。具备故障快速定位和恢复能力，故障定位排除时限不超过 30 分钟，重要信息系统故障定位排除时限不超过 10 分钟。故障处理完毕后提供相关系统宕机报告。</w:t>
      </w:r>
    </w:p>
    <w:p w14:paraId="37EA2176">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（4）业务系统迁移及部署调整要求</w:t>
      </w:r>
    </w:p>
    <w:p w14:paraId="7421066B">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要求本项目涉及的系统在北京市政务云上平稳运行，如中标人需进行系统迁移，应确保在5个工作日内完成业务系统迁移部署工作，且不能影响业务系统的正常运行，如因系统迁移导致最终用户系统损坏、数据丢失，一切后果均由中标人承担。</w:t>
      </w:r>
    </w:p>
    <w:p w14:paraId="5AF9F9C5">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如采购人业务需要，中标人须配合开展信息系统入云部署、测试、上线、运维、退出，配合建立入云信息系统的运维制度、应急预案等，提供7*24小时技术支持服务。</w:t>
      </w:r>
    </w:p>
    <w:p w14:paraId="4987926D">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（5）重点保障要求</w:t>
      </w:r>
    </w:p>
    <w:p w14:paraId="3735F612">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中标人应具备完善的系统服务保障体系，配备足够的技术人员，在重大节假日、重大活动及业务高峰期内加大运维保障力度，保证期间系统平稳运行。</w:t>
      </w:r>
    </w:p>
    <w:p w14:paraId="495EDBA6">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（6）安全保障要求</w:t>
      </w:r>
    </w:p>
    <w:p w14:paraId="51B16BE9">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638C9402">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（7）重要时期安全保障要求</w:t>
      </w:r>
    </w:p>
    <w:p w14:paraId="42D24681">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中标人应具备完善的系统</w:t>
      </w:r>
      <w:r>
        <w:rPr>
          <w:rFonts w:hint="eastAsia" w:ascii="宋体" w:hAnsi="宋体" w:eastAsia="宋体" w:cs="宋体"/>
          <w:kern w:val="2"/>
          <w:sz w:val="24"/>
          <w:szCs w:val="24"/>
          <w:highlight w:val="none"/>
          <w:lang w:val="en-US" w:eastAsia="zh-CN" w:bidi="ar-SA"/>
        </w:rPr>
        <w:t>安全</w:t>
      </w:r>
      <w:r>
        <w:rPr>
          <w:rFonts w:hint="default" w:ascii="宋体" w:hAnsi="宋体" w:eastAsia="宋体" w:cs="宋体"/>
          <w:kern w:val="2"/>
          <w:sz w:val="24"/>
          <w:szCs w:val="24"/>
          <w:highlight w:val="none"/>
          <w:lang w:val="en-US" w:eastAsia="zh-CN" w:bidi="ar-SA"/>
        </w:rPr>
        <w:t>保障体系，配备足够的</w:t>
      </w:r>
      <w:r>
        <w:rPr>
          <w:rFonts w:hint="eastAsia" w:ascii="宋体" w:hAnsi="宋体" w:eastAsia="宋体" w:cs="宋体"/>
          <w:kern w:val="2"/>
          <w:sz w:val="24"/>
          <w:szCs w:val="24"/>
          <w:highlight w:val="none"/>
          <w:lang w:val="en-US" w:eastAsia="zh-CN" w:bidi="ar-SA"/>
        </w:rPr>
        <w:t>安全专业</w:t>
      </w:r>
      <w:r>
        <w:rPr>
          <w:rFonts w:hint="default" w:ascii="宋体" w:hAnsi="宋体" w:eastAsia="宋体" w:cs="宋体"/>
          <w:kern w:val="2"/>
          <w:sz w:val="24"/>
          <w:szCs w:val="24"/>
          <w:highlight w:val="none"/>
          <w:lang w:val="en-US" w:eastAsia="zh-CN" w:bidi="ar-SA"/>
        </w:rPr>
        <w:t>人员，在五一、国庆、春节等</w:t>
      </w:r>
      <w:r>
        <w:rPr>
          <w:rFonts w:hint="eastAsia" w:ascii="宋体" w:hAnsi="宋体" w:eastAsia="宋体" w:cs="宋体"/>
          <w:kern w:val="2"/>
          <w:sz w:val="24"/>
          <w:szCs w:val="24"/>
          <w:highlight w:val="none"/>
          <w:lang w:val="en-US" w:eastAsia="zh-CN" w:bidi="ar-SA"/>
        </w:rPr>
        <w:t>重要假期，两会、护网等</w:t>
      </w:r>
      <w:r>
        <w:rPr>
          <w:rFonts w:hint="default" w:ascii="宋体" w:hAnsi="宋体" w:eastAsia="宋体" w:cs="宋体"/>
          <w:kern w:val="2"/>
          <w:sz w:val="24"/>
          <w:szCs w:val="24"/>
          <w:highlight w:val="none"/>
          <w:lang w:val="en-US" w:eastAsia="zh-CN" w:bidi="ar-SA"/>
        </w:rPr>
        <w:t>重大活动期间加大</w:t>
      </w:r>
      <w:r>
        <w:rPr>
          <w:rFonts w:hint="eastAsia" w:ascii="宋体" w:hAnsi="宋体" w:eastAsia="宋体" w:cs="宋体"/>
          <w:kern w:val="2"/>
          <w:sz w:val="24"/>
          <w:szCs w:val="24"/>
          <w:highlight w:val="none"/>
          <w:lang w:val="en-US" w:eastAsia="zh-CN" w:bidi="ar-SA"/>
        </w:rPr>
        <w:t>安全</w:t>
      </w:r>
      <w:r>
        <w:rPr>
          <w:rFonts w:hint="default" w:ascii="宋体" w:hAnsi="宋体" w:eastAsia="宋体" w:cs="宋体"/>
          <w:kern w:val="2"/>
          <w:sz w:val="24"/>
          <w:szCs w:val="24"/>
          <w:highlight w:val="none"/>
          <w:lang w:val="en-US" w:eastAsia="zh-CN" w:bidi="ar-SA"/>
        </w:rPr>
        <w:t>保障力度，</w:t>
      </w:r>
      <w:r>
        <w:rPr>
          <w:rFonts w:hint="eastAsia" w:ascii="宋体" w:hAnsi="宋体" w:eastAsia="宋体" w:cs="宋体"/>
          <w:kern w:val="2"/>
          <w:sz w:val="24"/>
          <w:szCs w:val="24"/>
          <w:highlight w:val="none"/>
          <w:lang w:val="en-US" w:eastAsia="zh-CN" w:bidi="ar-SA"/>
        </w:rPr>
        <w:t>制定规范的安全保障机制，保障系统安全稳定运行。</w:t>
      </w:r>
    </w:p>
    <w:p w14:paraId="1036E6C0">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（8）安全及保密要求</w:t>
      </w:r>
    </w:p>
    <w:p w14:paraId="2CAB1E3F">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中标人须严格遵守采购人的相关信息安全规定，不得利用系统维护服务时的便利将采购人数据及其他信息进行擅自修改或透漏给第三方。</w:t>
      </w:r>
    </w:p>
    <w:p w14:paraId="3FB2962B">
      <w:pPr>
        <w:widowControl w:val="0"/>
        <w:shd w:val="clear" w:color="auto" w:fill="auto"/>
        <w:bidi w:val="0"/>
        <w:spacing w:before="100" w:beforeAutospacing="1" w:after="100" w:afterAutospacing="1"/>
        <w:jc w:val="left"/>
        <w:outlineLvl w:val="3"/>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2.3项目绩效指标</w:t>
      </w:r>
    </w:p>
    <w:p w14:paraId="7FE210F1">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（1）云服务可用性≥99.99%；</w:t>
      </w:r>
    </w:p>
    <w:p w14:paraId="031BAECF">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（2）政务云数据可靠性≥99.9999%；</w:t>
      </w:r>
    </w:p>
    <w:p w14:paraId="574B22FC">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（3）故障响应率100%；</w:t>
      </w:r>
    </w:p>
    <w:p w14:paraId="7A6CCA7B">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（4）政务云资源使用率综合指标不低于33%；</w:t>
      </w:r>
    </w:p>
    <w:p w14:paraId="3CA76DCA">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（5）GPU算力日间平均利用率不低于60%；</w:t>
      </w:r>
    </w:p>
    <w:p w14:paraId="1F6086E9">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（6）政务云服务系统运维用户满意度≥90%。</w:t>
      </w:r>
    </w:p>
    <w:p w14:paraId="0219597A">
      <w:pPr>
        <w:widowControl w:val="0"/>
        <w:shd w:val="clear" w:color="auto" w:fill="auto"/>
        <w:bidi w:val="0"/>
        <w:spacing w:before="100" w:beforeAutospacing="1" w:after="100" w:afterAutospacing="1"/>
        <w:jc w:val="left"/>
        <w:outlineLvl w:val="3"/>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2.4工作交接需求</w:t>
      </w:r>
    </w:p>
    <w:p w14:paraId="36CF9452">
      <w:pPr>
        <w:keepNext w:val="0"/>
        <w:keepLines w:val="0"/>
        <w:pageBreakBefore w:val="0"/>
        <w:widowControl w:val="0"/>
        <w:numPr>
          <w:ilvl w:val="0"/>
          <w:numId w:val="0"/>
        </w:numPr>
        <w:shd w:val="clear" w:color="auto" w:fill="auto"/>
        <w:tabs>
          <w:tab w:val="left" w:pos="1162"/>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由于运维服务连续性和不可中断的要求，中标人需要针对本项目制定交接方案，包括入场交接和离场交接两个方面。</w:t>
      </w:r>
    </w:p>
    <w:p w14:paraId="2A9F6E87">
      <w:pPr>
        <w:widowControl w:val="0"/>
        <w:shd w:val="clear" w:color="auto" w:fill="auto"/>
        <w:bidi w:val="0"/>
        <w:spacing w:before="100" w:beforeAutospacing="1" w:after="100" w:afterAutospacing="1"/>
        <w:jc w:val="left"/>
        <w:outlineLvl w:val="3"/>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2.5其他要求</w:t>
      </w:r>
    </w:p>
    <w:p w14:paraId="515A379A">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服务期内，投标人须设有7×24小时电话响应服务、具备运维团队，提供售后服务保障。须提供项目负责人1人、技术负责人1人以及相应实施人员，具体要求：</w:t>
      </w:r>
    </w:p>
    <w:p w14:paraId="0B736D9E">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（1）需明确项目负责人和技术负责人，并承诺在通州区留庄路3号院或通州区新华东街48号2区31号楼办公，需提供承诺函并盖投标人单位公章。</w:t>
      </w:r>
    </w:p>
    <w:p w14:paraId="37226952">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（2）项目负责人应具备5年以上（包括5年）云技术项目管理工作经验，项目负责人需具备</w:t>
      </w:r>
      <w:r>
        <w:rPr>
          <w:rFonts w:hint="eastAsia" w:ascii="宋体" w:hAnsi="宋体" w:eastAsia="宋体" w:cs="宋体"/>
          <w:color w:val="000000"/>
          <w:kern w:val="0"/>
          <w:sz w:val="24"/>
          <w:szCs w:val="22"/>
          <w:highlight w:val="none"/>
          <w:lang w:val="en-US" w:eastAsia="zh-CN" w:bidi="ar-SA"/>
        </w:rPr>
        <w:t>信息安全保障能力</w:t>
      </w:r>
      <w:r>
        <w:rPr>
          <w:rFonts w:hint="eastAsia" w:ascii="宋体" w:hAnsi="宋体" w:eastAsia="宋体" w:cs="宋体"/>
          <w:kern w:val="2"/>
          <w:sz w:val="24"/>
          <w:szCs w:val="24"/>
          <w:highlight w:val="none"/>
          <w:lang w:val="en-US" w:eastAsia="zh-CN" w:bidi="ar-SA"/>
        </w:rPr>
        <w:t>，具备信息系统项目管理师（高级）、</w:t>
      </w:r>
      <w:r>
        <w:rPr>
          <w:rFonts w:hint="eastAsia" w:ascii="宋体" w:hAnsi="宋体" w:eastAsia="宋体" w:cs="宋体"/>
          <w:color w:val="000000"/>
          <w:kern w:val="0"/>
          <w:sz w:val="24"/>
          <w:szCs w:val="22"/>
          <w:highlight w:val="none"/>
          <w:lang w:val="en-US" w:eastAsia="zh-CN" w:bidi="ar-SA"/>
        </w:rPr>
        <w:t>信息安全保障人员认证证书（安全运维专业级或以上）、信息安全保障人员认证证书（应急服务专业级或以上）、重要信息系统安全等级保护认证证书（CIIPT-A或CIIPT-D）</w:t>
      </w:r>
      <w:r>
        <w:rPr>
          <w:rFonts w:hint="eastAsia" w:ascii="宋体" w:hAnsi="宋体" w:eastAsia="宋体" w:cs="宋体"/>
          <w:kern w:val="2"/>
          <w:sz w:val="24"/>
          <w:szCs w:val="24"/>
          <w:highlight w:val="none"/>
          <w:lang w:val="en-US" w:eastAsia="zh-CN" w:bidi="ar-SA"/>
        </w:rPr>
        <w:t>，需提供工作经验证明和任意一个月的人员缴纳社保证明，并盖投标人单位公章，提供有效期内的认证证书。</w:t>
      </w:r>
    </w:p>
    <w:p w14:paraId="6E88F08B">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（3）技术负责人应具备</w:t>
      </w:r>
      <w:r>
        <w:rPr>
          <w:rFonts w:hint="eastAsia" w:ascii="宋体" w:hAnsi="宋体" w:eastAsia="宋体" w:cs="宋体"/>
          <w:color w:val="000000"/>
          <w:kern w:val="2"/>
          <w:sz w:val="24"/>
          <w:szCs w:val="24"/>
          <w:highlight w:val="none"/>
          <w:lang w:val="en-US" w:eastAsia="zh-CN" w:bidi="ar-SA"/>
        </w:rPr>
        <w:t>5年以上（包括5年）</w:t>
      </w:r>
      <w:r>
        <w:rPr>
          <w:rFonts w:hint="eastAsia" w:ascii="宋体" w:hAnsi="宋体" w:eastAsia="宋体" w:cs="宋体"/>
          <w:kern w:val="2"/>
          <w:sz w:val="24"/>
          <w:szCs w:val="24"/>
          <w:highlight w:val="none"/>
          <w:lang w:val="en-US" w:eastAsia="zh-CN" w:bidi="ar-SA"/>
        </w:rPr>
        <w:t>从事云技术服务经验，技术负责人需具备</w:t>
      </w:r>
      <w:r>
        <w:rPr>
          <w:rFonts w:hint="eastAsia" w:ascii="宋体" w:hAnsi="宋体" w:eastAsia="宋体" w:cs="宋体"/>
          <w:color w:val="000000"/>
          <w:kern w:val="0"/>
          <w:sz w:val="24"/>
          <w:szCs w:val="22"/>
          <w:highlight w:val="none"/>
          <w:lang w:val="en-US" w:eastAsia="zh-CN" w:bidi="ar-SA"/>
        </w:rPr>
        <w:t>信息安全保障能力</w:t>
      </w:r>
      <w:r>
        <w:rPr>
          <w:rFonts w:hint="eastAsia" w:ascii="宋体" w:hAnsi="宋体" w:eastAsia="宋体" w:cs="宋体"/>
          <w:kern w:val="2"/>
          <w:sz w:val="24"/>
          <w:szCs w:val="24"/>
          <w:highlight w:val="none"/>
          <w:lang w:val="en-US" w:eastAsia="zh-CN" w:bidi="ar-SA"/>
        </w:rPr>
        <w:t>，同时具备信息安全保障人员认证证书（安全集成专业级或以上）、信息安全保障人员认证证书（应急服务专业级或以上），需提供工作经验证明和任意一个月的人员缴纳社保证明，并盖投标人单位公章，提供有效期内的认证证书。</w:t>
      </w:r>
    </w:p>
    <w:p w14:paraId="1A534D81">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（4）项目组人员（除项目负责人和技术负责人之外）需具备计算机技术与软件专业能力和</w:t>
      </w:r>
      <w:r>
        <w:rPr>
          <w:rFonts w:hint="eastAsia" w:ascii="宋体" w:hAnsi="宋体" w:eastAsia="宋体" w:cs="宋体"/>
          <w:color w:val="000000"/>
          <w:kern w:val="0"/>
          <w:sz w:val="24"/>
          <w:szCs w:val="22"/>
          <w:highlight w:val="none"/>
          <w:lang w:val="en-US" w:eastAsia="zh-CN" w:bidi="ar-SA"/>
        </w:rPr>
        <w:t>信息安全保障能力，</w:t>
      </w:r>
      <w:r>
        <w:rPr>
          <w:rFonts w:hint="eastAsia" w:ascii="宋体" w:hAnsi="宋体" w:eastAsia="宋体" w:cs="宋体"/>
          <w:kern w:val="2"/>
          <w:sz w:val="24"/>
          <w:szCs w:val="24"/>
          <w:highlight w:val="none"/>
          <w:lang w:val="en-US" w:eastAsia="zh-CN" w:bidi="ar-SA"/>
        </w:rPr>
        <w:t>具有计算机技术与软件专业技术资格（水平）中级及以上证书或注册信息安全工程师认证证书，需提供工作经验证明并盖投标人单位公章，提供有效期内的认证证书。</w:t>
      </w:r>
    </w:p>
    <w:p w14:paraId="657D33E9">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投标人应根据项目特点和北京市政务云管理要求，制定政务云安全管理规范、政务云运维服务工作规范及表单、政务云运维服务制度与规范。</w:t>
      </w:r>
    </w:p>
    <w:p w14:paraId="25845010">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投标人应针对采购人实际业务情况，分析项目开展过程中难点和关键点，提出相应的应对措施，应结合自身经验，对本项目实施提出合理化建议。</w:t>
      </w:r>
    </w:p>
    <w:p w14:paraId="04B91811">
      <w:pPr>
        <w:keepNext/>
        <w:keepLines/>
        <w:widowControl w:val="0"/>
        <w:shd w:val="clear" w:color="auto" w:fill="auto"/>
        <w:bidi w:val="0"/>
        <w:spacing w:before="260" w:beforeLines="0" w:beforeAutospacing="0" w:after="260" w:afterLines="0" w:afterAutospacing="0" w:line="413" w:lineRule="auto"/>
        <w:jc w:val="both"/>
        <w:outlineLvl w:val="2"/>
        <w:rPr>
          <w:rFonts w:ascii="Times New Roman" w:hAnsi="Times New Roman" w:eastAsia="宋体" w:cs="Times New Roman"/>
          <w:b/>
          <w:kern w:val="2"/>
          <w:sz w:val="32"/>
          <w:szCs w:val="24"/>
          <w:u w:val="none"/>
          <w:lang w:val="en-US" w:eastAsia="zh-CN" w:bidi="ar-SA"/>
        </w:rPr>
      </w:pPr>
      <w:r>
        <w:rPr>
          <w:rFonts w:ascii="Times New Roman" w:hAnsi="Times New Roman" w:eastAsia="宋体" w:cs="Times New Roman"/>
          <w:b/>
          <w:kern w:val="2"/>
          <w:sz w:val="32"/>
          <w:szCs w:val="24"/>
          <w:u w:val="none"/>
          <w:lang w:val="en-US" w:eastAsia="zh-CN" w:bidi="ar-SA"/>
        </w:rPr>
        <w:t>3. 验收标准</w:t>
      </w:r>
    </w:p>
    <w:p w14:paraId="4269B507">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1、各系统安全、稳定运行，实现全年正常运行率超过99.99%，故障响应率100%。严格落实《信息安全等级保护2.0》等保三级要求，覆盖物理安全、网络安全、主机安全、应用安全、数据安全及安全管理制度等方面。</w:t>
      </w:r>
    </w:p>
    <w:p w14:paraId="1B328FDA">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2、中标人需在合同签订后1个月内完成不少于100P算力设备上架并具备服务能力。</w:t>
      </w:r>
    </w:p>
    <w:p w14:paraId="338B9AE6">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3、提供政务云基础服务及扩展服务应包含计算服务（CPU 1128核、内存3268GB）、存储服务（普通存储6582GB、高性能存储57824GB）、网络服务（远程接入服务10个、WAF 10个），基础软件支撑服务（国产商用操作系统34套、数据库8套、中间件6套）、安全服务（主机防护、杀毒、安全加固、漏扫、日志分析及数据库审计）。</w:t>
      </w:r>
    </w:p>
    <w:p w14:paraId="5FCA701B">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4、整机CPU≥128核，内存≥1536GB，存储≥15.36TB，算力卡数量 ≥8块，单卡显存容量 ≥64GB；单卡 FP16 算力≥196 TFLOPS，或整机 FP16 算力 ≥1.53 PFLOPS；支持 FP32/FP16/BF16/INT8 等主流计算精度；</w:t>
      </w:r>
      <w:r>
        <w:rPr>
          <w:rFonts w:hint="default" w:ascii="宋体" w:hAnsi="宋体" w:eastAsia="宋体" w:cs="宋体"/>
          <w:kern w:val="2"/>
          <w:sz w:val="24"/>
          <w:szCs w:val="24"/>
          <w:highlight w:val="none"/>
          <w:lang w:val="en-US" w:eastAsia="zh-CN" w:bidi="ar-SA"/>
        </w:rPr>
        <w:t>卡间通信带宽≥64G/S（双向），智算服务器支持≥100G/S网口支持</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整机至少两个网口</w:t>
      </w:r>
      <w:r>
        <w:rPr>
          <w:rFonts w:hint="eastAsia" w:ascii="宋体" w:hAnsi="宋体" w:eastAsia="宋体" w:cs="宋体"/>
          <w:kern w:val="2"/>
          <w:sz w:val="24"/>
          <w:szCs w:val="24"/>
          <w:highlight w:val="none"/>
          <w:lang w:val="en-US" w:eastAsia="zh-CN" w:bidi="ar-SA"/>
        </w:rPr>
        <w:t>。</w:t>
      </w:r>
    </w:p>
    <w:p w14:paraId="728C7407">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5、中标人完成合同全部工作后应及时通知采购人进行最终验收。采购人组织验收合格的，采购人在验收合格报告上签字；验收不合格的，中标人应当在 10个工作日内进行调整，并重新提交采购人验收。</w:t>
      </w:r>
    </w:p>
    <w:p w14:paraId="13ED0EC2">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6、合同最终验收合格后，中标人应向采购人提交如下合同成果： </w:t>
      </w:r>
    </w:p>
    <w:p w14:paraId="64D723B7">
      <w:pPr>
        <w:keepNext w:val="0"/>
        <w:keepLines w:val="0"/>
        <w:widowControl w:val="0"/>
        <w:tabs>
          <w:tab w:val="left" w:pos="1162"/>
        </w:tabs>
        <w:spacing w:before="260" w:beforeLines="0" w:beforeAutospacing="0" w:after="260" w:afterLines="0" w:afterAutospacing="0" w:line="24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（1）《政务云服务周报》；</w:t>
      </w:r>
    </w:p>
    <w:p w14:paraId="39CD1581">
      <w:pPr>
        <w:keepNext w:val="0"/>
        <w:keepLines w:val="0"/>
        <w:widowControl w:val="0"/>
        <w:tabs>
          <w:tab w:val="left" w:pos="1162"/>
        </w:tabs>
        <w:spacing w:before="260" w:beforeLines="0" w:beforeAutospacing="0" w:after="260" w:afterLines="0" w:afterAutospacing="0" w:line="24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（2）《政务云服务月报》：包含巡检监控情况、云资源使用合理化建议等；</w:t>
      </w:r>
    </w:p>
    <w:p w14:paraId="4A58297D">
      <w:pPr>
        <w:keepNext w:val="0"/>
        <w:keepLines w:val="0"/>
        <w:widowControl w:val="0"/>
        <w:tabs>
          <w:tab w:val="left" w:pos="1162"/>
        </w:tabs>
        <w:spacing w:before="260" w:beforeLines="0" w:beforeAutospacing="0" w:after="260" w:afterLines="0" w:afterAutospacing="0" w:line="24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（3）《政务云服务总结报告》；</w:t>
      </w:r>
    </w:p>
    <w:p w14:paraId="04AE7C3E">
      <w:pPr>
        <w:keepNext w:val="0"/>
        <w:keepLines w:val="0"/>
        <w:widowControl w:val="0"/>
        <w:tabs>
          <w:tab w:val="left" w:pos="1162"/>
        </w:tabs>
        <w:spacing w:before="260" w:beforeLines="0" w:beforeAutospacing="0" w:after="260" w:afterLines="0" w:afterAutospacing="0" w:line="24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（4）政务云服务过程中《应急处置报告》。</w:t>
      </w:r>
    </w:p>
    <w:p w14:paraId="128F8C82">
      <w:pPr>
        <w:keepNext/>
        <w:keepLines/>
        <w:widowControl w:val="0"/>
        <w:shd w:val="clear" w:color="auto" w:fill="auto"/>
        <w:bidi w:val="0"/>
        <w:spacing w:before="260" w:beforeLines="0" w:beforeAutospacing="0" w:after="260" w:afterLines="0" w:afterAutospacing="0" w:line="413" w:lineRule="auto"/>
        <w:jc w:val="both"/>
        <w:outlineLvl w:val="2"/>
        <w:rPr>
          <w:rFonts w:hint="eastAsia" w:ascii="Times New Roman" w:hAnsi="Times New Roman" w:eastAsia="宋体" w:cs="Times New Roman"/>
          <w:b/>
          <w:kern w:val="2"/>
          <w:szCs w:val="24"/>
          <w:u w:val="none"/>
          <w:lang w:val="en-US" w:eastAsia="zh-CN" w:bidi="ar-SA"/>
        </w:rPr>
      </w:pPr>
      <w:r>
        <w:rPr>
          <w:rFonts w:ascii="Times New Roman" w:hAnsi="Times New Roman" w:eastAsia="宋体" w:cs="Times New Roman"/>
          <w:b/>
          <w:kern w:val="2"/>
          <w:szCs w:val="24"/>
          <w:u w:val="none"/>
          <w:lang w:val="en-US" w:eastAsia="zh-CN" w:bidi="ar-SA"/>
        </w:rPr>
        <w:t>4. 其他要求</w:t>
      </w:r>
    </w:p>
    <w:p w14:paraId="0702803B">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bookmarkStart w:id="3" w:name="_Toc9084"/>
      <w:r>
        <w:rPr>
          <w:rFonts w:hint="eastAsia" w:ascii="宋体" w:hAnsi="宋体" w:eastAsia="宋体" w:cs="宋体"/>
          <w:kern w:val="2"/>
          <w:sz w:val="24"/>
          <w:szCs w:val="24"/>
          <w:highlight w:val="none"/>
          <w:lang w:val="en-US" w:eastAsia="zh-CN" w:bidi="ar-SA"/>
        </w:rPr>
        <w:t>服务承诺（</w:t>
      </w:r>
      <w:r>
        <w:rPr>
          <w:rFonts w:hint="eastAsia" w:ascii="Times New Roman" w:hAnsi="Times New Roman" w:eastAsia="宋体" w:cs="Times New Roman"/>
          <w:kern w:val="2"/>
          <w:sz w:val="24"/>
          <w:szCs w:val="22"/>
          <w:lang w:val="en-US" w:eastAsia="zh-CN" w:bidi="ar-SA"/>
        </w:rPr>
        <w:t>本部分为★条款，投标人未提供书面承诺，将被视为无效投标；</w:t>
      </w:r>
      <w:r>
        <w:rPr>
          <w:rFonts w:hint="eastAsia" w:ascii="宋体" w:hAnsi="宋体" w:eastAsia="宋体" w:cs="宋体"/>
          <w:kern w:val="2"/>
          <w:sz w:val="24"/>
          <w:szCs w:val="24"/>
          <w:highlight w:val="none"/>
          <w:lang w:val="en-US" w:eastAsia="zh-CN" w:bidi="ar-SA"/>
        </w:rPr>
        <w:t>标▲为关键指标要求。）</w:t>
      </w:r>
      <w:bookmarkEnd w:id="3"/>
    </w:p>
    <w:p w14:paraId="3D7F9090">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★1.采购人的业务系统依托于北京市政务外网环境建设，为确保相关业务正常运行，投标人须承诺在合同签订后5个工作日内具备北京市政务外网环境。</w:t>
      </w:r>
    </w:p>
    <w:p w14:paraId="35C63160">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★2.投标人中标后进行系统迁移所产生的系统迁移费由投标人承担。</w:t>
      </w:r>
    </w:p>
    <w:p w14:paraId="5E568BFC">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3.投标人提供的政务云服务须按公安部等保三级的标准建设，并承诺协助采购人通过等保三级的测评和备案。</w:t>
      </w:r>
    </w:p>
    <w:p w14:paraId="7BA21136">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▲4.投标人需承诺在合同签订后1个月内在政务云环境完成不少于100P算力服务搭建并具备运行服务条件。</w:t>
      </w:r>
    </w:p>
    <w:p w14:paraId="1F24205A">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▲5.投标人需提供算力服务GPU芯片均为国产自主产品承诺。</w:t>
      </w:r>
    </w:p>
    <w:p w14:paraId="5805B746">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default" w:ascii="宋体" w:hAnsi="宋体" w:eastAsia="宋体" w:cs="宋体"/>
          <w:kern w:val="2"/>
          <w:sz w:val="24"/>
          <w:szCs w:val="24"/>
          <w:highlight w:val="none"/>
          <w:lang w:val="en-US" w:eastAsia="zh-CN" w:bidi="ar-SA"/>
        </w:rPr>
      </w:pPr>
    </w:p>
    <w:p w14:paraId="00EC5E5A">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Calibri" w:hAnsi="Calibri" w:eastAsia="宋体" w:cs="Times New Roman"/>
          <w:kern w:val="2"/>
          <w:sz w:val="24"/>
          <w:szCs w:val="24"/>
          <w:lang w:val="en-US" w:eastAsia="zh-CN" w:bidi="ar-SA"/>
        </w:rPr>
      </w:pPr>
      <w:r>
        <w:rPr>
          <w:rFonts w:hint="eastAsia" w:ascii="宋体" w:hAnsi="宋体" w:eastAsia="宋体" w:cs="宋体"/>
          <w:kern w:val="2"/>
          <w:sz w:val="24"/>
          <w:szCs w:val="24"/>
          <w:highlight w:val="none"/>
          <w:lang w:val="en-US" w:eastAsia="zh-CN" w:bidi="ar-SA"/>
        </w:rPr>
        <w:t>注：投标人中标后若无法按照承诺内容履行，采购人有权取消其中标资格、解除采购合同，并追究其相应违约责任。</w:t>
      </w:r>
    </w:p>
    <w:p w14:paraId="7227931A">
      <w:pPr>
        <w:keepNext/>
        <w:keepLines/>
        <w:widowControl w:val="0"/>
        <w:numPr>
          <w:ilvl w:val="0"/>
          <w:numId w:val="1"/>
        </w:numPr>
        <w:shd w:val="clear" w:color="auto" w:fill="auto"/>
        <w:bidi w:val="0"/>
        <w:spacing w:before="260" w:after="260" w:line="416" w:lineRule="atLeast"/>
        <w:ind w:left="500" w:hanging="500"/>
        <w:jc w:val="left"/>
        <w:outlineLvl w:val="1"/>
        <w:rPr>
          <w:rFonts w:hint="eastAsia" w:ascii="Arial" w:hAnsi="Arial" w:eastAsia="黑体" w:cs="Times New Roman"/>
          <w:b/>
          <w:bCs/>
          <w:kern w:val="2"/>
          <w:sz w:val="32"/>
          <w:szCs w:val="32"/>
          <w:lang w:val="en-US" w:eastAsia="zh-CN" w:bidi="ar-SA"/>
        </w:rPr>
      </w:pPr>
      <w:r>
        <w:rPr>
          <w:rFonts w:hint="eastAsia" w:ascii="Arial" w:hAnsi="Arial" w:eastAsia="黑体" w:cs="Times New Roman"/>
          <w:b/>
          <w:bCs/>
          <w:kern w:val="2"/>
          <w:sz w:val="32"/>
          <w:szCs w:val="32"/>
          <w:lang w:val="en-US" w:eastAsia="zh-CN" w:bidi="ar-SA"/>
        </w:rPr>
        <w:t>政策性采购需求</w:t>
      </w:r>
      <w:bookmarkEnd w:id="2"/>
    </w:p>
    <w:p w14:paraId="74B5A50A">
      <w:pPr>
        <w:keepNext w:val="0"/>
        <w:keepLines w:val="0"/>
        <w:pageBreakBefore w:val="0"/>
        <w:widowControl w:val="0"/>
        <w:shd w:val="clear" w:color="auto" w:fill="auto"/>
        <w:tabs>
          <w:tab w:val="left" w:pos="1162"/>
        </w:tabs>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54455ED">
      <w:pPr>
        <w:widowControl w:val="0"/>
        <w:numPr>
          <w:ilvl w:val="0"/>
          <w:numId w:val="0"/>
        </w:numPr>
        <w:shd w:val="clear" w:color="auto" w:fill="auto"/>
        <w:spacing w:line="360" w:lineRule="auto"/>
        <w:ind w:firstLine="482" w:firstLineChars="200"/>
        <w:contextualSpacing/>
        <w:jc w:val="both"/>
        <w:rPr>
          <w:rFonts w:ascii="Times New Roman" w:hAnsi="Times New Roman" w:eastAsia="宋体" w:cs="Times New Roman"/>
          <w:b/>
          <w:kern w:val="2"/>
          <w:sz w:val="24"/>
          <w:szCs w:val="24"/>
          <w:lang w:val="en-US" w:eastAsia="zh-CN" w:bidi="ar-SA"/>
        </w:rPr>
      </w:pPr>
    </w:p>
    <w:p w14:paraId="5555CF1E">
      <w:pPr>
        <w:widowControl w:val="0"/>
        <w:numPr>
          <w:ilvl w:val="0"/>
          <w:numId w:val="0"/>
        </w:numPr>
        <w:shd w:val="clear" w:color="auto" w:fill="auto"/>
        <w:spacing w:line="360" w:lineRule="auto"/>
        <w:ind w:firstLine="482" w:firstLineChars="200"/>
        <w:contextualSpacing/>
        <w:jc w:val="both"/>
        <w:rPr>
          <w:rFonts w:ascii="Times New Roman" w:hAnsi="Times New Roman" w:eastAsia="宋体" w:cs="Times New Roman"/>
          <w:b/>
          <w:kern w:val="2"/>
          <w:sz w:val="24"/>
          <w:szCs w:val="24"/>
          <w:lang w:val="en-US" w:eastAsia="zh-CN" w:bidi="ar-SA"/>
        </w:rPr>
      </w:pPr>
    </w:p>
    <w:p w14:paraId="29BC7A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1C0FF"/>
    <w:multiLevelType w:val="multilevel"/>
    <w:tmpl w:val="98A1C0FF"/>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6077"/>
    <w:rsid w:val="1D407FD6"/>
    <w:rsid w:val="6110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line="360" w:lineRule="auto"/>
      <w:ind w:firstLine="570"/>
      <w:jc w:val="both"/>
    </w:pPr>
    <w:rPr>
      <w:rFonts w:ascii="Times New Roman" w:hAnsi="Times New Roman" w:eastAsia="宋体" w:cs="Times New Roman"/>
      <w:kern w:val="2"/>
      <w:sz w:val="24"/>
      <w:szCs w:val="24"/>
      <w:lang w:val="en-US" w:eastAsia="zh-CN" w:bidi="ar-SA"/>
    </w:rPr>
  </w:style>
  <w:style w:type="paragraph" w:styleId="3">
    <w:name w:val="Body Text First Indent 2"/>
    <w:qFormat/>
    <w:uiPriority w:val="0"/>
    <w:pPr>
      <w:widowControl w:val="0"/>
      <w:spacing w:after="120" w:line="480" w:lineRule="exact"/>
      <w:ind w:left="420" w:leftChars="200" w:firstLine="420" w:firstLineChars="200"/>
      <w:jc w:val="both"/>
    </w:pPr>
    <w:rPr>
      <w:rFonts w:ascii="Times New Roman" w:hAnsi="Times New Roman" w:eastAsia="宋体" w:cs="Times New Roman"/>
      <w:kern w:val="2"/>
      <w:sz w:val="24"/>
      <w:szCs w:val="20"/>
      <w:lang w:val="en-US" w:eastAsia="zh-CN" w:bidi="ar-SA"/>
    </w:rPr>
  </w:style>
  <w:style w:type="paragraph" w:styleId="6">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7">
    <w:name w:val="正文文本首行缩进 2"/>
    <w:unhideWhenUsed/>
    <w:qFormat/>
    <w:uiPriority w:val="0"/>
    <w:pPr>
      <w:widowControl w:val="0"/>
      <w:spacing w:line="360" w:lineRule="auto"/>
      <w:ind w:firstLine="420" w:firstLineChars="200"/>
      <w:jc w:val="both"/>
    </w:pPr>
    <w:rPr>
      <w:rFonts w:ascii="Calibri" w:hAnsi="Calibri" w:eastAsia="宋体" w:cs="Times New Roman"/>
      <w:kern w:val="2"/>
      <w:sz w:val="21"/>
      <w:szCs w:val="22"/>
      <w:lang w:val="en-US" w:eastAsia="zh-CN" w:bidi="ar-SA"/>
    </w:rPr>
  </w:style>
  <w:style w:type="paragraph" w:customStyle="1" w:styleId="8">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9">
    <w:name w:val="正文1"/>
    <w:qFormat/>
    <w:uiPriority w:val="0"/>
    <w:pPr>
      <w:widowControl/>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26497</Words>
  <Characters>28096</Characters>
  <Lines>0</Lines>
  <Paragraphs>0</Paragraphs>
  <TotalTime>0</TotalTime>
  <ScaleCrop>false</ScaleCrop>
  <LinksUpToDate>false</LinksUpToDate>
  <CharactersWithSpaces>28333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2026-04-30T06:25:00Z</dcterms:created>
  <dc:creator>user</dc:creator>
  <cp:lastModifiedBy>HJT</cp:lastModifiedBy>
  <dcterms:modified xsi:type="dcterms:W3CDTF">2026-04-30T06:59:16Z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08C92FE2F4D8474595CD0FA0A2A0F3E2_12</vt:lpwstr>
  </property>
</Properties>
</file>