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1EACB">
      <w:pPr>
        <w:spacing w:line="360" w:lineRule="auto"/>
        <w:jc w:val="center"/>
        <w:outlineLvl w:val="0"/>
        <w:rPr>
          <w:rFonts w:asciiTheme="minorEastAsia" w:hAnsiTheme="minorEastAsia" w:eastAsiaTheme="minorEastAsia"/>
          <w:b/>
          <w:sz w:val="36"/>
          <w:szCs w:val="36"/>
        </w:rPr>
      </w:pPr>
      <w:r>
        <w:rPr>
          <w:rFonts w:asciiTheme="minorEastAsia" w:hAnsiTheme="minorEastAsia" w:eastAsiaTheme="minorEastAsia"/>
          <w:b/>
          <w:sz w:val="36"/>
          <w:szCs w:val="36"/>
        </w:rPr>
        <w:t>采购需求</w:t>
      </w:r>
    </w:p>
    <w:p w14:paraId="46E94197">
      <w:pPr>
        <w:pStyle w:val="3"/>
        <w:rPr>
          <w:rFonts w:asciiTheme="minorEastAsia" w:hAnsiTheme="minorEastAsia" w:eastAsiaTheme="minorEastAsia"/>
        </w:rPr>
      </w:pPr>
    </w:p>
    <w:p w14:paraId="7D862182">
      <w:pPr>
        <w:pStyle w:val="7"/>
        <w:numPr>
          <w:ilvl w:val="0"/>
          <w:numId w:val="1"/>
        </w:numPr>
        <w:spacing w:line="360" w:lineRule="auto"/>
        <w:ind w:firstLineChars="0"/>
        <w:contextualSpacing/>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采购标的</w:t>
      </w:r>
    </w:p>
    <w:tbl>
      <w:tblPr>
        <w:tblStyle w:val="5"/>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470"/>
        <w:gridCol w:w="1306"/>
        <w:gridCol w:w="1308"/>
        <w:gridCol w:w="1197"/>
        <w:gridCol w:w="1182"/>
      </w:tblGrid>
      <w:tr w14:paraId="40DE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035" w:type="dxa"/>
            <w:vAlign w:val="center"/>
          </w:tcPr>
          <w:p w14:paraId="1DC06866">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序号</w:t>
            </w:r>
          </w:p>
        </w:tc>
        <w:tc>
          <w:tcPr>
            <w:tcW w:w="2470" w:type="dxa"/>
            <w:vAlign w:val="center"/>
          </w:tcPr>
          <w:p w14:paraId="7971C161">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标的名称</w:t>
            </w:r>
          </w:p>
        </w:tc>
        <w:tc>
          <w:tcPr>
            <w:tcW w:w="1306" w:type="dxa"/>
            <w:vAlign w:val="center"/>
          </w:tcPr>
          <w:p w14:paraId="1C14AC83">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数量</w:t>
            </w:r>
          </w:p>
          <w:p w14:paraId="602AE43F">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（台/套）</w:t>
            </w:r>
          </w:p>
        </w:tc>
        <w:tc>
          <w:tcPr>
            <w:tcW w:w="1308" w:type="dxa"/>
            <w:vAlign w:val="center"/>
          </w:tcPr>
          <w:p w14:paraId="688329BD">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单价最高限价（万元）</w:t>
            </w:r>
          </w:p>
        </w:tc>
        <w:tc>
          <w:tcPr>
            <w:tcW w:w="1197" w:type="dxa"/>
            <w:vAlign w:val="center"/>
          </w:tcPr>
          <w:p w14:paraId="0AE5243C">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是否允许进口</w:t>
            </w:r>
          </w:p>
        </w:tc>
        <w:tc>
          <w:tcPr>
            <w:tcW w:w="1182" w:type="dxa"/>
            <w:vAlign w:val="center"/>
          </w:tcPr>
          <w:p w14:paraId="13ABCCD8">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是否为核心产品</w:t>
            </w:r>
          </w:p>
        </w:tc>
      </w:tr>
      <w:tr w14:paraId="6781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035" w:type="dxa"/>
            <w:vAlign w:val="center"/>
          </w:tcPr>
          <w:p w14:paraId="2758E5CB">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2470" w:type="dxa"/>
            <w:vAlign w:val="center"/>
          </w:tcPr>
          <w:p w14:paraId="18746A73">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128导数字脑电图机</w:t>
            </w:r>
          </w:p>
        </w:tc>
        <w:tc>
          <w:tcPr>
            <w:tcW w:w="1306" w:type="dxa"/>
            <w:vAlign w:val="center"/>
          </w:tcPr>
          <w:p w14:paraId="45247F1D">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308" w:type="dxa"/>
            <w:vAlign w:val="center"/>
          </w:tcPr>
          <w:p w14:paraId="242D645D">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65</w:t>
            </w:r>
          </w:p>
        </w:tc>
        <w:tc>
          <w:tcPr>
            <w:tcW w:w="1197" w:type="dxa"/>
            <w:vAlign w:val="center"/>
          </w:tcPr>
          <w:p w14:paraId="7C6FFBAE">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c>
          <w:tcPr>
            <w:tcW w:w="1182" w:type="dxa"/>
            <w:vAlign w:val="center"/>
          </w:tcPr>
          <w:p w14:paraId="6F172F61">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是</w:t>
            </w:r>
          </w:p>
        </w:tc>
      </w:tr>
      <w:tr w14:paraId="4F14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35" w:type="dxa"/>
            <w:vAlign w:val="center"/>
          </w:tcPr>
          <w:p w14:paraId="705BC3D1">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2</w:t>
            </w:r>
          </w:p>
        </w:tc>
        <w:tc>
          <w:tcPr>
            <w:tcW w:w="2470" w:type="dxa"/>
            <w:vAlign w:val="center"/>
          </w:tcPr>
          <w:p w14:paraId="0B740DEF">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128导放大器套件</w:t>
            </w:r>
          </w:p>
        </w:tc>
        <w:tc>
          <w:tcPr>
            <w:tcW w:w="1306" w:type="dxa"/>
            <w:vAlign w:val="center"/>
          </w:tcPr>
          <w:p w14:paraId="7E47379A">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1</w:t>
            </w:r>
          </w:p>
        </w:tc>
        <w:tc>
          <w:tcPr>
            <w:tcW w:w="1308" w:type="dxa"/>
            <w:vAlign w:val="center"/>
          </w:tcPr>
          <w:p w14:paraId="0D2D0E7A">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33</w:t>
            </w:r>
          </w:p>
        </w:tc>
        <w:tc>
          <w:tcPr>
            <w:tcW w:w="1197" w:type="dxa"/>
            <w:vAlign w:val="center"/>
          </w:tcPr>
          <w:p w14:paraId="149117CB">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c>
          <w:tcPr>
            <w:tcW w:w="1182" w:type="dxa"/>
            <w:vAlign w:val="center"/>
          </w:tcPr>
          <w:p w14:paraId="1D4A8670">
            <w:pPr>
              <w:widowControl/>
              <w:jc w:val="center"/>
              <w:textAlignment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否</w:t>
            </w:r>
          </w:p>
        </w:tc>
      </w:tr>
    </w:tbl>
    <w:p w14:paraId="55E704CE">
      <w:pPr>
        <w:pStyle w:val="4"/>
        <w:spacing w:line="360" w:lineRule="auto"/>
        <w:rPr>
          <w:rFonts w:cs="宋体" w:asciiTheme="minorEastAsia" w:hAnsiTheme="minorEastAsia" w:eastAsiaTheme="minorEastAsia"/>
          <w:bCs/>
          <w:sz w:val="24"/>
        </w:rPr>
      </w:pPr>
    </w:p>
    <w:p w14:paraId="1AB037C4">
      <w:pPr>
        <w:pStyle w:val="4"/>
        <w:spacing w:line="360" w:lineRule="auto"/>
        <w:rPr>
          <w:rFonts w:cs="宋体" w:asciiTheme="minorEastAsia" w:hAnsiTheme="minorEastAsia" w:eastAsiaTheme="minorEastAsia"/>
          <w:b/>
          <w:sz w:val="24"/>
        </w:rPr>
      </w:pPr>
      <w:r>
        <w:rPr>
          <w:rFonts w:hint="eastAsia" w:cs="宋体" w:asciiTheme="minorEastAsia" w:hAnsiTheme="minorEastAsia" w:eastAsiaTheme="minorEastAsia"/>
          <w:bCs/>
          <w:sz w:val="24"/>
        </w:rPr>
        <w:t>二、</w:t>
      </w:r>
      <w:r>
        <w:rPr>
          <w:rFonts w:hint="eastAsia" w:cs="宋体" w:asciiTheme="minorEastAsia" w:hAnsiTheme="minorEastAsia" w:eastAsiaTheme="minorEastAsia"/>
          <w:b/>
          <w:sz w:val="24"/>
        </w:rPr>
        <w:t>商务要求</w:t>
      </w:r>
    </w:p>
    <w:p w14:paraId="75582760">
      <w:pPr>
        <w:spacing w:line="360" w:lineRule="auto"/>
        <w:ind w:firstLine="482" w:firstLineChars="200"/>
        <w:contextualSpacing/>
        <w:jc w:val="left"/>
        <w:rPr>
          <w:rFonts w:cs="宋体" w:asciiTheme="minorEastAsia" w:hAnsiTheme="minorEastAsia" w:eastAsiaTheme="minorEastAsia"/>
          <w:b/>
          <w:sz w:val="24"/>
        </w:rPr>
      </w:pPr>
      <w:r>
        <w:rPr>
          <w:rFonts w:hint="eastAsia" w:cs="宋体" w:asciiTheme="minorEastAsia" w:hAnsiTheme="minorEastAsia" w:eastAsiaTheme="minorEastAsia"/>
          <w:b/>
          <w:sz w:val="24"/>
        </w:rPr>
        <w:t>（一）交货时间和地点：</w:t>
      </w:r>
    </w:p>
    <w:p w14:paraId="51EB9186">
      <w:pPr>
        <w:pStyle w:val="2"/>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1.交货时间：合同签订后90日内完成交货。</w:t>
      </w:r>
    </w:p>
    <w:p w14:paraId="553AA110">
      <w:pPr>
        <w:pStyle w:val="2"/>
        <w:ind w:firstLine="480" w:firstLineChars="200"/>
        <w:jc w:val="both"/>
        <w:rPr>
          <w:rFonts w:asciiTheme="minorEastAsia" w:hAnsiTheme="minorEastAsia" w:eastAsiaTheme="minorEastAsia"/>
          <w:sz w:val="24"/>
        </w:rPr>
      </w:pPr>
      <w:r>
        <w:rPr>
          <w:rFonts w:hint="eastAsia" w:asciiTheme="minorEastAsia" w:hAnsiTheme="minorEastAsia" w:eastAsiaTheme="minorEastAsia"/>
          <w:sz w:val="24"/>
        </w:rPr>
        <w:t>2.交货地点：采购人指定地点</w:t>
      </w:r>
    </w:p>
    <w:p w14:paraId="4541C56B">
      <w:pPr>
        <w:spacing w:line="360" w:lineRule="auto"/>
        <w:ind w:firstLine="482" w:firstLineChars="200"/>
        <w:contextualSpacing/>
        <w:jc w:val="left"/>
        <w:rPr>
          <w:rFonts w:cs="宋体" w:asciiTheme="minorEastAsia" w:hAnsiTheme="minorEastAsia" w:eastAsiaTheme="minorEastAsia"/>
          <w:sz w:val="24"/>
        </w:rPr>
      </w:pPr>
      <w:r>
        <w:rPr>
          <w:rFonts w:hint="eastAsia" w:cs="宋体" w:asciiTheme="minorEastAsia" w:hAnsiTheme="minorEastAsia" w:eastAsiaTheme="minorEastAsia"/>
          <w:b/>
          <w:sz w:val="24"/>
        </w:rPr>
        <w:t>（二）付款条件（进度和方式）：</w:t>
      </w:r>
      <w:r>
        <w:rPr>
          <w:rFonts w:hint="eastAsia" w:cs="宋体" w:asciiTheme="minorEastAsia" w:hAnsiTheme="minorEastAsia" w:eastAsiaTheme="minorEastAsia"/>
          <w:bCs/>
          <w:sz w:val="24"/>
        </w:rPr>
        <w:t>见第六章拟签订的合同文本</w:t>
      </w:r>
    </w:p>
    <w:p w14:paraId="073F7536">
      <w:pPr>
        <w:pStyle w:val="3"/>
        <w:spacing w:line="360" w:lineRule="auto"/>
        <w:ind w:left="0" w:leftChars="0" w:firstLine="482" w:firstLineChars="200"/>
        <w:jc w:val="left"/>
        <w:rPr>
          <w:rFonts w:cs="宋体" w:asciiTheme="minorEastAsia" w:hAnsiTheme="minorEastAsia" w:eastAsiaTheme="minorEastAsia"/>
          <w:sz w:val="24"/>
        </w:rPr>
      </w:pPr>
      <w:r>
        <w:rPr>
          <w:rFonts w:hint="eastAsia" w:cs="宋体" w:asciiTheme="minorEastAsia" w:hAnsiTheme="minorEastAsia" w:eastAsiaTheme="minorEastAsia"/>
          <w:b/>
          <w:bCs/>
          <w:sz w:val="24"/>
        </w:rPr>
        <w:t>（三）包装和运输</w:t>
      </w:r>
      <w:r>
        <w:rPr>
          <w:rFonts w:hint="eastAsia" w:cs="宋体" w:asciiTheme="minorEastAsia" w:hAnsiTheme="minorEastAsia" w:eastAsiaTheme="minorEastAsia"/>
          <w:sz w:val="24"/>
        </w:rPr>
        <w:t>（如适用）：须满足《关于印发〈商品包装政府采购需求标准（试行）〉、〈快递包装政府采购需求标准（试行）〉的通知》（财办库﹝2020﹞123号）</w:t>
      </w:r>
    </w:p>
    <w:p w14:paraId="28805C34">
      <w:pPr>
        <w:spacing w:line="360" w:lineRule="auto"/>
        <w:ind w:firstLine="482" w:firstLineChars="200"/>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三、技术要求</w:t>
      </w:r>
    </w:p>
    <w:p w14:paraId="5F5E0A95">
      <w:pPr>
        <w:spacing w:line="360" w:lineRule="auto"/>
        <w:ind w:firstLine="482" w:firstLineChars="200"/>
        <w:contextualSpacing/>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（一）基本要求</w:t>
      </w:r>
    </w:p>
    <w:p w14:paraId="35C8F236">
      <w:pPr>
        <w:spacing w:line="360" w:lineRule="auto"/>
        <w:ind w:firstLine="482" w:firstLineChars="200"/>
        <w:contextualSpacing/>
        <w:rPr>
          <w:rFonts w:cs="宋体" w:asciiTheme="minorEastAsia" w:hAnsiTheme="minorEastAsia" w:eastAsiaTheme="minorEastAsia"/>
          <w:b/>
          <w:bCs/>
          <w:sz w:val="24"/>
        </w:rPr>
      </w:pPr>
      <w:r>
        <w:rPr>
          <w:rFonts w:hint="eastAsia" w:cs="宋体" w:asciiTheme="minorEastAsia" w:hAnsiTheme="minorEastAsia" w:eastAsiaTheme="minorEastAsia"/>
          <w:b/>
          <w:bCs/>
          <w:sz w:val="24"/>
        </w:rPr>
        <w:t>1.采购标的需实现的功能或者目标</w:t>
      </w:r>
    </w:p>
    <w:p w14:paraId="7900D3A9">
      <w:pPr>
        <w:spacing w:line="360" w:lineRule="auto"/>
        <w:ind w:firstLine="480" w:firstLineChars="200"/>
        <w:contextualSpacing/>
        <w:rPr>
          <w:rFonts w:cs="宋体" w:asciiTheme="minorEastAsia" w:hAnsiTheme="minorEastAsia" w:eastAsiaTheme="minorEastAsia"/>
          <w:b/>
          <w:bCs/>
          <w:sz w:val="24"/>
        </w:rPr>
      </w:pPr>
      <w:r>
        <w:rPr>
          <w:rFonts w:hint="eastAsia" w:asciiTheme="minorEastAsia" w:hAnsiTheme="minorEastAsia" w:eastAsiaTheme="minorEastAsia"/>
          <w:sz w:val="24"/>
        </w:rPr>
        <w:t>本次采购是“国家科技部科技创新2030-脑科学与类脑研究课题科研设备购置项目”，供应商应根据招标文件所提出的设备技术规格和服务要求，以满足招标文件要求的产品、优良的货物和优惠的价格，充分显示自己的竞争实力。</w:t>
      </w:r>
    </w:p>
    <w:p w14:paraId="2FC4F6A1">
      <w:pPr>
        <w:spacing w:line="360" w:lineRule="auto"/>
        <w:ind w:firstLine="482" w:firstLineChars="200"/>
        <w:contextualSpacing/>
        <w:rPr>
          <w:rFonts w:cs="宋体" w:asciiTheme="minorEastAsia" w:hAnsiTheme="minorEastAsia" w:eastAsiaTheme="minorEastAsia"/>
          <w:kern w:val="0"/>
          <w:sz w:val="24"/>
        </w:rPr>
      </w:pPr>
      <w:r>
        <w:rPr>
          <w:rFonts w:hint="eastAsia" w:cs="宋体" w:asciiTheme="minorEastAsia" w:hAnsiTheme="minorEastAsia" w:eastAsiaTheme="minorEastAsia"/>
          <w:b/>
          <w:bCs/>
          <w:sz w:val="24"/>
        </w:rPr>
        <w:t>2.需执行的国家相关标准、行业标准、地方标准或者其他标准、规范：</w:t>
      </w:r>
      <w:r>
        <w:rPr>
          <w:rFonts w:hint="eastAsia" w:cs="宋体" w:asciiTheme="minorEastAsia" w:hAnsiTheme="minorEastAsia" w:eastAsiaTheme="minorEastAsia"/>
          <w:kern w:val="0"/>
          <w:sz w:val="24"/>
        </w:rPr>
        <w:t>投标产品及制造商应符合国家有关部门规定的相应技术法规及标准，如国家有关部门对投标产品或其制造商有强制性规定或要求的，投标产品或其制造商必须符合相应规定或要求。</w:t>
      </w:r>
    </w:p>
    <w:p w14:paraId="32363842">
      <w:pPr>
        <w:spacing w:line="360" w:lineRule="auto"/>
        <w:ind w:firstLine="482" w:firstLineChars="200"/>
        <w:contextualSpacing/>
        <w:rPr>
          <w:rFonts w:cs="宋体" w:asciiTheme="minorEastAsia" w:hAnsiTheme="minorEastAsia" w:eastAsiaTheme="minorEastAsia"/>
          <w:b/>
          <w:bCs/>
          <w:sz w:val="24"/>
        </w:rPr>
      </w:pPr>
      <w:r>
        <w:rPr>
          <w:rFonts w:hint="eastAsia" w:cs="宋体" w:asciiTheme="minorEastAsia" w:hAnsiTheme="minorEastAsia" w:eastAsiaTheme="minorEastAsia"/>
          <w:b/>
          <w:bCs/>
          <w:sz w:val="24"/>
        </w:rPr>
        <w:t>3.为落实政府采购政策需满足的要求</w:t>
      </w:r>
    </w:p>
    <w:p w14:paraId="65191789">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EA8E1A0">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7FE47E74">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7BD42558">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14A98EE4">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47DB8649">
      <w:pPr>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3.6实施本国产品标准及相关政策：依据《国务院办公厅关于在政府采购中实施本国产品标准及相关政策的通知》（国办发〔2025〕34 号）规定，本项目</w:t>
      </w:r>
      <w:r>
        <w:rPr>
          <w:rFonts w:hint="eastAsia" w:asciiTheme="minorEastAsia" w:hAnsiTheme="minorEastAsia" w:eastAsiaTheme="minorEastAsia"/>
          <w:sz w:val="24"/>
        </w:rPr>
        <w:t>既有本国产品又有非本国产品参与竞争的，如</w:t>
      </w:r>
      <w:r>
        <w:rPr>
          <w:rFonts w:hint="eastAsia" w:cs="宋体" w:asciiTheme="minorEastAsia" w:hAnsiTheme="minorEastAsia" w:eastAsiaTheme="minorEastAsia"/>
          <w:kern w:val="0"/>
          <w:sz w:val="24"/>
        </w:rPr>
        <w:t>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4BBB86F8">
      <w:pPr>
        <w:spacing w:line="360" w:lineRule="auto"/>
        <w:ind w:firstLine="482" w:firstLineChars="200"/>
        <w:jc w:val="left"/>
        <w:outlineLvl w:val="1"/>
        <w:rPr>
          <w:rFonts w:cs="宋体" w:asciiTheme="minorEastAsia" w:hAnsiTheme="minorEastAsia" w:eastAsiaTheme="minorEastAsia"/>
          <w:sz w:val="24"/>
        </w:rPr>
      </w:pPr>
      <w:r>
        <w:rPr>
          <w:rFonts w:hint="eastAsia" w:cs="宋体" w:asciiTheme="minorEastAsia" w:hAnsiTheme="minorEastAsia" w:eastAsiaTheme="minorEastAsia"/>
          <w:b/>
          <w:bCs/>
          <w:sz w:val="24"/>
        </w:rPr>
        <w:t>（二）具体要求</w:t>
      </w:r>
    </w:p>
    <w:p w14:paraId="7435B9DF">
      <w:pPr>
        <w:keepNext/>
        <w:keepLines/>
        <w:spacing w:before="260" w:after="260" w:line="413" w:lineRule="auto"/>
        <w:ind w:firstLine="482" w:firstLineChars="200"/>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标的1：128导数字脑电图机</w:t>
      </w:r>
    </w:p>
    <w:p w14:paraId="4C28A1C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1.硬件要求</w:t>
      </w:r>
    </w:p>
    <w:p w14:paraId="4DD38CF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1.1采集工作站：</w:t>
      </w:r>
    </w:p>
    <w:p w14:paraId="47D2A2C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1.1.1内存：≥16GB，</w:t>
      </w:r>
    </w:p>
    <w:p w14:paraId="76BAE8E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1.1.2存储：≥512GB+4T，</w:t>
      </w:r>
    </w:p>
    <w:p w14:paraId="7B86E75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1.1.3操作系统：</w:t>
      </w:r>
      <w:r>
        <w:rPr>
          <w:rFonts w:cs="宋体" w:asciiTheme="minorEastAsia" w:hAnsiTheme="minorEastAsia" w:eastAsiaTheme="minorEastAsia"/>
          <w:sz w:val="24"/>
        </w:rPr>
        <w:t>：</w:t>
      </w:r>
      <w:r>
        <w:rPr>
          <w:rFonts w:hint="eastAsia" w:cs="宋体" w:asciiTheme="minorEastAsia" w:hAnsiTheme="minorEastAsia" w:eastAsiaTheme="minorEastAsia"/>
          <w:sz w:val="24"/>
        </w:rPr>
        <w:t>中文操作系统。</w:t>
      </w:r>
    </w:p>
    <w:p w14:paraId="016628F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1.2显示器：≥27英寸4K显示器。</w:t>
      </w:r>
    </w:p>
    <w:p w14:paraId="473E20E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1.3放大器参数（头盒+探头）</w:t>
      </w:r>
    </w:p>
    <w:p w14:paraId="35825A2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1.3.1单个放大器模块通道数128通道模块化设计，可根据需要拆分，也可多台并联升级，可实现256导联功能，最高可升级为1024通道；放大器具备参考电极（REF）端口，接地电极（GND）端口，屏蔽电极（SHD）端口</w:t>
      </w:r>
    </w:p>
    <w:p w14:paraId="64CA3E1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▲1.3.2网络连接方式采用光纤通讯</w:t>
      </w:r>
    </w:p>
    <w:p w14:paraId="3DBE19E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1.3.3采样率：所有导联能够实现≥16000Hz采样率</w:t>
      </w:r>
    </w:p>
    <w:p w14:paraId="40F5A42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▲1.3.4定标电压：100μV（峰峰值），最大允许误差±2%</w:t>
      </w:r>
    </w:p>
    <w:p w14:paraId="2AA7BDE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1.3.5时间间隔：最大允许误差±5%</w:t>
      </w:r>
    </w:p>
    <w:p w14:paraId="002CBD7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1.3.6时间常数：0.01s～0.1s，最大允许误差±40%；大于0.1s，最大允许误差±20%</w:t>
      </w:r>
    </w:p>
    <w:p w14:paraId="4F6DCF8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▲1.3.7带宽：0-4000Hz；直流耦合设计采集低频信号，高采样率采集高频信号</w:t>
      </w:r>
    </w:p>
    <w:p w14:paraId="42BE6E1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1.3.8幅频特性：（0.01～150）Hz，最大允许误差+5%～-30%</w:t>
      </w:r>
    </w:p>
    <w:p w14:paraId="1E91611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▲1.3.9噪声电平：≤1μV（峰峰值）</w:t>
      </w:r>
    </w:p>
    <w:p w14:paraId="4A474E5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1.3.10共模抑制比：各道≥120dB</w:t>
      </w:r>
    </w:p>
    <w:p w14:paraId="2C94E09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1.3.11耐极化电压：加±300mV直流极化电压，最大允许误差不超过±5%</w:t>
      </w:r>
    </w:p>
    <w:p w14:paraId="6678757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1.3.12灵敏度：1uV/mm,10uV/mm,50uV/mm,最大允许误差±5%</w:t>
      </w:r>
    </w:p>
    <w:p w14:paraId="363F3F0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1.3.13低通滤波：符合A0.9Fc≥0.7A10≥A1.1Fc标准</w:t>
      </w:r>
    </w:p>
    <w:p w14:paraId="3362DA5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1.3.14输入阻抗：对于10Hz正弦波信号，各道≥120MΩ</w:t>
      </w:r>
    </w:p>
    <w:p w14:paraId="725F4F2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1.3.15信号输入范围：±300mV</w:t>
      </w:r>
    </w:p>
    <w:p w14:paraId="4D6BE48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1.3.16硬件打标响应时间：≤1s</w:t>
      </w:r>
    </w:p>
    <w:p w14:paraId="3F2A0D3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▲1.3.17陷波（快速滤波）：衰减度≥35dB（在50Hz和60Hz两档）</w:t>
      </w:r>
    </w:p>
    <w:p w14:paraId="4B48F2F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▲1.3.18防电击程度分类不低于CF型。</w:t>
      </w:r>
    </w:p>
    <w:p w14:paraId="489D78E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 HEEG延长头盒</w:t>
      </w:r>
    </w:p>
    <w:p w14:paraId="5C33C58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1.4.1支持采集≥128通道EEG延长头盒1个，支持≥8通道BIP信号</w:t>
      </w:r>
    </w:p>
    <w:p w14:paraId="492CB74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1.4.2数据线缆需要是屏蔽线，可提供高信噪比数据</w:t>
      </w:r>
    </w:p>
    <w:p w14:paraId="53813C8C">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1.4.3提供SHD接口</w:t>
      </w:r>
    </w:p>
    <w:p w14:paraId="1FFCA17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1.4.4数据线缆长度≥3m。</w:t>
      </w:r>
    </w:p>
    <w:p w14:paraId="39CA836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1.5红外高清摄像头：：最高23倍红外高清摄像头，最多可支持三个摄像头同时采集。</w:t>
      </w:r>
    </w:p>
    <w:p w14:paraId="2920035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2.软件要求</w:t>
      </w:r>
    </w:p>
    <w:p w14:paraId="4C2C592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2.1具备病人信息管理系统</w:t>
      </w:r>
    </w:p>
    <w:p w14:paraId="5C63EF8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2.2中文报告生成系统：内置报告模板，可任意编辑相关内容</w:t>
      </w:r>
    </w:p>
    <w:p w14:paraId="00E8CBC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▲2.3具有棘波检测功能：能够计算棘波密度</w:t>
      </w:r>
    </w:p>
    <w:p w14:paraId="7DDEAB4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 ERP范式自定义编辑、ERP范式后可自动生成结果</w:t>
      </w:r>
    </w:p>
    <w:p w14:paraId="625D5A5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▲2.5 HFO高频振荡提示：实时图形化提示高频振荡能量：Ripple（80-250Hz）、Fast Ripple（250-500Hz）</w:t>
      </w:r>
    </w:p>
    <w:p w14:paraId="325EE28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▲2.6时频图分析：支持基线时间窗选择，各导联时频图以时间对齐</w:t>
      </w:r>
    </w:p>
    <w:p w14:paraId="7D24BCE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▲2.7导联及参考自动编辑：自动编辑导联顺序，自动完成双极导联设置</w:t>
      </w:r>
    </w:p>
    <w:p w14:paraId="05704A7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2.8自动剪辑功能：可设定规则自动剪辑所时间段数据，并可选择是否压缩数据</w:t>
      </w:r>
    </w:p>
    <w:p w14:paraId="3FE612B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2.9时间线：可增加/隐藏时间线</w:t>
      </w:r>
    </w:p>
    <w:p w14:paraId="7868117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2.10快速打印功能：可快速浏览波形后一键打印</w:t>
      </w:r>
    </w:p>
    <w:p w14:paraId="4B7354D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2.11针对打标事件，可自定义打标事件名称</w:t>
      </w:r>
    </w:p>
    <w:p w14:paraId="228B1FD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2.12支持2D及3D脑地形图可视化呈现和展示</w:t>
      </w:r>
    </w:p>
    <w:p w14:paraId="4E5048A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2.13支持≥16种脑功能定量趋势图</w:t>
      </w:r>
    </w:p>
    <w:p w14:paraId="78FF08B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2.14支持宽频脑电图分析，可自动提取分析高频振荡，也用于不同频段波形提取分析</w:t>
      </w:r>
    </w:p>
    <w:p w14:paraId="6AFDAE6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2.15支持长程脑电图检查过程中，定期进行ERP数据采集和分析</w:t>
      </w:r>
    </w:p>
    <w:p w14:paraId="21190E3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2.16支持对过度换气诱发试验。</w:t>
      </w:r>
    </w:p>
    <w:p w14:paraId="594361F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3.配置清单</w:t>
      </w:r>
    </w:p>
    <w:p w14:paraId="091248F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3.1采集工作站：1套</w:t>
      </w:r>
    </w:p>
    <w:p w14:paraId="1D8574A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3.2显示器：1套</w:t>
      </w:r>
    </w:p>
    <w:p w14:paraId="23D93DD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3.3主机：1套</w:t>
      </w:r>
    </w:p>
    <w:p w14:paraId="6025BDF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3.4同步盒：1套</w:t>
      </w:r>
    </w:p>
    <w:p w14:paraId="22F57F4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3.5探头+头盒：1套</w:t>
      </w:r>
    </w:p>
    <w:p w14:paraId="3F218D4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3.6数字脑电采集软件：1套</w:t>
      </w:r>
    </w:p>
    <w:p w14:paraId="0534E01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3.7主机电源适配器：1套</w:t>
      </w:r>
    </w:p>
    <w:p w14:paraId="588688C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3.8台车：1台</w:t>
      </w:r>
    </w:p>
    <w:p w14:paraId="3C3A4F1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3.9红外高清摄像头：2套</w:t>
      </w:r>
    </w:p>
    <w:p w14:paraId="23F9683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3.10产品说明书：1本</w:t>
      </w:r>
    </w:p>
    <w:p w14:paraId="3220FD8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3.11保修卡：1张</w:t>
      </w:r>
    </w:p>
    <w:p w14:paraId="36AABFD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3.12合格证：1张</w:t>
      </w:r>
    </w:p>
    <w:p w14:paraId="4F8E83DB">
      <w:pPr>
        <w:keepNext/>
        <w:keepLines/>
        <w:spacing w:before="260" w:after="260" w:line="413" w:lineRule="auto"/>
        <w:ind w:firstLine="482" w:firstLineChars="200"/>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标的2：128导放大器套件</w:t>
      </w:r>
    </w:p>
    <w:p w14:paraId="29653FD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1.探头+头盒</w:t>
      </w:r>
    </w:p>
    <w:p w14:paraId="2C4F592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▲1.1由1个128导联放大器组成，可通过串联实现256导联功能；最高可升级到1024导联，放大器具备参考电极（REF）端口，接地电极（GND）端口，屏蔽电极（SHD）端口</w:t>
      </w:r>
    </w:p>
    <w:p w14:paraId="7B1AECA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1.2网络连接方式采用光纤通讯</w:t>
      </w:r>
    </w:p>
    <w:p w14:paraId="52F690B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1.3采样率：所有导联能够实现≥16000Hz采样率</w:t>
      </w:r>
    </w:p>
    <w:p w14:paraId="5819F39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1.4定标电压：100μV（峰峰值），最大允许误差±2%</w:t>
      </w:r>
    </w:p>
    <w:p w14:paraId="76A2325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1.5时间间隔：最大允许误差±5%</w:t>
      </w:r>
    </w:p>
    <w:p w14:paraId="4772B2BC">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1.6时间常数：0.01s～0.1s，最大允许误差±40%；大于0.1s，最大允许误差±20%</w:t>
      </w:r>
    </w:p>
    <w:p w14:paraId="163FC2D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1.7带宽：0-4000Hz；直流耦合设计采集低频信号，高采样率采集高频信号</w:t>
      </w:r>
    </w:p>
    <w:p w14:paraId="2723A00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1.8幅频特性：（0.01～150）Hz，最大允许误差+5%～-30%</w:t>
      </w:r>
    </w:p>
    <w:p w14:paraId="1CC0180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1.9噪声电平：≤1μV（峰峰值）</w:t>
      </w:r>
    </w:p>
    <w:p w14:paraId="106656F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1.10共模抑制比：各道≥120dB</w:t>
      </w:r>
    </w:p>
    <w:p w14:paraId="4123828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1.11耐极化电压：加±300mV直流极化电压，最大允许误差不超过±5%</w:t>
      </w:r>
    </w:p>
    <w:p w14:paraId="0A53100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1.12灵敏度：1uV/mm,10uV/mm,50uV/mm,最大允许误差±5%</w:t>
      </w:r>
    </w:p>
    <w:p w14:paraId="2F9A524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1.13低通滤波：符合A0.9Fc≥0.7A10≥A1.1Fc标准</w:t>
      </w:r>
    </w:p>
    <w:p w14:paraId="4E534C0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1.14输入阻抗：对于10Hz正弦波信号，各道≥120MΩ</w:t>
      </w:r>
    </w:p>
    <w:p w14:paraId="6C997BE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1.15信号输入范围：±300mV</w:t>
      </w:r>
    </w:p>
    <w:p w14:paraId="5732CC9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1.16硬件打标响应时间：≤1s</w:t>
      </w:r>
    </w:p>
    <w:p w14:paraId="52E0ADB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1.17陷波（快速滤波）：衰减度≥35dB（在50Hz和60Hz两档）</w:t>
      </w:r>
    </w:p>
    <w:p w14:paraId="10759AB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▲1.18防电击程度分类不低于CF型。</w:t>
      </w:r>
    </w:p>
    <w:p w14:paraId="0ABDA97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2.延长头盒</w:t>
      </w:r>
    </w:p>
    <w:p w14:paraId="291AF02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2.1支持采集≥128通道EEG延长头盒1个，支持≥8通道BIP信号</w:t>
      </w:r>
    </w:p>
    <w:p w14:paraId="097CE62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2.2数据线缆需要是屏蔽线，可提供高信噪比数据</w:t>
      </w:r>
    </w:p>
    <w:p w14:paraId="1796776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2.3提供SHD接口</w:t>
      </w:r>
    </w:p>
    <w:p w14:paraId="026E9ED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2.4数据线缆长度≥3m。</w:t>
      </w:r>
    </w:p>
    <w:p w14:paraId="68CFF5A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3.配置清单</w:t>
      </w:r>
    </w:p>
    <w:p w14:paraId="0D0F917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3.1探头+头盒：1套</w:t>
      </w:r>
    </w:p>
    <w:p w14:paraId="294D2B0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3.2延长头盒：1套。</w:t>
      </w:r>
    </w:p>
    <w:p w14:paraId="10784B04">
      <w:pPr>
        <w:widowControl/>
        <w:spacing w:line="360" w:lineRule="auto"/>
        <w:ind w:firstLine="482" w:firstLineChars="200"/>
        <w:contextualSpacing/>
        <w:jc w:val="left"/>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（三）其他要求 </w:t>
      </w:r>
    </w:p>
    <w:p w14:paraId="71E29704">
      <w:pPr>
        <w:spacing w:line="360" w:lineRule="auto"/>
        <w:ind w:firstLine="482" w:firstLineChars="200"/>
        <w:contextualSpacing/>
        <w:rPr>
          <w:rFonts w:asciiTheme="minorEastAsia" w:hAnsiTheme="minorEastAsia" w:eastAsiaTheme="minorEastAsia"/>
          <w:sz w:val="24"/>
        </w:rPr>
      </w:pPr>
      <w:r>
        <w:rPr>
          <w:rFonts w:hint="eastAsia" w:asciiTheme="minorEastAsia" w:hAnsiTheme="minorEastAsia" w:eastAsiaTheme="minorEastAsia"/>
          <w:b/>
          <w:bCs/>
          <w:sz w:val="24"/>
        </w:rPr>
        <w:t>1.质保期：</w:t>
      </w:r>
      <w:r>
        <w:rPr>
          <w:rFonts w:hint="eastAsia" w:asciiTheme="minorEastAsia" w:hAnsiTheme="minorEastAsia" w:eastAsiaTheme="minorEastAsia"/>
          <w:sz w:val="24"/>
        </w:rPr>
        <w:t>整机系统（最终验收合格后）质保期不少于3年。</w:t>
      </w:r>
    </w:p>
    <w:p w14:paraId="1CC867FF">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2.安装：供应商在交货后7天内到现场开箱验货，并完成安装、调试。</w:t>
      </w:r>
    </w:p>
    <w:p w14:paraId="4F4A58B5">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3.培训：供应商免费提供设备到达现场后的安装、调试及应用培训，直至操作人员掌握为止。</w:t>
      </w:r>
    </w:p>
    <w:p w14:paraId="723A04FF">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4.技术支持：供应商免费提供设备使用手册、培训教材、应用资料等；长期提供技术服务支持。</w:t>
      </w:r>
    </w:p>
    <w:p w14:paraId="36DEA465">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5.维修要求：在设备整个使用期内，供应商应确保设备的正常使用。在接到用户维修要求后须在2小时内作出回应，并在48小时内派员到达采购人现场实施维修。</w:t>
      </w:r>
    </w:p>
    <w:p w14:paraId="165596FA">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6.验收：产品到货后，采购人使用单位进行开箱检查，对于出现的产品损坏、数量不全、产品不符等问题时，采购人有权要求中标供应商退货、更换货物、补充货物。按合同文件的技术指标对产品的性能、配置进行选择性测试检查。 </w:t>
      </w:r>
    </w:p>
    <w:p w14:paraId="6C8DB7F4">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7.投标人应在投标文件中提供：</w:t>
      </w:r>
    </w:p>
    <w:p w14:paraId="13D70241">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7.1供货、安装、验收方案，内容包括但不限于：</w:t>
      </w:r>
    </w:p>
    <w:p w14:paraId="3A7E3FC5">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7.1.1供货保障方案；</w:t>
      </w:r>
    </w:p>
    <w:p w14:paraId="18613F56">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7.1.2安装实施方案；</w:t>
      </w:r>
    </w:p>
    <w:p w14:paraId="65C786C1">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7.1.3验收标准与流程方案；</w:t>
      </w:r>
    </w:p>
    <w:p w14:paraId="32898304">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7.1.4项目进度保障措施。</w:t>
      </w:r>
    </w:p>
    <w:p w14:paraId="6073EF51">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7.2售后服务方案：内容包括但不限于：</w:t>
      </w:r>
    </w:p>
    <w:p w14:paraId="5AB0DF79">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7.2.1售后服务承诺（售后响应及处理周期等）及保障措施；</w:t>
      </w:r>
    </w:p>
    <w:p w14:paraId="4E7A181F">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7.2.2售后备品备件情况；</w:t>
      </w:r>
    </w:p>
    <w:p w14:paraId="3CFC3E12">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7.2.3售后人员配置及回访方案。</w:t>
      </w:r>
    </w:p>
    <w:p w14:paraId="33E6061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7.3培训方案：内容包括但不限于：</w:t>
      </w:r>
    </w:p>
    <w:p w14:paraId="1A847A1F">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7.3.1培训的时间、培训方式、培训内容；</w:t>
      </w:r>
    </w:p>
    <w:p w14:paraId="674DC1F7">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 xml:space="preserve">7.3.2培训师资与保障措施、培训效果评估及考核方案。 </w:t>
      </w:r>
    </w:p>
    <w:p w14:paraId="2D16FE3E">
      <w:pPr>
        <w:widowControl/>
        <w:spacing w:line="360" w:lineRule="auto"/>
        <w:ind w:firstLine="482" w:firstLineChars="200"/>
        <w:contextualSpacing/>
        <w:jc w:val="left"/>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（四）特别说明</w:t>
      </w:r>
    </w:p>
    <w:p w14:paraId="66245E5F">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1.对于技术规格中标注“★”号的技术参数代表实质性指标，不满足该指标项将直接导致投标被拒绝。</w:t>
      </w:r>
    </w:p>
    <w:p w14:paraId="1C455827">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2.标注“</w:t>
      </w:r>
      <w:r>
        <w:rPr>
          <w:rFonts w:hint="eastAsia" w:cs="宋体" w:asciiTheme="minorEastAsia" w:hAnsiTheme="minorEastAsia" w:eastAsiaTheme="minorEastAsia"/>
          <w:bCs/>
          <w:kern w:val="0"/>
          <w:sz w:val="24"/>
        </w:rPr>
        <w:t>▲</w:t>
      </w:r>
      <w:r>
        <w:rPr>
          <w:rFonts w:hint="eastAsia" w:asciiTheme="minorEastAsia" w:hAnsiTheme="minorEastAsia" w:eastAsiaTheme="minorEastAsia"/>
          <w:sz w:val="24"/>
        </w:rPr>
        <w:t>”的指标为重要的技术指标，不满足将导致其在第四章评标标准中对采购需求的响应情况被扣除相应分值。</w:t>
      </w:r>
    </w:p>
    <w:p w14:paraId="2B538A64">
      <w:pPr>
        <w:widowControl/>
        <w:spacing w:line="360" w:lineRule="auto"/>
        <w:ind w:firstLine="480" w:firstLineChars="200"/>
        <w:contextualSpacing/>
        <w:jc w:val="left"/>
        <w:rPr>
          <w:rFonts w:asciiTheme="minorEastAsia" w:hAnsiTheme="minorEastAsia" w:eastAsiaTheme="minorEastAsia"/>
          <w:sz w:val="24"/>
        </w:rPr>
      </w:pPr>
      <w:r>
        <w:rPr>
          <w:rFonts w:hint="eastAsia" w:asciiTheme="minorEastAsia" w:hAnsiTheme="minorEastAsia" w:eastAsiaTheme="minorEastAsia"/>
          <w:sz w:val="24"/>
        </w:rPr>
        <w:t>3.对于采购需求三、技术要求（二）具体要求中标注“▲”号的技术指标，投标人须在投标文件中按照招标文件技术规格的要求提供技术应答的证明材料，其中证明材料除招标文件中有明确规定的证明材料外，其余“▲”号的技术指标需提供产品说明书或产品彩页或检测机构出具的检验/检测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担。</w:t>
      </w:r>
    </w:p>
    <w:p w14:paraId="3EF0D6F9">
      <w:pPr>
        <w:widowControl/>
        <w:spacing w:line="360" w:lineRule="auto"/>
        <w:ind w:firstLine="480" w:firstLineChars="200"/>
        <w:contextualSpacing/>
        <w:jc w:val="left"/>
        <w:rPr>
          <w:rFonts w:asciiTheme="minorEastAsia" w:hAnsiTheme="minorEastAsia" w:eastAsiaTheme="minorEastAsia"/>
          <w:sz w:val="24"/>
        </w:rPr>
      </w:pPr>
      <w:r>
        <w:rPr>
          <w:rFonts w:hint="eastAsia" w:asciiTheme="minorEastAsia" w:hAnsiTheme="minorEastAsia" w:eastAsiaTheme="minorEastAsia"/>
          <w:sz w:val="24"/>
        </w:rPr>
        <w:t>4.对于采购需求三、技术要求（二）具体要求中的技术指标，如应提供且可以提供设备的真实技术指标参数但不提供，只照抄招标文件参数要求，经评标委员会认定，该项指标为负偏离。</w:t>
      </w:r>
    </w:p>
    <w:p w14:paraId="243F109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4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60" w:lineRule="auto"/>
      <w:jc w:val="center"/>
    </w:pPr>
    <w:rPr>
      <w:rFonts w:ascii="宋体"/>
      <w:sz w:val="28"/>
    </w:rPr>
  </w:style>
  <w:style w:type="paragraph" w:styleId="3">
    <w:name w:val="toc 2"/>
    <w:basedOn w:val="1"/>
    <w:next w:val="1"/>
    <w:qFormat/>
    <w:uiPriority w:val="39"/>
    <w:pPr>
      <w:tabs>
        <w:tab w:val="right" w:leader="dot" w:pos="8937"/>
      </w:tabs>
      <w:spacing w:line="312" w:lineRule="auto"/>
      <w:ind w:left="420" w:leftChars="200"/>
    </w:pPr>
  </w:style>
  <w:style w:type="paragraph" w:styleId="4">
    <w:name w:val="Body Text 2"/>
    <w:basedOn w:val="1"/>
    <w:semiHidden/>
    <w:unhideWhenUsed/>
    <w:qFormat/>
    <w:uiPriority w:val="99"/>
    <w:pPr>
      <w:spacing w:after="120" w:line="480" w:lineRule="auto"/>
    </w:pPr>
  </w:style>
  <w:style w:type="paragraph" w:customStyle="1" w:styleId="7">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2026-04-27T06:18:54Z</dcterms:created>
  <dc:creator>zxhd</dc:creator>
  <cp:lastModifiedBy>周连妹</cp:lastModifiedBy>
  <dcterms:modified xsi:type="dcterms:W3CDTF">2026-04-27T06:18:58Z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eyJoZGlkIjoiMDEwZGE1MDQxZjI0MTBlMTY3ZGU0MzI3NzJmNmRmOTQiLCJ1c2VySWQiOiIyOTI2NjUzMzQifQ==</vt:lpwstr>
  </property>
  <property fmtid="{D5CDD505-2E9C-101B-9397-08002B2CF9AE}" pid="4" name="ICV">
    <vt:lpwstr>6C040E18ADDA466FADDD368363591139_12</vt:lpwstr>
  </property>
</Properties>
</file>