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auto"/>
        <w:outlineLvl w:val="0"/>
        <w:rPr>
          <w:rFonts w:hint="default" w:ascii="宋体" w:hAnsi="宋体" w:eastAsia="宋体" w:cs="宋体"/>
          <w:b/>
          <w:bCs/>
          <w:color w:val="000000"/>
          <w:kern w:val="0"/>
          <w:sz w:val="24"/>
          <w:szCs w:val="24"/>
          <w:highlight w:val="none"/>
          <w:lang w:val="en-US" w:eastAsia="zh-CN" w:bidi="ar"/>
        </w:rPr>
      </w:pPr>
      <w:bookmarkStart w:id="0" w:name="_Toc99301424"/>
      <w:r>
        <w:rPr>
          <w:b/>
          <w:sz w:val="36"/>
          <w:szCs w:val="36"/>
          <w:highlight w:val="none"/>
        </w:rPr>
        <w:t>采购需求</w:t>
      </w:r>
      <w:bookmarkEnd w:id="0"/>
    </w:p>
    <w:p>
      <w:pPr>
        <w:spacing w:line="360" w:lineRule="auto"/>
        <w:ind w:firstLine="723" w:firstLineChars="200"/>
        <w:rPr>
          <w:b/>
          <w:sz w:val="36"/>
          <w:szCs w:val="36"/>
          <w:highlight w:val="none"/>
        </w:rPr>
      </w:pPr>
    </w:p>
    <w:p>
      <w:pPr>
        <w:pStyle w:val="66"/>
        <w:numPr>
          <w:ilvl w:val="0"/>
          <w:numId w:val="8"/>
        </w:numPr>
        <w:spacing w:line="360" w:lineRule="auto"/>
        <w:ind w:left="990" w:leftChars="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采购标的</w:t>
      </w:r>
    </w:p>
    <w:p>
      <w:pPr>
        <w:spacing w:line="360" w:lineRule="auto"/>
        <w:ind w:left="482"/>
        <w:rPr>
          <w:rFonts w:hint="eastAsia" w:ascii="宋体" w:hAnsi="宋体" w:eastAsia="宋体" w:cs="宋体"/>
          <w:b/>
          <w:sz w:val="24"/>
          <w:szCs w:val="24"/>
          <w:highlight w:val="none"/>
        </w:rPr>
      </w:pPr>
      <w:r>
        <w:rPr>
          <w:rFonts w:hint="eastAsia" w:ascii="宋体" w:hAnsi="宋体" w:eastAsia="宋体" w:cs="宋体"/>
          <w:b/>
          <w:sz w:val="24"/>
          <w:szCs w:val="24"/>
          <w:highlight w:val="none"/>
        </w:rPr>
        <w:t>1、采购标的：</w:t>
      </w:r>
    </w:p>
    <w:tbl>
      <w:tblPr>
        <w:tblStyle w:val="52"/>
        <w:tblW w:w="9288" w:type="dxa"/>
        <w:jc w:val="center"/>
        <w:tblInd w:w="12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1"/>
        <w:gridCol w:w="4550"/>
        <w:gridCol w:w="780"/>
        <w:gridCol w:w="781"/>
        <w:gridCol w:w="239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3" w:hRule="atLeast"/>
          <w:jc w:val="center"/>
        </w:trPr>
        <w:tc>
          <w:tcPr>
            <w:tcW w:w="781" w:type="dxa"/>
            <w:tcBorders>
              <w:top w:val="double" w:color="auto" w:sz="4" w:space="0"/>
            </w:tcBorders>
            <w:shd w:val="clear" w:color="auto" w:fill="auto"/>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4550" w:type="dxa"/>
            <w:tcBorders>
              <w:top w:val="double" w:color="auto" w:sz="4" w:space="0"/>
              <w:right w:val="single" w:color="auto" w:sz="4" w:space="0"/>
            </w:tcBorders>
            <w:shd w:val="clear" w:color="000000" w:fill="FFFFFF"/>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服务名称</w:t>
            </w:r>
          </w:p>
        </w:tc>
        <w:tc>
          <w:tcPr>
            <w:tcW w:w="780" w:type="dxa"/>
            <w:tcBorders>
              <w:top w:val="double" w:color="auto" w:sz="4" w:space="0"/>
              <w:left w:val="single" w:color="auto" w:sz="4" w:space="0"/>
            </w:tcBorders>
            <w:shd w:val="clear" w:color="000000" w:fill="FFFFFF"/>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781" w:type="dxa"/>
            <w:tcBorders>
              <w:top w:val="double" w:color="auto" w:sz="4" w:space="0"/>
              <w:left w:val="single" w:color="auto" w:sz="4" w:space="0"/>
              <w:right w:val="single" w:color="auto" w:sz="4" w:space="0"/>
            </w:tcBorders>
            <w:shd w:val="clear" w:color="000000" w:fill="FFFFFF"/>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2396" w:type="dxa"/>
            <w:tcBorders>
              <w:top w:val="double" w:color="auto" w:sz="4" w:space="0"/>
              <w:left w:val="single" w:color="auto" w:sz="4" w:space="0"/>
            </w:tcBorders>
            <w:shd w:val="clear" w:color="000000" w:fill="FFFFFF"/>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预算金额（万元）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182" w:hRule="exact"/>
          <w:jc w:val="center"/>
        </w:trPr>
        <w:tc>
          <w:tcPr>
            <w:tcW w:w="781" w:type="dxa"/>
            <w:shd w:val="clear" w:color="auto" w:fill="auto"/>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550" w:type="dxa"/>
            <w:tcBorders>
              <w:right w:val="single" w:color="auto" w:sz="4" w:space="0"/>
            </w:tcBorders>
            <w:shd w:val="clear" w:color="000000" w:fill="FFFFFF"/>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北京市水科学技术研究院本部2026年物业管理服务采购项目</w:t>
            </w:r>
          </w:p>
        </w:tc>
        <w:tc>
          <w:tcPr>
            <w:tcW w:w="780" w:type="dxa"/>
            <w:tcBorders>
              <w:left w:val="single" w:color="auto" w:sz="4" w:space="0"/>
            </w:tcBorders>
            <w:shd w:val="clear" w:color="000000" w:fill="FFFFFF"/>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81" w:type="dxa"/>
            <w:tcBorders>
              <w:left w:val="single" w:color="auto" w:sz="4" w:space="0"/>
              <w:right w:val="single" w:color="auto" w:sz="4" w:space="0"/>
            </w:tcBorders>
            <w:shd w:val="clear" w:color="000000" w:fill="FFFFFF"/>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2396" w:type="dxa"/>
            <w:tcBorders>
              <w:left w:val="single" w:color="auto" w:sz="4" w:space="0"/>
            </w:tcBorders>
            <w:shd w:val="clear" w:color="000000" w:fill="FFFFFF"/>
            <w:vAlign w:val="center"/>
          </w:tcPr>
          <w:p>
            <w:pPr>
              <w:tabs>
                <w:tab w:val="left" w:pos="405"/>
              </w:tabs>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205</w:t>
            </w:r>
          </w:p>
        </w:tc>
      </w:tr>
    </w:tbl>
    <w:p>
      <w:pPr>
        <w:spacing w:line="360" w:lineRule="auto"/>
        <w:rPr>
          <w:rFonts w:hint="eastAsia" w:ascii="宋体" w:hAnsi="宋体" w:eastAsia="宋体" w:cs="宋体"/>
          <w:b/>
          <w:sz w:val="24"/>
          <w:szCs w:val="24"/>
          <w:highlight w:val="none"/>
        </w:rPr>
      </w:pPr>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2、项目背景</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院隶属于北京市水务局，属于公益二类的事业单位。院本部地址是海淀车公庄西路21号，建筑面积11000多平米，包括有职工食堂、办公楼A座三层、海洋厅二层、B座三层（地下一层）、办公楼C座二层和D座学生及其它人员宿舍。</w:t>
      </w:r>
    </w:p>
    <w:p>
      <w:pPr>
        <w:pStyle w:val="66"/>
        <w:numPr>
          <w:ilvl w:val="0"/>
          <w:numId w:val="8"/>
        </w:numPr>
        <w:spacing w:line="360" w:lineRule="auto"/>
        <w:ind w:left="990" w:leftChars="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商务要求</w:t>
      </w:r>
    </w:p>
    <w:p>
      <w:pPr>
        <w:pStyle w:val="21"/>
        <w:numPr>
          <w:ilvl w:val="0"/>
          <w:numId w:val="0"/>
        </w:numPr>
        <w:ind w:left="482" w:leftChars="0"/>
        <w:rPr>
          <w:rFonts w:hint="eastAsia" w:ascii="宋体" w:hAnsi="宋体" w:eastAsia="宋体" w:cs="宋体"/>
          <w:szCs w:val="24"/>
          <w:highlight w:val="none"/>
        </w:rPr>
      </w:pPr>
      <w:r>
        <w:rPr>
          <w:rFonts w:hint="eastAsia" w:ascii="宋体" w:hAnsi="宋体" w:eastAsia="宋体" w:cs="宋体"/>
          <w:szCs w:val="24"/>
          <w:highlight w:val="none"/>
          <w:lang w:val="en-US" w:eastAsia="zh-CN"/>
        </w:rPr>
        <w:t>1、</w:t>
      </w:r>
      <w:r>
        <w:rPr>
          <w:rFonts w:hint="eastAsia" w:ascii="宋体" w:hAnsi="宋体" w:eastAsia="宋体" w:cs="宋体"/>
          <w:szCs w:val="24"/>
          <w:highlight w:val="none"/>
        </w:rPr>
        <w:t>物业服务期限：</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采购物业服务期限</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12</w:t>
      </w:r>
      <w:r>
        <w:rPr>
          <w:rFonts w:hint="eastAsia" w:ascii="宋体" w:hAnsi="宋体" w:cs="宋体"/>
          <w:sz w:val="24"/>
          <w:szCs w:val="24"/>
          <w:highlight w:val="none"/>
          <w:lang w:val="en-US" w:eastAsia="zh-CN"/>
        </w:rPr>
        <w:t>个</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rPr>
        <w:t>。</w:t>
      </w:r>
    </w:p>
    <w:p>
      <w:pPr>
        <w:pStyle w:val="21"/>
        <w:numPr>
          <w:ilvl w:val="0"/>
          <w:numId w:val="0"/>
        </w:numPr>
        <w:ind w:left="482" w:leftChars="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付款条件</w:t>
      </w:r>
    </w:p>
    <w:p>
      <w:pPr>
        <w:adjustRightInd w:val="0"/>
        <w:spacing w:line="360" w:lineRule="atLeast"/>
        <w:ind w:firstLine="360" w:firstLineChars="150"/>
        <w:jc w:val="left"/>
        <w:textAlignment w:val="baseline"/>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签订合同后，首付款支付合同款的</w:t>
      </w:r>
      <w:r>
        <w:rPr>
          <w:rFonts w:hint="eastAsia" w:ascii="宋体" w:hAnsi="宋体" w:eastAsia="宋体" w:cs="宋体"/>
          <w:kern w:val="0"/>
          <w:sz w:val="24"/>
          <w:szCs w:val="24"/>
          <w:highlight w:val="none"/>
          <w:lang w:val="en-US" w:eastAsia="zh-CN"/>
        </w:rPr>
        <w:t>50%，以后</w:t>
      </w:r>
      <w:r>
        <w:rPr>
          <w:rFonts w:hint="eastAsia" w:ascii="宋体" w:hAnsi="宋体" w:eastAsia="宋体" w:cs="宋体"/>
          <w:kern w:val="0"/>
          <w:sz w:val="24"/>
          <w:szCs w:val="24"/>
          <w:highlight w:val="none"/>
        </w:rPr>
        <w:t>按季支付，第四季度经验收合格、满意度达到90%可支付剩余金额</w:t>
      </w:r>
      <w:r>
        <w:rPr>
          <w:rFonts w:hint="eastAsia" w:ascii="宋体" w:hAnsi="宋体" w:eastAsia="宋体" w:cs="宋体"/>
          <w:kern w:val="0"/>
          <w:sz w:val="24"/>
          <w:szCs w:val="24"/>
          <w:highlight w:val="none"/>
          <w:lang w:eastAsia="zh-CN"/>
        </w:rPr>
        <w:t>。</w:t>
      </w:r>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三、技术要求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（一）质量要求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提供物业公司管理制度、培训方案、应急预案等管理体系，台账清晰，严格执行各项制度。提供有效的质量、环境、职业健康安全管理证书。符合安全管理规定，确保不出重大责任问题</w:t>
      </w:r>
      <w:r>
        <w:rPr>
          <w:rFonts w:hint="eastAsia" w:ascii="宋体" w:hAnsi="宋体" w:cs="宋体"/>
          <w:color w:val="auto"/>
          <w:sz w:val="24"/>
          <w:szCs w:val="24"/>
          <w:highlight w:val="none"/>
          <w:lang w:eastAsia="zh-CN"/>
        </w:rPr>
        <w:t>，同时</w:t>
      </w:r>
      <w:r>
        <w:rPr>
          <w:rFonts w:hint="eastAsia" w:ascii="宋体" w:hAnsi="宋体" w:eastAsia="宋体" w:cs="宋体"/>
          <w:i w:val="0"/>
          <w:iCs w:val="0"/>
          <w:caps w:val="0"/>
          <w:color w:val="auto"/>
          <w:spacing w:val="0"/>
          <w:sz w:val="24"/>
          <w:szCs w:val="24"/>
          <w:highlight w:val="none"/>
          <w:shd w:val="clear"/>
        </w:rPr>
        <w:t>“落实ESG理念”</w:t>
      </w:r>
      <w:r>
        <w:rPr>
          <w:rFonts w:hint="eastAsia" w:ascii="宋体" w:hAnsi="宋体" w:cs="宋体"/>
          <w:i w:val="0"/>
          <w:iCs w:val="0"/>
          <w:caps w:val="0"/>
          <w:color w:val="auto"/>
          <w:spacing w:val="0"/>
          <w:sz w:val="24"/>
          <w:szCs w:val="24"/>
          <w:highlight w:val="none"/>
          <w:shd w:val="clear"/>
          <w:lang w:eastAsia="zh-CN"/>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（二）验收标准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1、根据合同规定的服务内容提供相关材料。</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2、满足绩效考核指标体系中的服务内容。</w:t>
      </w:r>
    </w:p>
    <w:p>
      <w:pPr>
        <w:pStyle w:val="21"/>
        <w:ind w:firstLine="480"/>
        <w:rPr>
          <w:rFonts w:hint="eastAsia" w:ascii="宋体" w:hAnsi="宋体" w:eastAsia="宋体" w:cs="宋体"/>
          <w:szCs w:val="24"/>
          <w:highlight w:val="none"/>
        </w:rPr>
      </w:pPr>
      <w:r>
        <w:rPr>
          <w:rFonts w:hint="eastAsia" w:ascii="宋体" w:hAnsi="宋体" w:eastAsia="宋体" w:cs="宋体"/>
          <w:szCs w:val="24"/>
          <w:highlight w:val="none"/>
        </w:rPr>
        <w:t>3、满意度需达到90%以上。</w:t>
      </w:r>
    </w:p>
    <w:p>
      <w:pPr>
        <w:pStyle w:val="66"/>
        <w:numPr>
          <w:ilvl w:val="0"/>
          <w:numId w:val="9"/>
        </w:numPr>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主要内容、范围：</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1、保洁服务</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保洁人员年龄在</w:t>
      </w:r>
      <w:r>
        <w:rPr>
          <w:rFonts w:hint="eastAsia" w:ascii="宋体" w:hAnsi="宋体" w:eastAsia="宋体" w:cs="宋体"/>
          <w:sz w:val="24"/>
          <w:szCs w:val="24"/>
          <w:highlight w:val="none"/>
          <w:lang w:val="en-US" w:eastAsia="zh-CN"/>
        </w:rPr>
        <w:t>55（含）周岁以下最佳，</w:t>
      </w:r>
      <w:r>
        <w:rPr>
          <w:rFonts w:hint="eastAsia" w:ascii="宋体" w:hAnsi="宋体" w:eastAsia="宋体" w:cs="宋体"/>
          <w:sz w:val="24"/>
          <w:szCs w:val="24"/>
          <w:highlight w:val="none"/>
        </w:rPr>
        <w:t>负责所管辖区外围服务范围内的清洁、消毒工作，全部楼宇室内环境及物体表面清洁消毒工作，室外道路清扫及标示牌、台面等外围环境表面卫生清洁，所辖区生活垃圾、可回收垃圾的清运工作。负责辖区内楼宇内各种材质地面清洁养护，包括PVC地面清洗、抛光、打蜡等（材料人工费单独计算），负责所管辖区域内所有雨搭、车库出入口防护阳光板进行定期清洁。</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2、会服服务：</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会服服务是指做好院内各个会议的服务内容，包括会议室卫生、会议服务、报纸的发放和其它采购人交待的工作等内容。</w:t>
      </w:r>
    </w:p>
    <w:p>
      <w:pPr>
        <w:pStyle w:val="21"/>
        <w:numPr>
          <w:ilvl w:val="0"/>
          <w:numId w:val="10"/>
        </w:numPr>
        <w:ind w:firstLine="480"/>
        <w:rPr>
          <w:rFonts w:hint="eastAsia" w:ascii="宋体" w:hAnsi="宋体" w:eastAsia="宋体" w:cs="宋体"/>
          <w:szCs w:val="24"/>
          <w:highlight w:val="none"/>
        </w:rPr>
      </w:pPr>
      <w:r>
        <w:rPr>
          <w:rFonts w:hint="eastAsia" w:ascii="宋体" w:hAnsi="宋体" w:eastAsia="宋体" w:cs="宋体"/>
          <w:szCs w:val="24"/>
          <w:highlight w:val="none"/>
        </w:rPr>
        <w:t>安保服务：</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安全运维部负责安全保卫服务工作，及时有效的处理各类突发事件，严格控制出入的人员，杜绝无关人员进入；维护辖区的安全，创造舒适、放心、安全的工作环境；做好安全巡查工作，特别是对重点部位的检查，夜间、节假日期间加强巡查力度，确保安全；做好治安管理、消防及监控系统管理、车辆停放管理和保密工作；定期组织消防知识培训及消防疏散演练；安全管理风险防范工作。</w:t>
      </w:r>
    </w:p>
    <w:p>
      <w:pPr>
        <w:pStyle w:val="21"/>
        <w:numPr>
          <w:ilvl w:val="0"/>
          <w:numId w:val="10"/>
        </w:numPr>
        <w:ind w:firstLine="480"/>
        <w:rPr>
          <w:rFonts w:hint="eastAsia" w:ascii="宋体" w:hAnsi="宋体" w:eastAsia="宋体" w:cs="宋体"/>
          <w:szCs w:val="24"/>
          <w:highlight w:val="none"/>
        </w:rPr>
      </w:pPr>
      <w:r>
        <w:rPr>
          <w:rFonts w:hint="eastAsia" w:ascii="宋体" w:hAnsi="宋体" w:eastAsia="宋体" w:cs="宋体"/>
          <w:szCs w:val="24"/>
          <w:highlight w:val="none"/>
        </w:rPr>
        <w:t>综合维修服务和配电室值守服务：</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综合维修服务：是指为保证服务区域内的业务正常进行的维修服务，包括有水、电、气、暖等维修内容，因采购方有独立配电室，服务方需提供配电室值守服务内容</w:t>
      </w:r>
      <w:r>
        <w:rPr>
          <w:rFonts w:hint="eastAsia" w:ascii="宋体" w:hAnsi="宋体" w:eastAsia="宋体" w:cs="宋体"/>
          <w:sz w:val="24"/>
          <w:szCs w:val="24"/>
          <w:highlight w:val="none"/>
          <w:lang w:eastAsia="zh-CN"/>
        </w:rPr>
        <w:t>且配电室值守人员需持有高压电工作业证。</w:t>
      </w:r>
    </w:p>
    <w:p>
      <w:pPr>
        <w:rPr>
          <w:rFonts w:hint="eastAsia" w:ascii="宋体" w:hAnsi="宋体" w:eastAsia="宋体" w:cs="宋体"/>
          <w:sz w:val="24"/>
          <w:szCs w:val="24"/>
          <w:highlight w:val="none"/>
        </w:rPr>
      </w:pPr>
    </w:p>
    <w:p>
      <w:pPr>
        <w:numPr>
          <w:ilvl w:val="0"/>
          <w:numId w:val="10"/>
        </w:num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其它服务：是指采购人临时交办服务内容等。</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（四）人员要求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1、项目经理任职要求：（1）年龄5</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岁（含）以下；（2）具有专科及以上学历；（3）具有</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年类似物业项目经理经验。</w:t>
      </w:r>
    </w:p>
    <w:p>
      <w:pPr>
        <w:spacing w:line="360" w:lineRule="auto"/>
        <w:ind w:firstLine="480" w:firstLineChars="200"/>
        <w:rPr>
          <w:rFonts w:hint="eastAsia" w:ascii="宋体" w:hAnsi="宋体" w:eastAsia="宋体" w:cs="宋体"/>
          <w:sz w:val="24"/>
          <w:szCs w:val="24"/>
          <w:highlight w:val="none"/>
        </w:rPr>
      </w:pPr>
      <w:bookmarkStart w:id="1" w:name="_Hlk116273055"/>
      <w:r>
        <w:rPr>
          <w:rFonts w:hint="eastAsia" w:ascii="宋体" w:hAnsi="宋体" w:eastAsia="宋体" w:cs="宋体"/>
          <w:sz w:val="24"/>
          <w:szCs w:val="24"/>
          <w:highlight w:val="none"/>
        </w:rPr>
        <w:t>人员数量不得少于相关岗位人数，</w:t>
      </w:r>
      <w:bookmarkStart w:id="2" w:name="_Hlk116274180"/>
      <w:r>
        <w:rPr>
          <w:rFonts w:hint="eastAsia" w:ascii="宋体" w:hAnsi="宋体" w:eastAsia="宋体" w:cs="宋体"/>
          <w:sz w:val="24"/>
          <w:szCs w:val="24"/>
          <w:highlight w:val="none"/>
        </w:rPr>
        <w:t>若因</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人的原因造成实际工作人数增加，则采购人不增加付款金额。因其他原因，实际人数达不到最低岗位要求人数，采购人根据实际在岗人数和人均工资据实支付。</w:t>
      </w:r>
      <w:bookmarkEnd w:id="1"/>
      <w:bookmarkEnd w:id="2"/>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（五）总体服务要求：</w:t>
      </w:r>
    </w:p>
    <w:p>
      <w:pPr>
        <w:adjustRightInd w:val="0"/>
        <w:spacing w:line="360" w:lineRule="auto"/>
        <w:ind w:firstLine="480" w:firstLineChars="200"/>
        <w:jc w:val="left"/>
        <w:textAlignment w:val="baseline"/>
        <w:rPr>
          <w:rFonts w:hint="eastAsia" w:ascii="宋体" w:hAnsi="宋体" w:eastAsia="宋体" w:cs="宋体"/>
          <w:bCs/>
          <w:kern w:val="0"/>
          <w:sz w:val="24"/>
          <w:highlight w:val="none"/>
        </w:rPr>
      </w:pPr>
      <w:r>
        <w:rPr>
          <w:rFonts w:hint="eastAsia" w:ascii="宋体" w:hAnsi="宋体" w:eastAsia="宋体" w:cs="宋体"/>
          <w:bCs/>
          <w:kern w:val="0"/>
          <w:sz w:val="24"/>
          <w:highlight w:val="none"/>
        </w:rPr>
        <w:t>（1）按专业化的要求配置管理、运行人员，明确架构，编制岗位职责；属国家规定须持证上岗的服务人员均须持证上岗，按要求配置管理人员。保证全天候满意周到服务，同时必须服从院管理。</w:t>
      </w:r>
    </w:p>
    <w:p>
      <w:pPr>
        <w:adjustRightInd w:val="0"/>
        <w:spacing w:line="360" w:lineRule="auto"/>
        <w:ind w:firstLine="480" w:firstLineChars="200"/>
        <w:jc w:val="left"/>
        <w:textAlignment w:val="baseline"/>
        <w:rPr>
          <w:rFonts w:hint="eastAsia" w:ascii="宋体" w:hAnsi="宋体" w:eastAsia="宋体" w:cs="宋体"/>
          <w:bCs/>
          <w:kern w:val="0"/>
          <w:sz w:val="24"/>
          <w:highlight w:val="none"/>
        </w:rPr>
      </w:pPr>
      <w:r>
        <w:rPr>
          <w:rFonts w:hint="eastAsia" w:ascii="宋体" w:hAnsi="宋体" w:eastAsia="宋体" w:cs="宋体"/>
          <w:bCs/>
          <w:kern w:val="0"/>
          <w:sz w:val="24"/>
          <w:highlight w:val="none"/>
        </w:rPr>
        <w:t>（2）中标人必须保证各设备设施安全运行，如出现由中标人管理不善、操作失误所造成的一切损失、责任由中标人承担。</w:t>
      </w:r>
    </w:p>
    <w:p>
      <w:pPr>
        <w:adjustRightInd w:val="0"/>
        <w:spacing w:line="360" w:lineRule="auto"/>
        <w:ind w:firstLine="480" w:firstLineChars="200"/>
        <w:jc w:val="left"/>
        <w:textAlignment w:val="baseline"/>
        <w:rPr>
          <w:rFonts w:hint="eastAsia" w:ascii="宋体" w:hAnsi="宋体" w:eastAsia="宋体" w:cs="宋体"/>
          <w:bCs/>
          <w:kern w:val="0"/>
          <w:sz w:val="24"/>
          <w:highlight w:val="none"/>
        </w:rPr>
      </w:pPr>
      <w:r>
        <w:rPr>
          <w:rFonts w:hint="eastAsia" w:ascii="宋体" w:hAnsi="宋体" w:eastAsia="宋体" w:cs="宋体"/>
          <w:bCs/>
          <w:kern w:val="0"/>
          <w:sz w:val="24"/>
          <w:highlight w:val="none"/>
        </w:rPr>
        <w:t>（3）物业管理服务与收费质价相符。</w:t>
      </w:r>
    </w:p>
    <w:p>
      <w:pPr>
        <w:adjustRightInd w:val="0"/>
        <w:spacing w:line="360" w:lineRule="auto"/>
        <w:ind w:firstLine="480" w:firstLineChars="200"/>
        <w:jc w:val="left"/>
        <w:textAlignment w:val="baseline"/>
        <w:rPr>
          <w:rFonts w:hint="eastAsia" w:ascii="宋体" w:hAnsi="宋体" w:eastAsia="宋体" w:cs="宋体"/>
          <w:bCs/>
          <w:kern w:val="0"/>
          <w:sz w:val="24"/>
          <w:highlight w:val="none"/>
        </w:rPr>
      </w:pPr>
      <w:r>
        <w:rPr>
          <w:rFonts w:hint="eastAsia" w:ascii="宋体" w:hAnsi="宋体" w:eastAsia="宋体" w:cs="宋体"/>
          <w:bCs/>
          <w:kern w:val="0"/>
          <w:sz w:val="24"/>
          <w:highlight w:val="none"/>
        </w:rPr>
        <w:t>（4）</w:t>
      </w:r>
      <w:r>
        <w:rPr>
          <w:rFonts w:hint="eastAsia" w:ascii="宋体" w:hAnsi="宋体" w:eastAsia="宋体" w:cs="宋体"/>
          <w:bCs/>
          <w:kern w:val="0"/>
          <w:sz w:val="24"/>
          <w:highlight w:val="none"/>
          <w:lang w:val="en-US" w:eastAsia="zh-CN"/>
        </w:rPr>
        <w:t>中标</w:t>
      </w:r>
      <w:r>
        <w:rPr>
          <w:rFonts w:hint="eastAsia" w:ascii="宋体" w:hAnsi="宋体" w:eastAsia="宋体" w:cs="宋体"/>
          <w:bCs/>
          <w:kern w:val="0"/>
          <w:sz w:val="24"/>
          <w:highlight w:val="none"/>
        </w:rPr>
        <w:t>人需在整体服务方案中承诺提供重要岗位24小时365日全天候服务（全年无休息日），并提供承诺函。（此承诺函为非实质性响应条件）</w:t>
      </w:r>
    </w:p>
    <w:p>
      <w:pPr>
        <w:adjustRightInd w:val="0"/>
        <w:spacing w:line="360" w:lineRule="auto"/>
        <w:ind w:firstLine="480" w:firstLineChars="200"/>
        <w:jc w:val="left"/>
        <w:textAlignment w:val="baseline"/>
        <w:rPr>
          <w:rFonts w:hint="eastAsia" w:ascii="宋体" w:hAnsi="宋体" w:eastAsia="宋体" w:cs="宋体"/>
          <w:bCs/>
          <w:kern w:val="0"/>
          <w:sz w:val="24"/>
          <w:highlight w:val="none"/>
        </w:rPr>
      </w:pPr>
      <w:r>
        <w:rPr>
          <w:rFonts w:hint="eastAsia" w:ascii="宋体" w:hAnsi="宋体" w:eastAsia="宋体" w:cs="宋体"/>
          <w:bCs/>
          <w:kern w:val="0"/>
          <w:sz w:val="24"/>
          <w:highlight w:val="none"/>
        </w:rPr>
        <w:t>（5）采购人有权建议更换中标人不合格的项目经理及相关工作人员，中标人须及时更换和补充服务人员。</w:t>
      </w:r>
    </w:p>
    <w:p>
      <w:pPr>
        <w:adjustRightInd w:val="0"/>
        <w:spacing w:line="360" w:lineRule="auto"/>
        <w:ind w:firstLine="480" w:firstLineChars="200"/>
        <w:jc w:val="left"/>
        <w:textAlignment w:val="baseline"/>
        <w:rPr>
          <w:rFonts w:hint="eastAsia" w:ascii="宋体" w:hAnsi="宋体" w:eastAsia="宋体" w:cs="宋体"/>
          <w:bCs/>
          <w:kern w:val="0"/>
          <w:sz w:val="24"/>
          <w:highlight w:val="none"/>
        </w:rPr>
      </w:pPr>
      <w:r>
        <w:rPr>
          <w:rFonts w:hint="eastAsia" w:ascii="宋体" w:hAnsi="宋体" w:eastAsia="宋体" w:cs="宋体"/>
          <w:bCs/>
          <w:kern w:val="0"/>
          <w:sz w:val="24"/>
          <w:highlight w:val="none"/>
        </w:rPr>
        <w:t>（6）制定切实符合管理规章制度，编制技术服务方案。</w:t>
      </w:r>
    </w:p>
    <w:p>
      <w:pPr>
        <w:adjustRightInd w:val="0"/>
        <w:spacing w:line="360" w:lineRule="auto"/>
        <w:ind w:firstLine="480" w:firstLineChars="200"/>
        <w:jc w:val="left"/>
        <w:textAlignment w:val="baseline"/>
        <w:rPr>
          <w:rFonts w:hint="eastAsia" w:ascii="宋体" w:hAnsi="宋体" w:eastAsia="宋体" w:cs="宋体"/>
          <w:bCs/>
          <w:kern w:val="0"/>
          <w:sz w:val="24"/>
          <w:highlight w:val="none"/>
        </w:rPr>
      </w:pPr>
      <w:r>
        <w:rPr>
          <w:rFonts w:hint="eastAsia" w:ascii="宋体" w:hAnsi="宋体" w:eastAsia="宋体" w:cs="宋体"/>
          <w:bCs/>
          <w:kern w:val="0"/>
          <w:sz w:val="24"/>
          <w:highlight w:val="none"/>
        </w:rPr>
        <w:t>（7）本项目采购方提供中标人服务人员的住宿条件和有偿用餐。</w:t>
      </w:r>
    </w:p>
    <w:p>
      <w:pPr>
        <w:adjustRightInd w:val="0"/>
        <w:spacing w:line="360" w:lineRule="auto"/>
        <w:ind w:firstLine="480" w:firstLineChars="200"/>
        <w:jc w:val="left"/>
        <w:textAlignment w:val="baseline"/>
        <w:rPr>
          <w:rFonts w:hint="eastAsia" w:ascii="宋体" w:hAnsi="宋体" w:eastAsia="宋体" w:cs="宋体"/>
          <w:bCs/>
          <w:kern w:val="0"/>
          <w:sz w:val="24"/>
          <w:highlight w:val="none"/>
        </w:rPr>
      </w:pPr>
      <w:r>
        <w:rPr>
          <w:rFonts w:hint="eastAsia" w:ascii="宋体" w:hAnsi="宋体" w:eastAsia="宋体" w:cs="宋体"/>
          <w:bCs/>
          <w:kern w:val="0"/>
          <w:sz w:val="24"/>
          <w:highlight w:val="none"/>
        </w:rPr>
        <w:t>（8）服务人员需经正式培训方可上岗工作，在职人员必须为中标人公司正常缴纳社保的员工。</w:t>
      </w:r>
    </w:p>
    <w:p>
      <w:pPr>
        <w:adjustRightInd w:val="0"/>
        <w:spacing w:line="360" w:lineRule="auto"/>
        <w:ind w:firstLine="480" w:firstLineChars="200"/>
        <w:jc w:val="left"/>
        <w:textAlignment w:val="baseline"/>
        <w:rPr>
          <w:rFonts w:hint="eastAsia" w:ascii="宋体" w:hAnsi="宋体" w:eastAsia="宋体" w:cs="宋体"/>
          <w:bCs/>
          <w:kern w:val="0"/>
          <w:sz w:val="24"/>
          <w:highlight w:val="none"/>
        </w:rPr>
      </w:pPr>
      <w:r>
        <w:rPr>
          <w:rFonts w:hint="eastAsia" w:ascii="宋体" w:hAnsi="宋体" w:eastAsia="宋体" w:cs="宋体"/>
          <w:bCs/>
          <w:kern w:val="0"/>
          <w:sz w:val="24"/>
          <w:highlight w:val="none"/>
        </w:rPr>
        <w:t>（9）中标人需做好提前入场准备，实际时间以采购人通知为准。</w:t>
      </w:r>
    </w:p>
    <w:p>
      <w:pPr>
        <w:adjustRightInd w:val="0"/>
        <w:spacing w:line="360" w:lineRule="auto"/>
        <w:ind w:firstLine="480" w:firstLineChars="200"/>
        <w:jc w:val="left"/>
        <w:textAlignment w:val="baseline"/>
        <w:rPr>
          <w:rFonts w:hint="eastAsia" w:ascii="宋体" w:hAnsi="宋体" w:eastAsia="宋体" w:cs="宋体"/>
          <w:bCs/>
          <w:kern w:val="0"/>
          <w:sz w:val="24"/>
          <w:highlight w:val="none"/>
        </w:rPr>
      </w:pPr>
      <w:r>
        <w:rPr>
          <w:rFonts w:hint="eastAsia" w:ascii="宋体" w:hAnsi="宋体" w:eastAsia="宋体" w:cs="宋体"/>
          <w:bCs/>
          <w:kern w:val="0"/>
          <w:sz w:val="24"/>
          <w:highlight w:val="none"/>
        </w:rPr>
        <w:t>（10）中标人入场相关人员需与响应文件内容相符。</w:t>
      </w:r>
    </w:p>
    <w:p>
      <w:pPr>
        <w:adjustRightInd w:val="0"/>
        <w:spacing w:line="360" w:lineRule="auto"/>
        <w:ind w:firstLine="480" w:firstLineChars="200"/>
        <w:jc w:val="left"/>
        <w:textAlignment w:val="baseline"/>
        <w:rPr>
          <w:rFonts w:hint="eastAsia" w:ascii="宋体" w:hAnsi="宋体" w:eastAsia="宋体" w:cs="宋体"/>
          <w:bCs/>
          <w:kern w:val="0"/>
          <w:sz w:val="24"/>
          <w:highlight w:val="none"/>
        </w:rPr>
      </w:pPr>
      <w:r>
        <w:rPr>
          <w:rFonts w:hint="eastAsia" w:ascii="宋体" w:hAnsi="宋体" w:eastAsia="宋体" w:cs="宋体"/>
          <w:bCs/>
          <w:kern w:val="0"/>
          <w:sz w:val="24"/>
          <w:highlight w:val="none"/>
        </w:rPr>
        <w:t>（11）安全管理职能：负责制定职业安全措施计划；配合国家相关监督检验部门对特种设备安全监督检查；负责对在院内工作的运行维修人员进行安全知识的培训考核；负责设备运行安全检查监督。</w:t>
      </w:r>
    </w:p>
    <w:p>
      <w:pPr>
        <w:adjustRightInd w:val="0"/>
        <w:spacing w:line="360" w:lineRule="auto"/>
        <w:ind w:firstLine="480" w:firstLineChars="200"/>
        <w:jc w:val="left"/>
        <w:textAlignment w:val="baseline"/>
        <w:rPr>
          <w:rFonts w:hint="eastAsia" w:ascii="宋体" w:hAnsi="宋体" w:eastAsia="宋体" w:cs="宋体"/>
          <w:bCs/>
          <w:kern w:val="0"/>
          <w:sz w:val="24"/>
          <w:highlight w:val="none"/>
        </w:rPr>
      </w:pPr>
      <w:r>
        <w:rPr>
          <w:rFonts w:hint="eastAsia" w:ascii="宋体" w:hAnsi="宋体" w:eastAsia="宋体" w:cs="宋体"/>
          <w:bCs/>
          <w:kern w:val="0"/>
          <w:sz w:val="24"/>
          <w:highlight w:val="none"/>
        </w:rPr>
        <w:t>（12）人员管理职能：明确值班人、项目负责人、安全管理人员、值班工、特种设备管理员、设备管理员岗位职责。要求以上岗位设立专业负责人。</w:t>
      </w:r>
    </w:p>
    <w:p>
      <w:pPr>
        <w:adjustRightInd w:val="0"/>
        <w:spacing w:line="360" w:lineRule="auto"/>
        <w:ind w:firstLine="480" w:firstLineChars="200"/>
        <w:jc w:val="left"/>
        <w:textAlignment w:val="baseline"/>
        <w:rPr>
          <w:rFonts w:hint="eastAsia" w:ascii="宋体" w:hAnsi="宋体" w:eastAsia="宋体" w:cs="宋体"/>
          <w:bCs/>
          <w:kern w:val="0"/>
          <w:sz w:val="24"/>
          <w:highlight w:val="none"/>
        </w:rPr>
      </w:pPr>
      <w:r>
        <w:rPr>
          <w:rFonts w:hint="eastAsia" w:ascii="宋体" w:hAnsi="宋体" w:eastAsia="宋体" w:cs="宋体"/>
          <w:bCs/>
          <w:kern w:val="0"/>
          <w:sz w:val="24"/>
          <w:highlight w:val="none"/>
        </w:rPr>
        <w:t>（13）对职责范围内的设备隐患和存在的问题，能及时发现，及时上报，并设法解决。</w:t>
      </w:r>
    </w:p>
    <w:p>
      <w:pPr>
        <w:adjustRightInd w:val="0"/>
        <w:spacing w:line="360" w:lineRule="auto"/>
        <w:ind w:firstLine="480" w:firstLineChars="200"/>
        <w:jc w:val="left"/>
        <w:textAlignment w:val="baseline"/>
        <w:rPr>
          <w:rFonts w:hint="eastAsia" w:ascii="宋体" w:hAnsi="宋体" w:eastAsia="宋体" w:cs="宋体"/>
          <w:bCs/>
          <w:kern w:val="0"/>
          <w:sz w:val="24"/>
          <w:highlight w:val="none"/>
        </w:rPr>
      </w:pPr>
      <w:r>
        <w:rPr>
          <w:rFonts w:hint="eastAsia" w:ascii="宋体" w:hAnsi="宋体" w:eastAsia="宋体" w:cs="宋体"/>
          <w:bCs/>
          <w:kern w:val="0"/>
          <w:sz w:val="24"/>
          <w:highlight w:val="none"/>
        </w:rPr>
        <w:t>（14）</w:t>
      </w:r>
      <w:r>
        <w:rPr>
          <w:rFonts w:hint="eastAsia" w:ascii="宋体" w:hAnsi="宋体" w:eastAsia="宋体" w:cs="宋体"/>
          <w:bCs/>
          <w:kern w:val="0"/>
          <w:sz w:val="24"/>
          <w:highlight w:val="none"/>
          <w:lang w:val="en-US" w:eastAsia="zh-CN"/>
        </w:rPr>
        <w:t>中标</w:t>
      </w:r>
      <w:r>
        <w:rPr>
          <w:rFonts w:hint="eastAsia" w:ascii="宋体" w:hAnsi="宋体" w:eastAsia="宋体" w:cs="宋体"/>
          <w:bCs/>
          <w:kern w:val="0"/>
          <w:sz w:val="24"/>
          <w:highlight w:val="none"/>
        </w:rPr>
        <w:t>人要遵守国家的法律法规，坚决服从并自觉接受公安、消防和保卫部门的监督检查，遵守本院的有关规章制度，认真做好本单位的防火、治安、交通安全等方面的管理、教育工作，及时消除各类安全隐患。</w:t>
      </w:r>
    </w:p>
    <w:p>
      <w:pPr>
        <w:adjustRightInd w:val="0"/>
        <w:spacing w:line="360" w:lineRule="auto"/>
        <w:ind w:firstLine="480" w:firstLineChars="200"/>
        <w:jc w:val="left"/>
        <w:textAlignment w:val="baseline"/>
        <w:rPr>
          <w:rFonts w:hint="eastAsia" w:ascii="宋体" w:hAnsi="宋体" w:eastAsia="宋体" w:cs="宋体"/>
          <w:bCs/>
          <w:kern w:val="0"/>
          <w:sz w:val="24"/>
          <w:highlight w:val="none"/>
          <w:lang w:val="en-US" w:eastAsia="zh-CN"/>
        </w:rPr>
      </w:pPr>
      <w:r>
        <w:rPr>
          <w:rFonts w:hint="eastAsia" w:ascii="宋体" w:hAnsi="宋体" w:eastAsia="宋体" w:cs="宋体"/>
          <w:bCs/>
          <w:kern w:val="0"/>
          <w:sz w:val="24"/>
          <w:highlight w:val="none"/>
        </w:rPr>
        <w:t>（15）服务期限：</w:t>
      </w:r>
      <w:r>
        <w:rPr>
          <w:rFonts w:hint="eastAsia" w:ascii="宋体" w:hAnsi="宋体" w:eastAsia="宋体" w:cs="宋体"/>
          <w:sz w:val="24"/>
          <w:szCs w:val="24"/>
          <w:highlight w:val="none"/>
          <w:lang w:val="en-US" w:eastAsia="zh-CN"/>
        </w:rPr>
        <w:t>12</w:t>
      </w:r>
      <w:r>
        <w:rPr>
          <w:rFonts w:hint="eastAsia" w:ascii="宋体" w:hAnsi="宋体" w:cs="宋体"/>
          <w:sz w:val="24"/>
          <w:szCs w:val="24"/>
          <w:highlight w:val="none"/>
          <w:lang w:val="en-US" w:eastAsia="zh-CN"/>
        </w:rPr>
        <w:t>个</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rPr>
        <w:t>。</w:t>
      </w:r>
    </w:p>
    <w:p>
      <w:pPr>
        <w:adjustRightInd w:val="0"/>
        <w:spacing w:line="360" w:lineRule="auto"/>
        <w:ind w:firstLine="480" w:firstLineChars="200"/>
        <w:jc w:val="left"/>
        <w:textAlignment w:val="baseline"/>
        <w:rPr>
          <w:rFonts w:hint="eastAsia" w:ascii="宋体" w:hAnsi="宋体" w:eastAsia="宋体" w:cs="宋体"/>
          <w:bCs/>
          <w:kern w:val="0"/>
          <w:sz w:val="24"/>
          <w:highlight w:val="none"/>
        </w:rPr>
      </w:pPr>
      <w:r>
        <w:rPr>
          <w:rFonts w:hint="eastAsia" w:ascii="宋体" w:hAnsi="宋体" w:eastAsia="宋体" w:cs="宋体"/>
          <w:bCs/>
          <w:kern w:val="0"/>
          <w:sz w:val="24"/>
          <w:highlight w:val="none"/>
        </w:rPr>
        <w:t>（16）服务地点：北京水科学技术研究院本部</w:t>
      </w:r>
      <w:bookmarkStart w:id="3" w:name="_GoBack"/>
      <w:bookmarkEnd w:id="3"/>
    </w:p>
    <w:p>
      <w:pPr>
        <w:pStyle w:val="21"/>
        <w:ind w:firstLine="480"/>
        <w:rPr>
          <w:rFonts w:hint="eastAsia" w:ascii="宋体" w:hAnsi="宋体" w:eastAsia="宋体" w:cs="宋体"/>
          <w:szCs w:val="24"/>
          <w:highlight w:val="none"/>
        </w:rPr>
      </w:pPr>
      <w:r>
        <w:rPr>
          <w:rFonts w:hint="eastAsia" w:ascii="宋体" w:hAnsi="宋体" w:eastAsia="宋体" w:cs="宋体"/>
          <w:szCs w:val="24"/>
          <w:highlight w:val="none"/>
        </w:rPr>
        <w:t>物业人员配备要求</w:t>
      </w:r>
    </w:p>
    <w:tbl>
      <w:tblPr>
        <w:tblStyle w:val="52"/>
        <w:tblW w:w="8520" w:type="dxa"/>
        <w:tblInd w:w="0" w:type="dxa"/>
        <w:tblLayout w:type="fixed"/>
        <w:tblCellMar>
          <w:top w:w="0" w:type="dxa"/>
          <w:left w:w="108" w:type="dxa"/>
          <w:bottom w:w="0" w:type="dxa"/>
          <w:right w:w="108" w:type="dxa"/>
        </w:tblCellMar>
      </w:tblPr>
      <w:tblGrid>
        <w:gridCol w:w="1258"/>
        <w:gridCol w:w="1957"/>
        <w:gridCol w:w="3822"/>
        <w:gridCol w:w="1483"/>
      </w:tblGrid>
      <w:tr>
        <w:tblPrEx>
          <w:tblLayout w:type="fixed"/>
          <w:tblCellMar>
            <w:top w:w="0" w:type="dxa"/>
            <w:left w:w="108" w:type="dxa"/>
            <w:bottom w:w="0" w:type="dxa"/>
            <w:right w:w="108" w:type="dxa"/>
          </w:tblCellMar>
        </w:tblPrEx>
        <w:trPr>
          <w:trHeight w:val="585" w:hRule="atLeast"/>
        </w:trPr>
        <w:tc>
          <w:tcPr>
            <w:tcW w:w="125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957" w:type="dxa"/>
            <w:tcBorders>
              <w:top w:val="single" w:color="000000" w:sz="4" w:space="0"/>
              <w:left w:val="single" w:color="000000" w:sz="4" w:space="0"/>
              <w:bottom w:val="single" w:color="auto" w:sz="4" w:space="0"/>
              <w:right w:val="single" w:color="000000" w:sz="4" w:space="0"/>
            </w:tcBorders>
            <w:vAlign w:val="center"/>
          </w:tcPr>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工作地点</w:t>
            </w:r>
          </w:p>
        </w:tc>
        <w:tc>
          <w:tcPr>
            <w:tcW w:w="3822"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岗位</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人员数量</w:t>
            </w:r>
          </w:p>
        </w:tc>
      </w:tr>
      <w:tr>
        <w:tblPrEx>
          <w:tblLayout w:type="fixed"/>
          <w:tblCellMar>
            <w:top w:w="0" w:type="dxa"/>
            <w:left w:w="108" w:type="dxa"/>
            <w:bottom w:w="0" w:type="dxa"/>
            <w:right w:w="108" w:type="dxa"/>
          </w:tblCellMar>
        </w:tblPrEx>
        <w:trPr>
          <w:trHeight w:val="390" w:hRule="atLeast"/>
        </w:trPr>
        <w:tc>
          <w:tcPr>
            <w:tcW w:w="1258" w:type="dxa"/>
            <w:vMerge w:val="restart"/>
            <w:tcBorders>
              <w:top w:val="single" w:color="000000" w:sz="4" w:space="0"/>
              <w:left w:val="single" w:color="000000" w:sz="4" w:space="0"/>
              <w:right w:val="single" w:color="auto" w:sz="4" w:space="0"/>
            </w:tcBorders>
            <w:vAlign w:val="center"/>
          </w:tcPr>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p>
        </w:tc>
        <w:tc>
          <w:tcPr>
            <w:tcW w:w="1957" w:type="dxa"/>
            <w:vMerge w:val="restart"/>
            <w:tcBorders>
              <w:top w:val="single" w:color="auto" w:sz="4" w:space="0"/>
              <w:left w:val="single" w:color="auto" w:sz="4" w:space="0"/>
              <w:right w:val="single" w:color="auto" w:sz="4" w:space="0"/>
            </w:tcBorders>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本部</w:t>
            </w:r>
          </w:p>
        </w:tc>
        <w:tc>
          <w:tcPr>
            <w:tcW w:w="3822" w:type="dxa"/>
            <w:tcBorders>
              <w:top w:val="single" w:color="000000" w:sz="4" w:space="0"/>
              <w:left w:val="single" w:color="auto" w:sz="4" w:space="0"/>
              <w:bottom w:val="single" w:color="000000" w:sz="4" w:space="0"/>
              <w:right w:val="single" w:color="000000" w:sz="4" w:space="0"/>
            </w:tcBorders>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p>
        </w:tc>
      </w:tr>
      <w:tr>
        <w:tblPrEx>
          <w:tblLayout w:type="fixed"/>
          <w:tblCellMar>
            <w:top w:w="0" w:type="dxa"/>
            <w:left w:w="108" w:type="dxa"/>
            <w:bottom w:w="0" w:type="dxa"/>
            <w:right w:w="108" w:type="dxa"/>
          </w:tblCellMar>
        </w:tblPrEx>
        <w:trPr>
          <w:trHeight w:val="390" w:hRule="atLeast"/>
        </w:trPr>
        <w:tc>
          <w:tcPr>
            <w:tcW w:w="1258" w:type="dxa"/>
            <w:vMerge w:val="continue"/>
            <w:tcBorders>
              <w:left w:val="single" w:color="000000" w:sz="4" w:space="0"/>
              <w:right w:val="single" w:color="auto" w:sz="4" w:space="0"/>
            </w:tcBorders>
            <w:vAlign w:val="center"/>
          </w:tcPr>
          <w:p>
            <w:pPr>
              <w:spacing w:line="360" w:lineRule="auto"/>
              <w:ind w:firstLine="482" w:firstLineChars="200"/>
              <w:rPr>
                <w:rFonts w:hint="eastAsia" w:ascii="宋体" w:hAnsi="宋体" w:eastAsia="宋体" w:cs="宋体"/>
                <w:b/>
                <w:bCs/>
                <w:sz w:val="24"/>
                <w:szCs w:val="24"/>
                <w:highlight w:val="none"/>
              </w:rPr>
            </w:pPr>
          </w:p>
        </w:tc>
        <w:tc>
          <w:tcPr>
            <w:tcW w:w="1957" w:type="dxa"/>
            <w:vMerge w:val="continue"/>
            <w:tcBorders>
              <w:left w:val="single" w:color="auto" w:sz="4" w:space="0"/>
              <w:right w:val="single" w:color="auto" w:sz="4" w:space="0"/>
            </w:tcBorders>
            <w:vAlign w:val="center"/>
          </w:tcPr>
          <w:p>
            <w:pPr>
              <w:spacing w:line="360" w:lineRule="auto"/>
              <w:ind w:firstLine="480" w:firstLineChars="200"/>
              <w:rPr>
                <w:rFonts w:hint="eastAsia" w:ascii="宋体" w:hAnsi="宋体" w:eastAsia="宋体" w:cs="宋体"/>
                <w:sz w:val="24"/>
                <w:szCs w:val="24"/>
                <w:highlight w:val="none"/>
              </w:rPr>
            </w:pPr>
          </w:p>
        </w:tc>
        <w:tc>
          <w:tcPr>
            <w:tcW w:w="3822" w:type="dxa"/>
            <w:tcBorders>
              <w:top w:val="single" w:color="000000" w:sz="4" w:space="0"/>
              <w:left w:val="single" w:color="auto" w:sz="4" w:space="0"/>
              <w:bottom w:val="single" w:color="000000" w:sz="4" w:space="0"/>
              <w:right w:val="single" w:color="000000" w:sz="4" w:space="0"/>
            </w:tcBorders>
            <w:vAlign w:val="center"/>
          </w:tcPr>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物业办公室</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Layout w:type="fixed"/>
          <w:tblCellMar>
            <w:top w:w="0" w:type="dxa"/>
            <w:left w:w="108" w:type="dxa"/>
            <w:bottom w:w="0" w:type="dxa"/>
            <w:right w:w="108" w:type="dxa"/>
          </w:tblCellMar>
        </w:tblPrEx>
        <w:trPr>
          <w:trHeight w:val="390" w:hRule="atLeast"/>
        </w:trPr>
        <w:tc>
          <w:tcPr>
            <w:tcW w:w="1258" w:type="dxa"/>
            <w:vMerge w:val="continue"/>
            <w:tcBorders>
              <w:left w:val="single" w:color="000000" w:sz="4" w:space="0"/>
              <w:right w:val="single" w:color="auto" w:sz="4" w:space="0"/>
            </w:tcBorders>
            <w:vAlign w:val="center"/>
          </w:tcPr>
          <w:p>
            <w:pPr>
              <w:spacing w:line="360" w:lineRule="auto"/>
              <w:ind w:firstLine="482" w:firstLineChars="200"/>
              <w:rPr>
                <w:rFonts w:hint="eastAsia" w:ascii="宋体" w:hAnsi="宋体" w:eastAsia="宋体" w:cs="宋体"/>
                <w:b/>
                <w:bCs/>
                <w:sz w:val="24"/>
                <w:szCs w:val="24"/>
                <w:highlight w:val="none"/>
              </w:rPr>
            </w:pPr>
          </w:p>
        </w:tc>
        <w:tc>
          <w:tcPr>
            <w:tcW w:w="1957" w:type="dxa"/>
            <w:vMerge w:val="continue"/>
            <w:tcBorders>
              <w:left w:val="single" w:color="auto" w:sz="4" w:space="0"/>
              <w:right w:val="single" w:color="auto" w:sz="4" w:space="0"/>
            </w:tcBorders>
            <w:vAlign w:val="center"/>
          </w:tcPr>
          <w:p>
            <w:pPr>
              <w:spacing w:line="360" w:lineRule="auto"/>
              <w:ind w:firstLine="480" w:firstLineChars="200"/>
              <w:rPr>
                <w:rFonts w:hint="eastAsia" w:ascii="宋体" w:hAnsi="宋体" w:eastAsia="宋体" w:cs="宋体"/>
                <w:sz w:val="24"/>
                <w:szCs w:val="24"/>
                <w:highlight w:val="none"/>
              </w:rPr>
            </w:pPr>
          </w:p>
        </w:tc>
        <w:tc>
          <w:tcPr>
            <w:tcW w:w="3822" w:type="dxa"/>
            <w:tcBorders>
              <w:top w:val="single" w:color="000000" w:sz="4" w:space="0"/>
              <w:left w:val="single" w:color="auto" w:sz="4" w:space="0"/>
              <w:bottom w:val="single" w:color="000000" w:sz="4" w:space="0"/>
              <w:right w:val="single" w:color="000000" w:sz="4" w:space="0"/>
            </w:tcBorders>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会议服务员</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 </w:t>
            </w:r>
          </w:p>
        </w:tc>
      </w:tr>
      <w:tr>
        <w:tblPrEx>
          <w:tblLayout w:type="fixed"/>
          <w:tblCellMar>
            <w:top w:w="0" w:type="dxa"/>
            <w:left w:w="108" w:type="dxa"/>
            <w:bottom w:w="0" w:type="dxa"/>
            <w:right w:w="108" w:type="dxa"/>
          </w:tblCellMar>
        </w:tblPrEx>
        <w:trPr>
          <w:trHeight w:val="390" w:hRule="atLeast"/>
        </w:trPr>
        <w:tc>
          <w:tcPr>
            <w:tcW w:w="1258" w:type="dxa"/>
            <w:vMerge w:val="continue"/>
            <w:tcBorders>
              <w:left w:val="single" w:color="000000" w:sz="4" w:space="0"/>
              <w:right w:val="single" w:color="auto" w:sz="4" w:space="0"/>
            </w:tcBorders>
            <w:vAlign w:val="center"/>
          </w:tcPr>
          <w:p>
            <w:pPr>
              <w:spacing w:line="360" w:lineRule="auto"/>
              <w:ind w:firstLine="482" w:firstLineChars="200"/>
              <w:rPr>
                <w:rFonts w:hint="eastAsia" w:ascii="宋体" w:hAnsi="宋体" w:eastAsia="宋体" w:cs="宋体"/>
                <w:b/>
                <w:bCs/>
                <w:sz w:val="24"/>
                <w:szCs w:val="24"/>
                <w:highlight w:val="none"/>
              </w:rPr>
            </w:pPr>
          </w:p>
        </w:tc>
        <w:tc>
          <w:tcPr>
            <w:tcW w:w="1957" w:type="dxa"/>
            <w:vMerge w:val="continue"/>
            <w:tcBorders>
              <w:left w:val="single" w:color="auto" w:sz="4" w:space="0"/>
              <w:right w:val="single" w:color="auto" w:sz="4" w:space="0"/>
            </w:tcBorders>
            <w:vAlign w:val="center"/>
          </w:tcPr>
          <w:p>
            <w:pPr>
              <w:spacing w:line="360" w:lineRule="auto"/>
              <w:ind w:firstLine="480" w:firstLineChars="200"/>
              <w:rPr>
                <w:rFonts w:hint="eastAsia" w:ascii="宋体" w:hAnsi="宋体" w:eastAsia="宋体" w:cs="宋体"/>
                <w:sz w:val="24"/>
                <w:szCs w:val="24"/>
                <w:highlight w:val="none"/>
              </w:rPr>
            </w:pPr>
          </w:p>
        </w:tc>
        <w:tc>
          <w:tcPr>
            <w:tcW w:w="3822" w:type="dxa"/>
            <w:tcBorders>
              <w:top w:val="single" w:color="000000" w:sz="4" w:space="0"/>
              <w:left w:val="single" w:color="auto" w:sz="4" w:space="0"/>
              <w:bottom w:val="single" w:color="000000" w:sz="4" w:space="0"/>
              <w:right w:val="single" w:color="000000" w:sz="4" w:space="0"/>
            </w:tcBorders>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保洁员</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 </w:t>
            </w:r>
          </w:p>
        </w:tc>
      </w:tr>
      <w:tr>
        <w:tblPrEx>
          <w:tblLayout w:type="fixed"/>
          <w:tblCellMar>
            <w:top w:w="0" w:type="dxa"/>
            <w:left w:w="108" w:type="dxa"/>
            <w:bottom w:w="0" w:type="dxa"/>
            <w:right w:w="108" w:type="dxa"/>
          </w:tblCellMar>
        </w:tblPrEx>
        <w:trPr>
          <w:trHeight w:val="390" w:hRule="atLeast"/>
        </w:trPr>
        <w:tc>
          <w:tcPr>
            <w:tcW w:w="1258" w:type="dxa"/>
            <w:vMerge w:val="continue"/>
            <w:tcBorders>
              <w:left w:val="single" w:color="000000" w:sz="4" w:space="0"/>
              <w:right w:val="single" w:color="auto" w:sz="4" w:space="0"/>
            </w:tcBorders>
            <w:vAlign w:val="center"/>
          </w:tcPr>
          <w:p>
            <w:pPr>
              <w:spacing w:line="360" w:lineRule="auto"/>
              <w:ind w:firstLine="482" w:firstLineChars="200"/>
              <w:rPr>
                <w:rFonts w:hint="eastAsia" w:ascii="宋体" w:hAnsi="宋体" w:eastAsia="宋体" w:cs="宋体"/>
                <w:b/>
                <w:bCs/>
                <w:sz w:val="24"/>
                <w:szCs w:val="24"/>
                <w:highlight w:val="none"/>
              </w:rPr>
            </w:pPr>
          </w:p>
        </w:tc>
        <w:tc>
          <w:tcPr>
            <w:tcW w:w="1957" w:type="dxa"/>
            <w:vMerge w:val="continue"/>
            <w:tcBorders>
              <w:left w:val="single" w:color="auto" w:sz="4" w:space="0"/>
              <w:right w:val="single" w:color="auto" w:sz="4" w:space="0"/>
            </w:tcBorders>
            <w:vAlign w:val="center"/>
          </w:tcPr>
          <w:p>
            <w:pPr>
              <w:spacing w:line="360" w:lineRule="auto"/>
              <w:ind w:firstLine="480" w:firstLineChars="200"/>
              <w:rPr>
                <w:rFonts w:hint="eastAsia" w:ascii="宋体" w:hAnsi="宋体" w:eastAsia="宋体" w:cs="宋体"/>
                <w:sz w:val="24"/>
                <w:szCs w:val="24"/>
                <w:highlight w:val="none"/>
              </w:rPr>
            </w:pPr>
          </w:p>
        </w:tc>
        <w:tc>
          <w:tcPr>
            <w:tcW w:w="3822" w:type="dxa"/>
            <w:tcBorders>
              <w:top w:val="single" w:color="000000" w:sz="4" w:space="0"/>
              <w:left w:val="single" w:color="auto" w:sz="4" w:space="0"/>
              <w:bottom w:val="single" w:color="000000" w:sz="4" w:space="0"/>
              <w:right w:val="single" w:color="000000" w:sz="4" w:space="0"/>
            </w:tcBorders>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综合维修（兼周末值班）</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p>
        </w:tc>
      </w:tr>
      <w:tr>
        <w:tblPrEx>
          <w:tblLayout w:type="fixed"/>
          <w:tblCellMar>
            <w:top w:w="0" w:type="dxa"/>
            <w:left w:w="108" w:type="dxa"/>
            <w:bottom w:w="0" w:type="dxa"/>
            <w:right w:w="108" w:type="dxa"/>
          </w:tblCellMar>
        </w:tblPrEx>
        <w:trPr>
          <w:trHeight w:val="390" w:hRule="atLeast"/>
        </w:trPr>
        <w:tc>
          <w:tcPr>
            <w:tcW w:w="1258" w:type="dxa"/>
            <w:vMerge w:val="continue"/>
            <w:tcBorders>
              <w:left w:val="single" w:color="000000" w:sz="4" w:space="0"/>
              <w:right w:val="single" w:color="auto" w:sz="4" w:space="0"/>
            </w:tcBorders>
            <w:vAlign w:val="center"/>
          </w:tcPr>
          <w:p>
            <w:pPr>
              <w:spacing w:line="360" w:lineRule="auto"/>
              <w:ind w:firstLine="482" w:firstLineChars="200"/>
              <w:rPr>
                <w:rFonts w:hint="eastAsia" w:ascii="宋体" w:hAnsi="宋体" w:eastAsia="宋体" w:cs="宋体"/>
                <w:b/>
                <w:bCs/>
                <w:sz w:val="24"/>
                <w:szCs w:val="24"/>
                <w:highlight w:val="none"/>
              </w:rPr>
            </w:pPr>
          </w:p>
        </w:tc>
        <w:tc>
          <w:tcPr>
            <w:tcW w:w="1957" w:type="dxa"/>
            <w:vMerge w:val="continue"/>
            <w:tcBorders>
              <w:left w:val="single" w:color="auto" w:sz="4" w:space="0"/>
              <w:right w:val="single" w:color="auto" w:sz="4" w:space="0"/>
            </w:tcBorders>
            <w:vAlign w:val="center"/>
          </w:tcPr>
          <w:p>
            <w:pPr>
              <w:spacing w:line="360" w:lineRule="auto"/>
              <w:ind w:firstLine="480" w:firstLineChars="200"/>
              <w:rPr>
                <w:rFonts w:hint="eastAsia" w:ascii="宋体" w:hAnsi="宋体" w:eastAsia="宋体" w:cs="宋体"/>
                <w:sz w:val="24"/>
                <w:szCs w:val="24"/>
                <w:highlight w:val="none"/>
              </w:rPr>
            </w:pPr>
          </w:p>
        </w:tc>
        <w:tc>
          <w:tcPr>
            <w:tcW w:w="3822" w:type="dxa"/>
            <w:tcBorders>
              <w:top w:val="single" w:color="000000" w:sz="4" w:space="0"/>
              <w:left w:val="single" w:color="auto" w:sz="4" w:space="0"/>
              <w:bottom w:val="single" w:color="000000" w:sz="4" w:space="0"/>
              <w:right w:val="single" w:color="000000" w:sz="4" w:space="0"/>
            </w:tcBorders>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综合维修</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p>
        </w:tc>
      </w:tr>
      <w:tr>
        <w:tblPrEx>
          <w:tblLayout w:type="fixed"/>
          <w:tblCellMar>
            <w:top w:w="0" w:type="dxa"/>
            <w:left w:w="108" w:type="dxa"/>
            <w:bottom w:w="0" w:type="dxa"/>
            <w:right w:w="108" w:type="dxa"/>
          </w:tblCellMar>
        </w:tblPrEx>
        <w:trPr>
          <w:trHeight w:val="390" w:hRule="atLeast"/>
        </w:trPr>
        <w:tc>
          <w:tcPr>
            <w:tcW w:w="1258" w:type="dxa"/>
            <w:vMerge w:val="continue"/>
            <w:tcBorders>
              <w:left w:val="single" w:color="000000" w:sz="4" w:space="0"/>
              <w:right w:val="single" w:color="auto" w:sz="4" w:space="0"/>
            </w:tcBorders>
            <w:vAlign w:val="center"/>
          </w:tcPr>
          <w:p>
            <w:pPr>
              <w:spacing w:line="360" w:lineRule="auto"/>
              <w:ind w:firstLine="482" w:firstLineChars="200"/>
              <w:rPr>
                <w:rFonts w:hint="eastAsia" w:ascii="宋体" w:hAnsi="宋体" w:eastAsia="宋体" w:cs="宋体"/>
                <w:b/>
                <w:bCs/>
                <w:sz w:val="24"/>
                <w:szCs w:val="24"/>
                <w:highlight w:val="none"/>
              </w:rPr>
            </w:pPr>
          </w:p>
        </w:tc>
        <w:tc>
          <w:tcPr>
            <w:tcW w:w="1957" w:type="dxa"/>
            <w:vMerge w:val="continue"/>
            <w:tcBorders>
              <w:left w:val="single" w:color="auto" w:sz="4" w:space="0"/>
              <w:right w:val="single" w:color="auto" w:sz="4" w:space="0"/>
            </w:tcBorders>
            <w:vAlign w:val="center"/>
          </w:tcPr>
          <w:p>
            <w:pPr>
              <w:spacing w:line="360" w:lineRule="auto"/>
              <w:ind w:firstLine="480" w:firstLineChars="200"/>
              <w:rPr>
                <w:rFonts w:hint="eastAsia" w:ascii="宋体" w:hAnsi="宋体" w:eastAsia="宋体" w:cs="宋体"/>
                <w:sz w:val="24"/>
                <w:szCs w:val="24"/>
                <w:highlight w:val="none"/>
              </w:rPr>
            </w:pPr>
          </w:p>
        </w:tc>
        <w:tc>
          <w:tcPr>
            <w:tcW w:w="3822" w:type="dxa"/>
            <w:tcBorders>
              <w:top w:val="single" w:color="000000" w:sz="4" w:space="0"/>
              <w:left w:val="single" w:color="auto" w:sz="4" w:space="0"/>
              <w:bottom w:val="single" w:color="000000" w:sz="4" w:space="0"/>
              <w:right w:val="single" w:color="000000" w:sz="4" w:space="0"/>
            </w:tcBorders>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配电室</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 </w:t>
            </w:r>
          </w:p>
        </w:tc>
      </w:tr>
      <w:tr>
        <w:tblPrEx>
          <w:tblLayout w:type="fixed"/>
          <w:tblCellMar>
            <w:top w:w="0" w:type="dxa"/>
            <w:left w:w="108" w:type="dxa"/>
            <w:bottom w:w="0" w:type="dxa"/>
            <w:right w:w="108" w:type="dxa"/>
          </w:tblCellMar>
        </w:tblPrEx>
        <w:trPr>
          <w:trHeight w:val="390" w:hRule="atLeast"/>
        </w:trPr>
        <w:tc>
          <w:tcPr>
            <w:tcW w:w="1258" w:type="dxa"/>
            <w:vMerge w:val="continue"/>
            <w:tcBorders>
              <w:left w:val="single" w:color="000000" w:sz="4" w:space="0"/>
              <w:bottom w:val="single" w:color="000000" w:sz="4" w:space="0"/>
              <w:right w:val="single" w:color="auto" w:sz="4" w:space="0"/>
            </w:tcBorders>
            <w:vAlign w:val="center"/>
          </w:tcPr>
          <w:p>
            <w:pPr>
              <w:spacing w:line="360" w:lineRule="auto"/>
              <w:ind w:firstLine="482" w:firstLineChars="200"/>
              <w:rPr>
                <w:rFonts w:hint="eastAsia" w:ascii="宋体" w:hAnsi="宋体" w:eastAsia="宋体" w:cs="宋体"/>
                <w:b/>
                <w:bCs/>
                <w:sz w:val="24"/>
                <w:szCs w:val="24"/>
                <w:highlight w:val="none"/>
              </w:rPr>
            </w:pPr>
          </w:p>
        </w:tc>
        <w:tc>
          <w:tcPr>
            <w:tcW w:w="1957" w:type="dxa"/>
            <w:vMerge w:val="continue"/>
            <w:tcBorders>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eastAsia="宋体" w:cs="宋体"/>
                <w:sz w:val="24"/>
                <w:szCs w:val="24"/>
                <w:highlight w:val="none"/>
              </w:rPr>
            </w:pPr>
          </w:p>
        </w:tc>
        <w:tc>
          <w:tcPr>
            <w:tcW w:w="3822" w:type="dxa"/>
            <w:tcBorders>
              <w:top w:val="single" w:color="000000" w:sz="4" w:space="0"/>
              <w:left w:val="single" w:color="auto" w:sz="4" w:space="0"/>
              <w:bottom w:val="single" w:color="000000" w:sz="4" w:space="0"/>
              <w:right w:val="single" w:color="000000" w:sz="4" w:space="0"/>
            </w:tcBorders>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安保队员</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r>
      <w:tr>
        <w:tblPrEx>
          <w:tblLayout w:type="fixed"/>
          <w:tblCellMar>
            <w:top w:w="0" w:type="dxa"/>
            <w:left w:w="108" w:type="dxa"/>
            <w:bottom w:w="0" w:type="dxa"/>
            <w:right w:w="108" w:type="dxa"/>
          </w:tblCellMar>
        </w:tblPrEx>
        <w:trPr>
          <w:trHeight w:val="390" w:hRule="atLeast"/>
        </w:trPr>
        <w:tc>
          <w:tcPr>
            <w:tcW w:w="3215" w:type="dxa"/>
            <w:gridSpan w:val="2"/>
            <w:tcBorders>
              <w:top w:val="single" w:color="000000" w:sz="4" w:space="0"/>
              <w:left w:val="single" w:color="000000" w:sz="4" w:space="0"/>
              <w:bottom w:val="single" w:color="000000" w:sz="4" w:space="0"/>
              <w:right w:val="single" w:color="000000" w:sz="4" w:space="0"/>
            </w:tcBorders>
            <w:shd w:val="clear" w:color="auto" w:fill="DBDBDB"/>
            <w:vAlign w:val="center"/>
          </w:tcPr>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合计</w:t>
            </w:r>
          </w:p>
        </w:tc>
        <w:tc>
          <w:tcPr>
            <w:tcW w:w="3822" w:type="dxa"/>
            <w:tcBorders>
              <w:top w:val="single" w:color="000000" w:sz="4" w:space="0"/>
              <w:left w:val="single" w:color="000000" w:sz="4" w:space="0"/>
              <w:bottom w:val="single" w:color="000000" w:sz="4" w:space="0"/>
              <w:right w:val="single" w:color="000000" w:sz="4" w:space="0"/>
            </w:tcBorders>
            <w:shd w:val="clear" w:color="auto" w:fill="DBDBDB"/>
            <w:vAlign w:val="center"/>
          </w:tcPr>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总人数：</w:t>
            </w:r>
          </w:p>
        </w:tc>
        <w:tc>
          <w:tcPr>
            <w:tcW w:w="1483" w:type="dxa"/>
            <w:tcBorders>
              <w:top w:val="single" w:color="000000" w:sz="4" w:space="0"/>
              <w:left w:val="single" w:color="000000" w:sz="4" w:space="0"/>
              <w:bottom w:val="single" w:color="000000" w:sz="4" w:space="0"/>
              <w:right w:val="single" w:color="000000" w:sz="4" w:space="0"/>
            </w:tcBorders>
            <w:shd w:val="clear" w:color="auto" w:fill="DBDBDB"/>
            <w:vAlign w:val="center"/>
          </w:tcPr>
          <w:p>
            <w:pPr>
              <w:spacing w:line="360" w:lineRule="auto"/>
              <w:ind w:firstLine="482" w:firstLineChars="2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eastAsia="zh-CN"/>
              </w:rPr>
              <w:t>1</w:t>
            </w:r>
          </w:p>
        </w:tc>
      </w:tr>
    </w:tbl>
    <w:p>
      <w:pPr>
        <w:spacing w:line="360" w:lineRule="auto"/>
        <w:ind w:firstLine="480" w:firstLineChars="200"/>
        <w:rPr>
          <w:rFonts w:hint="eastAsia" w:ascii="宋体" w:hAnsi="宋体" w:eastAsia="宋体" w:cs="宋体"/>
          <w:sz w:val="24"/>
          <w:szCs w:val="24"/>
          <w:highlight w:val="none"/>
        </w:rPr>
      </w:pPr>
    </w:p>
    <w:p>
      <w:pPr>
        <w:spacing w:line="360" w:lineRule="auto"/>
        <w:ind w:firstLine="482" w:firstLineChars="20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四、服务质量标准</w:t>
      </w:r>
    </w:p>
    <w:p>
      <w:pPr>
        <w:numPr>
          <w:ilvl w:val="0"/>
          <w:numId w:val="0"/>
        </w:numPr>
        <w:tabs>
          <w:tab w:val="left" w:pos="780"/>
        </w:tabs>
        <w:spacing w:before="30" w:beforeLines="0" w:after="90" w:afterLines="0"/>
        <w:ind w:left="420" w:leftChars="0"/>
        <w:jc w:val="left"/>
        <w:rPr>
          <w:rFonts w:hint="eastAsia" w:ascii="宋体" w:hAnsi="宋体" w:eastAsia="宋体" w:cs="宋体"/>
          <w:color w:val="000000"/>
          <w:sz w:val="24"/>
          <w:highlight w:val="none"/>
          <w:lang w:val="en-US"/>
        </w:rPr>
      </w:pPr>
      <w:r>
        <w:rPr>
          <w:rFonts w:hint="eastAsia" w:ascii="宋体" w:hAnsi="宋体" w:eastAsia="宋体" w:cs="宋体"/>
          <w:b/>
          <w:color w:val="000000"/>
          <w:sz w:val="24"/>
          <w:highlight w:val="none"/>
          <w:lang w:val="en-US" w:eastAsia="zh-CN"/>
        </w:rPr>
        <w:t>1、</w:t>
      </w:r>
      <w:r>
        <w:rPr>
          <w:rFonts w:hint="eastAsia" w:ascii="宋体" w:hAnsi="宋体" w:eastAsia="宋体" w:cs="宋体"/>
          <w:b/>
          <w:color w:val="000000"/>
          <w:sz w:val="24"/>
          <w:highlight w:val="none"/>
          <w:lang w:val="en-US"/>
        </w:rPr>
        <w:t>保洁服务</w:t>
      </w:r>
    </w:p>
    <w:p>
      <w:pPr>
        <w:tabs>
          <w:tab w:val="left" w:pos="780"/>
        </w:tabs>
        <w:spacing w:before="30" w:beforeLines="0" w:after="90" w:afterLines="0"/>
        <w:ind w:firstLine="480" w:firstLineChars="2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公共区域地面每日清扫不少于 2 次，保持干净无杂物、无明显污渍；每周进行 1 次全面拖洗。</w:t>
      </w:r>
    </w:p>
    <w:p>
      <w:pPr>
        <w:tabs>
          <w:tab w:val="left" w:pos="780"/>
        </w:tabs>
        <w:spacing w:before="30" w:beforeLines="0" w:after="90" w:afterLines="0"/>
        <w:ind w:firstLine="480" w:firstLineChars="2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楼梯扶手、栏杆等每周擦拭不少于 3 次，保持光亮整洁。</w:t>
      </w:r>
    </w:p>
    <w:p>
      <w:pPr>
        <w:tabs>
          <w:tab w:val="left" w:pos="780"/>
        </w:tabs>
        <w:spacing w:before="30" w:beforeLines="0" w:after="90" w:afterLines="0"/>
        <w:ind w:firstLine="480" w:firstLineChars="2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垃圾桶每天清理不少于 2 次，垃圾做到日产日清，垃圾桶周边无垃圾堆积和异味。</w:t>
      </w:r>
    </w:p>
    <w:p>
      <w:pPr>
        <w:numPr>
          <w:ilvl w:val="0"/>
          <w:numId w:val="0"/>
        </w:numPr>
        <w:tabs>
          <w:tab w:val="left" w:pos="780"/>
        </w:tabs>
        <w:spacing w:before="30" w:beforeLines="0" w:after="90" w:afterLines="0"/>
        <w:ind w:left="420" w:leftChars="0"/>
        <w:jc w:val="left"/>
        <w:rPr>
          <w:rFonts w:hint="eastAsia" w:ascii="宋体" w:hAnsi="宋体" w:eastAsia="宋体" w:cs="宋体"/>
          <w:color w:val="000000"/>
          <w:sz w:val="24"/>
          <w:highlight w:val="none"/>
          <w:lang w:val="en-US"/>
        </w:rPr>
      </w:pPr>
      <w:r>
        <w:rPr>
          <w:rFonts w:hint="eastAsia" w:ascii="宋体" w:hAnsi="宋体" w:eastAsia="宋体" w:cs="宋体"/>
          <w:b/>
          <w:color w:val="000000"/>
          <w:sz w:val="24"/>
          <w:highlight w:val="none"/>
          <w:lang w:val="en-US" w:eastAsia="zh-CN"/>
        </w:rPr>
        <w:t>2、</w:t>
      </w:r>
      <w:r>
        <w:rPr>
          <w:rFonts w:hint="eastAsia" w:ascii="宋体" w:hAnsi="宋体" w:eastAsia="宋体" w:cs="宋体"/>
          <w:b/>
          <w:color w:val="000000"/>
          <w:sz w:val="24"/>
          <w:highlight w:val="none"/>
          <w:lang w:val="en-US"/>
        </w:rPr>
        <w:t>安保服务</w:t>
      </w:r>
    </w:p>
    <w:p>
      <w:pPr>
        <w:tabs>
          <w:tab w:val="left" w:pos="780"/>
        </w:tabs>
        <w:spacing w:before="30" w:beforeLines="0" w:after="90" w:afterLines="0"/>
        <w:ind w:firstLine="480" w:firstLineChars="2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实行 24 小时值班制度，每班次至少安排</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lang w:val="en-US"/>
        </w:rPr>
        <w:t>名安保人员在岗。</w:t>
      </w:r>
    </w:p>
    <w:p>
      <w:pPr>
        <w:tabs>
          <w:tab w:val="left" w:pos="780"/>
        </w:tabs>
        <w:spacing w:before="30" w:beforeLines="0" w:after="90" w:afterLines="0"/>
        <w:ind w:firstLine="480" w:firstLineChars="2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对进入物业区域的外来人员和车辆进行登记，来访人员需与业主确认并做好登记后方可进入。</w:t>
      </w:r>
    </w:p>
    <w:p>
      <w:pPr>
        <w:tabs>
          <w:tab w:val="left" w:pos="780"/>
        </w:tabs>
        <w:spacing w:before="30" w:beforeLines="0" w:after="90" w:afterLines="0"/>
        <w:ind w:firstLine="480" w:firstLineChars="2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每</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lang w:val="en-US"/>
        </w:rPr>
        <w:t>小时对物业区域进行一次巡逻，并做好巡逻记录。</w:t>
      </w:r>
    </w:p>
    <w:p>
      <w:pPr>
        <w:tabs>
          <w:tab w:val="left" w:pos="780"/>
        </w:tabs>
        <w:spacing w:before="30" w:beforeLines="0" w:after="90" w:afterLines="0"/>
        <w:ind w:firstLine="482" w:firstLineChars="200"/>
        <w:jc w:val="left"/>
        <w:rPr>
          <w:rFonts w:hint="eastAsia" w:ascii="宋体" w:hAnsi="宋体" w:eastAsia="宋体" w:cs="宋体"/>
          <w:b/>
          <w:bCs w:val="0"/>
          <w:color w:val="000000"/>
          <w:sz w:val="24"/>
          <w:highlight w:val="none"/>
          <w:lang w:val="en-US"/>
        </w:rPr>
      </w:pPr>
      <w:r>
        <w:rPr>
          <w:rFonts w:hint="eastAsia" w:ascii="宋体" w:hAnsi="宋体" w:eastAsia="宋体" w:cs="宋体"/>
          <w:b/>
          <w:bCs w:val="0"/>
          <w:color w:val="000000"/>
          <w:sz w:val="24"/>
          <w:highlight w:val="none"/>
          <w:lang w:val="en-US" w:eastAsia="zh-CN"/>
        </w:rPr>
        <w:t>3、</w:t>
      </w:r>
      <w:r>
        <w:rPr>
          <w:rFonts w:hint="eastAsia" w:ascii="宋体" w:hAnsi="宋体" w:eastAsia="宋体" w:cs="宋体"/>
          <w:b/>
          <w:bCs w:val="0"/>
          <w:color w:val="000000"/>
          <w:sz w:val="24"/>
          <w:highlight w:val="none"/>
          <w:lang w:val="en-US"/>
        </w:rPr>
        <w:t>绿</w:t>
      </w:r>
      <w:r>
        <w:rPr>
          <w:rFonts w:hint="eastAsia" w:ascii="宋体" w:hAnsi="宋体" w:eastAsia="宋体" w:cs="宋体"/>
          <w:b/>
          <w:bCs w:val="0"/>
          <w:color w:val="000000"/>
          <w:sz w:val="24"/>
          <w:highlight w:val="none"/>
          <w:lang w:val="en-US" w:eastAsia="zh-CN"/>
        </w:rPr>
        <w:t>值</w:t>
      </w:r>
      <w:r>
        <w:rPr>
          <w:rFonts w:hint="eastAsia" w:ascii="宋体" w:hAnsi="宋体" w:eastAsia="宋体" w:cs="宋体"/>
          <w:b/>
          <w:bCs w:val="0"/>
          <w:color w:val="000000"/>
          <w:sz w:val="24"/>
          <w:highlight w:val="none"/>
          <w:lang w:val="en-US"/>
        </w:rPr>
        <w:t>养护服务</w:t>
      </w:r>
    </w:p>
    <w:p>
      <w:pPr>
        <w:tabs>
          <w:tab w:val="left" w:pos="780"/>
        </w:tabs>
        <w:spacing w:before="30" w:beforeLines="0" w:after="90" w:afterLines="0"/>
        <w:ind w:firstLine="480" w:firstLineChars="2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定期对花草树木进行修剪、浇水、施肥、病虫害防治等养护工作，确保绿植生长良好，无明显病虫害迹象。</w:t>
      </w:r>
    </w:p>
    <w:p>
      <w:pPr>
        <w:tabs>
          <w:tab w:val="left" w:pos="780"/>
        </w:tabs>
        <w:spacing w:before="30" w:beforeLines="0" w:after="90" w:afterLines="0"/>
        <w:ind w:firstLine="480" w:firstLineChars="2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绿化区域内无杂草，及时清理枯枝落叶。</w:t>
      </w:r>
    </w:p>
    <w:p>
      <w:pPr>
        <w:numPr>
          <w:ilvl w:val="0"/>
          <w:numId w:val="0"/>
        </w:numPr>
        <w:tabs>
          <w:tab w:val="left" w:pos="780"/>
        </w:tabs>
        <w:spacing w:before="30" w:beforeLines="0" w:after="90" w:afterLines="0"/>
        <w:ind w:left="420" w:leftChars="0"/>
        <w:jc w:val="left"/>
        <w:rPr>
          <w:rFonts w:hint="eastAsia" w:ascii="宋体" w:hAnsi="宋体" w:eastAsia="宋体" w:cs="宋体"/>
          <w:color w:val="000000"/>
          <w:sz w:val="24"/>
          <w:highlight w:val="none"/>
          <w:lang w:val="en-US"/>
        </w:rPr>
      </w:pPr>
      <w:r>
        <w:rPr>
          <w:rFonts w:hint="eastAsia" w:ascii="宋体" w:hAnsi="宋体" w:eastAsia="宋体" w:cs="宋体"/>
          <w:b/>
          <w:color w:val="000000"/>
          <w:sz w:val="24"/>
          <w:highlight w:val="none"/>
          <w:lang w:val="en-US" w:eastAsia="zh-CN"/>
        </w:rPr>
        <w:t>4、</w:t>
      </w:r>
      <w:r>
        <w:rPr>
          <w:rFonts w:hint="eastAsia" w:ascii="宋体" w:hAnsi="宋体" w:eastAsia="宋体" w:cs="宋体"/>
          <w:b/>
          <w:color w:val="000000"/>
          <w:sz w:val="24"/>
          <w:highlight w:val="none"/>
          <w:lang w:val="en-US"/>
        </w:rPr>
        <w:t>设施设备维护服务</w:t>
      </w:r>
    </w:p>
    <w:p>
      <w:pPr>
        <w:tabs>
          <w:tab w:val="left" w:pos="780"/>
        </w:tabs>
        <w:spacing w:before="30" w:beforeLines="0" w:after="90" w:afterLines="0"/>
        <w:ind w:firstLine="480" w:firstLineChars="2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每季度对消防设施设备进行 1 次检查和维护，确保消防设备完好有效。</w:t>
      </w:r>
    </w:p>
    <w:p>
      <w:pPr>
        <w:tabs>
          <w:tab w:val="left" w:pos="780"/>
        </w:tabs>
        <w:spacing w:before="30" w:beforeLines="0" w:after="90" w:afterLines="0"/>
        <w:ind w:firstLine="480" w:firstLineChars="2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对供水、供电、供气等设施设备定期进行巡检和维护，出现故障及时维修，维修时间一般不超过</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lang w:val="en-US"/>
        </w:rPr>
        <w:t>小时（特殊情况除外）。</w:t>
      </w:r>
    </w:p>
    <w:p>
      <w:pPr>
        <w:numPr>
          <w:ilvl w:val="0"/>
          <w:numId w:val="0"/>
        </w:numPr>
        <w:tabs>
          <w:tab w:val="left" w:pos="780"/>
        </w:tabs>
        <w:spacing w:before="30" w:beforeLines="0" w:after="90" w:afterLines="0"/>
        <w:ind w:left="420" w:leftChars="0"/>
        <w:jc w:val="left"/>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5、人员管理</w:t>
      </w:r>
    </w:p>
    <w:p>
      <w:pPr>
        <w:numPr>
          <w:ilvl w:val="0"/>
          <w:numId w:val="0"/>
        </w:numPr>
        <w:tabs>
          <w:tab w:val="left" w:pos="780"/>
        </w:tabs>
        <w:spacing w:before="30" w:beforeLines="0" w:after="90" w:afterLines="0"/>
        <w:ind w:firstLine="480" w:firstLineChars="2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物业服务公司应配备足够数量且具备相应专业资质的服务人员，人员数量和资质应符合合同约定和相关行业标准。</w:t>
      </w:r>
    </w:p>
    <w:p>
      <w:pPr>
        <w:tabs>
          <w:tab w:val="left" w:pos="780"/>
        </w:tabs>
        <w:spacing w:before="30" w:beforeLines="0" w:after="90" w:afterLines="0"/>
        <w:ind w:firstLine="480" w:firstLineChars="2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服务人员应统一着装，佩戴工作牌，言行举止文明规范，热情服务业主。</w:t>
      </w:r>
    </w:p>
    <w:p>
      <w:pPr>
        <w:tabs>
          <w:tab w:val="left" w:pos="0"/>
        </w:tabs>
        <w:spacing w:before="30" w:beforeLines="0" w:after="90" w:afterLines="0"/>
        <w:ind w:left="0" w:leftChars="0" w:firstLine="420" w:firstLineChars="175"/>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eastAsia="zh-CN"/>
        </w:rPr>
        <w:t>每季度</w:t>
      </w:r>
      <w:r>
        <w:rPr>
          <w:rFonts w:hint="eastAsia" w:ascii="宋体" w:hAnsi="宋体" w:eastAsia="宋体" w:cs="宋体"/>
          <w:color w:val="000000"/>
          <w:sz w:val="24"/>
          <w:highlight w:val="none"/>
          <w:lang w:val="en-US"/>
        </w:rPr>
        <w:t>对服务人员进行培训和考核，提高服务人员的专业技能和服务水平。</w:t>
      </w:r>
    </w:p>
    <w:p>
      <w:pPr>
        <w:numPr>
          <w:ilvl w:val="0"/>
          <w:numId w:val="0"/>
        </w:numPr>
        <w:tabs>
          <w:tab w:val="left" w:pos="780"/>
        </w:tabs>
        <w:spacing w:before="30" w:beforeLines="0" w:after="90" w:afterLines="0"/>
        <w:ind w:left="420" w:leftChars="0"/>
        <w:jc w:val="left"/>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6、信息管理与沟通</w:t>
      </w:r>
    </w:p>
    <w:p>
      <w:pPr>
        <w:tabs>
          <w:tab w:val="left" w:pos="0"/>
        </w:tabs>
        <w:spacing w:before="30" w:beforeLines="0" w:after="90" w:afterLines="0"/>
        <w:ind w:left="0" w:leftChars="0" w:firstLine="420" w:firstLineChars="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建立健全</w:t>
      </w:r>
      <w:r>
        <w:rPr>
          <w:rFonts w:hint="eastAsia" w:ascii="宋体" w:hAnsi="宋体" w:eastAsia="宋体" w:cs="宋体"/>
          <w:color w:val="000000"/>
          <w:sz w:val="24"/>
          <w:highlight w:val="none"/>
          <w:lang w:val="en-US" w:eastAsia="zh-CN"/>
        </w:rPr>
        <w:t>单位人员信息档案（主要人员姓名、联系电话、车牌号）</w:t>
      </w:r>
      <w:r>
        <w:rPr>
          <w:rFonts w:hint="eastAsia" w:ascii="宋体" w:hAnsi="宋体" w:eastAsia="宋体" w:cs="宋体"/>
          <w:color w:val="000000"/>
          <w:sz w:val="24"/>
          <w:highlight w:val="none"/>
          <w:lang w:val="en-US"/>
        </w:rPr>
        <w:t>，不得泄露</w:t>
      </w:r>
      <w:r>
        <w:rPr>
          <w:rFonts w:hint="eastAsia" w:ascii="宋体" w:hAnsi="宋体" w:eastAsia="宋体" w:cs="宋体"/>
          <w:color w:val="000000"/>
          <w:sz w:val="24"/>
          <w:highlight w:val="none"/>
          <w:lang w:val="en-US" w:eastAsia="zh-CN"/>
        </w:rPr>
        <w:t>单位人员</w:t>
      </w:r>
      <w:r>
        <w:rPr>
          <w:rFonts w:hint="eastAsia" w:ascii="宋体" w:hAnsi="宋体" w:eastAsia="宋体" w:cs="宋体"/>
          <w:color w:val="000000"/>
          <w:sz w:val="24"/>
          <w:highlight w:val="none"/>
          <w:lang w:val="en-US"/>
        </w:rPr>
        <w:t>隐私。</w:t>
      </w:r>
    </w:p>
    <w:p>
      <w:pPr>
        <w:numPr>
          <w:ilvl w:val="0"/>
          <w:numId w:val="0"/>
        </w:numPr>
        <w:tabs>
          <w:tab w:val="left" w:pos="780"/>
        </w:tabs>
        <w:spacing w:before="30" w:beforeLines="0" w:after="90" w:afterLines="0"/>
        <w:ind w:left="420" w:leftChars="0"/>
        <w:jc w:val="left"/>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7、应急处理</w:t>
      </w:r>
    </w:p>
    <w:p>
      <w:pPr>
        <w:spacing w:before="30" w:beforeLines="0" w:after="90" w:afterLines="0"/>
        <w:ind w:firstLine="480" w:firstLineChars="2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制定完善的应急预案，包括火灾、地震、暴雨、停水停电等突发事件的应急处理措施。</w:t>
      </w:r>
    </w:p>
    <w:p>
      <w:pPr>
        <w:tabs>
          <w:tab w:val="left" w:pos="780"/>
        </w:tabs>
        <w:spacing w:before="30" w:beforeLines="0" w:after="90" w:afterLines="0"/>
        <w:ind w:left="780" w:hanging="36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eastAsia="zh-CN"/>
        </w:rPr>
        <w:t>每季度</w:t>
      </w:r>
      <w:r>
        <w:rPr>
          <w:rFonts w:hint="eastAsia" w:ascii="宋体" w:hAnsi="宋体" w:eastAsia="宋体" w:cs="宋体"/>
          <w:color w:val="000000"/>
          <w:sz w:val="24"/>
          <w:highlight w:val="none"/>
          <w:lang w:val="en-US"/>
        </w:rPr>
        <w:t>组织应急演练</w:t>
      </w:r>
      <w:r>
        <w:rPr>
          <w:rFonts w:hint="eastAsia" w:ascii="宋体" w:hAnsi="宋体" w:eastAsia="宋体" w:cs="宋体"/>
          <w:color w:val="000000"/>
          <w:sz w:val="24"/>
          <w:highlight w:val="none"/>
          <w:lang w:val="en-US" w:eastAsia="zh-CN"/>
        </w:rPr>
        <w:t>一次</w:t>
      </w:r>
      <w:r>
        <w:rPr>
          <w:rFonts w:hint="eastAsia" w:ascii="宋体" w:hAnsi="宋体" w:eastAsia="宋体" w:cs="宋体"/>
          <w:color w:val="000000"/>
          <w:sz w:val="24"/>
          <w:highlight w:val="none"/>
          <w:lang w:val="en-US"/>
        </w:rPr>
        <w:t>，提高应对突发事件的能力。</w:t>
      </w:r>
    </w:p>
    <w:p>
      <w:pPr>
        <w:tabs>
          <w:tab w:val="left" w:pos="780"/>
        </w:tabs>
        <w:spacing w:before="30" w:beforeLines="0" w:after="90" w:afterLines="0"/>
        <w:ind w:left="0" w:leftChars="0" w:firstLine="420" w:firstLineChars="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发生突发事件时，应立即启动应急预案，及时采取措施进行处理，并在第一时间向业主和相关部门报告。</w:t>
      </w:r>
    </w:p>
    <w:p>
      <w:pPr>
        <w:numPr>
          <w:ilvl w:val="0"/>
          <w:numId w:val="11"/>
        </w:numPr>
        <w:tabs>
          <w:tab w:val="left" w:pos="780"/>
        </w:tabs>
        <w:spacing w:before="30" w:beforeLines="0" w:after="90" w:afterLines="0"/>
        <w:ind w:left="420" w:leftChars="0"/>
        <w:jc w:val="left"/>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保洁用品</w:t>
      </w:r>
    </w:p>
    <w:p>
      <w:pPr>
        <w:pStyle w:val="21"/>
        <w:numPr>
          <w:ilvl w:val="0"/>
          <w:numId w:val="12"/>
        </w:numPr>
        <w:ind w:left="0" w:leftChars="0" w:firstLine="360" w:firstLineChars="150"/>
        <w:rPr>
          <w:rFonts w:hint="eastAsia" w:ascii="宋体" w:hAnsi="宋体" w:eastAsia="宋体" w:cs="宋体"/>
          <w:highlight w:val="none"/>
          <w:lang w:val="en-US" w:eastAsia="zh-CN"/>
        </w:rPr>
      </w:pPr>
      <w:r>
        <w:rPr>
          <w:rFonts w:hint="eastAsia" w:ascii="宋体" w:hAnsi="宋体" w:eastAsia="宋体" w:cs="宋体"/>
          <w:highlight w:val="none"/>
          <w:lang w:val="en-US" w:eastAsia="zh-CN"/>
        </w:rPr>
        <w:t>卫生纸应满足国家标准（GB/T 20810-2006)，主要质量指标有定量、亮度、柔软度、吸水性、微生物指标和荧光增白剂等。卫生纸级别不低于一等品。</w:t>
      </w:r>
    </w:p>
    <w:tbl>
      <w:tblPr>
        <w:tblStyle w:val="52"/>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770"/>
        <w:gridCol w:w="1150"/>
        <w:gridCol w:w="3606"/>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blHeader/>
        </w:trPr>
        <w:tc>
          <w:tcPr>
            <w:tcW w:w="770"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i w:val="0"/>
                <w:caps w:val="0"/>
                <w:spacing w:val="0"/>
                <w:sz w:val="24"/>
                <w:szCs w:val="24"/>
                <w:highlight w:val="none"/>
              </w:rPr>
            </w:pPr>
            <w:r>
              <w:rPr>
                <w:rFonts w:hint="eastAsia" w:ascii="宋体" w:hAnsi="宋体" w:eastAsia="宋体" w:cs="宋体"/>
                <w:b/>
                <w:i w:val="0"/>
                <w:caps w:val="0"/>
                <w:spacing w:val="0"/>
                <w:kern w:val="0"/>
                <w:sz w:val="24"/>
                <w:szCs w:val="24"/>
                <w:highlight w:val="none"/>
                <w:lang w:val="en-US" w:eastAsia="zh-CN" w:bidi="ar"/>
              </w:rPr>
              <w:t>类别</w:t>
            </w:r>
          </w:p>
        </w:tc>
        <w:tc>
          <w:tcPr>
            <w:tcW w:w="1150"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i w:val="0"/>
                <w:caps w:val="0"/>
                <w:spacing w:val="0"/>
                <w:sz w:val="24"/>
                <w:szCs w:val="24"/>
                <w:highlight w:val="none"/>
              </w:rPr>
            </w:pPr>
            <w:r>
              <w:rPr>
                <w:rFonts w:hint="eastAsia" w:ascii="宋体" w:hAnsi="宋体" w:eastAsia="宋体" w:cs="宋体"/>
                <w:b/>
                <w:i w:val="0"/>
                <w:caps w:val="0"/>
                <w:spacing w:val="0"/>
                <w:kern w:val="0"/>
                <w:sz w:val="24"/>
                <w:szCs w:val="24"/>
                <w:highlight w:val="none"/>
                <w:lang w:val="en-US" w:eastAsia="zh-CN" w:bidi="ar"/>
              </w:rPr>
              <w:t>关键指标</w:t>
            </w:r>
          </w:p>
        </w:tc>
        <w:tc>
          <w:tcPr>
            <w:tcW w:w="3606"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i w:val="0"/>
                <w:caps w:val="0"/>
                <w:spacing w:val="0"/>
                <w:sz w:val="24"/>
                <w:szCs w:val="24"/>
                <w:highlight w:val="none"/>
              </w:rPr>
            </w:pPr>
            <w:r>
              <w:rPr>
                <w:rFonts w:hint="eastAsia" w:ascii="宋体" w:hAnsi="宋体" w:eastAsia="宋体" w:cs="宋体"/>
                <w:b/>
                <w:i w:val="0"/>
                <w:caps w:val="0"/>
                <w:spacing w:val="0"/>
                <w:kern w:val="0"/>
                <w:sz w:val="24"/>
                <w:szCs w:val="24"/>
                <w:highlight w:val="none"/>
                <w:lang w:val="en-US" w:eastAsia="zh-CN" w:bidi="ar"/>
              </w:rPr>
              <w:t>优质卫生纸特征</w:t>
            </w:r>
          </w:p>
        </w:tc>
        <w:tc>
          <w:tcPr>
            <w:tcW w:w="3169"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i w:val="0"/>
                <w:caps w:val="0"/>
                <w:spacing w:val="0"/>
                <w:sz w:val="24"/>
                <w:szCs w:val="24"/>
                <w:highlight w:val="none"/>
              </w:rPr>
            </w:pPr>
            <w:r>
              <w:rPr>
                <w:rFonts w:hint="eastAsia" w:ascii="宋体" w:hAnsi="宋体" w:eastAsia="宋体" w:cs="宋体"/>
                <w:b/>
                <w:i w:val="0"/>
                <w:caps w:val="0"/>
                <w:spacing w:val="0"/>
                <w:kern w:val="0"/>
                <w:sz w:val="24"/>
                <w:szCs w:val="24"/>
                <w:highlight w:val="none"/>
                <w:lang w:val="en-US" w:eastAsia="zh-CN" w:bidi="ar"/>
              </w:rPr>
              <w:t>简易判定方法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c>
          <w:tcPr>
            <w:tcW w:w="770" w:type="dxa"/>
            <w:vMerge w:val="restart"/>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Style w:val="56"/>
                <w:rFonts w:hint="eastAsia" w:ascii="宋体" w:hAnsi="宋体" w:eastAsia="宋体" w:cs="宋体"/>
                <w:b/>
                <w:i w:val="0"/>
                <w:caps w:val="0"/>
                <w:spacing w:val="0"/>
                <w:kern w:val="0"/>
                <w:sz w:val="24"/>
                <w:szCs w:val="24"/>
                <w:highlight w:val="none"/>
                <w:lang w:val="en-US" w:eastAsia="zh-CN" w:bidi="ar"/>
              </w:rPr>
              <w:t>安全卫生</w:t>
            </w:r>
          </w:p>
        </w:tc>
        <w:tc>
          <w:tcPr>
            <w:tcW w:w="1150"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Style w:val="56"/>
                <w:rFonts w:hint="eastAsia" w:ascii="宋体" w:hAnsi="宋体" w:eastAsia="宋体" w:cs="宋体"/>
                <w:b/>
                <w:i w:val="0"/>
                <w:caps w:val="0"/>
                <w:spacing w:val="0"/>
                <w:kern w:val="0"/>
                <w:sz w:val="24"/>
                <w:szCs w:val="24"/>
                <w:highlight w:val="none"/>
                <w:lang w:val="en-US" w:eastAsia="zh-CN" w:bidi="ar"/>
              </w:rPr>
              <w:t>微生物指标</w:t>
            </w:r>
          </w:p>
        </w:tc>
        <w:tc>
          <w:tcPr>
            <w:tcW w:w="3606"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细菌、真菌菌落总数、大肠菌群等致病菌符合标准，不得检出。</w:t>
            </w:r>
          </w:p>
        </w:tc>
        <w:tc>
          <w:tcPr>
            <w:tcW w:w="3169"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选择包装完整、有明确生产日期和保质期的产品，避免使用过期纸3。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c>
          <w:tcPr>
            <w:tcW w:w="770" w:type="dxa"/>
            <w:vMerge w:val="continue"/>
            <w:shd w:val="clear" w:color="auto" w:fill="FFFFFF"/>
            <w:tcMar>
              <w:top w:w="90" w:type="dxa"/>
              <w:left w:w="195" w:type="dxa"/>
              <w:bottom w:w="90" w:type="dxa"/>
              <w:right w:w="195" w:type="dxa"/>
            </w:tcMar>
            <w:vAlign w:val="center"/>
          </w:tcPr>
          <w:p>
            <w:pPr>
              <w:jc w:val="left"/>
              <w:rPr>
                <w:rFonts w:hint="eastAsia" w:ascii="宋体" w:hAnsi="宋体" w:eastAsia="宋体" w:cs="宋体"/>
                <w:i w:val="0"/>
                <w:caps w:val="0"/>
                <w:spacing w:val="0"/>
                <w:sz w:val="24"/>
                <w:szCs w:val="24"/>
                <w:highlight w:val="none"/>
              </w:rPr>
            </w:pPr>
          </w:p>
        </w:tc>
        <w:tc>
          <w:tcPr>
            <w:tcW w:w="1150"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Style w:val="56"/>
                <w:rFonts w:hint="eastAsia" w:ascii="宋体" w:hAnsi="宋体" w:eastAsia="宋体" w:cs="宋体"/>
                <w:b/>
                <w:i w:val="0"/>
                <w:caps w:val="0"/>
                <w:spacing w:val="0"/>
                <w:kern w:val="0"/>
                <w:sz w:val="24"/>
                <w:szCs w:val="24"/>
                <w:highlight w:val="none"/>
                <w:lang w:val="en-US" w:eastAsia="zh-CN" w:bidi="ar"/>
              </w:rPr>
              <w:t>化学物质</w:t>
            </w:r>
          </w:p>
        </w:tc>
        <w:tc>
          <w:tcPr>
            <w:tcW w:w="3606"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不含或仅含限量的荧光增白剂；重金属（如铅、砷）含量达标。</w:t>
            </w:r>
          </w:p>
        </w:tc>
        <w:tc>
          <w:tcPr>
            <w:tcW w:w="3169"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在紫外光（如验钞机）下照射，出现蓝色荧光则可能含过量荧光剂4。选择标注“无荧光增白剂”的产品更安全。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c>
          <w:tcPr>
            <w:tcW w:w="770"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Style w:val="56"/>
                <w:rFonts w:hint="eastAsia" w:ascii="宋体" w:hAnsi="宋体" w:eastAsia="宋体" w:cs="宋体"/>
                <w:b/>
                <w:i w:val="0"/>
                <w:caps w:val="0"/>
                <w:spacing w:val="0"/>
                <w:kern w:val="0"/>
                <w:sz w:val="24"/>
                <w:szCs w:val="24"/>
                <w:highlight w:val="none"/>
                <w:lang w:val="en-US" w:eastAsia="zh-CN" w:bidi="ar"/>
              </w:rPr>
              <w:t>物理性能</w:t>
            </w:r>
          </w:p>
        </w:tc>
        <w:tc>
          <w:tcPr>
            <w:tcW w:w="1150"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Style w:val="56"/>
                <w:rFonts w:hint="eastAsia" w:ascii="宋体" w:hAnsi="宋体" w:eastAsia="宋体" w:cs="宋体"/>
                <w:b/>
                <w:i w:val="0"/>
                <w:caps w:val="0"/>
                <w:spacing w:val="0"/>
                <w:kern w:val="0"/>
                <w:sz w:val="24"/>
                <w:szCs w:val="24"/>
                <w:highlight w:val="none"/>
                <w:lang w:val="en-US" w:eastAsia="zh-CN" w:bidi="ar"/>
              </w:rPr>
              <w:t>柔软度</w:t>
            </w:r>
          </w:p>
        </w:tc>
        <w:tc>
          <w:tcPr>
            <w:tcW w:w="3606"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手感柔软舒适，纤维细腻。</w:t>
            </w:r>
          </w:p>
        </w:tc>
        <w:tc>
          <w:tcPr>
            <w:tcW w:w="3169"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直接触摸感受，优质纸手感顺滑，粗糙感强的通常质量较差56。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c>
          <w:tcPr>
            <w:tcW w:w="770" w:type="dxa"/>
            <w:shd w:val="clear" w:color="auto" w:fill="FFFFFF"/>
            <w:tcMar>
              <w:top w:w="90" w:type="dxa"/>
              <w:left w:w="195" w:type="dxa"/>
              <w:bottom w:w="90" w:type="dxa"/>
              <w:right w:w="195" w:type="dxa"/>
            </w:tcMar>
            <w:vAlign w:val="center"/>
          </w:tcPr>
          <w:p>
            <w:pPr>
              <w:jc w:val="left"/>
              <w:rPr>
                <w:rFonts w:hint="eastAsia" w:ascii="宋体" w:hAnsi="宋体" w:eastAsia="宋体" w:cs="宋体"/>
                <w:i w:val="0"/>
                <w:caps w:val="0"/>
                <w:spacing w:val="0"/>
                <w:sz w:val="24"/>
                <w:szCs w:val="24"/>
                <w:highlight w:val="none"/>
              </w:rPr>
            </w:pPr>
          </w:p>
        </w:tc>
        <w:tc>
          <w:tcPr>
            <w:tcW w:w="1150"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Style w:val="56"/>
                <w:rFonts w:hint="eastAsia" w:ascii="宋体" w:hAnsi="宋体" w:eastAsia="宋体" w:cs="宋体"/>
                <w:b/>
                <w:i w:val="0"/>
                <w:caps w:val="0"/>
                <w:spacing w:val="0"/>
                <w:kern w:val="0"/>
                <w:sz w:val="24"/>
                <w:szCs w:val="24"/>
                <w:highlight w:val="none"/>
                <w:lang w:val="en-US" w:eastAsia="zh-CN" w:bidi="ar"/>
              </w:rPr>
              <w:t>抗张强度（韧性）</w:t>
            </w:r>
          </w:p>
        </w:tc>
        <w:tc>
          <w:tcPr>
            <w:tcW w:w="3606"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干湿状态下都有较好的韧性，不易撕裂7。</w:t>
            </w:r>
          </w:p>
        </w:tc>
        <w:tc>
          <w:tcPr>
            <w:tcW w:w="3169"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双手轻轻拉扯，不易断裂且掉屑少的为好纸58。取一小节泡水后搅拌，不易碎的质量更好。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c>
          <w:tcPr>
            <w:tcW w:w="770" w:type="dxa"/>
            <w:shd w:val="clear" w:color="auto" w:fill="FFFFFF"/>
            <w:tcMar>
              <w:top w:w="90" w:type="dxa"/>
              <w:left w:w="195" w:type="dxa"/>
              <w:bottom w:w="90" w:type="dxa"/>
              <w:right w:w="195" w:type="dxa"/>
            </w:tcMar>
            <w:vAlign w:val="center"/>
          </w:tcPr>
          <w:p>
            <w:pPr>
              <w:jc w:val="left"/>
              <w:rPr>
                <w:rFonts w:hint="eastAsia" w:ascii="宋体" w:hAnsi="宋体" w:eastAsia="宋体" w:cs="宋体"/>
                <w:i w:val="0"/>
                <w:caps w:val="0"/>
                <w:spacing w:val="0"/>
                <w:sz w:val="24"/>
                <w:szCs w:val="24"/>
                <w:highlight w:val="none"/>
              </w:rPr>
            </w:pPr>
          </w:p>
        </w:tc>
        <w:tc>
          <w:tcPr>
            <w:tcW w:w="1150"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Style w:val="56"/>
                <w:rFonts w:hint="eastAsia" w:ascii="宋体" w:hAnsi="宋体" w:eastAsia="宋体" w:cs="宋体"/>
                <w:b/>
                <w:i w:val="0"/>
                <w:caps w:val="0"/>
                <w:spacing w:val="0"/>
                <w:kern w:val="0"/>
                <w:sz w:val="24"/>
                <w:szCs w:val="24"/>
                <w:highlight w:val="none"/>
                <w:lang w:val="en-US" w:eastAsia="zh-CN" w:bidi="ar"/>
              </w:rPr>
              <w:t>吸水性</w:t>
            </w:r>
          </w:p>
        </w:tc>
        <w:tc>
          <w:tcPr>
            <w:tcW w:w="3606"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吸水速度快，吸水量大。</w:t>
            </w:r>
          </w:p>
        </w:tc>
        <w:tc>
          <w:tcPr>
            <w:tcW w:w="3169"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滴一滴水在纸上，观察其渗透速度，吸收越快越好。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c>
          <w:tcPr>
            <w:tcW w:w="770" w:type="dxa"/>
            <w:shd w:val="clear" w:color="auto" w:fill="FFFFFF"/>
            <w:tcMar>
              <w:top w:w="90" w:type="dxa"/>
              <w:left w:w="195" w:type="dxa"/>
              <w:bottom w:w="90" w:type="dxa"/>
              <w:right w:w="195" w:type="dxa"/>
            </w:tcMar>
            <w:vAlign w:val="center"/>
          </w:tcPr>
          <w:p>
            <w:pPr>
              <w:jc w:val="left"/>
              <w:rPr>
                <w:rFonts w:hint="eastAsia" w:ascii="宋体" w:hAnsi="宋体" w:eastAsia="宋体" w:cs="宋体"/>
                <w:i w:val="0"/>
                <w:caps w:val="0"/>
                <w:spacing w:val="0"/>
                <w:sz w:val="24"/>
                <w:szCs w:val="24"/>
                <w:highlight w:val="none"/>
              </w:rPr>
            </w:pPr>
          </w:p>
        </w:tc>
        <w:tc>
          <w:tcPr>
            <w:tcW w:w="1150"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Style w:val="56"/>
                <w:rFonts w:hint="eastAsia" w:ascii="宋体" w:hAnsi="宋体" w:eastAsia="宋体" w:cs="宋体"/>
                <w:b/>
                <w:i w:val="0"/>
                <w:caps w:val="0"/>
                <w:spacing w:val="0"/>
                <w:kern w:val="0"/>
                <w:sz w:val="24"/>
                <w:szCs w:val="24"/>
                <w:highlight w:val="none"/>
                <w:lang w:val="en-US" w:eastAsia="zh-CN" w:bidi="ar"/>
              </w:rPr>
              <w:t>尘埃度与洞眼</w:t>
            </w:r>
          </w:p>
        </w:tc>
        <w:tc>
          <w:tcPr>
            <w:tcW w:w="3606"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纸面洁净，杂质和孔洞少。</w:t>
            </w:r>
          </w:p>
        </w:tc>
        <w:tc>
          <w:tcPr>
            <w:tcW w:w="3169"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对着光观察纸面，均匀细腻、无明显杂质和破洞为佳。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c>
          <w:tcPr>
            <w:tcW w:w="770"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Style w:val="56"/>
                <w:rFonts w:hint="eastAsia" w:ascii="宋体" w:hAnsi="宋体" w:eastAsia="宋体" w:cs="宋体"/>
                <w:b/>
                <w:i w:val="0"/>
                <w:caps w:val="0"/>
                <w:spacing w:val="0"/>
                <w:kern w:val="0"/>
                <w:sz w:val="24"/>
                <w:szCs w:val="24"/>
                <w:highlight w:val="none"/>
                <w:lang w:val="en-US" w:eastAsia="zh-CN" w:bidi="ar"/>
              </w:rPr>
              <w:t>外观标识</w:t>
            </w:r>
          </w:p>
        </w:tc>
        <w:tc>
          <w:tcPr>
            <w:tcW w:w="1150"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Style w:val="56"/>
                <w:rFonts w:hint="eastAsia" w:ascii="宋体" w:hAnsi="宋体" w:eastAsia="宋体" w:cs="宋体"/>
                <w:b/>
                <w:i w:val="0"/>
                <w:caps w:val="0"/>
                <w:spacing w:val="0"/>
                <w:kern w:val="0"/>
                <w:sz w:val="24"/>
                <w:szCs w:val="24"/>
                <w:highlight w:val="none"/>
                <w:lang w:val="en-US" w:eastAsia="zh-CN" w:bidi="ar"/>
              </w:rPr>
              <w:t>原料与执行标准</w:t>
            </w:r>
          </w:p>
        </w:tc>
        <w:tc>
          <w:tcPr>
            <w:tcW w:w="3606"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原料优选“100%原生木浆”。包装上应清晰标注执行标准（如卫生纸为GB/T 20810）和产品等级（优等品、一等品、合格品）。</w:t>
            </w:r>
          </w:p>
        </w:tc>
        <w:tc>
          <w:tcPr>
            <w:tcW w:w="3169"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查看包装信息，认准标准号和“原生木浆”字样。</w:t>
            </w:r>
          </w:p>
        </w:tc>
      </w:tr>
    </w:tbl>
    <w:p>
      <w:pPr>
        <w:numPr>
          <w:ilvl w:val="0"/>
          <w:numId w:val="0"/>
        </w:numPr>
        <w:ind w:left="360" w:leftChars="0"/>
        <w:rPr>
          <w:rFonts w:hint="eastAsia" w:ascii="宋体" w:hAnsi="宋体" w:eastAsia="宋体" w:cs="宋体"/>
          <w:sz w:val="24"/>
          <w:highlight w:val="none"/>
          <w:lang w:val="en-US" w:eastAsia="zh-CN"/>
        </w:rPr>
      </w:pPr>
    </w:p>
    <w:p>
      <w:pPr>
        <w:pStyle w:val="21"/>
        <w:numPr>
          <w:ilvl w:val="0"/>
          <w:numId w:val="12"/>
        </w:numPr>
        <w:ind w:left="0" w:leftChars="0" w:firstLine="360" w:firstLineChars="150"/>
        <w:rPr>
          <w:rFonts w:hint="eastAsia" w:ascii="宋体" w:hAnsi="宋体" w:eastAsia="宋体" w:cs="宋体"/>
          <w:highlight w:val="none"/>
          <w:lang w:val="en-US" w:eastAsia="zh-CN"/>
        </w:rPr>
      </w:pPr>
      <w:r>
        <w:rPr>
          <w:rFonts w:hint="eastAsia" w:ascii="宋体" w:hAnsi="宋体" w:eastAsia="宋体" w:cs="宋体"/>
          <w:highlight w:val="none"/>
          <w:lang w:val="en-US" w:eastAsia="zh-CN"/>
        </w:rPr>
        <w:t>洗手液应满足国家标准</w:t>
      </w:r>
      <w:r>
        <w:rPr>
          <w:rFonts w:hint="eastAsia" w:ascii="宋体" w:hAnsi="宋体" w:eastAsia="宋体" w:cs="宋体"/>
          <w:b/>
          <w:color w:val="000000"/>
          <w:sz w:val="24"/>
          <w:highlight w:val="none"/>
          <w:lang w:val="en-US"/>
        </w:rPr>
        <w:t>GB/T 34855-2017</w:t>
      </w:r>
      <w:r>
        <w:rPr>
          <w:rFonts w:hint="eastAsia" w:ascii="宋体" w:hAnsi="宋体" w:eastAsia="宋体" w:cs="宋体"/>
          <w:b w:val="0"/>
          <w:bCs/>
          <w:color w:val="000000"/>
          <w:sz w:val="24"/>
          <w:highlight w:val="none"/>
          <w:lang w:val="en-US" w:eastAsia="zh-CN"/>
        </w:rPr>
        <w:t>标准</w:t>
      </w:r>
      <w:r>
        <w:rPr>
          <w:rFonts w:hint="eastAsia" w:ascii="宋体" w:hAnsi="宋体" w:eastAsia="宋体" w:cs="宋体"/>
          <w:highlight w:val="none"/>
          <w:lang w:val="en-US" w:eastAsia="zh-CN"/>
        </w:rPr>
        <w:t>，主要质量指标有外观、气味、总活性物含量、pH值、微生物指标、重金属含量、甲醇含量和净含量等。</w:t>
      </w:r>
    </w:p>
    <w:tbl>
      <w:tblPr>
        <w:tblStyle w:val="52"/>
        <w:tblW w:w="8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878"/>
        <w:gridCol w:w="1384"/>
        <w:gridCol w:w="2973"/>
        <w:gridCol w:w="3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trPr>
        <w:tc>
          <w:tcPr>
            <w:tcW w:w="878"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i w:val="0"/>
                <w:caps w:val="0"/>
                <w:spacing w:val="0"/>
                <w:sz w:val="24"/>
                <w:szCs w:val="24"/>
                <w:highlight w:val="none"/>
              </w:rPr>
            </w:pPr>
            <w:r>
              <w:rPr>
                <w:rFonts w:hint="eastAsia" w:ascii="宋体" w:hAnsi="宋体" w:eastAsia="宋体" w:cs="宋体"/>
                <w:b/>
                <w:i w:val="0"/>
                <w:caps w:val="0"/>
                <w:spacing w:val="0"/>
                <w:kern w:val="0"/>
                <w:sz w:val="24"/>
                <w:szCs w:val="24"/>
                <w:highlight w:val="none"/>
                <w:lang w:val="en-US" w:eastAsia="zh-CN" w:bidi="ar"/>
              </w:rPr>
              <w:t>类别</w:t>
            </w:r>
          </w:p>
        </w:tc>
        <w:tc>
          <w:tcPr>
            <w:tcW w:w="1384"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i w:val="0"/>
                <w:caps w:val="0"/>
                <w:spacing w:val="0"/>
                <w:sz w:val="24"/>
                <w:szCs w:val="24"/>
                <w:highlight w:val="none"/>
              </w:rPr>
            </w:pPr>
            <w:r>
              <w:rPr>
                <w:rFonts w:hint="eastAsia" w:ascii="宋体" w:hAnsi="宋体" w:eastAsia="宋体" w:cs="宋体"/>
                <w:b/>
                <w:i w:val="0"/>
                <w:caps w:val="0"/>
                <w:spacing w:val="0"/>
                <w:kern w:val="0"/>
                <w:sz w:val="24"/>
                <w:szCs w:val="24"/>
                <w:highlight w:val="none"/>
                <w:lang w:val="en-US" w:eastAsia="zh-CN" w:bidi="ar"/>
              </w:rPr>
              <w:t>关键指标</w:t>
            </w:r>
          </w:p>
        </w:tc>
        <w:tc>
          <w:tcPr>
            <w:tcW w:w="2973"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i w:val="0"/>
                <w:caps w:val="0"/>
                <w:spacing w:val="0"/>
                <w:sz w:val="24"/>
                <w:szCs w:val="24"/>
                <w:highlight w:val="none"/>
              </w:rPr>
            </w:pPr>
            <w:r>
              <w:rPr>
                <w:rFonts w:hint="eastAsia" w:ascii="宋体" w:hAnsi="宋体" w:eastAsia="宋体" w:cs="宋体"/>
                <w:b/>
                <w:i w:val="0"/>
                <w:caps w:val="0"/>
                <w:spacing w:val="0"/>
                <w:kern w:val="0"/>
                <w:sz w:val="24"/>
                <w:szCs w:val="24"/>
                <w:highlight w:val="none"/>
                <w:lang w:val="en-US" w:eastAsia="zh-CN" w:bidi="ar"/>
              </w:rPr>
              <w:t>优质洗手液特征</w:t>
            </w:r>
          </w:p>
        </w:tc>
        <w:tc>
          <w:tcPr>
            <w:tcW w:w="3459"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i w:val="0"/>
                <w:caps w:val="0"/>
                <w:spacing w:val="0"/>
                <w:sz w:val="24"/>
                <w:szCs w:val="24"/>
                <w:highlight w:val="none"/>
              </w:rPr>
            </w:pPr>
            <w:r>
              <w:rPr>
                <w:rFonts w:hint="eastAsia" w:ascii="宋体" w:hAnsi="宋体" w:eastAsia="宋体" w:cs="宋体"/>
                <w:b/>
                <w:i w:val="0"/>
                <w:caps w:val="0"/>
                <w:spacing w:val="0"/>
                <w:kern w:val="0"/>
                <w:sz w:val="24"/>
                <w:szCs w:val="24"/>
                <w:highlight w:val="none"/>
                <w:lang w:val="en-US" w:eastAsia="zh-CN" w:bidi="ar"/>
              </w:rPr>
              <w:t>物业服务关注点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c>
          <w:tcPr>
            <w:tcW w:w="878"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Style w:val="56"/>
                <w:rFonts w:hint="eastAsia" w:ascii="宋体" w:hAnsi="宋体" w:eastAsia="宋体" w:cs="宋体"/>
                <w:b/>
                <w:i w:val="0"/>
                <w:caps w:val="0"/>
                <w:spacing w:val="0"/>
                <w:kern w:val="0"/>
                <w:sz w:val="24"/>
                <w:szCs w:val="24"/>
                <w:highlight w:val="none"/>
                <w:lang w:val="en-US" w:eastAsia="zh-CN" w:bidi="ar"/>
              </w:rPr>
              <w:t>清洁效果</w:t>
            </w:r>
          </w:p>
        </w:tc>
        <w:tc>
          <w:tcPr>
            <w:tcW w:w="1384"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Style w:val="56"/>
                <w:rFonts w:hint="eastAsia" w:ascii="宋体" w:hAnsi="宋体" w:eastAsia="宋体" w:cs="宋体"/>
                <w:b/>
                <w:i w:val="0"/>
                <w:caps w:val="0"/>
                <w:spacing w:val="0"/>
                <w:kern w:val="0"/>
                <w:sz w:val="24"/>
                <w:szCs w:val="24"/>
                <w:highlight w:val="none"/>
                <w:lang w:val="en-US" w:eastAsia="zh-CN" w:bidi="ar"/>
              </w:rPr>
              <w:t>总有效物/总活性物含量</w:t>
            </w:r>
          </w:p>
        </w:tc>
        <w:tc>
          <w:tcPr>
            <w:tcW w:w="2973"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含量高，清洁去污力强。</w:t>
            </w:r>
          </w:p>
        </w:tc>
        <w:tc>
          <w:tcPr>
            <w:tcW w:w="3459"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这是衡量洗手液成本效益和清洁能力的关键指标。含量过低的产品无法有效去除污垢和细菌13。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c>
          <w:tcPr>
            <w:tcW w:w="878"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Style w:val="56"/>
                <w:rFonts w:hint="eastAsia" w:ascii="宋体" w:hAnsi="宋体" w:eastAsia="宋体" w:cs="宋体"/>
                <w:b/>
                <w:i w:val="0"/>
                <w:caps w:val="0"/>
                <w:spacing w:val="0"/>
                <w:kern w:val="0"/>
                <w:sz w:val="24"/>
                <w:szCs w:val="24"/>
                <w:highlight w:val="none"/>
                <w:lang w:val="en-US" w:eastAsia="zh-CN" w:bidi="ar"/>
              </w:rPr>
              <w:t>安全卫生</w:t>
            </w:r>
          </w:p>
        </w:tc>
        <w:tc>
          <w:tcPr>
            <w:tcW w:w="1384"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Style w:val="56"/>
                <w:rFonts w:hint="eastAsia" w:ascii="宋体" w:hAnsi="宋体" w:eastAsia="宋体" w:cs="宋体"/>
                <w:b/>
                <w:i w:val="0"/>
                <w:caps w:val="0"/>
                <w:spacing w:val="0"/>
                <w:kern w:val="0"/>
                <w:sz w:val="24"/>
                <w:szCs w:val="24"/>
                <w:highlight w:val="none"/>
                <w:lang w:val="en-US" w:eastAsia="zh-CN" w:bidi="ar"/>
              </w:rPr>
              <w:t>微生物指标</w:t>
            </w:r>
          </w:p>
        </w:tc>
        <w:tc>
          <w:tcPr>
            <w:tcW w:w="2973"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菌落总数达标，不得检出致病菌（如大肠菌群、金黄色葡萄球菌）。</w:t>
            </w:r>
          </w:p>
        </w:tc>
        <w:tc>
          <w:tcPr>
            <w:tcW w:w="3459"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公共场所使用频率高，必须防止洗手液本身成为二次污染源。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c>
          <w:tcPr>
            <w:tcW w:w="878" w:type="dxa"/>
            <w:shd w:val="clear" w:color="auto" w:fill="FFFFFF"/>
            <w:tcMar>
              <w:top w:w="90" w:type="dxa"/>
              <w:left w:w="195" w:type="dxa"/>
              <w:bottom w:w="90" w:type="dxa"/>
              <w:right w:w="195" w:type="dxa"/>
            </w:tcMar>
            <w:vAlign w:val="center"/>
          </w:tcPr>
          <w:p>
            <w:pPr>
              <w:jc w:val="left"/>
              <w:rPr>
                <w:rFonts w:hint="eastAsia" w:ascii="宋体" w:hAnsi="宋体" w:eastAsia="宋体" w:cs="宋体"/>
                <w:i w:val="0"/>
                <w:caps w:val="0"/>
                <w:spacing w:val="0"/>
                <w:sz w:val="24"/>
                <w:szCs w:val="24"/>
                <w:highlight w:val="none"/>
              </w:rPr>
            </w:pPr>
          </w:p>
        </w:tc>
        <w:tc>
          <w:tcPr>
            <w:tcW w:w="1384"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Style w:val="56"/>
                <w:rFonts w:hint="eastAsia" w:ascii="宋体" w:hAnsi="宋体" w:eastAsia="宋体" w:cs="宋体"/>
                <w:b/>
                <w:i w:val="0"/>
                <w:caps w:val="0"/>
                <w:spacing w:val="0"/>
                <w:kern w:val="0"/>
                <w:sz w:val="24"/>
                <w:szCs w:val="24"/>
                <w:highlight w:val="none"/>
                <w:lang w:val="en-US" w:eastAsia="zh-CN" w:bidi="ar"/>
              </w:rPr>
              <w:t>重金属含量</w:t>
            </w:r>
          </w:p>
        </w:tc>
        <w:tc>
          <w:tcPr>
            <w:tcW w:w="2973"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汞、铅、砷等重金属含量在国家安全限值内。</w:t>
            </w:r>
          </w:p>
        </w:tc>
        <w:tc>
          <w:tcPr>
            <w:tcW w:w="3459"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保障使用者健康，避免长期接触产生安全风险。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c>
          <w:tcPr>
            <w:tcW w:w="878"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Style w:val="56"/>
                <w:rFonts w:hint="eastAsia" w:ascii="宋体" w:hAnsi="宋体" w:eastAsia="宋体" w:cs="宋体"/>
                <w:b/>
                <w:i w:val="0"/>
                <w:caps w:val="0"/>
                <w:spacing w:val="0"/>
                <w:kern w:val="0"/>
                <w:sz w:val="24"/>
                <w:szCs w:val="24"/>
                <w:highlight w:val="none"/>
                <w:lang w:val="en-US" w:eastAsia="zh-CN" w:bidi="ar"/>
              </w:rPr>
              <w:t>温和度</w:t>
            </w:r>
          </w:p>
        </w:tc>
        <w:tc>
          <w:tcPr>
            <w:tcW w:w="1384"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Style w:val="56"/>
                <w:rFonts w:hint="eastAsia" w:ascii="宋体" w:hAnsi="宋体" w:eastAsia="宋体" w:cs="宋体"/>
                <w:b/>
                <w:i w:val="0"/>
                <w:caps w:val="0"/>
                <w:spacing w:val="0"/>
                <w:kern w:val="0"/>
                <w:sz w:val="24"/>
                <w:szCs w:val="24"/>
                <w:highlight w:val="none"/>
                <w:lang w:val="en-US" w:eastAsia="zh-CN" w:bidi="ar"/>
              </w:rPr>
              <w:t>pH值</w:t>
            </w:r>
          </w:p>
        </w:tc>
        <w:tc>
          <w:tcPr>
            <w:tcW w:w="2973"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呈中性或弱酸性（pH值通常在4.0-10.0之间），接近皮肤酸碱度。</w:t>
            </w:r>
          </w:p>
        </w:tc>
        <w:tc>
          <w:tcPr>
            <w:tcW w:w="3459"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避免频繁使用导致皮肤干燥或刺激，提升用户满意度。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c>
          <w:tcPr>
            <w:tcW w:w="878"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Style w:val="56"/>
                <w:rFonts w:hint="eastAsia" w:ascii="宋体" w:hAnsi="宋体" w:eastAsia="宋体" w:cs="宋体"/>
                <w:b/>
                <w:i w:val="0"/>
                <w:caps w:val="0"/>
                <w:spacing w:val="0"/>
                <w:kern w:val="0"/>
                <w:sz w:val="24"/>
                <w:szCs w:val="24"/>
                <w:highlight w:val="none"/>
                <w:lang w:val="en-US" w:eastAsia="zh-CN" w:bidi="ar"/>
              </w:rPr>
              <w:t>产品稳定性</w:t>
            </w:r>
          </w:p>
        </w:tc>
        <w:tc>
          <w:tcPr>
            <w:tcW w:w="1384"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Style w:val="56"/>
                <w:rFonts w:hint="eastAsia" w:ascii="宋体" w:hAnsi="宋体" w:eastAsia="宋体" w:cs="宋体"/>
                <w:b/>
                <w:i w:val="0"/>
                <w:caps w:val="0"/>
                <w:spacing w:val="0"/>
                <w:kern w:val="0"/>
                <w:sz w:val="24"/>
                <w:szCs w:val="24"/>
                <w:highlight w:val="none"/>
                <w:lang w:val="en-US" w:eastAsia="zh-CN" w:bidi="ar"/>
              </w:rPr>
              <w:t>稳定性（耐热/耐寒）</w:t>
            </w:r>
          </w:p>
        </w:tc>
        <w:tc>
          <w:tcPr>
            <w:tcW w:w="2973"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经过高低温测试后，无分层、沉淀、变色等现象。</w:t>
            </w:r>
          </w:p>
        </w:tc>
        <w:tc>
          <w:tcPr>
            <w:tcW w:w="3459"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确保在物业仓库的储存条件下及不同季节使用时，产品性状稳定，不易变质。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c>
          <w:tcPr>
            <w:tcW w:w="878"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Style w:val="56"/>
                <w:rFonts w:hint="eastAsia" w:ascii="宋体" w:hAnsi="宋体" w:eastAsia="宋体" w:cs="宋体"/>
                <w:b/>
                <w:i w:val="0"/>
                <w:caps w:val="0"/>
                <w:spacing w:val="0"/>
                <w:kern w:val="0"/>
                <w:sz w:val="24"/>
                <w:szCs w:val="24"/>
                <w:highlight w:val="none"/>
                <w:lang w:val="en-US" w:eastAsia="zh-CN" w:bidi="ar"/>
              </w:rPr>
              <w:t>使用体验</w:t>
            </w:r>
          </w:p>
        </w:tc>
        <w:tc>
          <w:tcPr>
            <w:tcW w:w="1384"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Style w:val="56"/>
                <w:rFonts w:hint="eastAsia" w:ascii="宋体" w:hAnsi="宋体" w:eastAsia="宋体" w:cs="宋体"/>
                <w:b/>
                <w:i w:val="0"/>
                <w:caps w:val="0"/>
                <w:spacing w:val="0"/>
                <w:kern w:val="0"/>
                <w:sz w:val="24"/>
                <w:szCs w:val="24"/>
                <w:highlight w:val="none"/>
                <w:lang w:val="en-US" w:eastAsia="zh-CN" w:bidi="ar"/>
              </w:rPr>
              <w:t>泡沫与香味</w:t>
            </w:r>
          </w:p>
        </w:tc>
        <w:tc>
          <w:tcPr>
            <w:tcW w:w="2973"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泡沫适中，香味清新不刺鼻。</w:t>
            </w:r>
          </w:p>
        </w:tc>
        <w:tc>
          <w:tcPr>
            <w:tcW w:w="3459" w:type="dxa"/>
            <w:shd w:val="clear" w:color="auto" w:fill="FFFFFF"/>
            <w:tcMar>
              <w:top w:w="90" w:type="dxa"/>
              <w:left w:w="195" w:type="dxa"/>
              <w:bottom w:w="90" w:type="dxa"/>
              <w:right w:w="19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caps w:val="0"/>
                <w:spacing w:val="0"/>
                <w:sz w:val="24"/>
                <w:szCs w:val="24"/>
                <w:highlight w:val="none"/>
              </w:rPr>
            </w:pPr>
            <w:r>
              <w:rPr>
                <w:rFonts w:hint="eastAsia" w:ascii="宋体" w:hAnsi="宋体" w:eastAsia="宋体" w:cs="宋体"/>
                <w:i w:val="0"/>
                <w:caps w:val="0"/>
                <w:spacing w:val="0"/>
                <w:kern w:val="0"/>
                <w:sz w:val="24"/>
                <w:szCs w:val="24"/>
                <w:highlight w:val="none"/>
                <w:lang w:val="en-US" w:eastAsia="zh-CN" w:bidi="ar"/>
              </w:rPr>
              <w:t>影响用户的主观感受，好的体验能体现物业服务的品质。</w:t>
            </w:r>
          </w:p>
        </w:tc>
      </w:tr>
    </w:tbl>
    <w:p>
      <w:pPr>
        <w:pStyle w:val="21"/>
        <w:numPr>
          <w:ilvl w:val="0"/>
          <w:numId w:val="12"/>
        </w:numPr>
        <w:ind w:left="0" w:leftChars="0" w:firstLine="360" w:firstLineChars="150"/>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其它相关保洁用品标准</w:t>
      </w:r>
    </w:p>
    <w:p>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    其它类保洁用品应满足相应的国家标准。</w:t>
      </w:r>
    </w:p>
    <w:p>
      <w:pPr>
        <w:numPr>
          <w:ilvl w:val="0"/>
          <w:numId w:val="0"/>
        </w:numPr>
        <w:tabs>
          <w:tab w:val="left" w:pos="780"/>
        </w:tabs>
        <w:spacing w:before="30" w:beforeLines="0" w:after="90" w:afterLines="0"/>
        <w:ind w:left="420" w:leftChars="0"/>
        <w:jc w:val="left"/>
        <w:rPr>
          <w:rFonts w:hint="eastAsia" w:ascii="宋体" w:hAnsi="宋体" w:eastAsia="宋体" w:cs="宋体"/>
          <w:color w:val="000000"/>
          <w:sz w:val="24"/>
          <w:highlight w:val="none"/>
          <w:lang w:val="en-US"/>
        </w:rPr>
      </w:pPr>
      <w:r>
        <w:rPr>
          <w:rFonts w:hint="eastAsia" w:ascii="宋体" w:hAnsi="宋体" w:eastAsia="宋体" w:cs="宋体"/>
          <w:b/>
          <w:color w:val="000000"/>
          <w:sz w:val="24"/>
          <w:highlight w:val="none"/>
          <w:lang w:val="en-US"/>
        </w:rPr>
        <w:t>清洁剂类</w:t>
      </w:r>
      <w:r>
        <w:rPr>
          <w:rFonts w:hint="eastAsia" w:ascii="宋体" w:hAnsi="宋体" w:eastAsia="宋体" w:cs="宋体"/>
          <w:color w:val="000000"/>
          <w:sz w:val="24"/>
          <w:highlight w:val="none"/>
          <w:lang w:val="en-US"/>
        </w:rPr>
        <w:t>：</w:t>
      </w:r>
    </w:p>
    <w:p>
      <w:pPr>
        <w:numPr>
          <w:ilvl w:val="1"/>
          <w:numId w:val="13"/>
        </w:numPr>
        <w:tabs>
          <w:tab w:val="left" w:pos="1500"/>
        </w:tabs>
        <w:spacing w:before="30" w:beforeLines="0" w:after="90" w:afterLines="0"/>
        <w:ind w:left="15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GB/T 24691-2009《果蔬清洗剂》</w:t>
      </w:r>
    </w:p>
    <w:p>
      <w:pPr>
        <w:numPr>
          <w:ilvl w:val="1"/>
          <w:numId w:val="13"/>
        </w:numPr>
        <w:tabs>
          <w:tab w:val="left" w:pos="1500"/>
        </w:tabs>
        <w:spacing w:before="30" w:beforeLines="0" w:after="90" w:afterLines="0"/>
        <w:ind w:left="15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GB/T 13171-2020《洗衣粉》</w:t>
      </w:r>
    </w:p>
    <w:p>
      <w:pPr>
        <w:numPr>
          <w:ilvl w:val="1"/>
          <w:numId w:val="13"/>
        </w:numPr>
        <w:tabs>
          <w:tab w:val="left" w:pos="1500"/>
        </w:tabs>
        <w:spacing w:before="30" w:beforeLines="0" w:after="90" w:afterLines="0"/>
        <w:ind w:left="15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GB/T 21241-2007《卫生洁具清洗剂》</w:t>
      </w:r>
    </w:p>
    <w:p>
      <w:pPr>
        <w:numPr>
          <w:ilvl w:val="0"/>
          <w:numId w:val="0"/>
        </w:numPr>
        <w:tabs>
          <w:tab w:val="left" w:pos="780"/>
        </w:tabs>
        <w:spacing w:before="30" w:beforeLines="0" w:after="90" w:afterLines="0"/>
        <w:ind w:left="420" w:leftChars="0"/>
        <w:jc w:val="left"/>
        <w:rPr>
          <w:rFonts w:hint="eastAsia" w:ascii="宋体" w:hAnsi="宋体" w:eastAsia="宋体" w:cs="宋体"/>
          <w:color w:val="000000"/>
          <w:sz w:val="24"/>
          <w:highlight w:val="none"/>
          <w:lang w:val="en-US"/>
        </w:rPr>
      </w:pPr>
      <w:r>
        <w:rPr>
          <w:rFonts w:hint="eastAsia" w:ascii="宋体" w:hAnsi="宋体" w:eastAsia="宋体" w:cs="宋体"/>
          <w:b/>
          <w:color w:val="000000"/>
          <w:sz w:val="24"/>
          <w:highlight w:val="none"/>
          <w:lang w:val="en-US"/>
        </w:rPr>
        <w:t>消毒剂类</w:t>
      </w:r>
      <w:r>
        <w:rPr>
          <w:rFonts w:hint="eastAsia" w:ascii="宋体" w:hAnsi="宋体" w:eastAsia="宋体" w:cs="宋体"/>
          <w:color w:val="000000"/>
          <w:sz w:val="24"/>
          <w:highlight w:val="none"/>
          <w:lang w:val="en-US"/>
        </w:rPr>
        <w:t>：</w:t>
      </w:r>
    </w:p>
    <w:p>
      <w:pPr>
        <w:numPr>
          <w:ilvl w:val="1"/>
          <w:numId w:val="13"/>
        </w:numPr>
        <w:tabs>
          <w:tab w:val="left" w:pos="1500"/>
        </w:tabs>
        <w:spacing w:before="30" w:beforeLines="0" w:after="90" w:afterLines="0"/>
        <w:ind w:left="15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GB 27947-2020《酚类消毒剂卫生要求》</w:t>
      </w:r>
    </w:p>
    <w:p>
      <w:pPr>
        <w:numPr>
          <w:ilvl w:val="1"/>
          <w:numId w:val="13"/>
        </w:numPr>
        <w:tabs>
          <w:tab w:val="left" w:pos="1500"/>
        </w:tabs>
        <w:spacing w:before="30" w:beforeLines="0" w:after="90" w:afterLines="0"/>
        <w:ind w:left="15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GB 27948-2020《空气消毒剂通用要求》</w:t>
      </w:r>
    </w:p>
    <w:p>
      <w:pPr>
        <w:numPr>
          <w:ilvl w:val="1"/>
          <w:numId w:val="13"/>
        </w:numPr>
        <w:tabs>
          <w:tab w:val="left" w:pos="1500"/>
        </w:tabs>
        <w:spacing w:before="30" w:beforeLines="0" w:after="90" w:afterLines="0"/>
        <w:ind w:left="15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GB 27950-2020《手消毒剂通用要求》</w:t>
      </w:r>
    </w:p>
    <w:p>
      <w:pPr>
        <w:numPr>
          <w:ilvl w:val="0"/>
          <w:numId w:val="0"/>
        </w:numPr>
        <w:ind w:leftChars="150"/>
        <w:rPr>
          <w:rFonts w:hint="eastAsia" w:ascii="宋体" w:hAnsi="宋体" w:eastAsia="宋体" w:cs="宋体"/>
          <w:sz w:val="24"/>
          <w:highlight w:val="none"/>
          <w:lang w:val="en-US" w:eastAsia="zh-CN"/>
        </w:rPr>
      </w:pPr>
    </w:p>
    <w:p>
      <w:pPr>
        <w:spacing w:line="360" w:lineRule="auto"/>
        <w:ind w:firstLine="482" w:firstLineChars="20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五、处罚措施</w:t>
      </w:r>
    </w:p>
    <w:p>
      <w:pPr>
        <w:spacing w:before="90" w:beforeLines="0" w:after="30" w:afterLines="0"/>
        <w:jc w:val="left"/>
        <w:rPr>
          <w:rFonts w:hint="eastAsia" w:ascii="宋体" w:hAnsi="宋体" w:eastAsia="宋体" w:cs="宋体"/>
          <w:b/>
          <w:bCs/>
          <w:i w:val="0"/>
          <w:iCs/>
          <w:color w:val="000000"/>
          <w:sz w:val="24"/>
          <w:szCs w:val="24"/>
          <w:highlight w:val="none"/>
          <w:lang w:val="en-US"/>
        </w:rPr>
      </w:pPr>
      <w:r>
        <w:rPr>
          <w:rFonts w:hint="eastAsia" w:ascii="宋体" w:hAnsi="宋体" w:eastAsia="宋体" w:cs="宋体"/>
          <w:b/>
          <w:bCs/>
          <w:i w:val="0"/>
          <w:iCs/>
          <w:color w:val="000000"/>
          <w:sz w:val="24"/>
          <w:szCs w:val="24"/>
          <w:highlight w:val="none"/>
          <w:lang w:val="en-US" w:eastAsia="zh-CN"/>
        </w:rPr>
        <w:t xml:space="preserve">    </w:t>
      </w:r>
      <w:r>
        <w:rPr>
          <w:rFonts w:hint="eastAsia" w:ascii="宋体" w:hAnsi="宋体" w:eastAsia="宋体" w:cs="宋体"/>
          <w:b/>
          <w:bCs/>
          <w:i w:val="0"/>
          <w:iCs/>
          <w:color w:val="000000"/>
          <w:sz w:val="24"/>
          <w:szCs w:val="24"/>
          <w:highlight w:val="none"/>
          <w:lang w:val="en-US"/>
        </w:rPr>
        <w:t>服务质量不达标</w:t>
      </w:r>
    </w:p>
    <w:p>
      <w:pPr>
        <w:numPr>
          <w:ilvl w:val="0"/>
          <w:numId w:val="0"/>
        </w:numPr>
        <w:tabs>
          <w:tab w:val="left" w:pos="780"/>
        </w:tabs>
        <w:spacing w:before="30" w:beforeLines="0" w:after="90" w:afterLines="0"/>
        <w:ind w:left="420" w:leftChars="0"/>
        <w:jc w:val="left"/>
        <w:rPr>
          <w:rFonts w:hint="eastAsia" w:ascii="宋体" w:hAnsi="宋体" w:eastAsia="宋体" w:cs="宋体"/>
          <w:color w:val="000000"/>
          <w:sz w:val="24"/>
          <w:highlight w:val="none"/>
          <w:lang w:val="en-US"/>
        </w:rPr>
      </w:pPr>
      <w:r>
        <w:rPr>
          <w:rFonts w:hint="eastAsia" w:ascii="宋体" w:hAnsi="宋体" w:eastAsia="宋体" w:cs="宋体"/>
          <w:b/>
          <w:color w:val="000000"/>
          <w:sz w:val="24"/>
          <w:highlight w:val="none"/>
          <w:lang w:val="en-US" w:eastAsia="zh-CN"/>
        </w:rPr>
        <w:t>1、</w:t>
      </w:r>
      <w:r>
        <w:rPr>
          <w:rFonts w:hint="eastAsia" w:ascii="宋体" w:hAnsi="宋体" w:eastAsia="宋体" w:cs="宋体"/>
          <w:b/>
          <w:color w:val="000000"/>
          <w:sz w:val="24"/>
          <w:highlight w:val="none"/>
          <w:lang w:val="en-US"/>
        </w:rPr>
        <w:t>保洁服务</w:t>
      </w:r>
    </w:p>
    <w:p>
      <w:pPr>
        <w:tabs>
          <w:tab w:val="left" w:pos="780"/>
        </w:tabs>
        <w:spacing w:before="30" w:beforeLines="0" w:after="90" w:afterLines="0"/>
        <w:ind w:firstLine="480" w:firstLineChars="2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若公共区域地面清扫次数不足或清扫不彻底，每发现一处不符合标准，扣除当月物业服务费用的</w:t>
      </w:r>
      <w:r>
        <w:rPr>
          <w:rFonts w:hint="eastAsia" w:ascii="宋体" w:hAnsi="宋体" w:eastAsia="宋体" w:cs="宋体"/>
          <w:color w:val="000000"/>
          <w:sz w:val="24"/>
          <w:highlight w:val="none"/>
          <w:lang w:val="en-US" w:eastAsia="zh-CN"/>
        </w:rPr>
        <w:t>0.5</w:t>
      </w:r>
      <w:r>
        <w:rPr>
          <w:rFonts w:hint="eastAsia" w:ascii="宋体" w:hAnsi="宋体" w:eastAsia="宋体" w:cs="宋体"/>
          <w:color w:val="000000"/>
          <w:sz w:val="24"/>
          <w:highlight w:val="none"/>
          <w:lang w:val="en-US"/>
        </w:rPr>
        <w:t>%。</w:t>
      </w:r>
    </w:p>
    <w:p>
      <w:pPr>
        <w:tabs>
          <w:tab w:val="left" w:pos="780"/>
        </w:tabs>
        <w:spacing w:before="30" w:beforeLines="0" w:after="90" w:afterLines="0"/>
        <w:ind w:firstLine="480" w:firstLineChars="2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楼梯扶手、栏杆等未按规定擦拭，每发现一处不符合标准，扣除当月物业服务费用的</w:t>
      </w:r>
      <w:r>
        <w:rPr>
          <w:rFonts w:hint="eastAsia" w:ascii="宋体" w:hAnsi="宋体" w:eastAsia="宋体" w:cs="宋体"/>
          <w:color w:val="000000"/>
          <w:sz w:val="24"/>
          <w:highlight w:val="none"/>
          <w:lang w:val="en-US" w:eastAsia="zh-CN"/>
        </w:rPr>
        <w:t>0.5</w:t>
      </w:r>
      <w:r>
        <w:rPr>
          <w:rFonts w:hint="eastAsia" w:ascii="宋体" w:hAnsi="宋体" w:eastAsia="宋体" w:cs="宋体"/>
          <w:color w:val="000000"/>
          <w:sz w:val="24"/>
          <w:highlight w:val="none"/>
          <w:lang w:val="en-US"/>
        </w:rPr>
        <w:t>%。</w:t>
      </w:r>
    </w:p>
    <w:p>
      <w:pPr>
        <w:tabs>
          <w:tab w:val="left" w:pos="780"/>
        </w:tabs>
        <w:spacing w:before="30" w:beforeLines="0" w:after="90" w:afterLines="0"/>
        <w:ind w:firstLine="480" w:firstLineChars="2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垃圾桶清理不及时或周边有垃圾堆积、异味，每发现</w:t>
      </w:r>
      <w:r>
        <w:rPr>
          <w:rFonts w:hint="eastAsia" w:ascii="宋体" w:hAnsi="宋体" w:eastAsia="宋体" w:cs="宋体"/>
          <w:color w:val="000000"/>
          <w:sz w:val="24"/>
          <w:highlight w:val="none"/>
          <w:lang w:val="en-US" w:eastAsia="zh-CN"/>
        </w:rPr>
        <w:t>三</w:t>
      </w:r>
      <w:r>
        <w:rPr>
          <w:rFonts w:hint="eastAsia" w:ascii="宋体" w:hAnsi="宋体" w:eastAsia="宋体" w:cs="宋体"/>
          <w:color w:val="000000"/>
          <w:sz w:val="24"/>
          <w:highlight w:val="none"/>
          <w:lang w:val="en-US"/>
        </w:rPr>
        <w:t>处，扣除当月物业服务费用的</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lang w:val="en-US"/>
        </w:rPr>
        <w:t>%。</w:t>
      </w:r>
    </w:p>
    <w:p>
      <w:pPr>
        <w:numPr>
          <w:ilvl w:val="0"/>
          <w:numId w:val="0"/>
        </w:numPr>
        <w:tabs>
          <w:tab w:val="left" w:pos="780"/>
        </w:tabs>
        <w:spacing w:before="30" w:beforeLines="0" w:after="90" w:afterLines="0"/>
        <w:ind w:left="420" w:leftChars="0"/>
        <w:jc w:val="left"/>
        <w:rPr>
          <w:rFonts w:hint="eastAsia" w:ascii="宋体" w:hAnsi="宋体" w:eastAsia="宋体" w:cs="宋体"/>
          <w:color w:val="000000"/>
          <w:sz w:val="24"/>
          <w:highlight w:val="none"/>
          <w:lang w:val="en-US"/>
        </w:rPr>
      </w:pPr>
      <w:r>
        <w:rPr>
          <w:rFonts w:hint="eastAsia" w:ascii="宋体" w:hAnsi="宋体" w:eastAsia="宋体" w:cs="宋体"/>
          <w:b/>
          <w:color w:val="000000"/>
          <w:sz w:val="24"/>
          <w:highlight w:val="none"/>
          <w:lang w:val="en-US" w:eastAsia="zh-CN"/>
        </w:rPr>
        <w:t>2、</w:t>
      </w:r>
      <w:r>
        <w:rPr>
          <w:rFonts w:hint="eastAsia" w:ascii="宋体" w:hAnsi="宋体" w:eastAsia="宋体" w:cs="宋体"/>
          <w:b/>
          <w:color w:val="000000"/>
          <w:sz w:val="24"/>
          <w:highlight w:val="none"/>
          <w:lang w:val="en-US"/>
        </w:rPr>
        <w:t>安保服务</w:t>
      </w:r>
    </w:p>
    <w:p>
      <w:pPr>
        <w:tabs>
          <w:tab w:val="left" w:pos="780"/>
        </w:tabs>
        <w:spacing w:before="30" w:beforeLines="0" w:after="90" w:afterLines="0"/>
        <w:ind w:firstLine="480" w:firstLineChars="2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安保人员未按规定值班或擅自离岗，每次扣除当月物业服务费用的</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lang w:val="en-US"/>
        </w:rPr>
        <w:t>%。</w:t>
      </w:r>
    </w:p>
    <w:p>
      <w:pPr>
        <w:tabs>
          <w:tab w:val="left" w:pos="780"/>
        </w:tabs>
        <w:spacing w:before="30" w:beforeLines="0" w:after="90" w:afterLines="0"/>
        <w:ind w:firstLine="480" w:firstLineChars="2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对外来人员和车辆未进行登记或登记不规范，每发现</w:t>
      </w:r>
      <w:r>
        <w:rPr>
          <w:rFonts w:hint="eastAsia" w:ascii="宋体" w:hAnsi="宋体" w:eastAsia="宋体" w:cs="宋体"/>
          <w:color w:val="000000"/>
          <w:sz w:val="24"/>
          <w:highlight w:val="none"/>
          <w:lang w:val="en-US" w:eastAsia="zh-CN"/>
        </w:rPr>
        <w:t>三</w:t>
      </w:r>
      <w:r>
        <w:rPr>
          <w:rFonts w:hint="eastAsia" w:ascii="宋体" w:hAnsi="宋体" w:eastAsia="宋体" w:cs="宋体"/>
          <w:color w:val="000000"/>
          <w:sz w:val="24"/>
          <w:highlight w:val="none"/>
          <w:lang w:val="en-US"/>
        </w:rPr>
        <w:t>次，扣除当月物业服务费用的</w:t>
      </w:r>
      <w:r>
        <w:rPr>
          <w:rFonts w:hint="eastAsia" w:ascii="宋体" w:hAnsi="宋体" w:eastAsia="宋体" w:cs="宋体"/>
          <w:color w:val="000000"/>
          <w:sz w:val="24"/>
          <w:highlight w:val="none"/>
          <w:lang w:val="en-US" w:eastAsia="zh-CN"/>
        </w:rPr>
        <w:t>0.1</w:t>
      </w:r>
      <w:r>
        <w:rPr>
          <w:rFonts w:hint="eastAsia" w:ascii="宋体" w:hAnsi="宋体" w:eastAsia="宋体" w:cs="宋体"/>
          <w:color w:val="000000"/>
          <w:sz w:val="24"/>
          <w:highlight w:val="none"/>
          <w:lang w:val="en-US"/>
        </w:rPr>
        <w:t>%。</w:t>
      </w:r>
    </w:p>
    <w:p>
      <w:pPr>
        <w:tabs>
          <w:tab w:val="left" w:pos="780"/>
        </w:tabs>
        <w:spacing w:before="30" w:beforeLines="0" w:after="90" w:afterLines="0"/>
        <w:ind w:firstLine="480" w:firstLineChars="2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巡逻次数不足或未做好巡逻记录，每发现</w:t>
      </w:r>
      <w:r>
        <w:rPr>
          <w:rFonts w:hint="eastAsia" w:ascii="宋体" w:hAnsi="宋体" w:eastAsia="宋体" w:cs="宋体"/>
          <w:color w:val="000000"/>
          <w:sz w:val="24"/>
          <w:highlight w:val="none"/>
          <w:lang w:val="en-US" w:eastAsia="zh-CN"/>
        </w:rPr>
        <w:t>三</w:t>
      </w:r>
      <w:r>
        <w:rPr>
          <w:rFonts w:hint="eastAsia" w:ascii="宋体" w:hAnsi="宋体" w:eastAsia="宋体" w:cs="宋体"/>
          <w:color w:val="000000"/>
          <w:sz w:val="24"/>
          <w:highlight w:val="none"/>
          <w:lang w:val="en-US"/>
        </w:rPr>
        <w:t>次，扣除当月物业服务费用的</w:t>
      </w:r>
      <w:r>
        <w:rPr>
          <w:rFonts w:hint="eastAsia" w:ascii="宋体" w:hAnsi="宋体" w:eastAsia="宋体" w:cs="宋体"/>
          <w:color w:val="000000"/>
          <w:sz w:val="24"/>
          <w:highlight w:val="none"/>
          <w:lang w:val="en-US" w:eastAsia="zh-CN"/>
        </w:rPr>
        <w:t>0.1</w:t>
      </w:r>
      <w:r>
        <w:rPr>
          <w:rFonts w:hint="eastAsia" w:ascii="宋体" w:hAnsi="宋体" w:eastAsia="宋体" w:cs="宋体"/>
          <w:color w:val="000000"/>
          <w:sz w:val="24"/>
          <w:highlight w:val="none"/>
          <w:lang w:val="en-US"/>
        </w:rPr>
        <w:t>%。</w:t>
      </w:r>
    </w:p>
    <w:p>
      <w:pPr>
        <w:numPr>
          <w:ilvl w:val="0"/>
          <w:numId w:val="0"/>
        </w:numPr>
        <w:tabs>
          <w:tab w:val="left" w:pos="780"/>
        </w:tabs>
        <w:spacing w:before="30" w:beforeLines="0" w:after="90" w:afterLines="0"/>
        <w:ind w:left="420" w:leftChars="0"/>
        <w:jc w:val="left"/>
        <w:rPr>
          <w:rFonts w:hint="eastAsia" w:ascii="宋体" w:hAnsi="宋体" w:eastAsia="宋体" w:cs="宋体"/>
          <w:color w:val="000000"/>
          <w:sz w:val="24"/>
          <w:highlight w:val="none"/>
          <w:lang w:val="en-US"/>
        </w:rPr>
      </w:pPr>
      <w:r>
        <w:rPr>
          <w:rFonts w:hint="eastAsia" w:ascii="宋体" w:hAnsi="宋体" w:eastAsia="宋体" w:cs="宋体"/>
          <w:b/>
          <w:color w:val="000000"/>
          <w:sz w:val="24"/>
          <w:highlight w:val="none"/>
          <w:lang w:val="en-US" w:eastAsia="zh-CN"/>
        </w:rPr>
        <w:t>3、</w:t>
      </w:r>
      <w:r>
        <w:rPr>
          <w:rFonts w:hint="eastAsia" w:ascii="宋体" w:hAnsi="宋体" w:eastAsia="宋体" w:cs="宋体"/>
          <w:b/>
          <w:color w:val="000000"/>
          <w:sz w:val="24"/>
          <w:highlight w:val="none"/>
          <w:lang w:val="en-US"/>
        </w:rPr>
        <w:t>绿化养护服务</w:t>
      </w:r>
    </w:p>
    <w:p>
      <w:pPr>
        <w:tabs>
          <w:tab w:val="left" w:pos="780"/>
        </w:tabs>
        <w:spacing w:before="30" w:beforeLines="0" w:after="90" w:afterLines="0"/>
        <w:ind w:firstLine="480" w:firstLineChars="2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花草树木未按规定进行修剪、浇水、施肥、病虫害防治等养护工作，每发现一处不符合标准，扣除当月物业服务费用的</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lang w:val="en-US"/>
        </w:rPr>
        <w:t>%。</w:t>
      </w:r>
    </w:p>
    <w:p>
      <w:pPr>
        <w:tabs>
          <w:tab w:val="left" w:pos="780"/>
        </w:tabs>
        <w:spacing w:before="30" w:beforeLines="0" w:after="90" w:afterLines="0"/>
        <w:ind w:firstLine="480" w:firstLineChars="2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绿化区域内有杂草或未及时清理枯枝落叶，每发现一处，扣除当月物业服务费用的</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lang w:val="en-US"/>
        </w:rPr>
        <w:t>%。</w:t>
      </w:r>
    </w:p>
    <w:p>
      <w:pPr>
        <w:numPr>
          <w:ilvl w:val="0"/>
          <w:numId w:val="0"/>
        </w:numPr>
        <w:tabs>
          <w:tab w:val="left" w:pos="780"/>
        </w:tabs>
        <w:spacing w:before="30" w:beforeLines="0" w:after="90" w:afterLines="0"/>
        <w:ind w:left="420" w:leftChars="0"/>
        <w:jc w:val="left"/>
        <w:rPr>
          <w:rFonts w:hint="eastAsia" w:ascii="宋体" w:hAnsi="宋体" w:eastAsia="宋体" w:cs="宋体"/>
          <w:color w:val="000000"/>
          <w:sz w:val="24"/>
          <w:highlight w:val="none"/>
          <w:lang w:val="en-US"/>
        </w:rPr>
      </w:pPr>
      <w:r>
        <w:rPr>
          <w:rFonts w:hint="eastAsia" w:ascii="宋体" w:hAnsi="宋体" w:eastAsia="宋体" w:cs="宋体"/>
          <w:b/>
          <w:color w:val="000000"/>
          <w:sz w:val="24"/>
          <w:highlight w:val="none"/>
          <w:lang w:val="en-US" w:eastAsia="zh-CN"/>
        </w:rPr>
        <w:t>4、</w:t>
      </w:r>
      <w:r>
        <w:rPr>
          <w:rFonts w:hint="eastAsia" w:ascii="宋体" w:hAnsi="宋体" w:eastAsia="宋体" w:cs="宋体"/>
          <w:b/>
          <w:color w:val="000000"/>
          <w:sz w:val="24"/>
          <w:highlight w:val="none"/>
          <w:lang w:val="en-US"/>
        </w:rPr>
        <w:t>设施设备维护服务</w:t>
      </w:r>
    </w:p>
    <w:p>
      <w:pPr>
        <w:tabs>
          <w:tab w:val="left" w:pos="780"/>
        </w:tabs>
        <w:spacing w:before="30" w:beforeLines="0" w:after="90" w:afterLines="0"/>
        <w:ind w:firstLine="480" w:firstLineChars="2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电梯未按规定进行检查和维护保养，每发现一次，扣除当月物业服务费用的</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lang w:val="en-US"/>
        </w:rPr>
        <w:t>%。</w:t>
      </w:r>
    </w:p>
    <w:p>
      <w:pPr>
        <w:tabs>
          <w:tab w:val="left" w:pos="780"/>
        </w:tabs>
        <w:spacing w:before="30" w:beforeLines="0" w:after="90" w:afterLines="0"/>
        <w:ind w:firstLine="480" w:firstLineChars="2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消防设施设备未按规定进行检查和维护，每发现一处不符合标准，扣除当月物业服务费用的</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lang w:val="en-US"/>
        </w:rPr>
        <w:t>%。</w:t>
      </w:r>
    </w:p>
    <w:p>
      <w:pPr>
        <w:tabs>
          <w:tab w:val="left" w:pos="780"/>
        </w:tabs>
        <w:spacing w:before="30" w:beforeLines="0" w:after="90" w:afterLines="0"/>
        <w:ind w:firstLine="480" w:firstLineChars="2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供水、供电、供气等设施设备故障维修不及时，每超过规定维修时间 1 小时，扣除当月物业服务费用的</w:t>
      </w:r>
      <w:r>
        <w:rPr>
          <w:rFonts w:hint="eastAsia" w:ascii="宋体" w:hAnsi="宋体" w:eastAsia="宋体" w:cs="宋体"/>
          <w:color w:val="000000"/>
          <w:sz w:val="24"/>
          <w:highlight w:val="none"/>
          <w:lang w:val="en-US" w:eastAsia="zh-CN"/>
        </w:rPr>
        <w:t>0.5</w:t>
      </w:r>
      <w:r>
        <w:rPr>
          <w:rFonts w:hint="eastAsia" w:ascii="宋体" w:hAnsi="宋体" w:eastAsia="宋体" w:cs="宋体"/>
          <w:color w:val="000000"/>
          <w:sz w:val="24"/>
          <w:highlight w:val="none"/>
          <w:lang w:val="en-US"/>
        </w:rPr>
        <w:t>%。</w:t>
      </w:r>
    </w:p>
    <w:p>
      <w:pPr>
        <w:numPr>
          <w:ilvl w:val="0"/>
          <w:numId w:val="0"/>
        </w:numPr>
        <w:tabs>
          <w:tab w:val="left" w:pos="780"/>
        </w:tabs>
        <w:spacing w:before="30" w:beforeLines="0" w:after="90" w:afterLines="0"/>
        <w:ind w:left="420" w:leftChars="0"/>
        <w:jc w:val="left"/>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5、人员管理问题</w:t>
      </w:r>
    </w:p>
    <w:p>
      <w:pPr>
        <w:tabs>
          <w:tab w:val="left" w:pos="780"/>
        </w:tabs>
        <w:spacing w:before="30" w:beforeLines="0" w:after="90" w:afterLines="0"/>
        <w:ind w:firstLine="480" w:firstLineChars="20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服务人员数量不足或资质不符合要求，限期</w:t>
      </w:r>
      <w:r>
        <w:rPr>
          <w:rFonts w:hint="eastAsia" w:ascii="宋体" w:hAnsi="宋体" w:eastAsia="宋体" w:cs="宋体"/>
          <w:color w:val="000000"/>
          <w:sz w:val="24"/>
          <w:highlight w:val="none"/>
          <w:lang w:val="en-US" w:eastAsia="zh-CN"/>
        </w:rPr>
        <w:t>7</w:t>
      </w:r>
      <w:r>
        <w:rPr>
          <w:rFonts w:hint="eastAsia" w:ascii="宋体" w:hAnsi="宋体" w:eastAsia="宋体" w:cs="宋体"/>
          <w:color w:val="000000"/>
          <w:sz w:val="24"/>
          <w:highlight w:val="none"/>
          <w:lang w:val="en-US"/>
        </w:rPr>
        <w:t>天内整改，逾期未整改的，扣除当月物业服务费用的</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lang w:val="en-US"/>
        </w:rPr>
        <w:t>%。</w:t>
      </w:r>
    </w:p>
    <w:p>
      <w:pPr>
        <w:tabs>
          <w:tab w:val="left" w:pos="0"/>
        </w:tabs>
        <w:spacing w:before="30" w:beforeLines="0" w:after="90" w:afterLines="0"/>
        <w:ind w:left="0" w:leftChars="0" w:firstLine="420" w:firstLineChars="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服务人员未统一着装、佩戴工作牌或言行举止不文明，每发现一次，扣除当月物业服务费用的</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lang w:val="en-US"/>
        </w:rPr>
        <w:t>%。</w:t>
      </w:r>
    </w:p>
    <w:p>
      <w:pPr>
        <w:tabs>
          <w:tab w:val="left" w:pos="780"/>
        </w:tabs>
        <w:spacing w:before="30" w:beforeLines="0" w:after="90" w:afterLines="0"/>
        <w:ind w:left="780" w:hanging="36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未按规定对服务人员进行培训和考核，扣除当月物业服务费用的</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lang w:val="en-US"/>
        </w:rPr>
        <w:t>%。</w:t>
      </w:r>
    </w:p>
    <w:p>
      <w:pPr>
        <w:numPr>
          <w:ilvl w:val="0"/>
          <w:numId w:val="0"/>
        </w:numPr>
        <w:tabs>
          <w:tab w:val="left" w:pos="780"/>
        </w:tabs>
        <w:spacing w:before="30" w:beforeLines="0" w:after="90" w:afterLines="0"/>
        <w:ind w:left="420" w:leftChars="0"/>
        <w:jc w:val="left"/>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6、信息管理与沟通问题</w:t>
      </w:r>
    </w:p>
    <w:p>
      <w:pPr>
        <w:tabs>
          <w:tab w:val="left" w:pos="0"/>
        </w:tabs>
        <w:spacing w:before="30" w:beforeLines="0" w:after="90" w:afterLines="0"/>
        <w:ind w:left="0" w:leftChars="0" w:firstLine="420" w:firstLineChars="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泄露业主隐私，除承担相应的法律责任外，扣除当月物业服务费用的</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lang w:val="en-US"/>
        </w:rPr>
        <w:t>%，并视情节轻重决定是否终止合同。</w:t>
      </w:r>
    </w:p>
    <w:p>
      <w:pPr>
        <w:numPr>
          <w:ilvl w:val="0"/>
          <w:numId w:val="0"/>
        </w:numPr>
        <w:tabs>
          <w:tab w:val="left" w:pos="780"/>
        </w:tabs>
        <w:spacing w:before="30" w:beforeLines="0" w:after="90" w:afterLines="0"/>
        <w:ind w:left="420" w:leftChars="0"/>
        <w:jc w:val="left"/>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7、应急处理问题</w:t>
      </w:r>
    </w:p>
    <w:p>
      <w:pPr>
        <w:spacing w:before="30" w:beforeLines="0" w:after="90" w:afterLines="0"/>
        <w:ind w:left="0" w:leftChars="0" w:firstLine="420" w:firstLineChars="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未制定应急预案或应急预案不完善，限期</w:t>
      </w:r>
      <w:r>
        <w:rPr>
          <w:rFonts w:hint="eastAsia" w:ascii="宋体" w:hAnsi="宋体" w:eastAsia="宋体" w:cs="宋体"/>
          <w:color w:val="000000"/>
          <w:sz w:val="24"/>
          <w:highlight w:val="none"/>
          <w:lang w:val="en-US" w:eastAsia="zh-CN"/>
        </w:rPr>
        <w:t>15</w:t>
      </w:r>
      <w:r>
        <w:rPr>
          <w:rFonts w:hint="eastAsia" w:ascii="宋体" w:hAnsi="宋体" w:eastAsia="宋体" w:cs="宋体"/>
          <w:color w:val="000000"/>
          <w:sz w:val="24"/>
          <w:highlight w:val="none"/>
          <w:lang w:val="en-US"/>
        </w:rPr>
        <w:t>天内整改，逾期未整改的，扣除当月物业服务费用的</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lang w:val="en-US"/>
        </w:rPr>
        <w:t>%。</w:t>
      </w:r>
    </w:p>
    <w:p>
      <w:pPr>
        <w:tabs>
          <w:tab w:val="left" w:pos="780"/>
        </w:tabs>
        <w:spacing w:before="30" w:beforeLines="0" w:after="90" w:afterLines="0"/>
        <w:ind w:left="780" w:hanging="36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未按规定组织应急演练，每次扣除当月物业服务费用的</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lang w:val="en-US"/>
        </w:rPr>
        <w:t>%。</w:t>
      </w:r>
    </w:p>
    <w:p>
      <w:pPr>
        <w:tabs>
          <w:tab w:val="left" w:pos="0"/>
        </w:tabs>
        <w:spacing w:before="30" w:beforeLines="0" w:after="90" w:afterLines="0"/>
        <w:ind w:left="0" w:leftChars="0" w:firstLine="420" w:firstLineChars="0"/>
        <w:jc w:val="left"/>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发生突发事件时，未及时启动应急预案或处理不当，造成严重后果的，扣除当月物业服务费用的</w:t>
      </w:r>
      <w:r>
        <w:rPr>
          <w:rFonts w:hint="eastAsia" w:ascii="宋体" w:hAnsi="宋体" w:eastAsia="宋体" w:cs="宋体"/>
          <w:color w:val="000000"/>
          <w:sz w:val="24"/>
          <w:highlight w:val="none"/>
          <w:lang w:val="en-US" w:eastAsia="zh-CN"/>
        </w:rPr>
        <w:t>10</w:t>
      </w:r>
      <w:r>
        <w:rPr>
          <w:rFonts w:hint="eastAsia" w:ascii="宋体" w:hAnsi="宋体" w:eastAsia="宋体" w:cs="宋体"/>
          <w:color w:val="000000"/>
          <w:sz w:val="24"/>
          <w:highlight w:val="none"/>
          <w:lang w:val="en-US"/>
        </w:rPr>
        <w:t>%，并视情节轻重决定是否终止合同。</w:t>
      </w:r>
    </w:p>
    <w:p>
      <w:pPr>
        <w:rPr>
          <w:rFonts w:hint="eastAsia" w:ascii="宋体" w:hAnsi="宋体" w:cs="宋体"/>
          <w:b/>
          <w:bCs/>
          <w:color w:val="000000"/>
          <w:kern w:val="0"/>
          <w:sz w:val="24"/>
          <w:szCs w:val="24"/>
          <w:highlight w:val="none"/>
          <w:lang w:val="en-US" w:eastAsia="zh-CN" w:bidi="ar"/>
        </w:rPr>
      </w:pPr>
    </w:p>
    <w:p>
      <w:pPr>
        <w:rPr>
          <w:rFonts w:hint="eastAsia" w:ascii="宋体" w:hAnsi="宋体" w:cs="宋体"/>
          <w:b/>
          <w:bCs/>
          <w:color w:val="000000"/>
          <w:kern w:val="0"/>
          <w:sz w:val="24"/>
          <w:szCs w:val="24"/>
          <w:highlight w:val="none"/>
          <w:lang w:val="en-US" w:eastAsia="zh-CN" w:bidi="ar"/>
        </w:rPr>
      </w:pPr>
    </w:p>
    <w:p>
      <w:pPr>
        <w:pStyle w:val="2"/>
        <w:jc w:val="both"/>
        <w:rPr>
          <w:rFonts w:hint="eastAsia" w:ascii="宋体" w:hAnsi="宋体" w:cs="宋体"/>
          <w:b/>
          <w:bCs/>
          <w:color w:val="000000"/>
          <w:kern w:val="0"/>
          <w:sz w:val="24"/>
          <w:szCs w:val="24"/>
          <w:highlight w:val="none"/>
          <w:lang w:val="en-US" w:eastAsia="zh-CN" w:bidi="ar"/>
        </w:rPr>
      </w:pPr>
    </w:p>
    <w:p>
      <w:pPr>
        <w:rPr>
          <w:rFonts w:hint="eastAsia"/>
          <w:highlight w:val="none"/>
          <w:lang w:val="en-US" w:eastAsia="zh-CN"/>
        </w:rPr>
      </w:pPr>
    </w:p>
    <w:p>
      <w:pPr>
        <w:tabs>
          <w:tab w:val="left" w:pos="0"/>
        </w:tabs>
        <w:spacing w:before="30" w:beforeLines="0" w:after="90" w:afterLines="0"/>
        <w:ind w:firstLine="420" w:firstLineChars="0"/>
        <w:jc w:val="left"/>
        <w:rPr>
          <w:rFonts w:hint="eastAsia" w:ascii="宋体" w:hAnsi="宋体" w:cs="宋体"/>
          <w:b/>
          <w:bCs/>
          <w:color w:val="000000"/>
          <w:kern w:val="2"/>
          <w:sz w:val="24"/>
          <w:szCs w:val="24"/>
          <w:highlight w:val="none"/>
          <w:lang w:val="en-US" w:eastAsia="zh-CN" w:bidi="ar"/>
        </w:rPr>
      </w:pPr>
      <w:r>
        <w:rPr>
          <w:rFonts w:hint="eastAsia" w:ascii="宋体" w:hAnsi="宋体" w:cs="宋体"/>
          <w:b/>
          <w:bCs/>
          <w:color w:val="000000"/>
          <w:kern w:val="2"/>
          <w:sz w:val="24"/>
          <w:szCs w:val="24"/>
          <w:highlight w:val="none"/>
          <w:lang w:val="en-US" w:eastAsia="zh-CN" w:bidi="ar"/>
        </w:rPr>
        <w:t>六、ESG理念要求</w:t>
      </w:r>
    </w:p>
    <w:p>
      <w:pPr>
        <w:tabs>
          <w:tab w:val="left" w:pos="0"/>
        </w:tabs>
        <w:spacing w:before="30" w:beforeLines="0" w:after="90" w:afterLines="0" w:line="240" w:lineRule="auto"/>
        <w:ind w:firstLine="420" w:firstLineChars="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pPr>
        <w:tabs>
          <w:tab w:val="left" w:pos="0"/>
        </w:tabs>
        <w:spacing w:before="30" w:beforeLines="0" w:after="90" w:afterLines="0" w:line="240" w:lineRule="auto"/>
        <w:ind w:firstLine="420" w:firstLineChars="0"/>
        <w:jc w:val="left"/>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七、供应商信用要求</w:t>
      </w:r>
    </w:p>
    <w:p>
      <w:pPr>
        <w:tabs>
          <w:tab w:val="left" w:pos="0"/>
        </w:tabs>
        <w:spacing w:before="30" w:beforeLines="0" w:after="90" w:afterLines="0" w:line="240" w:lineRule="auto"/>
        <w:ind w:firstLine="420" w:firstLineChars="0"/>
        <w:jc w:val="left"/>
        <w:rPr>
          <w:rFonts w:hint="eastAsia" w:ascii="宋体" w:hAnsi="宋体" w:eastAsia="宋体" w:cs="宋体"/>
          <w:color w:val="000000"/>
          <w:kern w:val="2"/>
          <w:sz w:val="24"/>
          <w:szCs w:val="24"/>
          <w:highlight w:val="none"/>
          <w:lang w:bidi="ar"/>
        </w:rPr>
      </w:pPr>
      <w:r>
        <w:rPr>
          <w:rFonts w:hint="eastAsia" w:ascii="宋体" w:hAnsi="宋体" w:eastAsia="宋体" w:cs="宋体"/>
          <w:color w:val="000000"/>
          <w:kern w:val="2"/>
          <w:sz w:val="24"/>
          <w:szCs w:val="24"/>
          <w:highlight w:val="none"/>
          <w:lang w:bidi="ar"/>
        </w:rPr>
        <w:t>为深入贯彻落实中共中央办公厅、国务院办公厅《关于健全社会信用体系的意见》，进一步推动</w:t>
      </w:r>
      <w:r>
        <w:rPr>
          <w:rFonts w:hint="eastAsia" w:ascii="宋体" w:hAnsi="宋体" w:eastAsia="宋体" w:cs="宋体"/>
          <w:color w:val="000000"/>
          <w:sz w:val="24"/>
          <w:szCs w:val="24"/>
          <w:highlight w:val="none"/>
          <w:shd w:val="clear" w:color="auto" w:fill="auto"/>
          <w:lang w:bidi="ar"/>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eastAsia" w:ascii="宋体" w:hAnsi="宋体" w:eastAsia="宋体" w:cs="宋体"/>
          <w:color w:val="000000"/>
          <w:kern w:val="2"/>
          <w:sz w:val="24"/>
          <w:szCs w:val="24"/>
          <w:highlight w:val="none"/>
          <w:lang w:bidi="ar"/>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pPr>
        <w:tabs>
          <w:tab w:val="left" w:pos="0"/>
        </w:tabs>
        <w:spacing w:before="30" w:beforeLines="0" w:after="90" w:afterLines="0" w:line="240" w:lineRule="auto"/>
        <w:ind w:firstLine="420" w:firstLineChars="0"/>
        <w:jc w:val="left"/>
        <w:rPr>
          <w:rFonts w:hint="eastAsia" w:ascii="宋体" w:hAnsi="宋体" w:eastAsia="宋体" w:cs="宋体"/>
          <w:color w:val="000000"/>
          <w:kern w:val="2"/>
          <w:sz w:val="24"/>
          <w:szCs w:val="24"/>
          <w:highlight w:val="none"/>
          <w:lang w:bidi="ar"/>
        </w:rPr>
      </w:pPr>
      <w:r>
        <w:rPr>
          <w:rFonts w:hint="eastAsia" w:ascii="宋体" w:hAnsi="宋体" w:eastAsia="宋体" w:cs="宋体"/>
          <w:color w:val="000000"/>
          <w:kern w:val="2"/>
          <w:sz w:val="24"/>
          <w:szCs w:val="24"/>
          <w:highlight w:val="none"/>
          <w:lang w:bidi="ar"/>
        </w:rPr>
        <w:t>1.在招标（交易发起）文件规定的投标（交易响应）截止日起的投标（交易响应）有效期内撤销其投标（交易响应）的；</w:t>
      </w:r>
    </w:p>
    <w:p>
      <w:pPr>
        <w:tabs>
          <w:tab w:val="left" w:pos="0"/>
        </w:tabs>
        <w:spacing w:before="30" w:beforeLines="0" w:after="90" w:afterLines="0" w:line="240" w:lineRule="auto"/>
        <w:ind w:firstLine="420" w:firstLineChars="0"/>
        <w:jc w:val="left"/>
        <w:rPr>
          <w:rFonts w:hint="eastAsia" w:ascii="宋体" w:hAnsi="宋体" w:eastAsia="宋体" w:cs="宋体"/>
          <w:color w:val="000000"/>
          <w:kern w:val="2"/>
          <w:sz w:val="24"/>
          <w:szCs w:val="24"/>
          <w:highlight w:val="none"/>
          <w:lang w:bidi="ar"/>
        </w:rPr>
      </w:pPr>
      <w:r>
        <w:rPr>
          <w:rFonts w:hint="eastAsia" w:ascii="宋体" w:hAnsi="宋体" w:eastAsia="宋体" w:cs="宋体"/>
          <w:color w:val="000000"/>
          <w:kern w:val="2"/>
          <w:sz w:val="24"/>
          <w:szCs w:val="24"/>
          <w:highlight w:val="none"/>
          <w:lang w:bidi="ar"/>
        </w:rPr>
        <w:t>2.因供应商自身原因或其他客观情况造成合同履约超期，或经过采购人催告后仍故意或拒绝履行合同义务的；</w:t>
      </w:r>
    </w:p>
    <w:p>
      <w:pPr>
        <w:tabs>
          <w:tab w:val="left" w:pos="0"/>
        </w:tabs>
        <w:spacing w:before="30" w:beforeLines="0" w:after="90" w:afterLines="0" w:line="240" w:lineRule="auto"/>
        <w:ind w:firstLine="420" w:firstLineChars="0"/>
        <w:jc w:val="left"/>
        <w:rPr>
          <w:rFonts w:hint="eastAsia" w:ascii="宋体" w:hAnsi="宋体" w:eastAsia="宋体" w:cs="宋体"/>
          <w:color w:val="000000"/>
          <w:kern w:val="2"/>
          <w:sz w:val="24"/>
          <w:szCs w:val="24"/>
          <w:highlight w:val="none"/>
          <w:lang w:bidi="ar"/>
        </w:rPr>
      </w:pPr>
      <w:r>
        <w:rPr>
          <w:rFonts w:hint="eastAsia" w:ascii="宋体" w:hAnsi="宋体" w:eastAsia="宋体" w:cs="宋体"/>
          <w:color w:val="000000"/>
          <w:kern w:val="2"/>
          <w:sz w:val="24"/>
          <w:szCs w:val="24"/>
          <w:highlight w:val="none"/>
          <w:lang w:bidi="ar"/>
        </w:rPr>
        <w:t>3.因供应商其自身严重或持续的履约缺陷，导致合同被提前终止、索赔或其他类似制裁的；</w:t>
      </w:r>
    </w:p>
    <w:p>
      <w:pPr>
        <w:tabs>
          <w:tab w:val="left" w:pos="0"/>
        </w:tabs>
        <w:spacing w:before="30" w:beforeLines="0" w:after="90" w:afterLines="0" w:line="240" w:lineRule="auto"/>
        <w:ind w:firstLine="420" w:firstLineChars="0"/>
        <w:jc w:val="left"/>
        <w:rPr>
          <w:rFonts w:hint="eastAsia" w:ascii="宋体" w:hAnsi="宋体" w:eastAsia="宋体" w:cs="宋体"/>
          <w:color w:val="000000"/>
          <w:kern w:val="2"/>
          <w:sz w:val="24"/>
          <w:szCs w:val="24"/>
          <w:highlight w:val="none"/>
          <w:lang w:bidi="ar"/>
        </w:rPr>
      </w:pPr>
      <w:r>
        <w:rPr>
          <w:rFonts w:hint="eastAsia" w:ascii="宋体" w:hAnsi="宋体" w:eastAsia="宋体" w:cs="宋体"/>
          <w:color w:val="000000"/>
          <w:kern w:val="2"/>
          <w:sz w:val="24"/>
          <w:szCs w:val="24"/>
          <w:highlight w:val="none"/>
          <w:lang w:bidi="ar"/>
        </w:rPr>
        <w:t>4.存在拖欠工资的；</w:t>
      </w:r>
    </w:p>
    <w:p>
      <w:pPr>
        <w:tabs>
          <w:tab w:val="left" w:pos="0"/>
        </w:tabs>
        <w:spacing w:before="30" w:beforeLines="0" w:after="90" w:afterLines="0" w:line="240" w:lineRule="auto"/>
        <w:ind w:firstLine="420" w:firstLineChars="0"/>
        <w:jc w:val="left"/>
        <w:rPr>
          <w:rFonts w:hint="eastAsia" w:ascii="宋体" w:hAnsi="宋体" w:eastAsia="宋体" w:cs="宋体"/>
          <w:color w:val="000000"/>
          <w:kern w:val="2"/>
          <w:sz w:val="24"/>
          <w:szCs w:val="24"/>
          <w:highlight w:val="none"/>
          <w:lang w:bidi="ar"/>
        </w:rPr>
      </w:pPr>
      <w:r>
        <w:rPr>
          <w:rFonts w:hint="eastAsia" w:ascii="宋体" w:hAnsi="宋体" w:eastAsia="宋体" w:cs="宋体"/>
          <w:color w:val="000000"/>
          <w:kern w:val="2"/>
          <w:sz w:val="24"/>
          <w:szCs w:val="24"/>
          <w:highlight w:val="none"/>
          <w:lang w:bidi="ar"/>
        </w:rPr>
        <w:t>5.存在《京津冀政府采购负面行为清单》（冀财采〔2024〕18号）规定的供应商负面行为的：</w:t>
      </w:r>
    </w:p>
    <w:p>
      <w:pPr>
        <w:tabs>
          <w:tab w:val="left" w:pos="0"/>
        </w:tabs>
        <w:spacing w:before="30" w:beforeLines="0" w:after="90" w:afterLines="0" w:line="240" w:lineRule="auto"/>
        <w:ind w:firstLine="420" w:firstLineChars="0"/>
        <w:jc w:val="left"/>
        <w:rPr>
          <w:rFonts w:hint="eastAsia" w:ascii="宋体" w:hAnsi="宋体" w:eastAsia="宋体" w:cs="宋体"/>
          <w:color w:val="000000"/>
          <w:kern w:val="2"/>
          <w:sz w:val="24"/>
          <w:szCs w:val="24"/>
          <w:highlight w:val="none"/>
          <w:lang w:bidi="ar"/>
        </w:rPr>
      </w:pPr>
      <w:r>
        <w:rPr>
          <w:rFonts w:hint="eastAsia" w:ascii="宋体" w:hAnsi="宋体" w:eastAsia="宋体" w:cs="宋体"/>
          <w:color w:val="000000"/>
          <w:kern w:val="2"/>
          <w:sz w:val="24"/>
          <w:szCs w:val="24"/>
          <w:highlight w:val="none"/>
          <w:lang w:bidi="ar"/>
        </w:rPr>
        <w:t>（1）具有关联或存在利益冲突的供应商违规参加同一政府采购项目；</w:t>
      </w:r>
    </w:p>
    <w:p>
      <w:pPr>
        <w:tabs>
          <w:tab w:val="left" w:pos="0"/>
        </w:tabs>
        <w:spacing w:before="30" w:beforeLines="0" w:after="90" w:afterLines="0" w:line="240" w:lineRule="auto"/>
        <w:ind w:firstLine="420" w:firstLineChars="0"/>
        <w:jc w:val="left"/>
        <w:rPr>
          <w:rFonts w:hint="eastAsia" w:ascii="宋体" w:hAnsi="宋体" w:eastAsia="宋体" w:cs="宋体"/>
          <w:color w:val="000000"/>
          <w:kern w:val="2"/>
          <w:sz w:val="24"/>
          <w:szCs w:val="24"/>
          <w:highlight w:val="none"/>
          <w:lang w:bidi="ar"/>
        </w:rPr>
      </w:pPr>
      <w:r>
        <w:rPr>
          <w:rFonts w:hint="eastAsia" w:ascii="宋体" w:hAnsi="宋体" w:eastAsia="宋体" w:cs="宋体"/>
          <w:color w:val="000000"/>
          <w:kern w:val="2"/>
          <w:sz w:val="24"/>
          <w:szCs w:val="24"/>
          <w:highlight w:val="none"/>
          <w:lang w:bidi="ar"/>
        </w:rPr>
        <w:t>（2）供应商不公平竞争；</w:t>
      </w:r>
    </w:p>
    <w:p>
      <w:pPr>
        <w:tabs>
          <w:tab w:val="left" w:pos="0"/>
        </w:tabs>
        <w:spacing w:before="30" w:beforeLines="0" w:after="90" w:afterLines="0" w:line="240" w:lineRule="auto"/>
        <w:ind w:firstLine="420" w:firstLineChars="0"/>
        <w:jc w:val="left"/>
        <w:rPr>
          <w:rFonts w:hint="eastAsia" w:ascii="宋体" w:hAnsi="宋体" w:eastAsia="宋体" w:cs="宋体"/>
          <w:color w:val="000000"/>
          <w:kern w:val="2"/>
          <w:sz w:val="24"/>
          <w:szCs w:val="24"/>
          <w:highlight w:val="none"/>
          <w:lang w:bidi="ar"/>
        </w:rPr>
      </w:pPr>
      <w:r>
        <w:rPr>
          <w:rFonts w:hint="eastAsia" w:ascii="宋体" w:hAnsi="宋体" w:eastAsia="宋体" w:cs="宋体"/>
          <w:color w:val="000000"/>
          <w:kern w:val="2"/>
          <w:sz w:val="24"/>
          <w:szCs w:val="24"/>
          <w:highlight w:val="none"/>
          <w:lang w:bidi="ar"/>
        </w:rPr>
        <w:t>（3）供应商恶意串通；</w:t>
      </w:r>
    </w:p>
    <w:p>
      <w:pPr>
        <w:tabs>
          <w:tab w:val="left" w:pos="0"/>
        </w:tabs>
        <w:spacing w:before="30" w:beforeLines="0" w:after="90" w:afterLines="0" w:line="240" w:lineRule="auto"/>
        <w:ind w:firstLine="420" w:firstLineChars="0"/>
        <w:jc w:val="left"/>
        <w:rPr>
          <w:rFonts w:hint="eastAsia" w:ascii="宋体" w:hAnsi="宋体" w:eastAsia="宋体" w:cs="宋体"/>
          <w:color w:val="000000"/>
          <w:kern w:val="2"/>
          <w:sz w:val="24"/>
          <w:szCs w:val="24"/>
          <w:highlight w:val="none"/>
          <w:lang w:bidi="ar"/>
        </w:rPr>
      </w:pPr>
      <w:r>
        <w:rPr>
          <w:rFonts w:hint="eastAsia" w:ascii="宋体" w:hAnsi="宋体" w:eastAsia="宋体" w:cs="宋体"/>
          <w:color w:val="000000"/>
          <w:kern w:val="2"/>
          <w:sz w:val="24"/>
          <w:szCs w:val="24"/>
          <w:highlight w:val="none"/>
          <w:lang w:bidi="ar"/>
        </w:rPr>
        <w:t>（4）其他串通行为；</w:t>
      </w:r>
    </w:p>
    <w:p>
      <w:pPr>
        <w:tabs>
          <w:tab w:val="left" w:pos="0"/>
        </w:tabs>
        <w:spacing w:before="30" w:beforeLines="0" w:after="90" w:afterLines="0" w:line="240" w:lineRule="auto"/>
        <w:ind w:firstLine="420" w:firstLineChars="0"/>
        <w:jc w:val="left"/>
        <w:rPr>
          <w:rFonts w:hint="eastAsia" w:ascii="宋体" w:hAnsi="宋体" w:eastAsia="宋体" w:cs="宋体"/>
          <w:color w:val="000000"/>
          <w:kern w:val="2"/>
          <w:sz w:val="24"/>
          <w:szCs w:val="24"/>
          <w:highlight w:val="none"/>
          <w:lang w:bidi="ar"/>
        </w:rPr>
      </w:pPr>
      <w:r>
        <w:rPr>
          <w:rFonts w:hint="eastAsia" w:ascii="宋体" w:hAnsi="宋体" w:eastAsia="宋体" w:cs="宋体"/>
          <w:color w:val="000000"/>
          <w:kern w:val="2"/>
          <w:sz w:val="24"/>
          <w:szCs w:val="24"/>
          <w:highlight w:val="none"/>
          <w:lang w:bidi="ar"/>
        </w:rPr>
        <w:t>（5）未按规定签订合同；</w:t>
      </w:r>
    </w:p>
    <w:p>
      <w:pPr>
        <w:tabs>
          <w:tab w:val="left" w:pos="0"/>
        </w:tabs>
        <w:spacing w:before="30" w:beforeLines="0" w:after="90" w:afterLines="0" w:line="240" w:lineRule="auto"/>
        <w:ind w:firstLine="420" w:firstLineChars="0"/>
        <w:jc w:val="left"/>
        <w:rPr>
          <w:rFonts w:hint="eastAsia" w:ascii="宋体" w:hAnsi="宋体" w:eastAsia="宋体" w:cs="宋体"/>
          <w:color w:val="000000"/>
          <w:kern w:val="2"/>
          <w:sz w:val="24"/>
          <w:szCs w:val="24"/>
          <w:highlight w:val="none"/>
          <w:lang w:bidi="ar"/>
        </w:rPr>
      </w:pPr>
      <w:r>
        <w:rPr>
          <w:rFonts w:hint="eastAsia" w:ascii="宋体" w:hAnsi="宋体" w:eastAsia="宋体" w:cs="宋体"/>
          <w:color w:val="000000"/>
          <w:kern w:val="2"/>
          <w:sz w:val="24"/>
          <w:szCs w:val="24"/>
          <w:highlight w:val="none"/>
          <w:lang w:bidi="ar"/>
        </w:rPr>
        <w:t>（6）未按规定履行合同；</w:t>
      </w:r>
    </w:p>
    <w:p>
      <w:pPr>
        <w:tabs>
          <w:tab w:val="left" w:pos="0"/>
        </w:tabs>
        <w:spacing w:before="30" w:beforeLines="0" w:after="90" w:afterLines="0" w:line="240" w:lineRule="auto"/>
        <w:ind w:firstLine="420" w:firstLineChars="0"/>
        <w:jc w:val="left"/>
        <w:rPr>
          <w:rFonts w:hint="eastAsia" w:ascii="宋体" w:hAnsi="宋体" w:eastAsia="宋体" w:cs="宋体"/>
          <w:color w:val="000000"/>
          <w:sz w:val="24"/>
          <w:highlight w:val="none"/>
        </w:rPr>
      </w:pPr>
      <w:r>
        <w:rPr>
          <w:rFonts w:hint="eastAsia" w:ascii="宋体" w:hAnsi="宋体" w:eastAsia="宋体" w:cs="宋体"/>
          <w:color w:val="000000"/>
          <w:kern w:val="2"/>
          <w:sz w:val="24"/>
          <w:szCs w:val="24"/>
          <w:highlight w:val="none"/>
          <w:lang w:bidi="ar"/>
        </w:rPr>
        <w:t>（7）在监督检查和投诉处理中提供虚假材料。</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3"/>
          <w:jc w:val="center"/>
        </w:pPr>
        <w:r>
          <w:fldChar w:fldCharType="begin"/>
        </w:r>
        <w:r>
          <w:instrText xml:space="preserve">PAGE   \* MERGEFORMAT</w:instrText>
        </w:r>
        <w:r>
          <w:fldChar w:fldCharType="separate"/>
        </w:r>
        <w:r>
          <w:rPr>
            <w:lang w:val="zh-CN"/>
          </w:rPr>
          <w:t>1</w:t>
        </w:r>
        <w:r>
          <w:fldChar w:fldCharType="end"/>
        </w:r>
      </w:p>
    </w:sdtContent>
  </w:sdt>
  <w:p>
    <w:pPr>
      <w:pStyle w:val="3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2E6489"/>
    <w:multiLevelType w:val="singleLevel"/>
    <w:tmpl w:val="AE2E6489"/>
    <w:lvl w:ilvl="0" w:tentative="0">
      <w:start w:val="8"/>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720"/>
        </w:tabs>
        <w:ind w:left="720" w:hanging="360"/>
      </w:pPr>
      <w:rPr>
        <w:rFonts w:hint="default"/>
        <w:u w:val="none" w:color="auto"/>
      </w:rPr>
    </w:lvl>
    <w:lvl w:ilvl="1" w:tentative="0">
      <w:start w:val="1"/>
      <w:numFmt w:val="bullet"/>
      <w:lvlText w:val="·"/>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2">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B4E4F0A"/>
    <w:multiLevelType w:val="multilevel"/>
    <w:tmpl w:val="0B4E4F0A"/>
    <w:lvl w:ilvl="0" w:tentative="0">
      <w:start w:val="3"/>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4D061717"/>
    <w:multiLevelType w:val="multilevel"/>
    <w:tmpl w:val="4D061717"/>
    <w:lvl w:ilvl="0" w:tentative="0">
      <w:start w:val="1"/>
      <w:numFmt w:val="japaneseCounting"/>
      <w:lvlText w:val="%1、"/>
      <w:lvlJc w:val="left"/>
      <w:pPr>
        <w:ind w:left="990" w:hanging="51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62F72197"/>
    <w:multiLevelType w:val="singleLevel"/>
    <w:tmpl w:val="62F72197"/>
    <w:lvl w:ilvl="0" w:tentative="0">
      <w:start w:val="1"/>
      <w:numFmt w:val="decimal"/>
      <w:suff w:val="nothing"/>
      <w:lvlText w:val="（%1）"/>
      <w:lvlJc w:val="left"/>
      <w:pPr>
        <w:ind w:left="360" w:leftChars="0" w:firstLine="0" w:firstLineChars="0"/>
      </w:pPr>
    </w:lvl>
  </w:abstractNum>
  <w:abstractNum w:abstractNumId="12">
    <w:nsid w:val="6D1D7B1D"/>
    <w:multiLevelType w:val="singleLevel"/>
    <w:tmpl w:val="6D1D7B1D"/>
    <w:lvl w:ilvl="0" w:tentative="0">
      <w:start w:val="3"/>
      <w:numFmt w:val="decimal"/>
      <w:suff w:val="nothing"/>
      <w:lvlText w:val="%1、"/>
      <w:lvlJc w:val="left"/>
    </w:lvl>
  </w:abstractNum>
  <w:num w:numId="1">
    <w:abstractNumId w:val="5"/>
  </w:num>
  <w:num w:numId="2">
    <w:abstractNumId w:val="7"/>
  </w:num>
  <w:num w:numId="3">
    <w:abstractNumId w:val="2"/>
  </w:num>
  <w:num w:numId="4">
    <w:abstractNumId w:val="9"/>
  </w:num>
  <w:num w:numId="5">
    <w:abstractNumId w:val="4"/>
  </w:num>
  <w:num w:numId="6">
    <w:abstractNumId w:val="6"/>
  </w:num>
  <w:num w:numId="7">
    <w:abstractNumId w:val="3"/>
  </w:num>
  <w:num w:numId="8">
    <w:abstractNumId w:val="10"/>
  </w:num>
  <w:num w:numId="9">
    <w:abstractNumId w:val="8"/>
  </w:num>
  <w:num w:numId="10">
    <w:abstractNumId w:val="12"/>
  </w:num>
  <w:num w:numId="11">
    <w:abstractNumId w:val="0"/>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B2D4AE8"/>
    <w:rsid w:val="0BCC364D"/>
    <w:rsid w:val="0EC374CD"/>
    <w:rsid w:val="0FE61D4E"/>
    <w:rsid w:val="11A20CDB"/>
    <w:rsid w:val="151C29F3"/>
    <w:rsid w:val="1C98397C"/>
    <w:rsid w:val="1CEE5DFA"/>
    <w:rsid w:val="1D8906D7"/>
    <w:rsid w:val="1DA14407"/>
    <w:rsid w:val="1E706FDD"/>
    <w:rsid w:val="1F7F39CF"/>
    <w:rsid w:val="29D20428"/>
    <w:rsid w:val="2B904B96"/>
    <w:rsid w:val="2D0E5DCC"/>
    <w:rsid w:val="35251B30"/>
    <w:rsid w:val="37AC2D77"/>
    <w:rsid w:val="38677016"/>
    <w:rsid w:val="39184CEB"/>
    <w:rsid w:val="3B4C2D3E"/>
    <w:rsid w:val="3C3D62C4"/>
    <w:rsid w:val="44EC1D67"/>
    <w:rsid w:val="45964E2C"/>
    <w:rsid w:val="499646CD"/>
    <w:rsid w:val="4C7B1D33"/>
    <w:rsid w:val="4DED6F89"/>
    <w:rsid w:val="52510A99"/>
    <w:rsid w:val="555F5B42"/>
    <w:rsid w:val="5DC35C7F"/>
    <w:rsid w:val="62C958C2"/>
    <w:rsid w:val="67F965E5"/>
    <w:rsid w:val="6DC533E1"/>
    <w:rsid w:val="779F12EB"/>
    <w:rsid w:val="7946006C"/>
    <w:rsid w:val="799B6D3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6">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5">
    <w:name w:val="Default Paragraph Font"/>
    <w:semiHidden/>
    <w:unhideWhenUsed/>
    <w:qFormat/>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index 8"/>
    <w:basedOn w:val="1"/>
    <w:next w:val="1"/>
    <w:qFormat/>
    <w:uiPriority w:val="0"/>
    <w:pPr>
      <w:ind w:left="1400" w:leftChars="1400"/>
    </w:pPr>
  </w:style>
  <w:style w:type="paragraph" w:styleId="13">
    <w:name w:val="Normal Indent"/>
    <w:basedOn w:val="1"/>
    <w:next w:val="1"/>
    <w:link w:val="119"/>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4"/>
    <w:qFormat/>
    <w:uiPriority w:val="0"/>
    <w:pPr>
      <w:shd w:val="clear" w:color="auto" w:fill="000080"/>
    </w:pPr>
  </w:style>
  <w:style w:type="paragraph" w:styleId="16">
    <w:name w:val="annotation text"/>
    <w:basedOn w:val="1"/>
    <w:link w:val="116"/>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1"/>
    <w:qFormat/>
    <w:uiPriority w:val="0"/>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1"/>
    <w:link w:val="142"/>
    <w:qFormat/>
    <w:uiPriority w:val="0"/>
    <w:pPr>
      <w:tabs>
        <w:tab w:val="left" w:pos="567"/>
      </w:tabs>
      <w:spacing w:before="120" w:line="22" w:lineRule="atLeast"/>
    </w:pPr>
    <w:rPr>
      <w:rFonts w:ascii="宋体" w:hAnsi="宋体"/>
      <w:sz w:val="24"/>
    </w:rPr>
  </w:style>
  <w:style w:type="paragraph" w:styleId="22">
    <w:name w:val="Body Text Indent"/>
    <w:basedOn w:val="1"/>
    <w:next w:val="23"/>
    <w:link w:val="144"/>
    <w:qFormat/>
    <w:uiPriority w:val="0"/>
    <w:pPr>
      <w:spacing w:line="360" w:lineRule="auto"/>
      <w:ind w:firstLine="570"/>
    </w:pPr>
    <w:rPr>
      <w:sz w:val="24"/>
    </w:rPr>
  </w:style>
  <w:style w:type="paragraph" w:styleId="23">
    <w:name w:val="envelope return"/>
    <w:basedOn w:val="1"/>
    <w:unhideWhenUsed/>
    <w:qFormat/>
    <w:uiPriority w:val="99"/>
    <w:rPr>
      <w:rFonts w:ascii="Arial" w:hAnsi="Arial" w:cs="Arial"/>
      <w:kern w:val="1"/>
    </w:rPr>
  </w:style>
  <w:style w:type="paragraph" w:styleId="24">
    <w:name w:val="List 2"/>
    <w:basedOn w:val="1"/>
    <w:qFormat/>
    <w:uiPriority w:val="0"/>
    <w:pPr>
      <w:ind w:left="100" w:leftChars="200" w:hanging="200" w:hangingChars="200"/>
    </w:pPr>
  </w:style>
  <w:style w:type="paragraph" w:styleId="25">
    <w:name w:val="Block Text"/>
    <w:basedOn w:val="1"/>
    <w:qFormat/>
    <w:uiPriority w:val="0"/>
    <w:pPr>
      <w:widowControl/>
      <w:ind w:left="480" w:right="-341" w:firstLine="513"/>
    </w:pPr>
    <w:rPr>
      <w:kern w:val="0"/>
      <w:sz w:val="24"/>
      <w:szCs w:val="20"/>
    </w:rPr>
  </w:style>
  <w:style w:type="paragraph" w:styleId="26">
    <w:name w:val="toc 5"/>
    <w:basedOn w:val="1"/>
    <w:next w:val="1"/>
    <w:qFormat/>
    <w:uiPriority w:val="0"/>
    <w:pPr>
      <w:ind w:left="1680" w:leftChars="800"/>
    </w:pPr>
  </w:style>
  <w:style w:type="paragraph" w:styleId="27">
    <w:name w:val="toc 3"/>
    <w:basedOn w:val="1"/>
    <w:next w:val="1"/>
    <w:qFormat/>
    <w:uiPriority w:val="39"/>
    <w:pPr>
      <w:ind w:left="840" w:leftChars="400"/>
    </w:pPr>
  </w:style>
  <w:style w:type="paragraph" w:styleId="28">
    <w:name w:val="Plain Text"/>
    <w:basedOn w:val="1"/>
    <w:link w:val="111"/>
    <w:qFormat/>
    <w:uiPriority w:val="0"/>
    <w:rPr>
      <w:rFonts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88"/>
    <w:qFormat/>
    <w:uiPriority w:val="0"/>
    <w:pPr>
      <w:ind w:left="100" w:leftChars="2500"/>
    </w:pPr>
    <w:rPr>
      <w:rFonts w:ascii="仿宋_GB2312" w:hAnsi="宋体" w:eastAsia="仿宋_GB2312"/>
      <w:color w:val="000000"/>
      <w:sz w:val="24"/>
    </w:rPr>
  </w:style>
  <w:style w:type="paragraph" w:styleId="31">
    <w:name w:val="Body Text Indent 2"/>
    <w:basedOn w:val="1"/>
    <w:link w:val="89"/>
    <w:qFormat/>
    <w:uiPriority w:val="0"/>
    <w:pPr>
      <w:ind w:firstLine="480" w:firstLineChars="200"/>
    </w:pPr>
    <w:rPr>
      <w:rFonts w:ascii="仿宋_GB2312" w:eastAsia="仿宋_GB2312"/>
      <w:sz w:val="24"/>
    </w:rPr>
  </w:style>
  <w:style w:type="paragraph" w:styleId="32">
    <w:name w:val="Balloon Text"/>
    <w:basedOn w:val="1"/>
    <w:link w:val="90"/>
    <w:qFormat/>
    <w:uiPriority w:val="0"/>
    <w:rPr>
      <w:sz w:val="18"/>
      <w:szCs w:val="18"/>
    </w:rPr>
  </w:style>
  <w:style w:type="paragraph" w:styleId="33">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6">
    <w:name w:val="toc 4"/>
    <w:basedOn w:val="1"/>
    <w:next w:val="1"/>
    <w:qFormat/>
    <w:uiPriority w:val="0"/>
    <w:pPr>
      <w:ind w:left="1260" w:leftChars="600"/>
    </w:pPr>
  </w:style>
  <w:style w:type="paragraph" w:styleId="37">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8">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39">
    <w:name w:val="footnote text"/>
    <w:basedOn w:val="1"/>
    <w:unhideWhenUsed/>
    <w:qFormat/>
    <w:uiPriority w:val="99"/>
    <w:pPr>
      <w:snapToGrid w:val="0"/>
      <w:jc w:val="left"/>
    </w:pPr>
    <w:rPr>
      <w:sz w:val="18"/>
    </w:rPr>
  </w:style>
  <w:style w:type="paragraph" w:styleId="40">
    <w:name w:val="toc 6"/>
    <w:basedOn w:val="1"/>
    <w:next w:val="1"/>
    <w:qFormat/>
    <w:uiPriority w:val="0"/>
    <w:pPr>
      <w:ind w:left="2100" w:leftChars="1000"/>
    </w:pPr>
  </w:style>
  <w:style w:type="paragraph" w:styleId="41">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2">
    <w:name w:val="toc 2"/>
    <w:basedOn w:val="1"/>
    <w:next w:val="1"/>
    <w:qFormat/>
    <w:uiPriority w:val="39"/>
    <w:pPr>
      <w:tabs>
        <w:tab w:val="right" w:leader="dot" w:pos="8937"/>
      </w:tabs>
      <w:spacing w:line="312" w:lineRule="auto"/>
      <w:ind w:left="420" w:leftChars="200"/>
    </w:pPr>
  </w:style>
  <w:style w:type="paragraph" w:styleId="43">
    <w:name w:val="toc 9"/>
    <w:basedOn w:val="1"/>
    <w:next w:val="1"/>
    <w:qFormat/>
    <w:uiPriority w:val="0"/>
    <w:pPr>
      <w:ind w:left="3360" w:leftChars="1600"/>
    </w:pPr>
  </w:style>
  <w:style w:type="paragraph" w:styleId="44">
    <w:name w:val="Body Text 2"/>
    <w:basedOn w:val="1"/>
    <w:link w:val="328"/>
    <w:unhideWhenUsed/>
    <w:qFormat/>
    <w:uiPriority w:val="0"/>
    <w:pPr>
      <w:spacing w:line="300" w:lineRule="auto"/>
    </w:pPr>
    <w:rPr>
      <w:rFonts w:ascii="幼圆" w:hAnsi="Calibri" w:eastAsia="幼圆"/>
      <w:sz w:val="24"/>
    </w:rPr>
  </w:style>
  <w:style w:type="paragraph" w:styleId="45">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7">
    <w:name w:val="index 1"/>
    <w:basedOn w:val="1"/>
    <w:next w:val="1"/>
    <w:qFormat/>
    <w:uiPriority w:val="0"/>
    <w:rPr>
      <w:szCs w:val="20"/>
    </w:rPr>
  </w:style>
  <w:style w:type="paragraph" w:styleId="48">
    <w:name w:val="Title"/>
    <w:basedOn w:val="1"/>
    <w:link w:val="95"/>
    <w:qFormat/>
    <w:uiPriority w:val="0"/>
    <w:pPr>
      <w:jc w:val="center"/>
      <w:outlineLvl w:val="0"/>
    </w:pPr>
    <w:rPr>
      <w:b/>
      <w:sz w:val="32"/>
      <w:szCs w:val="20"/>
    </w:rPr>
  </w:style>
  <w:style w:type="paragraph" w:styleId="49">
    <w:name w:val="annotation subject"/>
    <w:basedOn w:val="16"/>
    <w:next w:val="16"/>
    <w:link w:val="96"/>
    <w:qFormat/>
    <w:uiPriority w:val="0"/>
    <w:rPr>
      <w:b/>
      <w:bCs/>
    </w:rPr>
  </w:style>
  <w:style w:type="paragraph" w:styleId="50">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1">
    <w:name w:val="Body Text First Indent 2"/>
    <w:basedOn w:val="22"/>
    <w:next w:val="1"/>
    <w:link w:val="131"/>
    <w:qFormat/>
    <w:uiPriority w:val="0"/>
    <w:pPr>
      <w:spacing w:after="120" w:line="480" w:lineRule="exact"/>
      <w:ind w:left="420" w:leftChars="200" w:firstLine="420" w:firstLineChars="200"/>
    </w:pPr>
    <w:rPr>
      <w:szCs w:val="20"/>
    </w:rPr>
  </w:style>
  <w:style w:type="table" w:styleId="53">
    <w:name w:val="Table Grid"/>
    <w:basedOn w:val="5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4">
    <w:name w:val="Medium Grid 1 Accent 2"/>
    <w:basedOn w:val="5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6">
    <w:name w:val="Strong"/>
    <w:basedOn w:val="55"/>
    <w:qFormat/>
    <w:uiPriority w:val="0"/>
    <w:rPr>
      <w:b/>
      <w:bCs/>
    </w:rPr>
  </w:style>
  <w:style w:type="character" w:styleId="57">
    <w:name w:val="page number"/>
    <w:qFormat/>
    <w:uiPriority w:val="0"/>
  </w:style>
  <w:style w:type="character" w:styleId="58">
    <w:name w:val="FollowedHyperlink"/>
    <w:qFormat/>
    <w:uiPriority w:val="0"/>
    <w:rPr>
      <w:color w:val="800080"/>
      <w:u w:val="single"/>
    </w:rPr>
  </w:style>
  <w:style w:type="character" w:styleId="59">
    <w:name w:val="Emphasis"/>
    <w:qFormat/>
    <w:uiPriority w:val="0"/>
    <w:rPr>
      <w:color w:val="CC0033"/>
    </w:rPr>
  </w:style>
  <w:style w:type="character" w:styleId="60">
    <w:name w:val="Hyperlink"/>
    <w:qFormat/>
    <w:uiPriority w:val="99"/>
    <w:rPr>
      <w:color w:val="0000FF"/>
      <w:u w:val="single"/>
    </w:rPr>
  </w:style>
  <w:style w:type="character" w:styleId="61">
    <w:name w:val="annotation reference"/>
    <w:qFormat/>
    <w:uiPriority w:val="0"/>
    <w:rPr>
      <w:sz w:val="21"/>
      <w:szCs w:val="21"/>
    </w:rPr>
  </w:style>
  <w:style w:type="character" w:styleId="62">
    <w:name w:val="HTML Cite"/>
    <w:qFormat/>
    <w:uiPriority w:val="0"/>
    <w:rPr>
      <w:i/>
      <w:iCs/>
    </w:rPr>
  </w:style>
  <w:style w:type="character" w:styleId="63">
    <w:name w:val="footnote reference"/>
    <w:basedOn w:val="55"/>
    <w:unhideWhenUsed/>
    <w:qFormat/>
    <w:uiPriority w:val="99"/>
    <w:rPr>
      <w:vertAlign w:val="superscript"/>
    </w:rPr>
  </w:style>
  <w:style w:type="paragraph" w:customStyle="1" w:styleId="64">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5"/>
    <w:qFormat/>
    <w:uiPriority w:val="0"/>
    <w:rPr>
      <w:rFonts w:hint="default" w:ascii="Arial" w:hAnsi="Arial" w:cs="Arial"/>
      <w:b/>
      <w:color w:val="000000"/>
      <w:sz w:val="40"/>
      <w:szCs w:val="40"/>
      <w:u w:val="none"/>
    </w:rPr>
  </w:style>
  <w:style w:type="character" w:customStyle="1" w:styleId="69">
    <w:name w:val="font61"/>
    <w:basedOn w:val="55"/>
    <w:qFormat/>
    <w:uiPriority w:val="0"/>
    <w:rPr>
      <w:rFonts w:hint="eastAsia" w:ascii="宋体" w:hAnsi="宋体" w:eastAsia="宋体" w:cs="宋体"/>
      <w:b/>
      <w:color w:val="000000"/>
      <w:sz w:val="40"/>
      <w:szCs w:val="40"/>
      <w:u w:val="none"/>
    </w:rPr>
  </w:style>
  <w:style w:type="character" w:customStyle="1" w:styleId="70">
    <w:name w:val="font91"/>
    <w:basedOn w:val="55"/>
    <w:qFormat/>
    <w:uiPriority w:val="0"/>
    <w:rPr>
      <w:rFonts w:hint="eastAsia" w:ascii="宋体" w:hAnsi="宋体" w:eastAsia="宋体" w:cs="宋体"/>
      <w:color w:val="000000"/>
      <w:sz w:val="20"/>
      <w:szCs w:val="20"/>
      <w:u w:val="none"/>
      <w:vertAlign w:val="superscript"/>
    </w:rPr>
  </w:style>
  <w:style w:type="character" w:customStyle="1" w:styleId="71">
    <w:name w:val="font121"/>
    <w:basedOn w:val="55"/>
    <w:qFormat/>
    <w:uiPriority w:val="0"/>
    <w:rPr>
      <w:rFonts w:hint="eastAsia" w:ascii="宋体" w:hAnsi="宋体" w:eastAsia="宋体" w:cs="宋体"/>
      <w:color w:val="FF0000"/>
      <w:sz w:val="20"/>
      <w:szCs w:val="20"/>
      <w:u w:val="none"/>
    </w:rPr>
  </w:style>
  <w:style w:type="character" w:customStyle="1" w:styleId="72">
    <w:name w:val="font31"/>
    <w:basedOn w:val="55"/>
    <w:qFormat/>
    <w:uiPriority w:val="0"/>
    <w:rPr>
      <w:rFonts w:hint="eastAsia" w:ascii="宋体" w:hAnsi="宋体" w:eastAsia="宋体" w:cs="宋体"/>
      <w:b/>
      <w:color w:val="000000"/>
      <w:sz w:val="20"/>
      <w:szCs w:val="20"/>
      <w:u w:val="none"/>
    </w:rPr>
  </w:style>
  <w:style w:type="character" w:customStyle="1" w:styleId="73">
    <w:name w:val="font111"/>
    <w:basedOn w:val="55"/>
    <w:qFormat/>
    <w:uiPriority w:val="0"/>
    <w:rPr>
      <w:rFonts w:hint="eastAsia" w:ascii="宋体" w:hAnsi="宋体" w:eastAsia="宋体" w:cs="宋体"/>
      <w:color w:val="000000"/>
      <w:sz w:val="20"/>
      <w:szCs w:val="20"/>
      <w:u w:val="none"/>
      <w:vertAlign w:val="superscript"/>
    </w:rPr>
  </w:style>
  <w:style w:type="character" w:customStyle="1" w:styleId="74">
    <w:name w:val="font01"/>
    <w:basedOn w:val="55"/>
    <w:qFormat/>
    <w:uiPriority w:val="0"/>
    <w:rPr>
      <w:rFonts w:hint="eastAsia" w:ascii="宋体" w:hAnsi="宋体" w:eastAsia="宋体" w:cs="宋体"/>
      <w:color w:val="000000"/>
      <w:sz w:val="24"/>
      <w:szCs w:val="24"/>
      <w:u w:val="none"/>
    </w:rPr>
  </w:style>
  <w:style w:type="character" w:customStyle="1" w:styleId="75">
    <w:name w:val="font101"/>
    <w:basedOn w:val="55"/>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5"/>
    <w:link w:val="3"/>
    <w:qFormat/>
    <w:uiPriority w:val="0"/>
    <w:rPr>
      <w:rFonts w:ascii="宋体" w:hAnsi="Times New Roman"/>
      <w:b/>
      <w:kern w:val="44"/>
      <w:sz w:val="32"/>
    </w:rPr>
  </w:style>
  <w:style w:type="character" w:customStyle="1" w:styleId="78">
    <w:name w:val="标题 4 字符"/>
    <w:basedOn w:val="55"/>
    <w:link w:val="5"/>
    <w:qFormat/>
    <w:uiPriority w:val="0"/>
    <w:rPr>
      <w:rFonts w:ascii="Times New Roman" w:hAnsi="Times New Roman"/>
      <w:sz w:val="24"/>
    </w:rPr>
  </w:style>
  <w:style w:type="character" w:customStyle="1" w:styleId="79">
    <w:name w:val="标题 5 字符"/>
    <w:basedOn w:val="55"/>
    <w:link w:val="6"/>
    <w:qFormat/>
    <w:uiPriority w:val="9"/>
    <w:rPr>
      <w:rFonts w:ascii="Times New Roman" w:hAnsi="Times New Roman"/>
      <w:b/>
      <w:sz w:val="28"/>
    </w:rPr>
  </w:style>
  <w:style w:type="character" w:customStyle="1" w:styleId="80">
    <w:name w:val="标题 6 字符"/>
    <w:basedOn w:val="55"/>
    <w:link w:val="7"/>
    <w:qFormat/>
    <w:uiPriority w:val="9"/>
    <w:rPr>
      <w:rFonts w:ascii="Arial" w:hAnsi="Arial" w:eastAsia="黑体"/>
      <w:b/>
      <w:sz w:val="24"/>
    </w:rPr>
  </w:style>
  <w:style w:type="character" w:customStyle="1" w:styleId="81">
    <w:name w:val="标题 7 字符"/>
    <w:basedOn w:val="55"/>
    <w:link w:val="8"/>
    <w:qFormat/>
    <w:uiPriority w:val="9"/>
    <w:rPr>
      <w:rFonts w:ascii="Times New Roman" w:hAnsi="Times New Roman"/>
      <w:b/>
      <w:sz w:val="24"/>
    </w:rPr>
  </w:style>
  <w:style w:type="character" w:customStyle="1" w:styleId="82">
    <w:name w:val="标题 8 字符"/>
    <w:basedOn w:val="55"/>
    <w:link w:val="9"/>
    <w:qFormat/>
    <w:uiPriority w:val="0"/>
    <w:rPr>
      <w:rFonts w:ascii="Arial" w:hAnsi="Arial" w:eastAsia="黑体"/>
      <w:sz w:val="24"/>
    </w:rPr>
  </w:style>
  <w:style w:type="character" w:customStyle="1" w:styleId="83">
    <w:name w:val="标题 9 字符"/>
    <w:basedOn w:val="55"/>
    <w:link w:val="10"/>
    <w:qFormat/>
    <w:uiPriority w:val="0"/>
    <w:rPr>
      <w:rFonts w:ascii="Arial" w:hAnsi="Arial" w:eastAsia="黑体"/>
      <w:sz w:val="21"/>
    </w:rPr>
  </w:style>
  <w:style w:type="character" w:customStyle="1" w:styleId="84">
    <w:name w:val="文档结构图 字符"/>
    <w:basedOn w:val="55"/>
    <w:link w:val="15"/>
    <w:qFormat/>
    <w:uiPriority w:val="99"/>
    <w:rPr>
      <w:rFonts w:ascii="Times New Roman" w:hAnsi="Times New Roman"/>
      <w:kern w:val="2"/>
      <w:sz w:val="21"/>
      <w:szCs w:val="24"/>
      <w:shd w:val="clear" w:color="auto" w:fill="000080"/>
    </w:rPr>
  </w:style>
  <w:style w:type="character" w:customStyle="1" w:styleId="85">
    <w:name w:val="批注文字 字符"/>
    <w:basedOn w:val="55"/>
    <w:qFormat/>
    <w:uiPriority w:val="0"/>
    <w:rPr>
      <w:rFonts w:ascii="Times New Roman" w:hAnsi="Times New Roman"/>
      <w:kern w:val="2"/>
      <w:sz w:val="21"/>
      <w:szCs w:val="24"/>
    </w:rPr>
  </w:style>
  <w:style w:type="character" w:customStyle="1" w:styleId="86">
    <w:name w:val="正文文本 3 字符"/>
    <w:basedOn w:val="55"/>
    <w:link w:val="19"/>
    <w:qFormat/>
    <w:uiPriority w:val="0"/>
    <w:rPr>
      <w:rFonts w:ascii="Times New Roman" w:hAnsi="Times New Roman"/>
      <w:kern w:val="2"/>
      <w:sz w:val="16"/>
      <w:szCs w:val="16"/>
    </w:rPr>
  </w:style>
  <w:style w:type="character" w:customStyle="1" w:styleId="87">
    <w:name w:val="纯文本 字符"/>
    <w:basedOn w:val="55"/>
    <w:qFormat/>
    <w:uiPriority w:val="99"/>
    <w:rPr>
      <w:rFonts w:hAnsi="Courier New" w:cs="Courier New" w:asciiTheme="minorEastAsia" w:eastAsiaTheme="minorEastAsia"/>
      <w:kern w:val="2"/>
      <w:sz w:val="21"/>
      <w:szCs w:val="24"/>
    </w:rPr>
  </w:style>
  <w:style w:type="character" w:customStyle="1" w:styleId="88">
    <w:name w:val="日期 字符"/>
    <w:basedOn w:val="55"/>
    <w:link w:val="30"/>
    <w:qFormat/>
    <w:uiPriority w:val="99"/>
    <w:rPr>
      <w:rFonts w:ascii="仿宋_GB2312" w:hAnsi="宋体" w:eastAsia="仿宋_GB2312"/>
      <w:color w:val="000000"/>
      <w:kern w:val="2"/>
      <w:sz w:val="24"/>
      <w:szCs w:val="24"/>
    </w:rPr>
  </w:style>
  <w:style w:type="character" w:customStyle="1" w:styleId="89">
    <w:name w:val="正文文本缩进 2 字符"/>
    <w:basedOn w:val="55"/>
    <w:link w:val="31"/>
    <w:qFormat/>
    <w:uiPriority w:val="99"/>
    <w:rPr>
      <w:rFonts w:ascii="仿宋_GB2312" w:hAnsi="Times New Roman" w:eastAsia="仿宋_GB2312"/>
      <w:kern w:val="2"/>
      <w:sz w:val="24"/>
      <w:szCs w:val="24"/>
    </w:rPr>
  </w:style>
  <w:style w:type="character" w:customStyle="1" w:styleId="90">
    <w:name w:val="批注框文本 字符"/>
    <w:basedOn w:val="55"/>
    <w:link w:val="32"/>
    <w:qFormat/>
    <w:uiPriority w:val="99"/>
    <w:rPr>
      <w:rFonts w:ascii="Times New Roman" w:hAnsi="Times New Roman"/>
      <w:kern w:val="2"/>
      <w:sz w:val="18"/>
      <w:szCs w:val="18"/>
    </w:rPr>
  </w:style>
  <w:style w:type="character" w:customStyle="1" w:styleId="91">
    <w:name w:val="页脚 字符"/>
    <w:basedOn w:val="55"/>
    <w:link w:val="33"/>
    <w:qFormat/>
    <w:uiPriority w:val="99"/>
    <w:rPr>
      <w:rFonts w:ascii="宋体" w:hAnsi="Times New Roman"/>
      <w:sz w:val="18"/>
    </w:rPr>
  </w:style>
  <w:style w:type="character" w:customStyle="1" w:styleId="92">
    <w:name w:val="页眉 字符"/>
    <w:basedOn w:val="55"/>
    <w:link w:val="34"/>
    <w:qFormat/>
    <w:uiPriority w:val="99"/>
    <w:rPr>
      <w:rFonts w:ascii="Times New Roman" w:hAnsi="Times New Roman"/>
      <w:kern w:val="2"/>
      <w:sz w:val="18"/>
      <w:szCs w:val="18"/>
    </w:rPr>
  </w:style>
  <w:style w:type="character" w:customStyle="1" w:styleId="93">
    <w:name w:val="正文文本缩进 3 字符"/>
    <w:basedOn w:val="55"/>
    <w:link w:val="41"/>
    <w:qFormat/>
    <w:uiPriority w:val="99"/>
    <w:rPr>
      <w:rFonts w:ascii="宋体" w:hAnsi="Times New Roman"/>
      <w:sz w:val="24"/>
    </w:rPr>
  </w:style>
  <w:style w:type="character" w:customStyle="1" w:styleId="94">
    <w:name w:val="HTML 预设格式 字符"/>
    <w:basedOn w:val="55"/>
    <w:link w:val="45"/>
    <w:qFormat/>
    <w:uiPriority w:val="0"/>
    <w:rPr>
      <w:rFonts w:ascii="宋体" w:hAnsi="宋体" w:cs="宋体"/>
      <w:sz w:val="24"/>
      <w:szCs w:val="24"/>
    </w:rPr>
  </w:style>
  <w:style w:type="character" w:customStyle="1" w:styleId="95">
    <w:name w:val="标题 字符"/>
    <w:basedOn w:val="55"/>
    <w:link w:val="48"/>
    <w:qFormat/>
    <w:uiPriority w:val="0"/>
    <w:rPr>
      <w:rFonts w:ascii="Times New Roman" w:hAnsi="Times New Roman"/>
      <w:b/>
      <w:kern w:val="2"/>
      <w:sz w:val="32"/>
    </w:rPr>
  </w:style>
  <w:style w:type="character" w:customStyle="1" w:styleId="96">
    <w:name w:val="批注主题 字符"/>
    <w:basedOn w:val="85"/>
    <w:link w:val="49"/>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4"/>
    <w:qFormat/>
    <w:uiPriority w:val="0"/>
    <w:rPr>
      <w:rFonts w:ascii="宋体" w:hAnsi="Times New Roman"/>
      <w:b/>
      <w:sz w:val="24"/>
      <w:u w:val="single"/>
    </w:rPr>
  </w:style>
  <w:style w:type="character" w:customStyle="1" w:styleId="105">
    <w:name w:val="标题 2 字符"/>
    <w:link w:val="2"/>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8"/>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6"/>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13"/>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13"/>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13"/>
    <w:link w:val="129"/>
    <w:qFormat/>
    <w:uiPriority w:val="0"/>
    <w:pPr>
      <w:jc w:val="center"/>
    </w:pPr>
    <w:rPr>
      <w:i w:val="0"/>
      <w:color w:val="000000"/>
      <w:sz w:val="28"/>
      <w:szCs w:val="21"/>
    </w:rPr>
  </w:style>
  <w:style w:type="character" w:customStyle="1" w:styleId="131">
    <w:name w:val="正文首行缩进 2 字符"/>
    <w:link w:val="51"/>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2"/>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7"/>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5"/>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2"/>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0"/>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5"/>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5"/>
    <w:link w:val="18"/>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2"/>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7"/>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4"/>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5"/>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4"/>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5"/>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5"/>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2"/>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5"/>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6"/>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7"/>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8"/>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4"/>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5"/>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2"/>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4"/>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4"/>
    <w:next w:val="4"/>
    <w:qFormat/>
    <w:uiPriority w:val="0"/>
    <w:rPr>
      <w:bCs/>
      <w:u w:val="none"/>
    </w:rPr>
  </w:style>
  <w:style w:type="paragraph" w:customStyle="1" w:styleId="483">
    <w:name w:val="样式 标题 3 + (中文) 黑体 小四 非加粗 段前: 7.8 磅 段后: 0 磅 行距: 固定值 20 磅"/>
    <w:basedOn w:val="4"/>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5"/>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1</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2026-04-01T02:57:45Z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