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b/>
          <w:sz w:val="36"/>
          <w:szCs w:val="36"/>
          <w:highlight w:val="none"/>
        </w:rPr>
      </w:pPr>
      <w:bookmarkStart w:id="0" w:name="_Toc333375076"/>
      <w:bookmarkStart w:id="1" w:name="_Toc99301424"/>
      <w:r>
        <w:rPr>
          <w:rFonts w:hint="eastAsia"/>
          <w:b/>
          <w:sz w:val="36"/>
          <w:szCs w:val="36"/>
          <w:highlight w:val="none"/>
        </w:rPr>
        <w:t>北京市重点站区综合事务中心2026年服务器采购</w:t>
      </w:r>
    </w:p>
    <w:p>
      <w:pPr>
        <w:spacing w:line="360" w:lineRule="auto"/>
        <w:jc w:val="center"/>
        <w:outlineLvl w:val="0"/>
        <w:rPr>
          <w:b/>
          <w:color w:val="auto"/>
          <w:sz w:val="36"/>
          <w:szCs w:val="36"/>
          <w:highlight w:val="none"/>
        </w:rPr>
      </w:pPr>
      <w:r>
        <w:rPr>
          <w:rFonts w:hint="eastAsia"/>
          <w:b/>
          <w:sz w:val="36"/>
          <w:szCs w:val="36"/>
          <w:highlight w:val="none"/>
        </w:rPr>
        <w:t>项目</w:t>
      </w:r>
      <w:bookmarkEnd w:id="0"/>
      <w:bookmarkEnd w:id="1"/>
      <w:r>
        <w:rPr>
          <w:b/>
          <w:color w:val="auto"/>
          <w:sz w:val="36"/>
          <w:szCs w:val="36"/>
          <w:highlight w:val="none"/>
        </w:rPr>
        <w:t>采购需求</w:t>
      </w:r>
    </w:p>
    <w:p>
      <w:pPr>
        <w:numPr>
          <w:ilvl w:val="0"/>
          <w:numId w:val="1"/>
        </w:numPr>
        <w:spacing w:line="360" w:lineRule="auto"/>
        <w:ind w:firstLine="422" w:firstLineChars="150"/>
        <w:rPr>
          <w:rFonts w:ascii="宋体" w:hAnsi="宋体" w:cs="宋体"/>
          <w:b/>
          <w:color w:val="auto"/>
          <w:sz w:val="28"/>
          <w:szCs w:val="28"/>
          <w:highlight w:val="none"/>
        </w:rPr>
      </w:pPr>
      <w:r>
        <w:rPr>
          <w:rFonts w:hint="eastAsia" w:ascii="宋体" w:hAnsi="宋体" w:cs="宋体"/>
          <w:b/>
          <w:color w:val="auto"/>
          <w:sz w:val="28"/>
          <w:szCs w:val="28"/>
          <w:highlight w:val="none"/>
        </w:rPr>
        <w:t>采购标的</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项目采购服务器共计51台，为重点站区视频监控系统提供安全、视频管理、感知算法等技术支撑。根据“财政部工业和信息化部关于印发《通用服务器政府采购需求标准（2023年版）》的通知”财库〔2023〕33号，服务器设备应符合以下安全要求：CPU和操作系统等关键部件应当符合安全可靠测评要求。中国信息安全测评中心和国家保密科技测评中心网站查看安全可靠测评结果。本项目不接受进口产品。</w:t>
      </w:r>
      <w:bookmarkStart w:id="2" w:name="_GoBack"/>
      <w:bookmarkEnd w:id="2"/>
    </w:p>
    <w:tbl>
      <w:tblPr>
        <w:tblStyle w:val="5"/>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28"/>
        <w:gridCol w:w="2672"/>
        <w:gridCol w:w="1643"/>
        <w:gridCol w:w="1644"/>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44" w:hRule="atLeast"/>
          <w:jc w:val="center"/>
        </w:trPr>
        <w:tc>
          <w:tcPr>
            <w:tcW w:w="928" w:type="dxa"/>
            <w:shd w:val="clear" w:color="auto" w:fill="FFFFFF" w:themeFill="background1"/>
            <w:vAlign w:val="center"/>
          </w:tcPr>
          <w:p>
            <w:pPr>
              <w:pStyle w:val="7"/>
              <w:ind w:firstLine="0" w:firstLineChars="0"/>
              <w:jc w:val="both"/>
              <w:rPr>
                <w:rFonts w:cs="宋体"/>
                <w:b/>
                <w:bCs/>
                <w:color w:val="auto"/>
                <w:sz w:val="22"/>
                <w:highlight w:val="none"/>
              </w:rPr>
            </w:pPr>
            <w:r>
              <w:rPr>
                <w:rFonts w:hint="eastAsia" w:cs="宋体"/>
                <w:b/>
                <w:bCs/>
                <w:color w:val="auto"/>
                <w:kern w:val="0"/>
                <w:sz w:val="22"/>
                <w:highlight w:val="none"/>
                <w:lang w:bidi="ar"/>
              </w:rPr>
              <w:t>序号</w:t>
            </w:r>
          </w:p>
        </w:tc>
        <w:tc>
          <w:tcPr>
            <w:tcW w:w="2672" w:type="dxa"/>
            <w:shd w:val="clear" w:color="auto" w:fill="FFFFFF" w:themeFill="background1"/>
            <w:vAlign w:val="center"/>
          </w:tcPr>
          <w:p>
            <w:pPr>
              <w:pStyle w:val="7"/>
              <w:ind w:firstLine="497"/>
              <w:jc w:val="both"/>
              <w:rPr>
                <w:rFonts w:cs="宋体"/>
                <w:b/>
                <w:bCs/>
                <w:color w:val="auto"/>
                <w:sz w:val="22"/>
                <w:highlight w:val="none"/>
              </w:rPr>
            </w:pPr>
            <w:r>
              <w:rPr>
                <w:rFonts w:hint="eastAsia" w:cs="宋体"/>
                <w:b/>
                <w:bCs/>
                <w:color w:val="auto"/>
                <w:kern w:val="0"/>
                <w:sz w:val="22"/>
                <w:highlight w:val="none"/>
                <w:lang w:bidi="ar"/>
              </w:rPr>
              <w:t>设备名称</w:t>
            </w:r>
          </w:p>
        </w:tc>
        <w:tc>
          <w:tcPr>
            <w:tcW w:w="1643" w:type="dxa"/>
            <w:shd w:val="clear" w:color="auto" w:fill="FFFFFF" w:themeFill="background1"/>
            <w:vAlign w:val="center"/>
          </w:tcPr>
          <w:p>
            <w:pPr>
              <w:pStyle w:val="7"/>
              <w:ind w:firstLine="497"/>
              <w:jc w:val="both"/>
              <w:rPr>
                <w:rFonts w:cs="宋体"/>
                <w:b/>
                <w:bCs/>
                <w:color w:val="auto"/>
                <w:sz w:val="22"/>
                <w:highlight w:val="none"/>
              </w:rPr>
            </w:pPr>
            <w:r>
              <w:rPr>
                <w:rFonts w:hint="eastAsia" w:cs="宋体"/>
                <w:b/>
                <w:bCs/>
                <w:color w:val="auto"/>
                <w:kern w:val="0"/>
                <w:sz w:val="22"/>
                <w:highlight w:val="none"/>
                <w:lang w:bidi="ar"/>
              </w:rPr>
              <w:t>单位</w:t>
            </w:r>
          </w:p>
        </w:tc>
        <w:tc>
          <w:tcPr>
            <w:tcW w:w="1644" w:type="dxa"/>
            <w:shd w:val="clear" w:color="auto" w:fill="FFFFFF" w:themeFill="background1"/>
            <w:vAlign w:val="center"/>
          </w:tcPr>
          <w:p>
            <w:pPr>
              <w:pStyle w:val="7"/>
              <w:ind w:firstLine="497"/>
              <w:jc w:val="both"/>
              <w:rPr>
                <w:rFonts w:cs="宋体"/>
                <w:b/>
                <w:bCs/>
                <w:color w:val="auto"/>
                <w:sz w:val="22"/>
                <w:highlight w:val="none"/>
              </w:rPr>
            </w:pPr>
            <w:r>
              <w:rPr>
                <w:rFonts w:hint="eastAsia" w:cs="宋体"/>
                <w:b/>
                <w:bCs/>
                <w:color w:val="auto"/>
                <w:kern w:val="0"/>
                <w:sz w:val="22"/>
                <w:highlight w:val="none"/>
                <w:lang w:bidi="ar"/>
              </w:rPr>
              <w:t>数量</w:t>
            </w:r>
          </w:p>
        </w:tc>
        <w:tc>
          <w:tcPr>
            <w:tcW w:w="1633" w:type="dxa"/>
            <w:shd w:val="clear" w:color="auto" w:fill="FFFFFF" w:themeFill="background1"/>
            <w:vAlign w:val="center"/>
          </w:tcPr>
          <w:p>
            <w:pPr>
              <w:pStyle w:val="7"/>
              <w:ind w:firstLine="0" w:firstLineChars="0"/>
              <w:jc w:val="both"/>
              <w:rPr>
                <w:rFonts w:hint="eastAsia" w:eastAsia="宋体" w:cs="宋体"/>
                <w:b/>
                <w:bCs/>
                <w:color w:val="auto"/>
                <w:kern w:val="0"/>
                <w:sz w:val="22"/>
                <w:highlight w:val="none"/>
                <w:lang w:eastAsia="zh-CN" w:bidi="ar"/>
              </w:rPr>
            </w:pPr>
            <w:r>
              <w:rPr>
                <w:rFonts w:hint="eastAsia" w:cs="宋体"/>
                <w:b/>
                <w:bCs/>
                <w:color w:val="auto"/>
                <w:kern w:val="0"/>
                <w:sz w:val="22"/>
                <w:highlight w:val="none"/>
                <w:lang w:eastAsia="zh-CN" w:bidi="ar"/>
              </w:rPr>
              <w:t>是否核心产品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93" w:hRule="atLeast"/>
          <w:jc w:val="center"/>
        </w:trPr>
        <w:tc>
          <w:tcPr>
            <w:tcW w:w="928" w:type="dxa"/>
            <w:shd w:val="clear" w:color="auto" w:fill="FFFFFF" w:themeFill="background1"/>
            <w:vAlign w:val="center"/>
          </w:tcPr>
          <w:p>
            <w:pPr>
              <w:widowControl/>
              <w:spacing w:line="360" w:lineRule="auto"/>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1</w:t>
            </w:r>
          </w:p>
        </w:tc>
        <w:tc>
          <w:tcPr>
            <w:tcW w:w="2672" w:type="dxa"/>
            <w:shd w:val="clear" w:color="auto" w:fill="FFFFFF" w:themeFill="background1"/>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安全网关</w:t>
            </w:r>
          </w:p>
        </w:tc>
        <w:tc>
          <w:tcPr>
            <w:tcW w:w="1643" w:type="dxa"/>
            <w:shd w:val="clear" w:color="auto" w:fill="FFFFFF" w:themeFill="background1"/>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1644" w:type="dxa"/>
            <w:shd w:val="clear" w:color="auto" w:fill="FFFFFF" w:themeFill="background1"/>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1633" w:type="dxa"/>
            <w:shd w:val="clear" w:color="auto" w:fill="FFFFFF" w:themeFill="background1"/>
            <w:vAlign w:val="center"/>
          </w:tcPr>
          <w:p>
            <w:pPr>
              <w:widowControl/>
              <w:spacing w:line="360" w:lineRule="auto"/>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42" w:hRule="atLeast"/>
          <w:jc w:val="center"/>
        </w:trPr>
        <w:tc>
          <w:tcPr>
            <w:tcW w:w="928" w:type="dxa"/>
            <w:shd w:val="clear" w:color="auto" w:fill="FFFFFF" w:themeFill="background1"/>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2672" w:type="dxa"/>
            <w:shd w:val="clear" w:color="auto" w:fill="FFFFFF" w:themeFill="background1"/>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安全认证服务器</w:t>
            </w:r>
          </w:p>
        </w:tc>
        <w:tc>
          <w:tcPr>
            <w:tcW w:w="1643" w:type="dxa"/>
            <w:shd w:val="clear" w:color="auto" w:fill="FFFFFF" w:themeFill="background1"/>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1644" w:type="dxa"/>
            <w:shd w:val="clear" w:color="auto" w:fill="FFFFFF" w:themeFill="background1"/>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1633" w:type="dxa"/>
            <w:shd w:val="clear" w:color="auto" w:fill="FFFFFF" w:themeFill="background1"/>
            <w:vAlign w:val="center"/>
          </w:tcPr>
          <w:p>
            <w:pPr>
              <w:widowControl/>
              <w:spacing w:line="360" w:lineRule="auto"/>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93" w:hRule="atLeast"/>
          <w:jc w:val="center"/>
        </w:trPr>
        <w:tc>
          <w:tcPr>
            <w:tcW w:w="928" w:type="dxa"/>
            <w:shd w:val="clear" w:color="auto" w:fill="FFFFFF" w:themeFill="background1"/>
            <w:vAlign w:val="center"/>
          </w:tcPr>
          <w:p>
            <w:pPr>
              <w:widowControl/>
              <w:spacing w:line="360" w:lineRule="auto"/>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3</w:t>
            </w:r>
          </w:p>
        </w:tc>
        <w:tc>
          <w:tcPr>
            <w:tcW w:w="2672" w:type="dxa"/>
            <w:shd w:val="clear" w:color="auto" w:fill="FFFFFF" w:themeFill="background1"/>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视频管理服务器</w:t>
            </w:r>
          </w:p>
        </w:tc>
        <w:tc>
          <w:tcPr>
            <w:tcW w:w="1643" w:type="dxa"/>
            <w:shd w:val="clear" w:color="auto" w:fill="FFFFFF" w:themeFill="background1"/>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1644" w:type="dxa"/>
            <w:shd w:val="clear" w:color="auto" w:fill="FFFFFF" w:themeFill="background1"/>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w:t>
            </w:r>
          </w:p>
        </w:tc>
        <w:tc>
          <w:tcPr>
            <w:tcW w:w="1633" w:type="dxa"/>
            <w:shd w:val="clear" w:color="auto" w:fill="FFFFFF" w:themeFill="background1"/>
            <w:vAlign w:val="center"/>
          </w:tcPr>
          <w:p>
            <w:pPr>
              <w:widowControl/>
              <w:spacing w:line="360" w:lineRule="auto"/>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90" w:hRule="atLeast"/>
          <w:jc w:val="center"/>
        </w:trPr>
        <w:tc>
          <w:tcPr>
            <w:tcW w:w="928" w:type="dxa"/>
            <w:shd w:val="clear" w:color="auto" w:fill="FFFFFF" w:themeFill="background1"/>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2672" w:type="dxa"/>
            <w:shd w:val="clear" w:color="auto" w:fill="FFFFFF" w:themeFill="background1"/>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流媒体转发服务器</w:t>
            </w:r>
          </w:p>
        </w:tc>
        <w:tc>
          <w:tcPr>
            <w:tcW w:w="1643" w:type="dxa"/>
            <w:shd w:val="clear" w:color="auto" w:fill="FFFFFF" w:themeFill="background1"/>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1644" w:type="dxa"/>
            <w:shd w:val="clear" w:color="auto" w:fill="FFFFFF" w:themeFill="background1"/>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1633" w:type="dxa"/>
            <w:shd w:val="clear" w:color="auto" w:fill="FFFFFF" w:themeFill="background1"/>
            <w:vAlign w:val="center"/>
          </w:tcPr>
          <w:p>
            <w:pPr>
              <w:widowControl/>
              <w:spacing w:line="360" w:lineRule="auto"/>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93" w:hRule="atLeast"/>
          <w:jc w:val="center"/>
        </w:trPr>
        <w:tc>
          <w:tcPr>
            <w:tcW w:w="928" w:type="dxa"/>
            <w:shd w:val="clear" w:color="auto" w:fill="FFFFFF" w:themeFill="background1"/>
            <w:vAlign w:val="center"/>
          </w:tcPr>
          <w:p>
            <w:pPr>
              <w:widowControl/>
              <w:spacing w:line="360" w:lineRule="auto"/>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5</w:t>
            </w:r>
          </w:p>
        </w:tc>
        <w:tc>
          <w:tcPr>
            <w:tcW w:w="2672" w:type="dxa"/>
            <w:shd w:val="clear" w:color="auto" w:fill="FFFFFF" w:themeFill="background1"/>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视觉AI服务器</w:t>
            </w:r>
          </w:p>
        </w:tc>
        <w:tc>
          <w:tcPr>
            <w:tcW w:w="1643" w:type="dxa"/>
            <w:shd w:val="clear" w:color="auto" w:fill="FFFFFF" w:themeFill="background1"/>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1644" w:type="dxa"/>
            <w:shd w:val="clear" w:color="auto" w:fill="FFFFFF" w:themeFill="background1"/>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1633" w:type="dxa"/>
            <w:shd w:val="clear" w:color="auto" w:fill="FFFFFF" w:themeFill="background1"/>
            <w:vAlign w:val="center"/>
          </w:tcPr>
          <w:p>
            <w:pPr>
              <w:widowControl/>
              <w:spacing w:line="360" w:lineRule="auto"/>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42" w:hRule="atLeast"/>
          <w:jc w:val="center"/>
        </w:trPr>
        <w:tc>
          <w:tcPr>
            <w:tcW w:w="928" w:type="dxa"/>
            <w:shd w:val="clear" w:color="auto" w:fill="FFFFFF" w:themeFill="background1"/>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2672" w:type="dxa"/>
            <w:shd w:val="clear" w:color="auto" w:fill="FFFFFF" w:themeFill="background1"/>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视觉AI GPU服务器</w:t>
            </w:r>
          </w:p>
        </w:tc>
        <w:tc>
          <w:tcPr>
            <w:tcW w:w="1643" w:type="dxa"/>
            <w:shd w:val="clear" w:color="auto" w:fill="FFFFFF" w:themeFill="background1"/>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1644" w:type="dxa"/>
            <w:shd w:val="clear" w:color="auto" w:fill="FFFFFF" w:themeFill="background1"/>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1633" w:type="dxa"/>
            <w:shd w:val="clear" w:color="auto" w:fill="FFFFFF" w:themeFill="background1"/>
            <w:vAlign w:val="center"/>
          </w:tcPr>
          <w:p>
            <w:pPr>
              <w:widowControl/>
              <w:spacing w:line="360" w:lineRule="auto"/>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是</w:t>
            </w:r>
          </w:p>
        </w:tc>
      </w:tr>
    </w:tbl>
    <w:p>
      <w:pPr>
        <w:pStyle w:val="3"/>
        <w:rPr>
          <w:color w:val="auto"/>
          <w:highlight w:val="none"/>
        </w:rPr>
      </w:pPr>
    </w:p>
    <w:p>
      <w:pPr>
        <w:numPr>
          <w:ilvl w:val="255"/>
          <w:numId w:val="0"/>
        </w:numPr>
        <w:spacing w:line="360" w:lineRule="auto"/>
        <w:rPr>
          <w:rFonts w:ascii="宋体" w:hAnsi="宋体" w:cs="宋体"/>
          <w:b/>
          <w:color w:val="auto"/>
          <w:sz w:val="24"/>
          <w:highlight w:val="none"/>
        </w:rPr>
      </w:pPr>
      <w:r>
        <w:rPr>
          <w:rFonts w:hint="eastAsia" w:ascii="宋体" w:hAnsi="宋体" w:cs="宋体"/>
          <w:b/>
          <w:color w:val="auto"/>
          <w:sz w:val="24"/>
          <w:highlight w:val="none"/>
        </w:rPr>
        <w:t>（一）项目背景</w:t>
      </w:r>
    </w:p>
    <w:p>
      <w:pPr>
        <w:spacing w:line="360" w:lineRule="auto"/>
        <w:ind w:firstLine="482"/>
        <w:contextualSpacing/>
        <w:rPr>
          <w:color w:val="auto"/>
          <w:sz w:val="24"/>
          <w:highlight w:val="none"/>
        </w:rPr>
      </w:pPr>
      <w:r>
        <w:rPr>
          <w:rFonts w:hint="eastAsia"/>
          <w:color w:val="auto"/>
          <w:sz w:val="24"/>
          <w:highlight w:val="none"/>
        </w:rPr>
        <w:t>北京市重点站区智慧站区为北京市智慧城市的重要组成部分，坚持以人民为中心，以智慧站区建设为牵引，以建立健全重点站区现代化治理体系为目标，结合韧性城市建设要求，以“新技术”解决站区管理面临的痛点难点，以“新基建”加速站区相关各方资源汇聚，以“新平台”理顺内部运转联动机制，以“新服务”打造首都科技文化的“第一窗口”，形成高效精准的监测预警能力、主动有力的综合治理能力、科学智能的指挥决策能力、普惠贴心的公共服务能力，推进站区管理模式和工作机制的创新，实现“一网态势感知、一屏平战统管、一端智享服务、一站创新体验”，打造具有首都特色的“智慧站区”新样板。</w:t>
      </w:r>
    </w:p>
    <w:p>
      <w:pPr>
        <w:pStyle w:val="7"/>
        <w:ind w:firstLine="540"/>
        <w:rPr>
          <w:rFonts w:cs="宋体"/>
          <w:color w:val="auto"/>
          <w:szCs w:val="24"/>
          <w:highlight w:val="none"/>
        </w:rPr>
      </w:pPr>
      <w:r>
        <w:rPr>
          <w:rFonts w:hint="eastAsia" w:cs="宋体"/>
          <w:color w:val="auto"/>
          <w:szCs w:val="24"/>
          <w:highlight w:val="none"/>
        </w:rPr>
        <w:t>通过对重点站区七站视频监控的补点建设和应用，实现全天候、关键部位全覆盖的社会治安防控网，及时发现异常情况，对发生的各种人为的和自然的突然事件进行预测、预防和指挥调度及应急处置，采集、取证违法行为，实时对监控范围内的店铺、路面、市政设施等进行检查，满足“有事看得见、执法有依据、服务能倒查”等业务执行需求，对重点站区所管辖区域的治安起到非常重要的作用。</w:t>
      </w:r>
    </w:p>
    <w:p>
      <w:pPr>
        <w:spacing w:line="360" w:lineRule="auto"/>
        <w:ind w:firstLine="482"/>
        <w:contextualSpacing/>
        <w:rPr>
          <w:color w:val="auto"/>
          <w:sz w:val="24"/>
          <w:highlight w:val="none"/>
        </w:rPr>
      </w:pPr>
      <w:r>
        <w:rPr>
          <w:rFonts w:hint="eastAsia"/>
          <w:color w:val="auto"/>
          <w:sz w:val="24"/>
          <w:highlight w:val="none"/>
        </w:rPr>
        <w:t>经过多年的建设，当前北京市重点站区监控系统已经初具规模，具体情况如下：</w:t>
      </w:r>
    </w:p>
    <w:tbl>
      <w:tblPr>
        <w:tblStyle w:val="5"/>
        <w:tblW w:w="8522" w:type="dxa"/>
        <w:tblInd w:w="0" w:type="dxa"/>
        <w:tblLayout w:type="fixed"/>
        <w:tblCellMar>
          <w:top w:w="0" w:type="dxa"/>
          <w:left w:w="108" w:type="dxa"/>
          <w:bottom w:w="0" w:type="dxa"/>
          <w:right w:w="108" w:type="dxa"/>
        </w:tblCellMar>
      </w:tblPr>
      <w:tblGrid>
        <w:gridCol w:w="640"/>
        <w:gridCol w:w="702"/>
        <w:gridCol w:w="652"/>
        <w:gridCol w:w="1609"/>
        <w:gridCol w:w="1900"/>
        <w:gridCol w:w="556"/>
        <w:gridCol w:w="574"/>
        <w:gridCol w:w="1248"/>
        <w:gridCol w:w="641"/>
      </w:tblGrid>
      <w:tr>
        <w:tblPrEx>
          <w:tblLayout w:type="fixed"/>
          <w:tblCellMar>
            <w:top w:w="0" w:type="dxa"/>
            <w:left w:w="108" w:type="dxa"/>
            <w:bottom w:w="0" w:type="dxa"/>
            <w:right w:w="108" w:type="dxa"/>
          </w:tblCellMar>
        </w:tblPrEx>
        <w:trPr>
          <w:trHeight w:val="400" w:hRule="atLeast"/>
          <w:tblHead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站区</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品牌</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类型</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型号</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数量</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监控平台</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安装日期</w:t>
            </w:r>
          </w:p>
        </w:tc>
      </w:tr>
      <w:tr>
        <w:tblPrEx>
          <w:tblLayout w:type="fixed"/>
          <w:tblCellMar>
            <w:top w:w="0" w:type="dxa"/>
            <w:left w:w="108" w:type="dxa"/>
            <w:bottom w:w="0" w:type="dxa"/>
            <w:right w:w="108" w:type="dxa"/>
          </w:tblCellMar>
        </w:tblPrEx>
        <w:trPr>
          <w:trHeight w:val="400" w:hRule="atLeast"/>
        </w:trPr>
        <w:tc>
          <w:tcPr>
            <w:tcW w:w="640"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702"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管委会机关</w:t>
            </w:r>
          </w:p>
        </w:tc>
        <w:tc>
          <w:tcPr>
            <w:tcW w:w="652"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宇视科技</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宇视平台服务器</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VMPS5.0-B3337.137.2.200303</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248"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UNIVIEW公安图像应用平台VM9500</w:t>
            </w:r>
          </w:p>
        </w:tc>
        <w:tc>
          <w:tcPr>
            <w:tcW w:w="641"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2022年</w:t>
            </w:r>
          </w:p>
        </w:tc>
      </w:tr>
      <w:tr>
        <w:tblPrEx>
          <w:tblLayout w:type="fixed"/>
          <w:tblCellMar>
            <w:top w:w="0" w:type="dxa"/>
            <w:left w:w="108" w:type="dxa"/>
            <w:bottom w:w="0" w:type="dxa"/>
            <w:right w:w="108" w:type="dxa"/>
          </w:tblCellMar>
        </w:tblPrEx>
        <w:trPr>
          <w:trHeight w:val="400" w:hRule="atLeast"/>
        </w:trPr>
        <w:tc>
          <w:tcPr>
            <w:tcW w:w="640"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70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auto"/>
                <w:szCs w:val="21"/>
                <w:highlight w:val="none"/>
              </w:rPr>
            </w:pPr>
          </w:p>
        </w:tc>
        <w:tc>
          <w:tcPr>
            <w:tcW w:w="65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宇视流媒体服务器</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MS5.0-B3337.137.2.200303</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24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641"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0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北京站</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海康威视</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海康平台服务器</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Lenovo ThinkSystem SR550</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海康8200监控平台</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2019年</w:t>
            </w:r>
          </w:p>
        </w:tc>
      </w:tr>
      <w:tr>
        <w:tblPrEx>
          <w:tblLayout w:type="fixed"/>
          <w:tblCellMar>
            <w:top w:w="0" w:type="dxa"/>
            <w:left w:w="108" w:type="dxa"/>
            <w:bottom w:w="0" w:type="dxa"/>
            <w:right w:w="108" w:type="dxa"/>
          </w:tblCellMar>
        </w:tblPrEx>
        <w:trPr>
          <w:trHeight w:val="40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海康硬盘录像机1</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DS-96128N-I24</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0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海康硬盘录像机2</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NVR-L8-16</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0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枪机</w:t>
            </w:r>
          </w:p>
        </w:tc>
        <w:tc>
          <w:tcPr>
            <w:tcW w:w="190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DS-2CD706CL-A</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38</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101</w:t>
            </w: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0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球机</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DS-2DF8225IH-A</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63</w:t>
            </w: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00" w:hRule="atLeast"/>
        </w:trPr>
        <w:tc>
          <w:tcPr>
            <w:tcW w:w="6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702"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西站</w:t>
            </w:r>
          </w:p>
        </w:tc>
        <w:tc>
          <w:tcPr>
            <w:tcW w:w="652"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宇视科技</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宇视平台服务器</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VM8500-IMOS110-B3313</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124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UNIVIEW公安图像应用平台VM8500</w:t>
            </w:r>
          </w:p>
        </w:tc>
        <w:tc>
          <w:tcPr>
            <w:tcW w:w="641"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2015年</w:t>
            </w:r>
          </w:p>
        </w:tc>
      </w:tr>
      <w:tr>
        <w:tblPrEx>
          <w:tblLayout w:type="fixed"/>
          <w:tblCellMar>
            <w:top w:w="0" w:type="dxa"/>
            <w:left w:w="108" w:type="dxa"/>
            <w:bottom w:w="0" w:type="dxa"/>
            <w:right w:w="108" w:type="dxa"/>
          </w:tblCellMar>
        </w:tblPrEx>
        <w:trPr>
          <w:trHeight w:val="400" w:hRule="atLeast"/>
        </w:trPr>
        <w:tc>
          <w:tcPr>
            <w:tcW w:w="640"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65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宇视流媒体服务器</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MS8500-IMOS110-B3313</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124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641"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00" w:hRule="atLeast"/>
        </w:trPr>
        <w:tc>
          <w:tcPr>
            <w:tcW w:w="640"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65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存储服务器</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VX1600-R1117P01</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124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641"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00" w:hRule="atLeast"/>
        </w:trPr>
        <w:tc>
          <w:tcPr>
            <w:tcW w:w="640"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65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解码器</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DC2808FH-R3516P10</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w:t>
            </w:r>
          </w:p>
        </w:tc>
        <w:tc>
          <w:tcPr>
            <w:tcW w:w="124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641"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00" w:hRule="atLeast"/>
        </w:trPr>
        <w:tc>
          <w:tcPr>
            <w:tcW w:w="640"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65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枪机</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HIC5421E-L</w:t>
            </w:r>
          </w:p>
        </w:tc>
        <w:tc>
          <w:tcPr>
            <w:tcW w:w="556"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365</w:t>
            </w:r>
          </w:p>
        </w:tc>
        <w:tc>
          <w:tcPr>
            <w:tcW w:w="574"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796</w:t>
            </w:r>
          </w:p>
        </w:tc>
        <w:tc>
          <w:tcPr>
            <w:tcW w:w="124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641"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00" w:hRule="atLeast"/>
        </w:trPr>
        <w:tc>
          <w:tcPr>
            <w:tcW w:w="640"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65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球机</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HIC6622HX22-5LIR</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431</w:t>
            </w:r>
          </w:p>
        </w:tc>
        <w:tc>
          <w:tcPr>
            <w:tcW w:w="574"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124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641"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00" w:hRule="atLeast"/>
        </w:trPr>
        <w:tc>
          <w:tcPr>
            <w:tcW w:w="6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702"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南站</w:t>
            </w:r>
          </w:p>
        </w:tc>
        <w:tc>
          <w:tcPr>
            <w:tcW w:w="652"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海康威视</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海康平台服务器</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HIKVISION 60G16-US</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24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综合安防平台iSecure CenterV1.3.0_20190630</w:t>
            </w:r>
          </w:p>
        </w:tc>
        <w:tc>
          <w:tcPr>
            <w:tcW w:w="641"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2018年</w:t>
            </w:r>
          </w:p>
        </w:tc>
      </w:tr>
      <w:tr>
        <w:tblPrEx>
          <w:tblLayout w:type="fixed"/>
          <w:tblCellMar>
            <w:top w:w="0" w:type="dxa"/>
            <w:left w:w="108" w:type="dxa"/>
            <w:bottom w:w="0" w:type="dxa"/>
            <w:right w:w="108" w:type="dxa"/>
          </w:tblCellMar>
        </w:tblPrEx>
        <w:trPr>
          <w:trHeight w:val="400" w:hRule="atLeast"/>
        </w:trPr>
        <w:tc>
          <w:tcPr>
            <w:tcW w:w="640"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65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硬盘录像机</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DS-96128N-I24</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24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641"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00" w:hRule="atLeast"/>
        </w:trPr>
        <w:tc>
          <w:tcPr>
            <w:tcW w:w="640"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65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枪机</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DS-2CD1201-I3</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574"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86</w:t>
            </w:r>
          </w:p>
        </w:tc>
        <w:tc>
          <w:tcPr>
            <w:tcW w:w="124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641"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00" w:hRule="atLeast"/>
        </w:trPr>
        <w:tc>
          <w:tcPr>
            <w:tcW w:w="640"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65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球机</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DS-2DF5220W-A</w:t>
            </w:r>
          </w:p>
        </w:tc>
        <w:tc>
          <w:tcPr>
            <w:tcW w:w="55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66</w:t>
            </w:r>
          </w:p>
        </w:tc>
        <w:tc>
          <w:tcPr>
            <w:tcW w:w="57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124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641"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00" w:hRule="atLeast"/>
        </w:trPr>
        <w:tc>
          <w:tcPr>
            <w:tcW w:w="6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702"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北站</w:t>
            </w:r>
          </w:p>
        </w:tc>
        <w:tc>
          <w:tcPr>
            <w:tcW w:w="652"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海康威视</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海康平台服务器</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DS-VE22S-B</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24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综合安防平台iSecure Centerv1.5.104.20210318090911</w:t>
            </w:r>
          </w:p>
        </w:tc>
        <w:tc>
          <w:tcPr>
            <w:tcW w:w="641"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2022年</w:t>
            </w:r>
          </w:p>
        </w:tc>
      </w:tr>
      <w:tr>
        <w:tblPrEx>
          <w:tblLayout w:type="fixed"/>
          <w:tblCellMar>
            <w:top w:w="0" w:type="dxa"/>
            <w:left w:w="108" w:type="dxa"/>
            <w:bottom w:w="0" w:type="dxa"/>
            <w:right w:w="108" w:type="dxa"/>
          </w:tblCellMar>
        </w:tblPrEx>
        <w:trPr>
          <w:trHeight w:val="400" w:hRule="atLeast"/>
        </w:trPr>
        <w:tc>
          <w:tcPr>
            <w:tcW w:w="640"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65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硬盘录像机</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iDS-9664NX-I16 / X</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24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641"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00" w:hRule="atLeast"/>
        </w:trPr>
        <w:tc>
          <w:tcPr>
            <w:tcW w:w="640"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65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枪机</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DS-2CD2T27EWDV3-L</w:t>
            </w:r>
          </w:p>
        </w:tc>
        <w:tc>
          <w:tcPr>
            <w:tcW w:w="556"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49</w:t>
            </w:r>
          </w:p>
        </w:tc>
        <w:tc>
          <w:tcPr>
            <w:tcW w:w="574"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71</w:t>
            </w:r>
          </w:p>
        </w:tc>
        <w:tc>
          <w:tcPr>
            <w:tcW w:w="124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641"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00" w:hRule="atLeast"/>
        </w:trPr>
        <w:tc>
          <w:tcPr>
            <w:tcW w:w="640"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65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球机</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DS-2SK8C144IMX-D/AR</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22</w:t>
            </w:r>
          </w:p>
        </w:tc>
        <w:tc>
          <w:tcPr>
            <w:tcW w:w="574"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124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641"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0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朝阳站</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海康威视</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海康平台服务器</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DS-VE22S-B</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24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综合安防平台 iSecure Center V1.5.100 20200630.20200723103539</w:t>
            </w:r>
          </w:p>
        </w:tc>
        <w:tc>
          <w:tcPr>
            <w:tcW w:w="641"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2021年</w:t>
            </w:r>
          </w:p>
        </w:tc>
      </w:tr>
      <w:tr>
        <w:tblPrEx>
          <w:tblLayout w:type="fixed"/>
          <w:tblCellMar>
            <w:top w:w="0" w:type="dxa"/>
            <w:left w:w="108" w:type="dxa"/>
            <w:bottom w:w="0" w:type="dxa"/>
            <w:right w:w="108" w:type="dxa"/>
          </w:tblCellMar>
        </w:tblPrEx>
        <w:trPr>
          <w:trHeight w:val="40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硬盘录像机</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DS-8632N-I16</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24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641"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0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16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枪机</w:t>
            </w:r>
          </w:p>
        </w:tc>
        <w:tc>
          <w:tcPr>
            <w:tcW w:w="190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DS-2CD2T26WD-I3</w:t>
            </w:r>
          </w:p>
        </w:tc>
        <w:tc>
          <w:tcPr>
            <w:tcW w:w="556"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574"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55</w:t>
            </w:r>
          </w:p>
        </w:tc>
        <w:tc>
          <w:tcPr>
            <w:tcW w:w="124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641"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0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球机</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iDS-2VS445-F840</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w:t>
            </w:r>
          </w:p>
        </w:tc>
        <w:tc>
          <w:tcPr>
            <w:tcW w:w="574"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124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641"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00" w:hRule="atLeast"/>
        </w:trPr>
        <w:tc>
          <w:tcPr>
            <w:tcW w:w="6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702"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丰台站</w:t>
            </w:r>
          </w:p>
        </w:tc>
        <w:tc>
          <w:tcPr>
            <w:tcW w:w="652"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海康威视</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海康平台服务器</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DS-VE22S-B</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24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综合安防平台 iSecure Center V1.6.1_20210330.20210319230243</w:t>
            </w:r>
          </w:p>
        </w:tc>
        <w:tc>
          <w:tcPr>
            <w:tcW w:w="641"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2022年</w:t>
            </w:r>
          </w:p>
        </w:tc>
      </w:tr>
      <w:tr>
        <w:tblPrEx>
          <w:tblLayout w:type="fixed"/>
          <w:tblCellMar>
            <w:top w:w="0" w:type="dxa"/>
            <w:left w:w="108" w:type="dxa"/>
            <w:bottom w:w="0" w:type="dxa"/>
            <w:right w:w="108" w:type="dxa"/>
          </w:tblCellMar>
        </w:tblPrEx>
        <w:trPr>
          <w:trHeight w:val="400" w:hRule="atLeast"/>
        </w:trPr>
        <w:tc>
          <w:tcPr>
            <w:tcW w:w="640"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65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硬盘录像机</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iDS-9664NX-I16 / X</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24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641"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00" w:hRule="atLeast"/>
        </w:trPr>
        <w:tc>
          <w:tcPr>
            <w:tcW w:w="640"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65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枪机</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DS-2CD2T27EWDV3-L</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43</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59</w:t>
            </w:r>
          </w:p>
        </w:tc>
        <w:tc>
          <w:tcPr>
            <w:tcW w:w="124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641"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00" w:hRule="atLeast"/>
        </w:trPr>
        <w:tc>
          <w:tcPr>
            <w:tcW w:w="640"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65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球机</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iDS-2DE7223MWR-A</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w:t>
            </w: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c>
          <w:tcPr>
            <w:tcW w:w="124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641"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highlight w:val="none"/>
              </w:rPr>
            </w:pPr>
          </w:p>
        </w:tc>
      </w:tr>
    </w:tbl>
    <w:p>
      <w:pPr>
        <w:numPr>
          <w:ilvl w:val="255"/>
          <w:numId w:val="0"/>
        </w:numPr>
        <w:spacing w:line="360" w:lineRule="auto"/>
        <w:rPr>
          <w:rFonts w:ascii="宋体" w:hAnsi="宋体" w:cs="宋体"/>
          <w:b/>
          <w:color w:val="auto"/>
          <w:sz w:val="28"/>
          <w:highlight w:val="none"/>
        </w:rPr>
      </w:pPr>
      <w:r>
        <w:rPr>
          <w:rFonts w:hint="eastAsia" w:ascii="宋体" w:hAnsi="宋体" w:cs="宋体"/>
          <w:b/>
          <w:color w:val="auto"/>
          <w:highlight w:val="none"/>
        </w:rPr>
        <w:t>（二）项目总体建设内容</w:t>
      </w:r>
    </w:p>
    <w:p>
      <w:pPr>
        <w:pStyle w:val="7"/>
        <w:ind w:firstLine="630" w:firstLineChars="0"/>
        <w:rPr>
          <w:rFonts w:cs="宋体"/>
          <w:color w:val="auto"/>
          <w:szCs w:val="24"/>
          <w:highlight w:val="none"/>
        </w:rPr>
      </w:pPr>
      <w:r>
        <w:rPr>
          <w:rFonts w:hint="eastAsia" w:cs="宋体"/>
          <w:color w:val="auto"/>
          <w:szCs w:val="24"/>
          <w:highlight w:val="none"/>
        </w:rPr>
        <w:t>本项目为重点站区感知监测运营管理建设项目一期视频监控系统、物联网、视觉AI系统等提供服务器资源支撑，进一步强化站区智能化管理与服务水平。项目将围绕现有视频监控系统的优化升级展开，通过引入先进的物联网技术，实现设备间的互联互通与数据共享，提升监控系统的自动化与智能化程度。同时，集成视觉AI系统，利用深度学习算法对监控视频进行实时分析，自动识别异常行为、安全隐患等，为站区管理提供更为精准、高效的决策支持。此外，项目还将构建统一的运营管理平台，整合视频监控、物联网、视觉AI等多源数据，实现站区态势的全面感知、智能预警与快速响应，为旅客提供更加安全、便捷、舒适的出行环境。</w:t>
      </w:r>
    </w:p>
    <w:p>
      <w:pPr>
        <w:pStyle w:val="7"/>
        <w:ind w:firstLine="630" w:firstLineChars="0"/>
        <w:rPr>
          <w:rFonts w:cs="宋体"/>
          <w:color w:val="auto"/>
          <w:szCs w:val="24"/>
          <w:highlight w:val="none"/>
        </w:rPr>
      </w:pPr>
      <w:r>
        <w:rPr>
          <w:rFonts w:cs="宋体"/>
          <w:color w:val="auto"/>
          <w:szCs w:val="24"/>
          <w:highlight w:val="none"/>
        </w:rPr>
        <w:t>通过完善视频监控系统、物联感知系统和视觉AI分析能力，实现重点站区运行状态的智能感知、异常事件的自动识别与预警，提升站区管理效率和应急处置能力，保障站区安全、稳定、高效运营，打造具有首都特色的智慧站区运营管理体系。</w:t>
      </w:r>
    </w:p>
    <w:p>
      <w:pPr>
        <w:pStyle w:val="7"/>
        <w:ind w:firstLine="630" w:firstLineChars="0"/>
        <w:rPr>
          <w:rFonts w:cs="宋体"/>
          <w:color w:val="auto"/>
          <w:szCs w:val="24"/>
          <w:highlight w:val="none"/>
        </w:rPr>
      </w:pPr>
      <w:r>
        <w:rPr>
          <w:rFonts w:cs="宋体"/>
          <w:color w:val="auto"/>
          <w:szCs w:val="24"/>
          <w:highlight w:val="none"/>
        </w:rPr>
        <w:t>通过采购</w:t>
      </w:r>
      <w:r>
        <w:rPr>
          <w:rFonts w:hint="eastAsia" w:cs="宋体"/>
          <w:color w:val="auto"/>
          <w:szCs w:val="24"/>
          <w:highlight w:val="none"/>
        </w:rPr>
        <w:t>安全网关</w:t>
      </w:r>
      <w:r>
        <w:rPr>
          <w:rFonts w:cs="宋体"/>
          <w:color w:val="auto"/>
          <w:szCs w:val="24"/>
          <w:highlight w:val="none"/>
        </w:rPr>
        <w:t>和</w:t>
      </w:r>
      <w:r>
        <w:rPr>
          <w:rFonts w:hint="eastAsia" w:cs="宋体"/>
          <w:color w:val="auto"/>
          <w:szCs w:val="24"/>
          <w:highlight w:val="none"/>
        </w:rPr>
        <w:t>安全认证服务器实现</w:t>
      </w:r>
      <w:r>
        <w:rPr>
          <w:rFonts w:cs="宋体"/>
          <w:color w:val="auto"/>
          <w:szCs w:val="24"/>
          <w:highlight w:val="none"/>
        </w:rPr>
        <w:t>监控系统</w:t>
      </w:r>
      <w:r>
        <w:rPr>
          <w:rFonts w:hint="eastAsia" w:cs="宋体"/>
          <w:color w:val="auto"/>
          <w:szCs w:val="24"/>
          <w:highlight w:val="none"/>
        </w:rPr>
        <w:t>“身份可信、信令可控、媒体加密、操作可追溯”，满足GB35114对设备分级、跨域互联、数据安全的强制性要求，</w:t>
      </w:r>
      <w:r>
        <w:rPr>
          <w:rFonts w:cs="宋体"/>
          <w:color w:val="auto"/>
          <w:szCs w:val="24"/>
          <w:highlight w:val="none"/>
        </w:rPr>
        <w:t>满足重点站区</w:t>
      </w:r>
      <w:r>
        <w:rPr>
          <w:rFonts w:hint="eastAsia" w:cs="宋体"/>
          <w:color w:val="auto"/>
          <w:szCs w:val="24"/>
          <w:highlight w:val="none"/>
        </w:rPr>
        <w:t>视频监控联网</w:t>
      </w:r>
      <w:r>
        <w:rPr>
          <w:rFonts w:cs="宋体"/>
          <w:color w:val="auto"/>
          <w:szCs w:val="24"/>
          <w:highlight w:val="none"/>
        </w:rPr>
        <w:t>的</w:t>
      </w:r>
      <w:r>
        <w:rPr>
          <w:rFonts w:hint="eastAsia" w:cs="宋体"/>
          <w:color w:val="auto"/>
          <w:szCs w:val="24"/>
          <w:highlight w:val="none"/>
        </w:rPr>
        <w:t>安全需求。</w:t>
      </w:r>
    </w:p>
    <w:p>
      <w:pPr>
        <w:pStyle w:val="7"/>
        <w:ind w:firstLine="630" w:firstLineChars="0"/>
        <w:rPr>
          <w:rFonts w:cs="宋体"/>
          <w:color w:val="auto"/>
          <w:szCs w:val="24"/>
          <w:highlight w:val="none"/>
        </w:rPr>
      </w:pPr>
      <w:r>
        <w:rPr>
          <w:rFonts w:cs="宋体"/>
          <w:color w:val="auto"/>
          <w:szCs w:val="24"/>
          <w:highlight w:val="none"/>
        </w:rPr>
        <w:t>视频管理服务器和流媒体转发服务器是保障重点站区视频数据高效、可靠传输与管理的核心组件，视频管理服务器</w:t>
      </w:r>
      <w:r>
        <w:rPr>
          <w:rFonts w:hint="eastAsia" w:cs="宋体"/>
          <w:color w:val="auto"/>
          <w:szCs w:val="24"/>
          <w:highlight w:val="none"/>
        </w:rPr>
        <w:t>作为视频监控系统的核心管理节点，负责统筹全局资源、处理核心业务逻辑</w:t>
      </w:r>
      <w:r>
        <w:rPr>
          <w:rFonts w:cs="宋体"/>
          <w:color w:val="auto"/>
          <w:szCs w:val="24"/>
          <w:highlight w:val="none"/>
        </w:rPr>
        <w:t>；流媒体转发服务器专注于视频数据的高效传输与分发，解决多用户并发访问时的带宽占用与设备压力问题，通过采购视频管理服务器和流媒体转发服务器可以协同支撑重点站区中“监、控、存、管”一体化需求，满足重点站区</w:t>
      </w:r>
      <w:r>
        <w:rPr>
          <w:rFonts w:hint="eastAsia" w:cs="宋体"/>
          <w:color w:val="auto"/>
          <w:szCs w:val="24"/>
          <w:highlight w:val="none"/>
        </w:rPr>
        <w:t>视频监控</w:t>
      </w:r>
      <w:r>
        <w:rPr>
          <w:rFonts w:cs="宋体"/>
          <w:color w:val="auto"/>
          <w:szCs w:val="24"/>
          <w:highlight w:val="none"/>
        </w:rPr>
        <w:t>上千路摄像头的规模化部署。</w:t>
      </w:r>
    </w:p>
    <w:p>
      <w:pPr>
        <w:pStyle w:val="7"/>
        <w:ind w:firstLine="540"/>
        <w:rPr>
          <w:rFonts w:cs="宋体"/>
          <w:color w:val="auto"/>
          <w:szCs w:val="24"/>
          <w:highlight w:val="none"/>
        </w:rPr>
      </w:pPr>
      <w:r>
        <w:rPr>
          <w:rFonts w:cs="宋体"/>
          <w:color w:val="auto"/>
          <w:szCs w:val="24"/>
          <w:highlight w:val="none"/>
        </w:rPr>
        <w:t>视觉AI服务器是面向计算机视觉任务的专用算力载体</w:t>
      </w:r>
      <w:r>
        <w:rPr>
          <w:rFonts w:hint="eastAsia" w:cs="宋体"/>
          <w:color w:val="auto"/>
          <w:szCs w:val="24"/>
          <w:highlight w:val="none"/>
        </w:rPr>
        <w:t>，作为视觉AI任务的综合算力与调度平台，整合硬件与软件栈；</w:t>
      </w:r>
      <w:r>
        <w:rPr>
          <w:rFonts w:cs="宋体"/>
          <w:color w:val="auto"/>
          <w:szCs w:val="24"/>
          <w:highlight w:val="none"/>
        </w:rPr>
        <w:t>视觉AIGPU服务器是AI算法运行的物理载体，</w:t>
      </w:r>
      <w:r>
        <w:rPr>
          <w:rFonts w:hint="eastAsia" w:cs="宋体"/>
          <w:color w:val="auto"/>
          <w:szCs w:val="24"/>
          <w:highlight w:val="none"/>
        </w:rPr>
        <w:t>提供</w:t>
      </w:r>
      <w:r>
        <w:rPr>
          <w:rFonts w:cs="宋体"/>
          <w:color w:val="auto"/>
          <w:szCs w:val="24"/>
          <w:highlight w:val="none"/>
        </w:rPr>
        <w:t>强大的并行计算能力</w:t>
      </w:r>
      <w:r>
        <w:rPr>
          <w:rFonts w:hint="eastAsia" w:cs="宋体"/>
          <w:color w:val="auto"/>
          <w:szCs w:val="24"/>
          <w:highlight w:val="none"/>
        </w:rPr>
        <w:t>，是</w:t>
      </w:r>
      <w:r>
        <w:rPr>
          <w:rFonts w:cs="宋体"/>
          <w:color w:val="auto"/>
          <w:szCs w:val="24"/>
          <w:highlight w:val="none"/>
        </w:rPr>
        <w:t>实现</w:t>
      </w:r>
      <w:r>
        <w:rPr>
          <w:rFonts w:hint="eastAsia" w:cs="宋体"/>
          <w:color w:val="auto"/>
          <w:szCs w:val="24"/>
          <w:highlight w:val="none"/>
        </w:rPr>
        <w:t>重点站区风险事件</w:t>
      </w:r>
      <w:r>
        <w:rPr>
          <w:rFonts w:cs="宋体"/>
          <w:color w:val="auto"/>
          <w:szCs w:val="24"/>
          <w:highlight w:val="none"/>
        </w:rPr>
        <w:t>智能分析</w:t>
      </w:r>
      <w:r>
        <w:rPr>
          <w:rFonts w:hint="eastAsia" w:cs="宋体"/>
          <w:color w:val="auto"/>
          <w:szCs w:val="24"/>
          <w:highlight w:val="none"/>
        </w:rPr>
        <w:t>和预判</w:t>
      </w:r>
      <w:r>
        <w:rPr>
          <w:rFonts w:cs="宋体"/>
          <w:color w:val="auto"/>
          <w:szCs w:val="24"/>
          <w:highlight w:val="none"/>
        </w:rPr>
        <w:t>的关键，二者</w:t>
      </w:r>
      <w:r>
        <w:rPr>
          <w:rFonts w:hint="eastAsia" w:cs="宋体"/>
          <w:color w:val="auto"/>
          <w:szCs w:val="24"/>
          <w:highlight w:val="none"/>
        </w:rPr>
        <w:t>共同构成了视频监控系统的“智能中枢”，是实现重点站区“事前预警、事中处置、事后追溯”闭环管理的关键技术支撑。</w:t>
      </w:r>
    </w:p>
    <w:p>
      <w:pPr>
        <w:numPr>
          <w:ilvl w:val="0"/>
          <w:numId w:val="1"/>
        </w:numPr>
        <w:ind w:firstLine="422" w:firstLineChars="150"/>
        <w:rPr>
          <w:rFonts w:ascii="宋体" w:hAnsi="宋体" w:cs="宋体"/>
          <w:b/>
          <w:color w:val="auto"/>
          <w:sz w:val="28"/>
          <w:szCs w:val="28"/>
          <w:highlight w:val="none"/>
        </w:rPr>
      </w:pPr>
      <w:r>
        <w:rPr>
          <w:rFonts w:hint="eastAsia" w:ascii="宋体" w:hAnsi="宋体" w:cs="宋体"/>
          <w:b/>
          <w:color w:val="auto"/>
          <w:sz w:val="28"/>
          <w:szCs w:val="28"/>
          <w:highlight w:val="none"/>
        </w:rPr>
        <w:t>商务要求</w:t>
      </w:r>
    </w:p>
    <w:p>
      <w:pPr>
        <w:pStyle w:val="7"/>
        <w:numPr>
          <w:ilvl w:val="0"/>
          <w:numId w:val="2"/>
        </w:numPr>
        <w:ind w:firstLineChars="0"/>
        <w:rPr>
          <w:rFonts w:cs="宋体"/>
          <w:color w:val="auto"/>
          <w:szCs w:val="24"/>
          <w:highlight w:val="none"/>
        </w:rPr>
      </w:pPr>
      <w:r>
        <w:rPr>
          <w:rFonts w:hint="eastAsia" w:cs="宋体"/>
          <w:color w:val="auto"/>
          <w:szCs w:val="24"/>
          <w:highlight w:val="none"/>
        </w:rPr>
        <w:t>人员要求</w:t>
      </w:r>
    </w:p>
    <w:p>
      <w:pPr>
        <w:pStyle w:val="7"/>
        <w:ind w:firstLine="480" w:firstLineChars="200"/>
        <w:rPr>
          <w:rFonts w:cs="宋体"/>
          <w:color w:val="auto"/>
          <w:szCs w:val="24"/>
          <w:highlight w:val="none"/>
        </w:rPr>
      </w:pPr>
      <w:r>
        <w:rPr>
          <w:rFonts w:cs="宋体"/>
          <w:color w:val="auto"/>
          <w:szCs w:val="24"/>
          <w:highlight w:val="none"/>
        </w:rPr>
        <w:t>1、</w:t>
      </w:r>
      <w:r>
        <w:rPr>
          <w:rFonts w:hint="eastAsia" w:cs="宋体"/>
          <w:color w:val="auto"/>
          <w:szCs w:val="24"/>
          <w:highlight w:val="none"/>
        </w:rPr>
        <w:t>项目经理须具有高级工程师职称或信息系统项目管理师证书</w:t>
      </w:r>
      <w:r>
        <w:rPr>
          <w:rFonts w:cs="宋体"/>
          <w:color w:val="auto"/>
          <w:szCs w:val="24"/>
          <w:highlight w:val="none"/>
        </w:rPr>
        <w:t>；</w:t>
      </w:r>
    </w:p>
    <w:p>
      <w:pPr>
        <w:pStyle w:val="7"/>
        <w:ind w:firstLine="480" w:firstLineChars="200"/>
        <w:contextualSpacing/>
        <w:rPr>
          <w:rFonts w:cs="宋体"/>
          <w:color w:val="auto"/>
          <w:szCs w:val="24"/>
          <w:highlight w:val="none"/>
        </w:rPr>
      </w:pPr>
      <w:r>
        <w:rPr>
          <w:rFonts w:hint="eastAsia" w:cs="宋体"/>
          <w:color w:val="auto"/>
          <w:szCs w:val="24"/>
          <w:highlight w:val="none"/>
        </w:rPr>
        <w:t>2、团队人员中具有中级及以上工程师职称及同等职称证书，人数不少于</w:t>
      </w:r>
      <w:r>
        <w:rPr>
          <w:rFonts w:hint="eastAsia" w:cs="宋体"/>
          <w:color w:val="auto"/>
          <w:szCs w:val="24"/>
          <w:highlight w:val="none"/>
          <w:lang w:val="en-US" w:eastAsia="zh-CN"/>
        </w:rPr>
        <w:t>2</w:t>
      </w:r>
      <w:r>
        <w:rPr>
          <w:rFonts w:hint="eastAsia" w:cs="宋体"/>
          <w:color w:val="auto"/>
          <w:szCs w:val="24"/>
          <w:highlight w:val="none"/>
        </w:rPr>
        <w:t>人</w:t>
      </w:r>
      <w:r>
        <w:rPr>
          <w:rFonts w:cs="宋体"/>
          <w:color w:val="auto"/>
          <w:szCs w:val="24"/>
          <w:highlight w:val="none"/>
        </w:rPr>
        <w:t>；</w:t>
      </w:r>
    </w:p>
    <w:p>
      <w:pPr>
        <w:pStyle w:val="7"/>
        <w:ind w:firstLine="480" w:firstLineChars="200"/>
        <w:rPr>
          <w:rFonts w:cs="宋体"/>
          <w:color w:val="auto"/>
          <w:szCs w:val="24"/>
          <w:highlight w:val="none"/>
        </w:rPr>
      </w:pPr>
      <w:r>
        <w:rPr>
          <w:rFonts w:hint="eastAsia" w:cs="宋体"/>
          <w:color w:val="auto"/>
          <w:szCs w:val="24"/>
          <w:highlight w:val="none"/>
        </w:rPr>
        <w:t>3、团队中信息系统项目管理师，人数不少于2人。</w:t>
      </w:r>
    </w:p>
    <w:p>
      <w:pPr>
        <w:pStyle w:val="7"/>
        <w:numPr>
          <w:ilvl w:val="0"/>
          <w:numId w:val="2"/>
        </w:numPr>
        <w:ind w:firstLineChars="0"/>
        <w:rPr>
          <w:rFonts w:cs="宋体"/>
          <w:color w:val="auto"/>
          <w:szCs w:val="24"/>
          <w:highlight w:val="none"/>
        </w:rPr>
      </w:pPr>
      <w:r>
        <w:rPr>
          <w:rFonts w:hint="eastAsia" w:cs="宋体"/>
          <w:color w:val="auto"/>
          <w:szCs w:val="24"/>
          <w:highlight w:val="none"/>
        </w:rPr>
        <w:t>安装调试要求</w:t>
      </w:r>
    </w:p>
    <w:p>
      <w:pPr>
        <w:pStyle w:val="7"/>
        <w:ind w:firstLine="540"/>
        <w:rPr>
          <w:rFonts w:cs="宋体"/>
          <w:color w:val="auto"/>
          <w:szCs w:val="24"/>
          <w:highlight w:val="none"/>
        </w:rPr>
      </w:pPr>
      <w:r>
        <w:rPr>
          <w:rFonts w:hint="eastAsia" w:cs="宋体"/>
          <w:color w:val="auto"/>
          <w:szCs w:val="24"/>
          <w:highlight w:val="none"/>
        </w:rPr>
        <w:t>负责按合同要求按时完成设备安装、调试、启动、运行等工作；对采购人相关工作人员免费的技术培训；负责本项目范围及要求中所有设备的现场安装调试、现场验收测试。</w:t>
      </w:r>
    </w:p>
    <w:p>
      <w:pPr>
        <w:pStyle w:val="7"/>
        <w:numPr>
          <w:ilvl w:val="0"/>
          <w:numId w:val="2"/>
        </w:numPr>
        <w:ind w:firstLineChars="0"/>
        <w:rPr>
          <w:rFonts w:cs="宋体"/>
          <w:color w:val="auto"/>
          <w:szCs w:val="24"/>
          <w:highlight w:val="none"/>
        </w:rPr>
      </w:pPr>
      <w:r>
        <w:rPr>
          <w:rFonts w:hint="eastAsia" w:cs="宋体"/>
          <w:color w:val="auto"/>
          <w:szCs w:val="24"/>
          <w:highlight w:val="none"/>
        </w:rPr>
        <w:t>技术培训要求</w:t>
      </w:r>
    </w:p>
    <w:p>
      <w:pPr>
        <w:pStyle w:val="7"/>
        <w:ind w:firstLine="540"/>
        <w:rPr>
          <w:rFonts w:cs="宋体"/>
          <w:color w:val="auto"/>
          <w:szCs w:val="24"/>
          <w:highlight w:val="none"/>
        </w:rPr>
      </w:pPr>
      <w:r>
        <w:rPr>
          <w:rFonts w:hint="eastAsia" w:cs="宋体"/>
          <w:color w:val="auto"/>
          <w:szCs w:val="24"/>
          <w:highlight w:val="none"/>
        </w:rPr>
        <w:t xml:space="preserve">设备正常运行验收后，指派专业工程师负责在现场提供不受人员限制的维修和使用操作培训。培训内容包括：设备正确操作使用知识；识别初级故障及必要的恢复方法；常见故障排除方法等相关内容。 </w:t>
      </w:r>
    </w:p>
    <w:p>
      <w:pPr>
        <w:pStyle w:val="7"/>
        <w:numPr>
          <w:ilvl w:val="0"/>
          <w:numId w:val="2"/>
        </w:numPr>
        <w:ind w:firstLineChars="0"/>
        <w:rPr>
          <w:rFonts w:cs="宋体"/>
          <w:color w:val="auto"/>
          <w:szCs w:val="24"/>
          <w:highlight w:val="none"/>
        </w:rPr>
      </w:pPr>
      <w:r>
        <w:rPr>
          <w:rFonts w:hint="eastAsia" w:cs="宋体"/>
          <w:color w:val="auto"/>
          <w:szCs w:val="24"/>
          <w:highlight w:val="none"/>
        </w:rPr>
        <w:t>售后服务要求</w:t>
      </w:r>
    </w:p>
    <w:p>
      <w:pPr>
        <w:pStyle w:val="7"/>
        <w:ind w:firstLine="540"/>
        <w:rPr>
          <w:rFonts w:cs="宋体"/>
          <w:color w:val="auto"/>
          <w:szCs w:val="24"/>
          <w:highlight w:val="none"/>
        </w:rPr>
      </w:pPr>
      <w:r>
        <w:rPr>
          <w:rFonts w:hint="eastAsia" w:cs="宋体"/>
          <w:color w:val="auto"/>
          <w:szCs w:val="24"/>
          <w:highlight w:val="none"/>
        </w:rPr>
        <w:t>所有的设备提供至少3年质保、终身保修、费用按零配件的成本费收取。供应商在项目所在地设有服务机构，并有技术服务及维修中心，提供365×7×24小时服务支持。质保期内，当用户的系统出现不正常情况时，供应商立刻在线或电话帮助客户解决问题，在2小时内提出修复计划；如需到场维修，接到用户通知后，供应商应在接报后2小时内响应，于12小时内派出专业的人员到货物现场进行检测、维修，48小时内处理完毕。修期过后，供应商需提供终生维修服务，费用按零配件的成本费收取。</w:t>
      </w:r>
    </w:p>
    <w:p>
      <w:pPr>
        <w:pStyle w:val="7"/>
        <w:numPr>
          <w:ilvl w:val="0"/>
          <w:numId w:val="2"/>
        </w:numPr>
        <w:ind w:firstLineChars="0"/>
        <w:rPr>
          <w:rFonts w:cs="宋体"/>
          <w:color w:val="auto"/>
          <w:szCs w:val="24"/>
          <w:highlight w:val="none"/>
        </w:rPr>
      </w:pPr>
      <w:r>
        <w:rPr>
          <w:rFonts w:hint="eastAsia" w:cs="宋体"/>
          <w:color w:val="auto"/>
          <w:szCs w:val="24"/>
          <w:highlight w:val="none"/>
        </w:rPr>
        <w:t>交货时间及地点</w:t>
      </w:r>
    </w:p>
    <w:p>
      <w:pPr>
        <w:pStyle w:val="7"/>
        <w:ind w:firstLine="540"/>
        <w:rPr>
          <w:rFonts w:cs="宋体"/>
          <w:color w:val="auto"/>
          <w:szCs w:val="24"/>
          <w:highlight w:val="none"/>
        </w:rPr>
      </w:pPr>
      <w:r>
        <w:rPr>
          <w:rFonts w:hint="eastAsia" w:cs="宋体"/>
          <w:color w:val="auto"/>
          <w:szCs w:val="24"/>
          <w:highlight w:val="none"/>
        </w:rPr>
        <w:t>交货地点：采购人指定地点。</w:t>
      </w:r>
    </w:p>
    <w:p>
      <w:pPr>
        <w:pStyle w:val="7"/>
        <w:ind w:firstLine="540"/>
        <w:rPr>
          <w:rFonts w:hint="eastAsia" w:cs="宋体"/>
          <w:color w:val="auto"/>
          <w:szCs w:val="24"/>
          <w:highlight w:val="none"/>
        </w:rPr>
      </w:pPr>
      <w:r>
        <w:rPr>
          <w:rFonts w:hint="eastAsia" w:cs="宋体"/>
          <w:color w:val="auto"/>
          <w:szCs w:val="24"/>
          <w:highlight w:val="none"/>
        </w:rPr>
        <w:t>实施进度要求：合同签订之日起</w:t>
      </w:r>
      <w:r>
        <w:rPr>
          <w:rFonts w:hint="eastAsia" w:cs="宋体"/>
          <w:color w:val="auto"/>
          <w:szCs w:val="24"/>
          <w:highlight w:val="none"/>
          <w:u w:val="single"/>
        </w:rPr>
        <w:t>3</w:t>
      </w:r>
      <w:r>
        <w:rPr>
          <w:rFonts w:hint="eastAsia" w:cs="宋体"/>
          <w:color w:val="auto"/>
          <w:szCs w:val="24"/>
          <w:highlight w:val="none"/>
        </w:rPr>
        <w:t>个月内完成供货安装调试，之后开展项目初验，初验后开展系统试运行3个月，试运行结束后开展项目终验。</w:t>
      </w:r>
    </w:p>
    <w:p>
      <w:pPr>
        <w:pStyle w:val="7"/>
        <w:ind w:firstLine="540"/>
        <w:rPr>
          <w:rFonts w:hint="eastAsia" w:eastAsia="宋体" w:cs="宋体"/>
          <w:color w:val="auto"/>
          <w:szCs w:val="24"/>
          <w:highlight w:val="none"/>
          <w:lang w:eastAsia="zh-CN"/>
        </w:rPr>
      </w:pPr>
      <w:r>
        <w:rPr>
          <w:rFonts w:hint="eastAsia" w:ascii="宋体" w:hAnsi="宋体"/>
          <w:color w:val="auto"/>
          <w:szCs w:val="21"/>
          <w:highlight w:val="none"/>
        </w:rPr>
        <w:t>合同价款支付时间</w:t>
      </w:r>
      <w:r>
        <w:rPr>
          <w:rFonts w:hint="eastAsia"/>
          <w:color w:val="auto"/>
          <w:szCs w:val="21"/>
          <w:highlight w:val="none"/>
          <w:lang w:eastAsia="zh-CN"/>
        </w:rPr>
        <w:t>：</w:t>
      </w:r>
      <w:r>
        <w:rPr>
          <w:rFonts w:hint="eastAsia" w:ascii="宋体" w:hAnsi="宋体"/>
          <w:color w:val="auto"/>
          <w:szCs w:val="21"/>
          <w:highlight w:val="none"/>
        </w:rPr>
        <w:t>合同生效且财政经费到位后30个工作日内，</w:t>
      </w:r>
      <w:r>
        <w:rPr>
          <w:rFonts w:hint="eastAsia"/>
          <w:color w:val="auto"/>
          <w:szCs w:val="21"/>
          <w:highlight w:val="none"/>
          <w:lang w:eastAsia="zh-CN"/>
        </w:rPr>
        <w:t>采购人</w:t>
      </w:r>
      <w:r>
        <w:rPr>
          <w:rFonts w:hint="eastAsia" w:ascii="宋体" w:hAnsi="宋体"/>
          <w:color w:val="auto"/>
          <w:szCs w:val="21"/>
          <w:highlight w:val="none"/>
        </w:rPr>
        <w:t>向</w:t>
      </w:r>
      <w:r>
        <w:rPr>
          <w:rFonts w:hint="eastAsia"/>
          <w:color w:val="auto"/>
          <w:szCs w:val="21"/>
          <w:highlight w:val="none"/>
          <w:lang w:eastAsia="zh-CN"/>
        </w:rPr>
        <w:t>中标人</w:t>
      </w:r>
      <w:r>
        <w:rPr>
          <w:rFonts w:hint="eastAsia" w:ascii="宋体" w:hAnsi="宋体"/>
          <w:color w:val="auto"/>
          <w:szCs w:val="21"/>
          <w:highlight w:val="none"/>
        </w:rPr>
        <w:t>支付合同总金额的</w:t>
      </w:r>
      <w:r>
        <w:rPr>
          <w:rFonts w:hint="eastAsia" w:ascii="宋体" w:hAnsi="宋体"/>
          <w:color w:val="auto"/>
          <w:szCs w:val="21"/>
          <w:highlight w:val="none"/>
          <w:lang w:val="en-US" w:eastAsia="zh-CN"/>
        </w:rPr>
        <w:t>23</w:t>
      </w:r>
      <w:r>
        <w:rPr>
          <w:rFonts w:hint="eastAsia" w:ascii="宋体" w:hAnsi="宋体"/>
          <w:color w:val="auto"/>
          <w:szCs w:val="21"/>
          <w:highlight w:val="none"/>
        </w:rPr>
        <w:t>%</w:t>
      </w:r>
      <w:r>
        <w:rPr>
          <w:rFonts w:hint="eastAsia"/>
          <w:color w:val="auto"/>
          <w:szCs w:val="21"/>
          <w:highlight w:val="none"/>
          <w:lang w:eastAsia="zh-CN"/>
        </w:rPr>
        <w:t>，</w:t>
      </w:r>
      <w:r>
        <w:rPr>
          <w:rFonts w:hint="eastAsia" w:ascii="宋体" w:hAnsi="宋体"/>
          <w:color w:val="auto"/>
          <w:szCs w:val="21"/>
          <w:highlight w:val="none"/>
        </w:rPr>
        <w:t>项目最终验收合格、财政经费到位后30个工作日内，</w:t>
      </w:r>
      <w:r>
        <w:rPr>
          <w:rFonts w:hint="eastAsia"/>
          <w:color w:val="auto"/>
          <w:szCs w:val="21"/>
          <w:highlight w:val="none"/>
          <w:lang w:eastAsia="zh-CN"/>
        </w:rPr>
        <w:t>采购人</w:t>
      </w:r>
      <w:r>
        <w:rPr>
          <w:rFonts w:hint="eastAsia" w:ascii="宋体" w:hAnsi="宋体"/>
          <w:color w:val="auto"/>
          <w:szCs w:val="21"/>
          <w:highlight w:val="none"/>
        </w:rPr>
        <w:t>向</w:t>
      </w:r>
      <w:r>
        <w:rPr>
          <w:rFonts w:hint="eastAsia"/>
          <w:color w:val="auto"/>
          <w:szCs w:val="21"/>
          <w:highlight w:val="none"/>
          <w:lang w:eastAsia="zh-CN"/>
        </w:rPr>
        <w:t>中标人</w:t>
      </w:r>
      <w:r>
        <w:rPr>
          <w:rFonts w:hint="eastAsia" w:ascii="宋体" w:hAnsi="宋体"/>
          <w:color w:val="auto"/>
          <w:szCs w:val="21"/>
          <w:highlight w:val="none"/>
        </w:rPr>
        <w:t>支付合同总金额的</w:t>
      </w:r>
      <w:r>
        <w:rPr>
          <w:rFonts w:hint="eastAsia" w:ascii="宋体" w:hAnsi="宋体"/>
          <w:color w:val="auto"/>
          <w:szCs w:val="21"/>
          <w:highlight w:val="none"/>
          <w:lang w:val="en-US" w:eastAsia="zh-CN"/>
        </w:rPr>
        <w:t>77</w:t>
      </w:r>
      <w:r>
        <w:rPr>
          <w:rFonts w:hint="eastAsia" w:ascii="宋体" w:hAnsi="宋体"/>
          <w:color w:val="auto"/>
          <w:szCs w:val="21"/>
          <w:highlight w:val="none"/>
        </w:rPr>
        <w:t>%</w:t>
      </w:r>
      <w:r>
        <w:rPr>
          <w:rFonts w:hint="eastAsia"/>
          <w:color w:val="auto"/>
          <w:szCs w:val="21"/>
          <w:highlight w:val="none"/>
          <w:lang w:eastAsia="zh-CN"/>
        </w:rPr>
        <w:t>。</w:t>
      </w:r>
    </w:p>
    <w:p>
      <w:pPr>
        <w:widowControl/>
        <w:numPr>
          <w:ilvl w:val="0"/>
          <w:numId w:val="1"/>
        </w:numPr>
        <w:ind w:firstLine="422" w:firstLineChars="150"/>
        <w:rPr>
          <w:rFonts w:ascii="宋体" w:hAnsi="宋体" w:cs="宋体"/>
          <w:b/>
          <w:color w:val="auto"/>
          <w:sz w:val="28"/>
          <w:szCs w:val="28"/>
          <w:highlight w:val="none"/>
        </w:rPr>
      </w:pPr>
      <w:r>
        <w:rPr>
          <w:rFonts w:hint="eastAsia" w:ascii="宋体" w:hAnsi="宋体" w:cs="宋体"/>
          <w:b/>
          <w:color w:val="auto"/>
          <w:sz w:val="28"/>
          <w:szCs w:val="28"/>
          <w:highlight w:val="none"/>
        </w:rPr>
        <w:t>技术要求</w:t>
      </w:r>
    </w:p>
    <w:tbl>
      <w:tblPr>
        <w:tblStyle w:val="5"/>
        <w:tblW w:w="8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419"/>
        <w:gridCol w:w="695"/>
        <w:gridCol w:w="5166"/>
        <w:gridCol w:w="620"/>
        <w:gridCol w:w="559"/>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303" w:hRule="atLeast"/>
          <w:tblHeader/>
        </w:trPr>
        <w:tc>
          <w:tcPr>
            <w:tcW w:w="419" w:type="dxa"/>
            <w:shd w:val="clear" w:color="auto" w:fill="FFFFFF" w:themeFill="background1"/>
            <w:vAlign w:val="center"/>
          </w:tcPr>
          <w:p>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序号</w:t>
            </w:r>
          </w:p>
        </w:tc>
        <w:tc>
          <w:tcPr>
            <w:tcW w:w="695" w:type="dxa"/>
            <w:shd w:val="clear" w:color="auto" w:fill="FFFFFF" w:themeFill="background1"/>
            <w:vAlign w:val="center"/>
          </w:tcPr>
          <w:p>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设备名称</w:t>
            </w:r>
          </w:p>
        </w:tc>
        <w:tc>
          <w:tcPr>
            <w:tcW w:w="5166" w:type="dxa"/>
            <w:shd w:val="clear" w:color="auto" w:fill="FFFFFF" w:themeFill="background1"/>
            <w:vAlign w:val="center"/>
          </w:tcPr>
          <w:p>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招标技术参数</w:t>
            </w:r>
          </w:p>
        </w:tc>
        <w:tc>
          <w:tcPr>
            <w:tcW w:w="620" w:type="dxa"/>
            <w:shd w:val="clear" w:color="auto" w:fill="FFFFFF" w:themeFill="background1"/>
            <w:vAlign w:val="center"/>
          </w:tcPr>
          <w:p>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单位</w:t>
            </w:r>
          </w:p>
        </w:tc>
        <w:tc>
          <w:tcPr>
            <w:tcW w:w="559" w:type="dxa"/>
            <w:shd w:val="clear" w:color="auto" w:fill="FFFFFF" w:themeFill="background1"/>
            <w:vAlign w:val="center"/>
          </w:tcPr>
          <w:p>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数量</w:t>
            </w:r>
          </w:p>
        </w:tc>
        <w:tc>
          <w:tcPr>
            <w:tcW w:w="1056" w:type="dxa"/>
            <w:shd w:val="clear" w:color="auto" w:fill="FFFFFF" w:themeFill="background1"/>
            <w:vAlign w:val="center"/>
          </w:tcPr>
          <w:p>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配置地点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1100" w:hRule="atLeast"/>
        </w:trPr>
        <w:tc>
          <w:tcPr>
            <w:tcW w:w="419" w:type="dxa"/>
            <w:shd w:val="clear" w:color="auto" w:fill="FFFFFF" w:themeFill="background1"/>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695" w:type="dxa"/>
            <w:shd w:val="clear" w:color="auto" w:fill="FFFFFF" w:themeFill="background1"/>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安全网关</w:t>
            </w:r>
          </w:p>
        </w:tc>
        <w:tc>
          <w:tcPr>
            <w:tcW w:w="5166" w:type="dxa"/>
            <w:shd w:val="clear" w:color="auto" w:fill="FFFFFF" w:themeFill="background1"/>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35114认证网关</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采用先进的IMOS架构，支持GB35114-2017标准（A类），可对设备、客户端进行身份认证。支持适配对接主流CA厂商，支持对接主流厂商的CA/KMS/签名验签服务器，并转为统一的接口，配合视频监控平台实现GB35114协议。支持用户身份认证，符合GB/T 15843.3-2008。配合视频监控平台，支持设备的接入认证管理，支持和各类客户端SDK对接管理功能，支持对视频监控平台SDK对接功能，支持第三方安全厂商对接功能，支持密钥管理分发服务功能，支持签名验签服务功能，支持远程web管理功能，支持后台SSH远程管理功能。</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内存：≥1*32GB</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内存插槽数：≥16个</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标配硬盘：≥1*【3.5寸 7.2K SATA】 4TB</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硬盘扩展：≥12个2.5/3.5英寸硬盘槽位，2个2.5英寸硬盘槽位</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内置千兆双口网卡</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业务网口：≥2*GE</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RAID卡：可选配支持RAID0、1、10、5、50、6、60等</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PCI-E插槽≥：6个</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USB接口：≥2个前置USB接口+2个后置USB接口</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视频输出接口：≥1个前置VGA接口+1个后置VGA接口</w:t>
            </w:r>
          </w:p>
        </w:tc>
        <w:tc>
          <w:tcPr>
            <w:tcW w:w="620" w:type="dxa"/>
            <w:shd w:val="clear" w:color="auto" w:fill="FFFFFF" w:themeFill="background1"/>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台</w:t>
            </w:r>
          </w:p>
        </w:tc>
        <w:tc>
          <w:tcPr>
            <w:tcW w:w="559" w:type="dxa"/>
            <w:shd w:val="clear" w:color="auto" w:fill="FFFFFF" w:themeFill="background1"/>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8</w:t>
            </w:r>
          </w:p>
        </w:tc>
        <w:tc>
          <w:tcPr>
            <w:tcW w:w="1056" w:type="dxa"/>
            <w:shd w:val="clear" w:color="auto" w:fill="FFFFFF" w:themeFill="background1"/>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站区机关1台、北京西站地区1台、北京站地区1台、朝阳站地区1台，丰台站地区1台、北京北站地区1台，北京南站地区1台、清河站地区1台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1100" w:hRule="atLeast"/>
        </w:trPr>
        <w:tc>
          <w:tcPr>
            <w:tcW w:w="419" w:type="dxa"/>
            <w:shd w:val="clear" w:color="auto" w:fill="FFFFFF" w:themeFill="background1"/>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2</w:t>
            </w:r>
          </w:p>
        </w:tc>
        <w:tc>
          <w:tcPr>
            <w:tcW w:w="695" w:type="dxa"/>
            <w:shd w:val="clear" w:color="auto" w:fill="FFFFFF" w:themeFill="background1"/>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安全认证服务器</w:t>
            </w:r>
          </w:p>
        </w:tc>
        <w:tc>
          <w:tcPr>
            <w:tcW w:w="5166" w:type="dxa"/>
            <w:shd w:val="clear" w:color="auto" w:fill="FFFFFF" w:themeFill="background1"/>
            <w:vAlign w:val="center"/>
          </w:tcPr>
          <w:p>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35114安全认证服务器，软硬一体服务器包含配置证书服务、密钥管理服务和签名验签服务。</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 xml:space="preserve">采用先进的IMOS架构，支持GB35114-2017标准（A类）。含有视频数字证书服务系统，支持数字证书和其状态的管理，包含证书申请、证书下载、证书冻结和证书解冻等。支持对已经签发的证书状态进行查询，包括有效、禁用、吊销。支持配置CA和用户证书策略，包括密码算法、密钥用途、证书有效期等。密钥算法上，支持国密SM2和国际RSA2048双算法。对于密钥管理，含有视频密钥管理系统，提供符合GB35114标准的密钥管理。该安全系统服务器支持证书的颁发和管理，配合视频监控平台支持基于数字证书方式的双向用户认证。 </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支持后台SSH远程管理功能。</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双核双线程，主频≥3.3GHz，</w:t>
            </w:r>
          </w:p>
          <w:p>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三级缓存≥3MB，</w:t>
            </w:r>
          </w:p>
          <w:p>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内存≥8G，</w:t>
            </w:r>
          </w:p>
          <w:p>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网口：≥2个千兆以太网口</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并发链接数：≥2048路</w:t>
            </w:r>
          </w:p>
          <w:p>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对称密钥存储：≥1024个</w:t>
            </w:r>
          </w:p>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非对称密钥存储：≥64对</w:t>
            </w:r>
          </w:p>
        </w:tc>
        <w:tc>
          <w:tcPr>
            <w:tcW w:w="620" w:type="dxa"/>
            <w:shd w:val="clear" w:color="auto" w:fill="FFFFFF" w:themeFill="background1"/>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台</w:t>
            </w:r>
          </w:p>
        </w:tc>
        <w:tc>
          <w:tcPr>
            <w:tcW w:w="559" w:type="dxa"/>
            <w:shd w:val="clear" w:color="auto" w:fill="FFFFFF" w:themeFill="background1"/>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8</w:t>
            </w:r>
          </w:p>
        </w:tc>
        <w:tc>
          <w:tcPr>
            <w:tcW w:w="1056" w:type="dxa"/>
            <w:shd w:val="clear" w:color="auto" w:fill="FFFFFF" w:themeFill="background1"/>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站区机关1台、北京西站地区1台、北京站地区1台、朝阳站地区1台，丰台站地区1台、北京北站地区1台，北京南站地区1台、清河站地区1台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1100" w:hRule="atLeast"/>
        </w:trPr>
        <w:tc>
          <w:tcPr>
            <w:tcW w:w="419" w:type="dxa"/>
            <w:shd w:val="clear" w:color="auto" w:fill="FFFFFF" w:themeFill="background1"/>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695" w:type="dxa"/>
            <w:shd w:val="clear" w:color="auto" w:fill="FFFFFF" w:themeFill="background1"/>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视频管理服务器</w:t>
            </w:r>
          </w:p>
        </w:tc>
        <w:tc>
          <w:tcPr>
            <w:tcW w:w="5166" w:type="dxa"/>
            <w:shd w:val="clear" w:color="auto" w:fill="FFFFFF" w:themeFill="background1"/>
            <w:vAlign w:val="center"/>
          </w:tcPr>
          <w:p>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本域摄像机管理能力 ≥500路</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可管理摄像机总数 ≥2500路</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监视器管理能力（同时建立分屏数） ≥64台</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IPSAN管理能力 ≥16台</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并发在线用户数 ≥150</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可配置最大用户数 500</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报警并发处理能力 ≥15条/s本域告警上报 ≥2条/s 跨域告警上报</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接收车辆信息/最大并发量 5000条过车/小时。</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实时监控传输方式 实时监控业务支持单播和组播的传输方式</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支持实时监控流经MS复制、转发，MS转发有动态均衡功能</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媒体转发能力 最大可支持20路入口视频流的分发，入口媒体流带宽最大40Mbps</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最大复制输出40路，出口媒体流带宽最大80Mbps</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回放业务能力 最大16路，总带宽不大于32Mbps</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支持后台SSH远程管理功能。</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内存：≥1*32GB</w:t>
            </w:r>
          </w:p>
          <w:p>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内存插槽数：≥16个</w:t>
            </w:r>
          </w:p>
          <w:p>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标配硬盘：≥1*【3.5寸 7.2K SATA】 4TB</w:t>
            </w:r>
          </w:p>
          <w:p>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硬盘扩展：≥12个2.5/3.5英寸硬盘槽位，2个2.5英寸硬盘槽位</w:t>
            </w:r>
          </w:p>
          <w:p>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内置千兆双口网卡</w:t>
            </w:r>
          </w:p>
          <w:p>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业务网口：≥2*GE</w:t>
            </w:r>
          </w:p>
          <w:p>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RAID卡：可选配支持RAID0、1、10、5、50、6、60等</w:t>
            </w:r>
          </w:p>
          <w:p>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PCI-E插槽≥：6个</w:t>
            </w:r>
          </w:p>
          <w:p>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USB接口：≥2个前置USB接口+2个后置USB接口</w:t>
            </w:r>
          </w:p>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视频输出接口：≥1个前置VGA接口+1个后置VGA接口</w:t>
            </w:r>
          </w:p>
        </w:tc>
        <w:tc>
          <w:tcPr>
            <w:tcW w:w="620" w:type="dxa"/>
            <w:shd w:val="clear" w:color="auto" w:fill="FFFFFF" w:themeFill="background1"/>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台</w:t>
            </w:r>
          </w:p>
        </w:tc>
        <w:tc>
          <w:tcPr>
            <w:tcW w:w="559" w:type="dxa"/>
            <w:shd w:val="clear" w:color="auto" w:fill="FFFFFF" w:themeFill="background1"/>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9</w:t>
            </w:r>
          </w:p>
        </w:tc>
        <w:tc>
          <w:tcPr>
            <w:tcW w:w="1056" w:type="dxa"/>
            <w:shd w:val="clear" w:color="auto" w:fill="FFFFFF" w:themeFill="background1"/>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站区机关2台、北京西站地区1台、北京站地区1台、朝阳站地区1台，丰台站地区1台、北京北站地区1台，北京南站地区1台、清河站地区1台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1100" w:hRule="atLeast"/>
        </w:trPr>
        <w:tc>
          <w:tcPr>
            <w:tcW w:w="419" w:type="dxa"/>
            <w:shd w:val="clear" w:color="auto" w:fill="FFFFFF" w:themeFill="background1"/>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4</w:t>
            </w:r>
          </w:p>
        </w:tc>
        <w:tc>
          <w:tcPr>
            <w:tcW w:w="695" w:type="dxa"/>
            <w:shd w:val="clear" w:color="auto" w:fill="FFFFFF" w:themeFill="background1"/>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流媒体转发服务器</w:t>
            </w:r>
          </w:p>
        </w:tc>
        <w:tc>
          <w:tcPr>
            <w:tcW w:w="5166" w:type="dxa"/>
            <w:shd w:val="clear" w:color="auto" w:fill="FFFFFF" w:themeFill="background1"/>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支持媒体流的复制分发</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支持媒体流转封装</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Cs w:val="21"/>
                <w:highlight w:val="none"/>
                <w:lang w:bidi="ar"/>
              </w:rPr>
              <w:t>#</w:t>
            </w:r>
            <w:r>
              <w:rPr>
                <w:rFonts w:hint="eastAsia" w:ascii="宋体" w:hAnsi="宋体" w:cs="宋体"/>
                <w:color w:val="auto"/>
                <w:kern w:val="0"/>
                <w:sz w:val="18"/>
                <w:szCs w:val="18"/>
                <w:highlight w:val="none"/>
                <w:lang w:bidi="ar"/>
              </w:rPr>
              <w:t>支持最大入口流量为768Mbps</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Cs w:val="21"/>
                <w:highlight w:val="none"/>
                <w:lang w:bidi="ar"/>
              </w:rPr>
              <w:t>#</w:t>
            </w:r>
            <w:r>
              <w:rPr>
                <w:rFonts w:hint="eastAsia" w:ascii="宋体" w:hAnsi="宋体" w:cs="宋体"/>
                <w:color w:val="auto"/>
                <w:kern w:val="0"/>
                <w:sz w:val="18"/>
                <w:szCs w:val="18"/>
                <w:highlight w:val="none"/>
                <w:lang w:bidi="ar"/>
              </w:rPr>
              <w:t>支持最大出口流量为1536Mbps</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采用国产操作系统，支持7×24小时稳定运行，并且不易受到黑客、病毒的入侵和攻击</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支持音视频单播流的复制分发</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支持音视频组播流转单播复制分发</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支持对跨域媒体流复制分发</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支持对回放媒体流的转发</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支持负载均衡和动态互备</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支持GB28181、DB33等联网标准</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支持看护进程驻守，能有效防止进程异常</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支持后台SSH远程管理功能。</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内存：≥1*32GB，</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内存插槽数：≥16个，</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标配硬盘：≥1*【3.5寸 7.2K SATA】 4TB，</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硬盘扩展：≥12个2.5/3.5英寸硬盘槽位，2个2.5英寸硬盘槽位，</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内置千兆双口网卡，</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业务网口：≥2*GE，</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RAID卡：可选配支持RAID0、1、10、5、50、6、60等，</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PCI-E插槽≥：6个，</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USB接口：≥2个前置USB接口+2个后置USB接口，</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 xml:space="preserve">视频输出接口：≥1个前置VGA接口+1个后置VGA接口            </w:t>
            </w:r>
          </w:p>
        </w:tc>
        <w:tc>
          <w:tcPr>
            <w:tcW w:w="620" w:type="dxa"/>
            <w:shd w:val="clear" w:color="auto" w:fill="FFFFFF" w:themeFill="background1"/>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台</w:t>
            </w:r>
          </w:p>
        </w:tc>
        <w:tc>
          <w:tcPr>
            <w:tcW w:w="559" w:type="dxa"/>
            <w:shd w:val="clear" w:color="auto" w:fill="FFFFFF" w:themeFill="background1"/>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10</w:t>
            </w:r>
          </w:p>
        </w:tc>
        <w:tc>
          <w:tcPr>
            <w:tcW w:w="1056" w:type="dxa"/>
            <w:shd w:val="clear" w:color="auto" w:fill="FFFFFF" w:themeFill="background1"/>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站区机关2台、北京西站地区2台、北京站地区1台、朝阳站1台，丰台站地区1台、北京北站地区1台，北京南站地区1台、清河站地区1台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1100" w:hRule="atLeast"/>
        </w:trPr>
        <w:tc>
          <w:tcPr>
            <w:tcW w:w="419" w:type="dxa"/>
            <w:shd w:val="clear" w:color="auto" w:fill="FFFFFF" w:themeFill="background1"/>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695" w:type="dxa"/>
            <w:shd w:val="clear" w:color="auto" w:fill="FFFFFF" w:themeFill="background1"/>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视觉AI服务器</w:t>
            </w:r>
          </w:p>
        </w:tc>
        <w:tc>
          <w:tcPr>
            <w:tcW w:w="5166" w:type="dxa"/>
            <w:shd w:val="clear" w:color="auto" w:fill="FFFFFF" w:themeFill="background1"/>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Cs w:val="21"/>
                <w:highlight w:val="none"/>
                <w:lang w:bidi="ar"/>
              </w:rPr>
              <w:t>#</w:t>
            </w:r>
            <w:r>
              <w:rPr>
                <w:rFonts w:hint="eastAsia" w:ascii="宋体" w:hAnsi="宋体" w:cs="宋体"/>
                <w:color w:val="auto"/>
                <w:kern w:val="0"/>
                <w:sz w:val="18"/>
                <w:szCs w:val="18"/>
                <w:highlight w:val="none"/>
                <w:lang w:bidi="ar"/>
              </w:rPr>
              <w:t>1、CPU：≥2颗，≥24核，主频≥2.1GHZ</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Cs w:val="21"/>
                <w:highlight w:val="none"/>
                <w:lang w:bidi="ar"/>
              </w:rPr>
              <w:t>#</w:t>
            </w:r>
            <w:r>
              <w:rPr>
                <w:rFonts w:hint="eastAsia" w:ascii="宋体" w:hAnsi="宋体" w:cs="宋体"/>
                <w:color w:val="auto"/>
                <w:kern w:val="0"/>
                <w:sz w:val="18"/>
                <w:szCs w:val="18"/>
                <w:highlight w:val="none"/>
                <w:lang w:bidi="ar"/>
              </w:rPr>
              <w:t>2、内存：≥512 GB（32GB*16）；</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Cs w:val="21"/>
                <w:highlight w:val="none"/>
                <w:lang w:bidi="ar"/>
              </w:rPr>
              <w:t>#</w:t>
            </w:r>
            <w:r>
              <w:rPr>
                <w:rFonts w:hint="eastAsia" w:ascii="宋体" w:hAnsi="宋体" w:cs="宋体"/>
                <w:color w:val="auto"/>
                <w:kern w:val="0"/>
                <w:sz w:val="18"/>
                <w:szCs w:val="18"/>
                <w:highlight w:val="none"/>
                <w:lang w:bidi="ar"/>
              </w:rPr>
              <w:t>3、硬盘：OS盘 ≥480GB SATA SSD * 2，存储缓存加速盘 ≥960G SATA SSD*2，本地SSD（数据盘） ≥3.84T SSD * 2，数据盘 ≥ 8T SATA HDD*6，带RAID卡×1</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4、网卡：≥双口万兆OCP卡*1/双口万兆*1/双口千兆*1</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5、电源：冗余电源</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6.与视觉AI GPU服务器搭配使用，利用CPU进行视频解码</w:t>
            </w:r>
          </w:p>
        </w:tc>
        <w:tc>
          <w:tcPr>
            <w:tcW w:w="620" w:type="dxa"/>
            <w:shd w:val="clear" w:color="auto" w:fill="FFFFFF" w:themeFill="background1"/>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台</w:t>
            </w:r>
          </w:p>
        </w:tc>
        <w:tc>
          <w:tcPr>
            <w:tcW w:w="559" w:type="dxa"/>
            <w:shd w:val="clear" w:color="auto" w:fill="FFFFFF" w:themeFill="background1"/>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8</w:t>
            </w:r>
          </w:p>
        </w:tc>
        <w:tc>
          <w:tcPr>
            <w:tcW w:w="1056" w:type="dxa"/>
            <w:shd w:val="clear" w:color="auto" w:fill="FFFFFF" w:themeFill="background1"/>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北京西站地区2台、北京站地区1台、朝阳站地区1台，丰台站地区1台、北京北站地区1台，北京南站地区1台、清河站地区1台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1100" w:hRule="atLeast"/>
        </w:trPr>
        <w:tc>
          <w:tcPr>
            <w:tcW w:w="419" w:type="dxa"/>
            <w:shd w:val="clear" w:color="auto" w:fill="FFFFFF" w:themeFill="background1"/>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6</w:t>
            </w:r>
          </w:p>
        </w:tc>
        <w:tc>
          <w:tcPr>
            <w:tcW w:w="695" w:type="dxa"/>
            <w:shd w:val="clear" w:color="auto" w:fill="FFFFFF" w:themeFill="background1"/>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视觉AI GPU服务器</w:t>
            </w:r>
          </w:p>
        </w:tc>
        <w:tc>
          <w:tcPr>
            <w:tcW w:w="5166" w:type="dxa"/>
            <w:shd w:val="clear" w:color="auto" w:fill="FFFFFF" w:themeFill="background1"/>
            <w:vAlign w:val="center"/>
          </w:tcPr>
          <w:p>
            <w:pPr>
              <w:widowControl/>
              <w:numPr>
                <w:ilvl w:val="255"/>
                <w:numId w:val="0"/>
              </w:numPr>
              <w:jc w:val="left"/>
              <w:textAlignment w:val="center"/>
              <w:rPr>
                <w:rStyle w:val="8"/>
                <w:rFonts w:hint="default"/>
                <w:color w:val="auto"/>
                <w:highlight w:val="none"/>
                <w:lang w:bidi="ar"/>
              </w:rPr>
            </w:pPr>
            <w:r>
              <w:rPr>
                <w:rFonts w:hint="eastAsia" w:ascii="宋体" w:hAnsi="宋体" w:cs="宋体"/>
                <w:color w:val="auto"/>
                <w:kern w:val="0"/>
                <w:szCs w:val="21"/>
                <w:highlight w:val="none"/>
                <w:lang w:bidi="ar"/>
              </w:rPr>
              <w:t>#</w:t>
            </w:r>
            <w:r>
              <w:rPr>
                <w:rFonts w:hint="eastAsia" w:ascii="宋体" w:hAnsi="宋体" w:cs="宋体"/>
                <w:color w:val="auto"/>
                <w:kern w:val="0"/>
                <w:sz w:val="18"/>
                <w:szCs w:val="18"/>
                <w:highlight w:val="none"/>
                <w:lang w:bidi="ar"/>
              </w:rPr>
              <w:t>1、CPU： ≥2颗，单CPU ≥24核，≥2.4GHz</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Cs w:val="21"/>
                <w:highlight w:val="none"/>
                <w:lang w:bidi="ar"/>
              </w:rPr>
              <w:t>#</w:t>
            </w:r>
            <w:r>
              <w:rPr>
                <w:rFonts w:hint="eastAsia" w:ascii="宋体" w:hAnsi="宋体" w:cs="宋体"/>
                <w:color w:val="auto"/>
                <w:kern w:val="0"/>
                <w:sz w:val="18"/>
                <w:szCs w:val="18"/>
                <w:highlight w:val="none"/>
                <w:lang w:bidi="ar"/>
              </w:rPr>
              <w:t>2、内存：≥512 GB（32GB*16）</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Cs w:val="21"/>
                <w:highlight w:val="none"/>
                <w:lang w:bidi="ar"/>
              </w:rPr>
              <w:t>#</w:t>
            </w:r>
            <w:r>
              <w:rPr>
                <w:rFonts w:hint="eastAsia" w:ascii="宋体" w:hAnsi="宋体" w:cs="宋体"/>
                <w:color w:val="auto"/>
                <w:kern w:val="0"/>
                <w:sz w:val="18"/>
                <w:szCs w:val="18"/>
                <w:highlight w:val="none"/>
                <w:lang w:bidi="ar"/>
              </w:rPr>
              <w:t>3、硬盘：系统盘 ≥480GB SATA SSD * 2，本地数据盘 ≥3.84T SATA SSD * 2，带RAID卡*1</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4、网卡：≥双口万兆网卡*2，双口千兆网卡*1</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5、电源：支持220V电压，冗余电源</w:t>
            </w:r>
            <w:r>
              <w:rPr>
                <w:color w:val="auto"/>
                <w:kern w:val="0"/>
                <w:highlight w:val="none"/>
                <w:lang w:bidi="ar"/>
              </w:rPr>
              <w:br w:type="textWrapping"/>
            </w:r>
            <w:r>
              <w:rPr>
                <w:rFonts w:hint="eastAsia" w:ascii="宋体" w:hAnsi="宋体" w:cs="宋体"/>
                <w:color w:val="auto"/>
                <w:kern w:val="0"/>
                <w:sz w:val="18"/>
                <w:szCs w:val="18"/>
                <w:highlight w:val="none"/>
                <w:lang w:bidi="ar"/>
              </w:rPr>
              <w:t>6、与视觉AI服务器搭配使用，利用显卡的硬件解码模块进行解码，支持H.264视频流格式。</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7、平均算法分析每路视频需0.32TFLOPS的浮点数计算能力。单张显卡需提供8.1TFLOPS的浮点数计算能力， 8.1TFLOPS/0.32TFLOPS≈25路，单张张显卡能处理25路编解码+颜色空间转换，每路视频应可并发实现4种算法的分析，本项目在进行视觉计算服务器显卡配置时，先期北京站、北京南站、北京北站、清河站、朝阳站、丰台站每个车站选取50路视频进行AI分析，每个车站GPU服务器显卡配置应不低于2张，北京西站管理范围较大、视频监控数量较多，选取100路视频进行AI分析，GPU服务器显卡配置应不低于4张。</w:t>
            </w:r>
          </w:p>
        </w:tc>
        <w:tc>
          <w:tcPr>
            <w:tcW w:w="620" w:type="dxa"/>
            <w:shd w:val="clear" w:color="auto" w:fill="FFFFFF" w:themeFill="background1"/>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台</w:t>
            </w:r>
          </w:p>
        </w:tc>
        <w:tc>
          <w:tcPr>
            <w:tcW w:w="559" w:type="dxa"/>
            <w:shd w:val="clear" w:color="auto" w:fill="FFFFFF" w:themeFill="background1"/>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8</w:t>
            </w:r>
          </w:p>
        </w:tc>
        <w:tc>
          <w:tcPr>
            <w:tcW w:w="1056" w:type="dxa"/>
            <w:shd w:val="clear" w:color="auto" w:fill="FFFFFF" w:themeFill="background1"/>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北京西站地区2台、北京站地区1台、朝阳站地区1台，丰台站地区1台、北京北站地区1台，北京南站地区1台、清河站地区1台</w:t>
            </w:r>
          </w:p>
        </w:tc>
      </w:tr>
    </w:tbl>
    <w:p>
      <w:pPr>
        <w:pStyle w:val="7"/>
        <w:spacing w:before="156" w:beforeLines="50"/>
        <w:ind w:firstLine="420" w:firstLineChars="0"/>
        <w:outlineLvl w:val="1"/>
        <w:rPr>
          <w:rFonts w:cs="宋体"/>
          <w:bCs/>
          <w:color w:val="auto"/>
          <w:szCs w:val="24"/>
          <w:highlight w:val="none"/>
        </w:rPr>
      </w:pPr>
      <w:r>
        <w:rPr>
          <w:rFonts w:hint="eastAsia" w:cs="宋体"/>
          <w:bCs/>
          <w:color w:val="auto"/>
          <w:szCs w:val="24"/>
          <w:highlight w:val="none"/>
        </w:rPr>
        <w:t>针对以上服务器，供应商同时需提供以下技术响应指标</w:t>
      </w:r>
    </w:p>
    <w:tbl>
      <w:tblPr>
        <w:tblStyle w:val="5"/>
        <w:tblW w:w="8519" w:type="dxa"/>
        <w:tblInd w:w="0" w:type="dxa"/>
        <w:tblLayout w:type="fixed"/>
        <w:tblCellMar>
          <w:top w:w="0" w:type="dxa"/>
          <w:left w:w="108" w:type="dxa"/>
          <w:bottom w:w="0" w:type="dxa"/>
          <w:right w:w="108" w:type="dxa"/>
        </w:tblCellMar>
      </w:tblPr>
      <w:tblGrid>
        <w:gridCol w:w="397"/>
        <w:gridCol w:w="1019"/>
        <w:gridCol w:w="2011"/>
        <w:gridCol w:w="5092"/>
      </w:tblGrid>
      <w:tr>
        <w:tblPrEx>
          <w:tblLayout w:type="fixed"/>
          <w:tblCellMar>
            <w:top w:w="0" w:type="dxa"/>
            <w:left w:w="108" w:type="dxa"/>
            <w:bottom w:w="0" w:type="dxa"/>
            <w:right w:w="108" w:type="dxa"/>
          </w:tblCellMar>
        </w:tblPrEx>
        <w:trPr>
          <w:trHeight w:val="2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lang w:bidi="ar"/>
              </w:rPr>
              <w:t>序号</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lang w:bidi="ar"/>
              </w:rPr>
              <w:t>一级指标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lang w:bidi="ar"/>
              </w:rPr>
              <w:t>二级指标</w:t>
            </w:r>
            <w:r>
              <w:rPr>
                <w:rStyle w:val="9"/>
                <w:rFonts w:hint="default"/>
                <w:color w:val="auto"/>
                <w:highlight w:val="none"/>
                <w:lang w:bidi="ar"/>
              </w:rPr>
              <w:t xml:space="preserve"> </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lang w:bidi="ar"/>
              </w:rPr>
              <w:t>指标要求</w:t>
            </w:r>
          </w:p>
        </w:tc>
      </w:tr>
      <w:tr>
        <w:tblPrEx>
          <w:tblLayout w:type="fixed"/>
          <w:tblCellMar>
            <w:top w:w="0" w:type="dxa"/>
            <w:left w:w="108" w:type="dxa"/>
            <w:bottom w:w="0" w:type="dxa"/>
            <w:right w:w="108" w:type="dxa"/>
          </w:tblCellMar>
        </w:tblPrEx>
        <w:trPr>
          <w:trHeight w:val="56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1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CPU规格</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CPU 信息</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供应商给出CPU 信息 ，包含 CPU 型号 、物理核心数 、主频 、末级缓存容量 、线程数 、热设计功耗及支持内存的最高速率 、通道数和位宽</w:t>
            </w:r>
          </w:p>
        </w:tc>
      </w:tr>
      <w:tr>
        <w:tblPrEx>
          <w:tblLayout w:type="fixed"/>
          <w:tblCellMar>
            <w:top w:w="0" w:type="dxa"/>
            <w:left w:w="108" w:type="dxa"/>
            <w:bottom w:w="0" w:type="dxa"/>
            <w:right w:w="108" w:type="dxa"/>
          </w:tblCellMar>
        </w:tblPrEx>
        <w:trPr>
          <w:trHeight w:val="2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2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主板规格</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主板支持的 CPU 和内存情况</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供应商给出主板支持的CPU 和内存的型号数量</w:t>
            </w:r>
          </w:p>
        </w:tc>
      </w:tr>
      <w:tr>
        <w:tblPrEx>
          <w:tblLayout w:type="fixed"/>
          <w:tblCellMar>
            <w:top w:w="0" w:type="dxa"/>
            <w:left w:w="108" w:type="dxa"/>
            <w:bottom w:w="0" w:type="dxa"/>
            <w:right w:w="108" w:type="dxa"/>
          </w:tblCellMar>
        </w:tblPrEx>
        <w:trPr>
          <w:trHeight w:val="280" w:hRule="atLeast"/>
        </w:trPr>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3 </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存储规格</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硬盘类型</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供应商给出服务器支持硬磁盘和固态盘类型及规格</w:t>
            </w:r>
          </w:p>
        </w:tc>
      </w:tr>
      <w:tr>
        <w:tblPrEx>
          <w:tblLayout w:type="fixed"/>
          <w:tblCellMar>
            <w:top w:w="0" w:type="dxa"/>
            <w:left w:w="108" w:type="dxa"/>
            <w:bottom w:w="0" w:type="dxa"/>
            <w:right w:w="108" w:type="dxa"/>
          </w:tblCellMar>
        </w:tblPrEx>
        <w:trPr>
          <w:trHeight w:val="560" w:hRule="atLeast"/>
        </w:trPr>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highlight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18"/>
                <w:szCs w:val="18"/>
                <w:highlight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硬盘插槽数量及规格</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供应商应给出配置的硬盘尺寸，</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如 2.5 英寸 、3.5 英寸硬磁盘；</w:t>
            </w:r>
          </w:p>
        </w:tc>
      </w:tr>
      <w:tr>
        <w:tblPrEx>
          <w:tblLayout w:type="fixed"/>
          <w:tblCellMar>
            <w:top w:w="0" w:type="dxa"/>
            <w:left w:w="108" w:type="dxa"/>
            <w:bottom w:w="0" w:type="dxa"/>
            <w:right w:w="108" w:type="dxa"/>
          </w:tblCellMar>
        </w:tblPrEx>
        <w:trPr>
          <w:trHeight w:val="280" w:hRule="atLeast"/>
        </w:trPr>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4 </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整机规格</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尺寸（高×宽×深）</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bdr w:val="single" w:color="000000" w:sz="4" w:space="0"/>
                <w:lang w:bidi="ar"/>
              </w:rPr>
              <w:drawing>
                <wp:anchor distT="0" distB="0" distL="114300" distR="114300" simplePos="0" relativeHeight="251660288" behindDoc="0" locked="0" layoutInCell="1" allowOverlap="1">
                  <wp:simplePos x="0" y="0"/>
                  <wp:positionH relativeFrom="column">
                    <wp:posOffset>12065</wp:posOffset>
                  </wp:positionH>
                  <wp:positionV relativeFrom="paragraph">
                    <wp:posOffset>0</wp:posOffset>
                  </wp:positionV>
                  <wp:extent cx="76835" cy="48260"/>
                  <wp:effectExtent l="0" t="0" r="0" b="0"/>
                  <wp:wrapNone/>
                  <wp:docPr id="1" name="textbox1"/>
                  <wp:cNvGraphicFramePr/>
                  <a:graphic xmlns:a="http://schemas.openxmlformats.org/drawingml/2006/main">
                    <a:graphicData uri="http://schemas.openxmlformats.org/drawingml/2006/picture">
                      <pic:pic xmlns:pic="http://schemas.openxmlformats.org/drawingml/2006/picture">
                        <pic:nvPicPr>
                          <pic:cNvPr id="1" name="textbox1"/>
                          <pic:cNvPicPr/>
                        </pic:nvPicPr>
                        <pic:blipFill>
                          <a:blip r:embed="rId4"/>
                          <a:stretch>
                            <a:fillRect/>
                          </a:stretch>
                        </pic:blipFill>
                        <pic:spPr>
                          <a:xfrm>
                            <a:off x="0" y="0"/>
                            <a:ext cx="76835" cy="48260"/>
                          </a:xfrm>
                          <a:prstGeom prst="rect">
                            <a:avLst/>
                          </a:prstGeom>
                          <a:noFill/>
                          <a:ln>
                            <a:noFill/>
                          </a:ln>
                        </pic:spPr>
                      </pic:pic>
                    </a:graphicData>
                  </a:graphic>
                </wp:anchor>
              </w:drawing>
            </w:r>
            <w:r>
              <w:rPr>
                <w:rFonts w:hint="eastAsia" w:ascii="宋体" w:hAnsi="宋体" w:cs="宋体"/>
                <w:color w:val="auto"/>
                <w:kern w:val="0"/>
                <w:sz w:val="18"/>
                <w:szCs w:val="18"/>
                <w:highlight w:val="none"/>
                <w:lang w:bidi="ar"/>
              </w:rPr>
              <w:t>供应商给出产品尺寸；</w:t>
            </w:r>
          </w:p>
        </w:tc>
      </w:tr>
      <w:tr>
        <w:tblPrEx>
          <w:tblLayout w:type="fixed"/>
          <w:tblCellMar>
            <w:top w:w="0" w:type="dxa"/>
            <w:left w:w="108" w:type="dxa"/>
            <w:bottom w:w="0" w:type="dxa"/>
            <w:right w:w="108" w:type="dxa"/>
          </w:tblCellMar>
        </w:tblPrEx>
        <w:trPr>
          <w:trHeight w:val="280" w:hRule="atLeast"/>
        </w:trPr>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highlight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18"/>
                <w:szCs w:val="18"/>
                <w:highlight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服务器导轨</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供应商给出导轨尺寸 、安装方式等信息</w:t>
            </w:r>
          </w:p>
        </w:tc>
      </w:tr>
      <w:tr>
        <w:tblPrEx>
          <w:tblLayout w:type="fixed"/>
          <w:tblCellMar>
            <w:top w:w="0" w:type="dxa"/>
            <w:left w:w="108" w:type="dxa"/>
            <w:bottom w:w="0" w:type="dxa"/>
            <w:right w:w="108" w:type="dxa"/>
          </w:tblCellMar>
        </w:tblPrEx>
        <w:trPr>
          <w:trHeight w:val="280" w:hRule="atLeast"/>
        </w:trPr>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highlight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18"/>
                <w:szCs w:val="18"/>
                <w:highlight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CPU 个数与机柜高度单位(U)比</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供应商给出CPU 个数与机柜高度</w:t>
            </w:r>
          </w:p>
        </w:tc>
      </w:tr>
      <w:tr>
        <w:tblPrEx>
          <w:tblLayout w:type="fixed"/>
          <w:tblCellMar>
            <w:top w:w="0" w:type="dxa"/>
            <w:left w:w="108" w:type="dxa"/>
            <w:bottom w:w="0" w:type="dxa"/>
            <w:right w:w="108" w:type="dxa"/>
          </w:tblCellMar>
        </w:tblPrEx>
        <w:trPr>
          <w:trHeight w:val="2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5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机柜规格</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机柜尺寸</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供应商给出长度、高度和深度</w:t>
            </w:r>
          </w:p>
        </w:tc>
      </w:tr>
    </w:tbl>
    <w:p>
      <w:pPr>
        <w:pStyle w:val="7"/>
        <w:spacing w:before="156" w:beforeLines="50"/>
        <w:ind w:firstLine="420" w:firstLineChars="0"/>
        <w:outlineLvl w:val="1"/>
        <w:rPr>
          <w:rFonts w:cs="宋体"/>
          <w:b/>
          <w:color w:val="auto"/>
          <w:sz w:val="28"/>
          <w:szCs w:val="28"/>
          <w:highlight w:val="none"/>
        </w:rPr>
      </w:pPr>
      <w:r>
        <w:rPr>
          <w:rFonts w:hint="eastAsia" w:cs="宋体"/>
          <w:b/>
          <w:color w:val="auto"/>
          <w:sz w:val="28"/>
          <w:szCs w:val="28"/>
          <w:highlight w:val="none"/>
        </w:rPr>
        <w:t>四．投标人其他资格要求</w:t>
      </w:r>
    </w:p>
    <w:p>
      <w:pPr>
        <w:pStyle w:val="10"/>
        <w:adjustRightInd w:val="0"/>
        <w:spacing w:line="360" w:lineRule="auto"/>
        <w:ind w:firstLine="480"/>
        <w:contextualSpacing/>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1）投标供应商中标后，需独立承担为满足本项目建设目标、建设内容、建设要求、货物及服务需求、技术规格要求、中标后的深化设计方案等所需增加的设备材料、应用系统、技术支持与服务等产生的全部费用，其中包含与视频监控系统、物联感知系统、视觉AI感知系统等相关的安装与调试工作，以及为实现无缝对接而增设的支撑设施。 投标人在投标前已进行全面测算和充分预留，采购人无需追加任何费用；</w:t>
      </w:r>
      <w:r>
        <w:rPr>
          <w:rFonts w:ascii="Segoe UI Symbol" w:hAnsi="Segoe UI Symbol" w:cs="Segoe UI Symbol" w:eastAsiaTheme="minorEastAsia"/>
          <w:color w:val="auto"/>
          <w:kern w:val="0"/>
          <w:sz w:val="24"/>
          <w:highlight w:val="none"/>
        </w:rPr>
        <w:t>★</w:t>
      </w:r>
      <w:r>
        <w:rPr>
          <w:rFonts w:hint="eastAsia" w:ascii="Times New Roman" w:hAnsi="Times New Roman"/>
          <w:color w:val="auto"/>
          <w:sz w:val="24"/>
          <w:szCs w:val="24"/>
          <w:highlight w:val="none"/>
        </w:rPr>
        <w:t>投标人应提供关于本项上述内容的承诺书</w:t>
      </w:r>
      <w:r>
        <w:rPr>
          <w:rFonts w:hint="eastAsia" w:ascii="宋体" w:hAnsi="宋体" w:cs="宋体"/>
          <w:color w:val="auto"/>
          <w:sz w:val="24"/>
          <w:szCs w:val="24"/>
          <w:highlight w:val="none"/>
        </w:rPr>
        <w:t>（格式自拟）。</w:t>
      </w:r>
    </w:p>
    <w:p>
      <w:pPr>
        <w:pStyle w:val="10"/>
        <w:adjustRightInd w:val="0"/>
        <w:spacing w:line="360" w:lineRule="auto"/>
        <w:ind w:firstLine="480"/>
        <w:contextualSpacing/>
        <w:jc w:val="left"/>
        <w:rPr>
          <w:rFonts w:ascii="宋体" w:hAnsi="宋体" w:cs="宋体"/>
          <w:color w:val="auto"/>
          <w:sz w:val="24"/>
          <w:szCs w:val="24"/>
          <w:highlight w:val="none"/>
        </w:rPr>
      </w:pPr>
      <w:r>
        <w:rPr>
          <w:rFonts w:hint="eastAsia" w:ascii="Times New Roman" w:hAnsi="Times New Roman"/>
          <w:color w:val="auto"/>
          <w:sz w:val="24"/>
          <w:szCs w:val="24"/>
          <w:highlight w:val="none"/>
        </w:rPr>
        <w:t>（2）对于招标文件中未明确规定参数的货物，投标人提供的产品均符合国家现行技术标准、质量标准和验收规范，并按监理方的要求提供货物合格证明材料，采购人和监理方有权对进场的货物进行抽样检验，所需费用由投标人承担。</w:t>
      </w:r>
      <w:r>
        <w:rPr>
          <w:rFonts w:ascii="Segoe UI Symbol" w:hAnsi="Segoe UI Symbol" w:cs="Segoe UI Symbol" w:eastAsiaTheme="minorEastAsia"/>
          <w:color w:val="auto"/>
          <w:kern w:val="0"/>
          <w:sz w:val="24"/>
          <w:highlight w:val="none"/>
        </w:rPr>
        <w:t>★</w:t>
      </w:r>
      <w:r>
        <w:rPr>
          <w:rFonts w:hint="eastAsia" w:ascii="Times New Roman" w:hAnsi="Times New Roman"/>
          <w:color w:val="auto"/>
          <w:sz w:val="24"/>
          <w:szCs w:val="24"/>
          <w:highlight w:val="none"/>
        </w:rPr>
        <w:t>投标人应提供关于本项上述内容的承诺书</w:t>
      </w:r>
      <w:r>
        <w:rPr>
          <w:rFonts w:hint="eastAsia" w:ascii="宋体" w:hAnsi="宋体" w:cs="宋体"/>
          <w:color w:val="auto"/>
          <w:sz w:val="24"/>
          <w:szCs w:val="24"/>
          <w:highlight w:val="none"/>
        </w:rPr>
        <w:t>（格式自拟）。</w:t>
      </w:r>
    </w:p>
    <w:p>
      <w:pPr>
        <w:spacing w:line="360" w:lineRule="auto"/>
        <w:ind w:firstLine="240" w:firstLineChars="100"/>
        <w:contextualSpacing/>
        <w:rPr>
          <w:color w:val="auto"/>
          <w:sz w:val="24"/>
          <w:highlight w:val="none"/>
        </w:rPr>
      </w:pPr>
      <w:r>
        <w:rPr>
          <w:rFonts w:ascii="Segoe UI Symbol" w:hAnsi="Segoe UI Symbol" w:cs="Segoe UI Symbol" w:eastAsiaTheme="minorEastAsia"/>
          <w:color w:val="auto"/>
          <w:kern w:val="0"/>
          <w:sz w:val="24"/>
          <w:highlight w:val="none"/>
        </w:rPr>
        <w:t>★</w:t>
      </w:r>
      <w:r>
        <w:rPr>
          <w:rFonts w:hint="eastAsia" w:ascii="Segoe UI Symbol" w:hAnsi="Segoe UI Symbol" w:cs="Segoe UI Symbol" w:eastAsiaTheme="minorEastAsia"/>
          <w:color w:val="auto"/>
          <w:kern w:val="0"/>
          <w:sz w:val="24"/>
          <w:highlight w:val="none"/>
        </w:rPr>
        <w:t>（</w:t>
      </w:r>
      <w:r>
        <w:rPr>
          <w:rFonts w:ascii="宋体" w:hAnsi="宋体" w:cs="宋体"/>
          <w:color w:val="auto"/>
          <w:sz w:val="24"/>
          <w:highlight w:val="none"/>
        </w:rPr>
        <w:t>3</w:t>
      </w:r>
      <w:r>
        <w:rPr>
          <w:rFonts w:hint="eastAsia" w:ascii="宋体" w:hAnsi="宋体" w:cs="宋体"/>
          <w:color w:val="auto"/>
          <w:sz w:val="24"/>
          <w:highlight w:val="none"/>
        </w:rPr>
        <w:t>）投标人承诺所投产品符合财政部、工信部发布的《通用服务器政府采购需求标准(2023版)》(财库[2023]33号》中所有*指标要求，提供加盖投标人公章的承诺函。</w:t>
      </w:r>
    </w:p>
    <w:p>
      <w:pPr>
        <w:spacing w:line="360" w:lineRule="auto"/>
        <w:contextualSpacing/>
        <w:rPr>
          <w:color w:val="auto"/>
          <w:sz w:val="24"/>
          <w:highlight w:val="none"/>
        </w:rPr>
      </w:pPr>
    </w:p>
    <w:p>
      <w:pPr>
        <w:spacing w:line="360" w:lineRule="auto"/>
        <w:ind w:firstLine="240" w:firstLineChars="100"/>
        <w:contextualSpacing/>
        <w:rPr>
          <w:color w:val="auto"/>
          <w:sz w:val="24"/>
          <w:highlight w:val="none"/>
        </w:rPr>
      </w:pPr>
    </w:p>
    <w:p>
      <w:pPr>
        <w:spacing w:line="360" w:lineRule="auto"/>
        <w:ind w:firstLine="240" w:firstLineChars="100"/>
        <w:contextualSpacing/>
        <w:rPr>
          <w:color w:val="auto"/>
          <w:sz w:val="24"/>
          <w:highlight w:val="none"/>
        </w:rPr>
      </w:pP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FE38DD"/>
    <w:multiLevelType w:val="singleLevel"/>
    <w:tmpl w:val="BFFE38DD"/>
    <w:lvl w:ilvl="0" w:tentative="0">
      <w:start w:val="1"/>
      <w:numFmt w:val="chineseCounting"/>
      <w:suff w:val="nothing"/>
      <w:lvlText w:val="（%1）"/>
      <w:lvlJc w:val="left"/>
      <w:pPr>
        <w:ind w:left="0" w:firstLine="420"/>
      </w:pPr>
      <w:rPr>
        <w:rFonts w:hint="eastAsia"/>
      </w:rPr>
    </w:lvl>
  </w:abstractNum>
  <w:abstractNum w:abstractNumId="1">
    <w:nsid w:val="F6BCA8BA"/>
    <w:multiLevelType w:val="singleLevel"/>
    <w:tmpl w:val="F6BCA8B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B2180"/>
    <w:rsid w:val="09191A72"/>
    <w:rsid w:val="0BEB2180"/>
    <w:rsid w:val="111D54A2"/>
    <w:rsid w:val="2A810D6A"/>
    <w:rsid w:val="35FE5746"/>
    <w:rsid w:val="522477C2"/>
    <w:rsid w:val="5C1F5F1C"/>
    <w:rsid w:val="618E5898"/>
    <w:rsid w:val="7BA30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customStyle="1" w:styleId="4">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
    <w:name w:val="my正文"/>
    <w:qFormat/>
    <w:uiPriority w:val="0"/>
    <w:pPr>
      <w:spacing w:line="360" w:lineRule="auto"/>
      <w:ind w:firstLine="225" w:firstLineChars="225"/>
    </w:pPr>
    <w:rPr>
      <w:rFonts w:ascii="宋体" w:hAnsi="宋体" w:eastAsia="宋体" w:cs="Times New Roman"/>
      <w:kern w:val="2"/>
      <w:sz w:val="24"/>
      <w:szCs w:val="22"/>
      <w:lang w:val="en-US" w:eastAsia="zh-CN" w:bidi="ar-SA"/>
    </w:rPr>
  </w:style>
  <w:style w:type="character" w:customStyle="1" w:styleId="8">
    <w:name w:val="font71"/>
    <w:basedOn w:val="6"/>
    <w:qFormat/>
    <w:uiPriority w:val="0"/>
    <w:rPr>
      <w:rFonts w:hint="eastAsia" w:ascii="宋体" w:hAnsi="宋体" w:eastAsia="宋体" w:cs="宋体"/>
      <w:color w:val="30C0B4"/>
      <w:sz w:val="18"/>
      <w:szCs w:val="18"/>
      <w:u w:val="none"/>
    </w:rPr>
  </w:style>
  <w:style w:type="character" w:customStyle="1" w:styleId="9">
    <w:name w:val="font41"/>
    <w:basedOn w:val="6"/>
    <w:qFormat/>
    <w:uiPriority w:val="0"/>
    <w:rPr>
      <w:rFonts w:hint="eastAsia" w:ascii="宋体" w:hAnsi="宋体" w:eastAsia="宋体" w:cs="宋体"/>
      <w:color w:val="000000"/>
      <w:sz w:val="18"/>
      <w:szCs w:val="18"/>
      <w:u w:val="none"/>
    </w:rPr>
  </w:style>
  <w:style w:type="paragraph" w:styleId="1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2026-01-23T06:00:00Z</dcterms:created>
  <dc:creator>卓</dc:creator>
  <cp:lastModifiedBy>11</cp:lastModifiedBy>
  <dcterms:modified xsi:type="dcterms:W3CDTF">2026-04-07T03:12:31Z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0A5E8D97D8CF406B9A58480D46E61568_11</vt:lpwstr>
  </property>
  <property fmtid="{D5CDD505-2E9C-101B-9397-08002B2CF9AE}" pid="4" name="KSOTemplateDocerSaveRecord">
    <vt:lpwstr>eyJoZGlkIjoiNTQ2YWU4ZmVkMTg2MmRlOGU2ZWVkODQzZWU5OTBiZDAiLCJ1c2VySWQiOiI1NDQ3NjE0MjMifQ==</vt:lpwstr>
  </property>
</Properties>
</file>