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B321A4B">
      <w:pPr>
        <w:spacing w:line="360" w:lineRule="auto"/>
        <w:jc w:val="center"/>
        <w:outlineLvl w:val="0"/>
        <w:rPr>
          <w:b/>
          <w:sz w:val="36"/>
          <w:szCs w:val="36"/>
        </w:rPr>
      </w:pPr>
      <w:bookmarkStart w:id="0" w:name="_Toc99301424"/>
      <w:bookmarkStart w:id="1" w:name="_Toc127151555"/>
      <w:bookmarkStart w:id="2" w:name="_Toc150480793"/>
      <w:bookmarkStart w:id="3" w:name="_Toc264969245"/>
      <w:bookmarkStart w:id="4" w:name="_Toc142311057"/>
      <w:bookmarkStart w:id="5" w:name="_Toc305158823"/>
      <w:bookmarkStart w:id="6" w:name="_Toc265228393"/>
      <w:bookmarkStart w:id="7" w:name="_Toc305158897"/>
      <w:bookmarkStart w:id="8" w:name="_Toc226965828"/>
      <w:bookmarkStart w:id="9" w:name="_Toc150774760"/>
      <w:bookmarkStart w:id="10" w:name="_Toc353873935"/>
      <w:bookmarkStart w:id="11" w:name="_Toc195842920"/>
      <w:bookmarkStart w:id="12" w:name="_Toc353825545"/>
      <w:bookmarkStart w:id="13" w:name="_Toc226337251"/>
      <w:bookmarkStart w:id="14" w:name="_Toc353873665"/>
      <w:r>
        <w:rPr>
          <w:b/>
          <w:sz w:val="36"/>
          <w:szCs w:val="36"/>
        </w:rPr>
        <w:t xml:space="preserve">   采购需求</w:t>
      </w:r>
      <w:bookmarkEnd w:id="0"/>
    </w:p>
    <w:p w14:paraId="0C74EF7F"/>
    <w:p w14:paraId="4BC09BEA">
      <w:pPr>
        <w:pStyle w:val="60"/>
        <w:numPr>
          <w:ilvl w:val="0"/>
          <w:numId w:val="8"/>
        </w:numPr>
        <w:spacing w:line="360" w:lineRule="auto"/>
        <w:ind w:firstLineChars="0"/>
        <w:contextualSpacing/>
        <w:rPr>
          <w:rFonts w:ascii="Times New Roman" w:hAnsi="Times New Roman" w:eastAsia="宋体"/>
          <w:b/>
          <w:color w:val="auto"/>
          <w:sz w:val="24"/>
          <w:szCs w:val="24"/>
          <w:highlight w:val="none"/>
        </w:rPr>
      </w:pPr>
      <w:r>
        <w:rPr>
          <w:rFonts w:ascii="Times New Roman" w:hAnsi="Times New Roman" w:eastAsia="宋体"/>
          <w:b/>
          <w:color w:val="auto"/>
          <w:sz w:val="24"/>
          <w:szCs w:val="24"/>
          <w:highlight w:val="none"/>
        </w:rPr>
        <w:t>采购标的</w:t>
      </w:r>
    </w:p>
    <w:p w14:paraId="190FAA8F">
      <w:pPr>
        <w:spacing w:line="360" w:lineRule="auto"/>
        <w:contextualSpacing/>
        <w:rPr>
          <w:rFonts w:ascii="Times New Roman" w:hAnsi="Times New Roman" w:eastAsia="宋体"/>
          <w:bCs/>
          <w:color w:val="auto"/>
          <w:sz w:val="24"/>
          <w:highlight w:val="none"/>
        </w:rPr>
      </w:pPr>
      <w:r>
        <w:rPr>
          <w:rFonts w:ascii="Times New Roman" w:hAnsi="Times New Roman" w:eastAsia="宋体"/>
          <w:bCs/>
          <w:color w:val="auto"/>
          <w:sz w:val="24"/>
          <w:highlight w:val="none"/>
        </w:rPr>
        <w:t>1. 采购标的</w:t>
      </w:r>
    </w:p>
    <w:tbl>
      <w:tblPr>
        <w:tblStyle w:val="4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2"/>
        <w:gridCol w:w="2322"/>
        <w:gridCol w:w="2322"/>
        <w:gridCol w:w="2322"/>
      </w:tblGrid>
      <w:tr w14:paraId="02B6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322" w:type="dxa"/>
            <w:vAlign w:val="center"/>
          </w:tcPr>
          <w:p w14:paraId="64272D4A">
            <w:pPr>
              <w:pStyle w:val="55"/>
              <w:keepNext w:val="0"/>
              <w:keepLines w:val="0"/>
              <w:suppressLineNumbers w:val="0"/>
              <w:autoSpaceDE w:val="0"/>
              <w:autoSpaceDN w:val="0"/>
              <w:spacing w:before="0" w:beforeAutospacing="0" w:after="0" w:afterAutospacing="0"/>
              <w:ind w:left="0" w:right="0"/>
              <w:rPr>
                <w:rFonts w:hint="eastAsia" w:cs="Times New Roman"/>
                <w:b/>
                <w:bCs/>
                <w:color w:val="auto"/>
                <w:sz w:val="21"/>
                <w:highlight w:val="none"/>
                <w:vertAlign w:val="baseline"/>
                <w:lang w:eastAsia="zh-CN"/>
              </w:rPr>
            </w:pPr>
            <w:r>
              <w:rPr>
                <w:rFonts w:hint="eastAsia" w:cs="Times New Roman"/>
                <w:b/>
                <w:bCs/>
                <w:color w:val="auto"/>
                <w:sz w:val="21"/>
                <w:highlight w:val="none"/>
                <w:vertAlign w:val="baseline"/>
                <w:lang w:eastAsia="zh-CN"/>
              </w:rPr>
              <w:t>序号</w:t>
            </w:r>
          </w:p>
        </w:tc>
        <w:tc>
          <w:tcPr>
            <w:tcW w:w="2322" w:type="dxa"/>
            <w:vAlign w:val="center"/>
          </w:tcPr>
          <w:p w14:paraId="3FDCEDC7">
            <w:pPr>
              <w:pStyle w:val="55"/>
              <w:keepNext w:val="0"/>
              <w:keepLines w:val="0"/>
              <w:suppressLineNumbers w:val="0"/>
              <w:autoSpaceDE w:val="0"/>
              <w:autoSpaceDN w:val="0"/>
              <w:spacing w:before="0" w:beforeAutospacing="0" w:after="0" w:afterAutospacing="0"/>
              <w:ind w:left="0" w:right="0"/>
              <w:rPr>
                <w:rFonts w:hint="eastAsia" w:cs="Times New Roman"/>
                <w:b/>
                <w:bCs/>
                <w:color w:val="auto"/>
                <w:sz w:val="21"/>
                <w:highlight w:val="none"/>
                <w:vertAlign w:val="baseline"/>
                <w:lang w:eastAsia="zh-CN"/>
              </w:rPr>
            </w:pPr>
            <w:r>
              <w:rPr>
                <w:rFonts w:hint="eastAsia" w:ascii="Times New Roman" w:hAnsi="Times New Roman" w:eastAsia="宋体" w:cs="Times New Roman"/>
                <w:b/>
                <w:bCs/>
                <w:color w:val="auto"/>
                <w:sz w:val="21"/>
                <w:highlight w:val="none"/>
              </w:rPr>
              <w:t>采购标的</w:t>
            </w:r>
          </w:p>
        </w:tc>
        <w:tc>
          <w:tcPr>
            <w:tcW w:w="2322" w:type="dxa"/>
            <w:vAlign w:val="center"/>
          </w:tcPr>
          <w:p w14:paraId="61F2C9C6">
            <w:pPr>
              <w:pStyle w:val="55"/>
              <w:keepNext w:val="0"/>
              <w:keepLines w:val="0"/>
              <w:suppressLineNumbers w:val="0"/>
              <w:autoSpaceDE w:val="0"/>
              <w:autoSpaceDN w:val="0"/>
              <w:spacing w:before="0" w:beforeAutospacing="0" w:after="0" w:afterAutospacing="0"/>
              <w:ind w:left="0" w:right="0"/>
              <w:rPr>
                <w:rFonts w:hint="eastAsia" w:cs="Times New Roman"/>
                <w:b/>
                <w:bCs/>
                <w:color w:val="auto"/>
                <w:sz w:val="21"/>
                <w:highlight w:val="none"/>
                <w:vertAlign w:val="baseline"/>
                <w:lang w:eastAsia="zh-CN"/>
              </w:rPr>
            </w:pPr>
            <w:r>
              <w:rPr>
                <w:rFonts w:hint="eastAsia" w:cs="Times New Roman"/>
                <w:b/>
                <w:bCs/>
                <w:color w:val="auto"/>
                <w:sz w:val="21"/>
                <w:highlight w:val="none"/>
                <w:vertAlign w:val="baseline"/>
                <w:lang w:eastAsia="zh-CN"/>
              </w:rPr>
              <w:t>数量</w:t>
            </w:r>
          </w:p>
        </w:tc>
        <w:tc>
          <w:tcPr>
            <w:tcW w:w="2322" w:type="dxa"/>
            <w:vAlign w:val="center"/>
          </w:tcPr>
          <w:p w14:paraId="25BA148D">
            <w:pPr>
              <w:pStyle w:val="55"/>
              <w:keepNext w:val="0"/>
              <w:keepLines w:val="0"/>
              <w:suppressLineNumbers w:val="0"/>
              <w:autoSpaceDE w:val="0"/>
              <w:autoSpaceDN w:val="0"/>
              <w:spacing w:before="0" w:beforeAutospacing="0" w:after="0" w:afterAutospacing="0"/>
              <w:ind w:left="0" w:right="0"/>
              <w:rPr>
                <w:rFonts w:hint="eastAsia" w:cs="Times New Roman"/>
                <w:b/>
                <w:bCs/>
                <w:color w:val="auto"/>
                <w:sz w:val="21"/>
                <w:highlight w:val="none"/>
                <w:vertAlign w:val="baseline"/>
                <w:lang w:eastAsia="zh-CN"/>
              </w:rPr>
            </w:pPr>
            <w:r>
              <w:rPr>
                <w:rFonts w:hint="eastAsia" w:cs="Times New Roman"/>
                <w:b/>
                <w:bCs/>
                <w:color w:val="auto"/>
                <w:sz w:val="21"/>
                <w:highlight w:val="none"/>
                <w:vertAlign w:val="baseline"/>
                <w:lang w:eastAsia="zh-CN"/>
              </w:rPr>
              <w:t>单位</w:t>
            </w:r>
          </w:p>
        </w:tc>
      </w:tr>
      <w:tr w14:paraId="28A40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2322" w:type="dxa"/>
            <w:vAlign w:val="center"/>
          </w:tcPr>
          <w:p w14:paraId="4225F781">
            <w:pPr>
              <w:keepNext w:val="0"/>
              <w:keepLines w:val="0"/>
              <w:suppressLineNumbers w:val="0"/>
              <w:autoSpaceDE w:val="0"/>
              <w:autoSpaceDN w:val="0"/>
              <w:spacing w:before="0" w:beforeAutospacing="0" w:after="0" w:afterAutospacing="0" w:line="240" w:lineRule="auto"/>
              <w:ind w:left="0" w:right="0"/>
              <w:contextualSpacing w:val="0"/>
              <w:jc w:val="center"/>
              <w:rPr>
                <w:rFonts w:hint="eastAsia" w:cs="宋体"/>
                <w:bCs w:val="0"/>
                <w:color w:val="auto"/>
                <w:sz w:val="21"/>
                <w:szCs w:val="21"/>
                <w:highlight w:val="none"/>
                <w:vertAlign w:val="baseline"/>
                <w:lang w:val="en-US" w:eastAsia="zh-CN"/>
              </w:rPr>
            </w:pPr>
            <w:r>
              <w:rPr>
                <w:rFonts w:hint="eastAsia" w:cs="宋体"/>
                <w:bCs w:val="0"/>
                <w:color w:val="auto"/>
                <w:sz w:val="21"/>
                <w:szCs w:val="21"/>
                <w:highlight w:val="none"/>
                <w:vertAlign w:val="baseline"/>
                <w:lang w:val="en-US" w:eastAsia="zh-CN"/>
              </w:rPr>
              <w:t>1</w:t>
            </w:r>
          </w:p>
        </w:tc>
        <w:tc>
          <w:tcPr>
            <w:tcW w:w="2322" w:type="dxa"/>
            <w:vAlign w:val="center"/>
          </w:tcPr>
          <w:p w14:paraId="0FB0A936">
            <w:pPr>
              <w:keepNext w:val="0"/>
              <w:keepLines w:val="0"/>
              <w:suppressLineNumbers w:val="0"/>
              <w:autoSpaceDE w:val="0"/>
              <w:autoSpaceDN w:val="0"/>
              <w:spacing w:before="0" w:beforeAutospacing="0" w:after="0" w:afterAutospacing="0" w:line="240" w:lineRule="auto"/>
              <w:ind w:left="0" w:right="0"/>
              <w:contextualSpacing w:val="0"/>
              <w:jc w:val="center"/>
              <w:rPr>
                <w:rFonts w:hint="eastAsia" w:cs="宋体"/>
                <w:bCs w:val="0"/>
                <w:color w:val="auto"/>
                <w:sz w:val="21"/>
                <w:szCs w:val="21"/>
                <w:highlight w:val="none"/>
                <w:vertAlign w:val="baseline"/>
                <w:lang w:eastAsia="zh-CN"/>
              </w:rPr>
            </w:pPr>
            <w:r>
              <w:rPr>
                <w:rFonts w:hint="eastAsia" w:cs="宋体"/>
                <w:bCs w:val="0"/>
                <w:color w:val="auto"/>
                <w:sz w:val="21"/>
                <w:szCs w:val="21"/>
                <w:highlight w:val="none"/>
                <w:vertAlign w:val="baseline"/>
                <w:lang w:eastAsia="zh-CN"/>
              </w:rPr>
              <w:t>北京教育学院2026年网络接入服务采购项目</w:t>
            </w:r>
          </w:p>
        </w:tc>
        <w:tc>
          <w:tcPr>
            <w:tcW w:w="2322" w:type="dxa"/>
            <w:vAlign w:val="center"/>
          </w:tcPr>
          <w:p w14:paraId="5E66ECA2">
            <w:pPr>
              <w:keepNext w:val="0"/>
              <w:keepLines w:val="0"/>
              <w:suppressLineNumbers w:val="0"/>
              <w:autoSpaceDE w:val="0"/>
              <w:autoSpaceDN w:val="0"/>
              <w:spacing w:before="0" w:beforeAutospacing="0" w:after="0" w:afterAutospacing="0" w:line="240" w:lineRule="auto"/>
              <w:ind w:left="0" w:right="0"/>
              <w:contextualSpacing w:val="0"/>
              <w:jc w:val="center"/>
              <w:rPr>
                <w:rFonts w:hint="eastAsia" w:cs="宋体"/>
                <w:bCs w:val="0"/>
                <w:color w:val="auto"/>
                <w:sz w:val="21"/>
                <w:szCs w:val="21"/>
                <w:highlight w:val="none"/>
                <w:vertAlign w:val="baseline"/>
                <w:lang w:val="en-US" w:eastAsia="zh-CN"/>
              </w:rPr>
            </w:pPr>
            <w:r>
              <w:rPr>
                <w:rFonts w:hint="eastAsia" w:cs="宋体"/>
                <w:bCs w:val="0"/>
                <w:color w:val="auto"/>
                <w:sz w:val="21"/>
                <w:szCs w:val="21"/>
                <w:highlight w:val="none"/>
                <w:vertAlign w:val="baseline"/>
                <w:lang w:val="en-US" w:eastAsia="zh-CN"/>
              </w:rPr>
              <w:t>1</w:t>
            </w:r>
          </w:p>
        </w:tc>
        <w:tc>
          <w:tcPr>
            <w:tcW w:w="2322" w:type="dxa"/>
            <w:vAlign w:val="center"/>
          </w:tcPr>
          <w:p w14:paraId="7C7C24F0">
            <w:pPr>
              <w:keepNext w:val="0"/>
              <w:keepLines w:val="0"/>
              <w:suppressLineNumbers w:val="0"/>
              <w:autoSpaceDE w:val="0"/>
              <w:autoSpaceDN w:val="0"/>
              <w:spacing w:before="0" w:beforeAutospacing="0" w:after="0" w:afterAutospacing="0" w:line="240" w:lineRule="auto"/>
              <w:ind w:left="0" w:right="0"/>
              <w:contextualSpacing w:val="0"/>
              <w:jc w:val="center"/>
              <w:rPr>
                <w:rFonts w:hint="eastAsia" w:cs="宋体"/>
                <w:bCs w:val="0"/>
                <w:color w:val="auto"/>
                <w:sz w:val="21"/>
                <w:szCs w:val="21"/>
                <w:highlight w:val="none"/>
                <w:vertAlign w:val="baseline"/>
                <w:lang w:val="en-US" w:eastAsia="zh-CN"/>
              </w:rPr>
            </w:pPr>
            <w:r>
              <w:rPr>
                <w:rFonts w:hint="eastAsia" w:cs="宋体"/>
                <w:bCs w:val="0"/>
                <w:color w:val="auto"/>
                <w:sz w:val="21"/>
                <w:szCs w:val="21"/>
                <w:highlight w:val="none"/>
                <w:vertAlign w:val="baseline"/>
                <w:lang w:val="en-US" w:eastAsia="zh-CN"/>
              </w:rPr>
              <w:t>项</w:t>
            </w:r>
          </w:p>
        </w:tc>
      </w:tr>
    </w:tbl>
    <w:p w14:paraId="04E71D27">
      <w:pPr>
        <w:spacing w:line="360" w:lineRule="auto"/>
        <w:contextualSpacing/>
        <w:rPr>
          <w:rFonts w:hint="eastAsia"/>
          <w:bCs/>
          <w:color w:val="auto"/>
          <w:sz w:val="24"/>
          <w:highlight w:val="none"/>
          <w:lang w:eastAsia="zh-CN"/>
        </w:rPr>
      </w:pPr>
    </w:p>
    <w:p w14:paraId="3E664DF2">
      <w:pPr>
        <w:spacing w:line="360" w:lineRule="auto"/>
        <w:contextualSpacing/>
        <w:rPr>
          <w:rFonts w:hint="default" w:ascii="Times New Roman" w:hAnsi="Times New Roman" w:eastAsia="宋体"/>
          <w:bCs/>
          <w:color w:val="auto"/>
          <w:sz w:val="24"/>
          <w:highlight w:val="none"/>
          <w:lang w:val="en-US" w:eastAsia="zh-CN"/>
        </w:rPr>
      </w:pPr>
      <w:r>
        <w:rPr>
          <w:rFonts w:hint="eastAsia"/>
          <w:bCs/>
          <w:color w:val="auto"/>
          <w:sz w:val="24"/>
          <w:highlight w:val="none"/>
          <w:lang w:val="en-US" w:eastAsia="zh-CN"/>
        </w:rPr>
        <w:t>包含以下服务内容：</w:t>
      </w:r>
    </w:p>
    <w:tbl>
      <w:tblPr>
        <w:tblStyle w:val="254"/>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52"/>
        <w:gridCol w:w="710"/>
        <w:gridCol w:w="1116"/>
        <w:gridCol w:w="5422"/>
      </w:tblGrid>
      <w:tr w14:paraId="04A40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752" w:type="dxa"/>
            <w:noWrap w:val="0"/>
            <w:vAlign w:val="center"/>
          </w:tcPr>
          <w:p w14:paraId="42B4439B">
            <w:pPr>
              <w:pStyle w:val="55"/>
              <w:autoSpaceDE w:val="0"/>
              <w:autoSpaceDN w:val="0"/>
              <w:bidi w:val="0"/>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名称</w:t>
            </w:r>
          </w:p>
        </w:tc>
        <w:tc>
          <w:tcPr>
            <w:tcW w:w="710" w:type="dxa"/>
            <w:noWrap w:val="0"/>
            <w:vAlign w:val="center"/>
          </w:tcPr>
          <w:p w14:paraId="2919676D">
            <w:pPr>
              <w:pStyle w:val="55"/>
              <w:autoSpaceDE w:val="0"/>
              <w:autoSpaceDN w:val="0"/>
              <w:bidi w:val="0"/>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数量</w:t>
            </w:r>
          </w:p>
        </w:tc>
        <w:tc>
          <w:tcPr>
            <w:tcW w:w="1116" w:type="dxa"/>
            <w:noWrap w:val="0"/>
            <w:vAlign w:val="center"/>
          </w:tcPr>
          <w:p w14:paraId="618117FA">
            <w:pPr>
              <w:pStyle w:val="55"/>
              <w:autoSpaceDE w:val="0"/>
              <w:autoSpaceDN w:val="0"/>
              <w:bidi w:val="0"/>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单位</w:t>
            </w:r>
          </w:p>
        </w:tc>
        <w:tc>
          <w:tcPr>
            <w:tcW w:w="5422" w:type="dxa"/>
            <w:noWrap w:val="0"/>
            <w:vAlign w:val="center"/>
          </w:tcPr>
          <w:p w14:paraId="600B7740">
            <w:pPr>
              <w:pStyle w:val="55"/>
              <w:autoSpaceDE w:val="0"/>
              <w:autoSpaceDN w:val="0"/>
              <w:bidi w:val="0"/>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用途及简要需求</w:t>
            </w:r>
          </w:p>
        </w:tc>
      </w:tr>
      <w:tr w14:paraId="3C513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1" w:hRule="atLeast"/>
          <w:jc w:val="center"/>
        </w:trPr>
        <w:tc>
          <w:tcPr>
            <w:tcW w:w="1752" w:type="dxa"/>
            <w:noWrap w:val="0"/>
            <w:vAlign w:val="center"/>
          </w:tcPr>
          <w:p w14:paraId="61F35EDC">
            <w:pPr>
              <w:autoSpaceDE w:val="0"/>
              <w:autoSpaceDN w:val="0"/>
              <w:jc w:val="center"/>
              <w:rPr>
                <w:rFonts w:hint="eastAsia"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lang w:val="en-US" w:eastAsia="zh-CN"/>
              </w:rPr>
              <w:t>1G互联网专线</w:t>
            </w:r>
          </w:p>
        </w:tc>
        <w:tc>
          <w:tcPr>
            <w:tcW w:w="710" w:type="dxa"/>
            <w:noWrap w:val="0"/>
            <w:vAlign w:val="center"/>
          </w:tcPr>
          <w:p w14:paraId="1637872A">
            <w:pPr>
              <w:autoSpaceDE w:val="0"/>
              <w:autoSpaceDN w:val="0"/>
              <w:jc w:val="center"/>
              <w:rPr>
                <w:rFonts w:hint="eastAsia"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lang w:val="en-US" w:eastAsia="zh-CN"/>
              </w:rPr>
              <w:t>1</w:t>
            </w:r>
          </w:p>
        </w:tc>
        <w:tc>
          <w:tcPr>
            <w:tcW w:w="1116" w:type="dxa"/>
            <w:noWrap w:val="0"/>
            <w:vAlign w:val="center"/>
          </w:tcPr>
          <w:p w14:paraId="10751C51">
            <w:pPr>
              <w:autoSpaceDE w:val="0"/>
              <w:autoSpaceDN w:val="0"/>
              <w:jc w:val="center"/>
              <w:rPr>
                <w:rFonts w:hint="eastAsia"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lang w:val="en-US" w:eastAsia="zh-CN"/>
              </w:rPr>
              <w:t>条</w:t>
            </w:r>
          </w:p>
        </w:tc>
        <w:tc>
          <w:tcPr>
            <w:tcW w:w="5422" w:type="dxa"/>
            <w:noWrap w:val="0"/>
            <w:vAlign w:val="center"/>
          </w:tcPr>
          <w:p w14:paraId="43568264">
            <w:pPr>
              <w:autoSpaceDE w:val="0"/>
              <w:autoSpaceDN w:val="0"/>
              <w:rPr>
                <w:rFonts w:hint="eastAsia"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lang w:val="en-US" w:eastAsia="zh-CN"/>
              </w:rPr>
              <w:t>提供全院互联网统一接入及出口服务，满足全院教职工互联网访问需求，提供IPV4地址个数不少于256个，IPV6地址：1个/56和1个/52，以及相关网络运维安全等配套保障服务，详见服务内容及要求。</w:t>
            </w:r>
          </w:p>
        </w:tc>
      </w:tr>
      <w:tr w14:paraId="42DD4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jc w:val="center"/>
        </w:trPr>
        <w:tc>
          <w:tcPr>
            <w:tcW w:w="1752" w:type="dxa"/>
            <w:noWrap w:val="0"/>
            <w:vAlign w:val="center"/>
          </w:tcPr>
          <w:p w14:paraId="414CEFFB">
            <w:pPr>
              <w:autoSpaceDE w:val="0"/>
              <w:autoSpaceDN w:val="0"/>
              <w:jc w:val="center"/>
              <w:rPr>
                <w:rFonts w:hint="default"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lang w:val="en-US" w:eastAsia="zh-CN"/>
              </w:rPr>
              <w:t>500M-SDH以太网本地电路</w:t>
            </w:r>
          </w:p>
        </w:tc>
        <w:tc>
          <w:tcPr>
            <w:tcW w:w="710" w:type="dxa"/>
            <w:noWrap w:val="0"/>
            <w:vAlign w:val="center"/>
          </w:tcPr>
          <w:p w14:paraId="068A414F">
            <w:pPr>
              <w:autoSpaceDE w:val="0"/>
              <w:autoSpaceDN w:val="0"/>
              <w:jc w:val="center"/>
              <w:rPr>
                <w:rFonts w:hint="eastAsia"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lang w:val="en-US" w:eastAsia="zh-CN"/>
              </w:rPr>
              <w:t>3</w:t>
            </w:r>
          </w:p>
        </w:tc>
        <w:tc>
          <w:tcPr>
            <w:tcW w:w="1116" w:type="dxa"/>
            <w:noWrap w:val="0"/>
            <w:vAlign w:val="center"/>
          </w:tcPr>
          <w:p w14:paraId="4E025278">
            <w:pPr>
              <w:autoSpaceDE w:val="0"/>
              <w:autoSpaceDN w:val="0"/>
              <w:jc w:val="center"/>
              <w:rPr>
                <w:rFonts w:hint="eastAsia"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lang w:val="en-US" w:eastAsia="zh-CN"/>
              </w:rPr>
              <w:t>条</w:t>
            </w:r>
          </w:p>
        </w:tc>
        <w:tc>
          <w:tcPr>
            <w:tcW w:w="5422" w:type="dxa"/>
            <w:noWrap w:val="0"/>
            <w:vAlign w:val="center"/>
          </w:tcPr>
          <w:p w14:paraId="34264728">
            <w:pPr>
              <w:autoSpaceDE w:val="0"/>
              <w:autoSpaceDN w:val="0"/>
              <w:rPr>
                <w:rFonts w:hint="eastAsia"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lang w:val="en-US" w:eastAsia="zh-CN"/>
              </w:rPr>
              <w:t>实现学院黄寺校区与三个分校区（文兴街、黄化门、中轴路）的点对点专线连接，提供与内网对接的必要设备，及相关网络运维安全保障服务，详见服务内容及要求。</w:t>
            </w:r>
          </w:p>
        </w:tc>
      </w:tr>
      <w:tr w14:paraId="79AC0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jc w:val="center"/>
        </w:trPr>
        <w:tc>
          <w:tcPr>
            <w:tcW w:w="1752" w:type="dxa"/>
            <w:noWrap w:val="0"/>
            <w:vAlign w:val="center"/>
          </w:tcPr>
          <w:p w14:paraId="6CAE36B4">
            <w:pPr>
              <w:autoSpaceDE w:val="0"/>
              <w:autoSpaceDN w:val="0"/>
              <w:jc w:val="center"/>
              <w:rPr>
                <w:rFonts w:hint="eastAsia"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lang w:val="en-US" w:eastAsia="zh-CN"/>
              </w:rPr>
              <w:t>500M专线可接入北京市教育系统城域网</w:t>
            </w:r>
          </w:p>
        </w:tc>
        <w:tc>
          <w:tcPr>
            <w:tcW w:w="710" w:type="dxa"/>
            <w:noWrap w:val="0"/>
            <w:vAlign w:val="center"/>
          </w:tcPr>
          <w:p w14:paraId="30D2C5E8">
            <w:pPr>
              <w:autoSpaceDE w:val="0"/>
              <w:autoSpaceDN w:val="0"/>
              <w:jc w:val="center"/>
              <w:rPr>
                <w:rFonts w:hint="eastAsia"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lang w:val="en-US" w:eastAsia="zh-CN"/>
              </w:rPr>
              <w:t>1</w:t>
            </w:r>
          </w:p>
        </w:tc>
        <w:tc>
          <w:tcPr>
            <w:tcW w:w="1116" w:type="dxa"/>
            <w:noWrap w:val="0"/>
            <w:vAlign w:val="center"/>
          </w:tcPr>
          <w:p w14:paraId="301F185A">
            <w:pPr>
              <w:autoSpaceDE w:val="0"/>
              <w:autoSpaceDN w:val="0"/>
              <w:jc w:val="center"/>
              <w:rPr>
                <w:rFonts w:hint="eastAsia"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lang w:val="en-US" w:eastAsia="zh-CN"/>
              </w:rPr>
              <w:t>条</w:t>
            </w:r>
          </w:p>
        </w:tc>
        <w:tc>
          <w:tcPr>
            <w:tcW w:w="5422" w:type="dxa"/>
            <w:noWrap w:val="0"/>
            <w:vAlign w:val="center"/>
          </w:tcPr>
          <w:p w14:paraId="21F3735A">
            <w:pPr>
              <w:autoSpaceDE w:val="0"/>
              <w:autoSpaceDN w:val="0"/>
              <w:rPr>
                <w:rFonts w:hint="eastAsia"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lang w:val="en-US" w:eastAsia="zh-CN"/>
              </w:rPr>
              <w:t>作为学院备用网络出口链路，可快速接入北京市教育系统城域网、提供IPV4地址个数不少于256个，IPV6地址：1个/56和1个/52，以及相关网络运维安全保障服务，详见服务内容及要求。</w:t>
            </w:r>
          </w:p>
        </w:tc>
      </w:tr>
    </w:tbl>
    <w:p w14:paraId="55A4F820">
      <w:pPr>
        <w:spacing w:line="360" w:lineRule="auto"/>
        <w:contextualSpacing/>
        <w:rPr>
          <w:rFonts w:ascii="Times New Roman" w:hAnsi="Times New Roman" w:eastAsia="宋体"/>
          <w:bCs/>
          <w:color w:val="auto"/>
          <w:sz w:val="24"/>
          <w:highlight w:val="none"/>
        </w:rPr>
      </w:pPr>
    </w:p>
    <w:p w14:paraId="29991D11">
      <w:pPr>
        <w:spacing w:line="360" w:lineRule="auto"/>
        <w:contextualSpacing/>
        <w:rPr>
          <w:rFonts w:ascii="Times New Roman" w:hAnsi="Times New Roman" w:eastAsia="宋体"/>
          <w:bCs/>
          <w:color w:val="auto"/>
          <w:sz w:val="24"/>
          <w:highlight w:val="none"/>
        </w:rPr>
      </w:pPr>
      <w:r>
        <w:rPr>
          <w:rFonts w:ascii="Times New Roman" w:hAnsi="Times New Roman" w:eastAsia="宋体"/>
          <w:bCs/>
          <w:color w:val="auto"/>
          <w:sz w:val="24"/>
          <w:highlight w:val="none"/>
        </w:rPr>
        <w:t>2. 项目背景</w:t>
      </w:r>
    </w:p>
    <w:p w14:paraId="690C1F75">
      <w:pPr>
        <w:spacing w:line="360" w:lineRule="auto"/>
        <w:ind w:firstLine="482"/>
        <w:contextualSpacing/>
        <w:rPr>
          <w:rFonts w:hint="eastAsia" w:ascii="Times New Roman" w:hAnsi="Times New Roman" w:eastAsia="宋体" w:cs="仿宋_GB2312"/>
          <w:bCs/>
          <w:color w:val="auto"/>
          <w:sz w:val="24"/>
          <w:szCs w:val="24"/>
          <w:highlight w:val="none"/>
          <w:lang w:val="en-US" w:eastAsia="zh-CN"/>
        </w:rPr>
      </w:pPr>
      <w:r>
        <w:rPr>
          <w:rFonts w:hint="eastAsia" w:ascii="Times New Roman" w:hAnsi="Times New Roman" w:eastAsia="宋体" w:cs="仿宋_GB2312"/>
          <w:bCs/>
          <w:color w:val="auto"/>
          <w:sz w:val="24"/>
          <w:szCs w:val="24"/>
          <w:highlight w:val="none"/>
          <w:lang w:val="en-US" w:eastAsia="zh-CN"/>
        </w:rPr>
        <w:t>北京教育学院学院目前共四个校区，分别为黄寺校区、中轴路校区、黄化门校区和文兴街校区，其中黄寺校区为主校区，也是学院互联网出口所在。学院网络核心为星型结构，以主校区黄寺校区为核心节点，各分校区采用点对点光纤直连方式接入主校区，采用“一主一备”两条互联网专线作为双出口，避免单条网络链路出现故障时造成网络中断，保障互联网访问的可靠性。该服务即将到期，为满足全院教职工互联网访问需求，保障基础网络支撑服务的无缝承接与平稳切换，我院计划按照《北京市政府采购管理办法》实施招标，采购网络接入服务，遴选安全可靠、服务优质且价格合理的供应商，为学院提供长期稳定互联网服务。</w:t>
      </w:r>
    </w:p>
    <w:p w14:paraId="2A2FF1DE">
      <w:pPr>
        <w:pStyle w:val="60"/>
        <w:numPr>
          <w:ilvl w:val="0"/>
          <w:numId w:val="8"/>
        </w:numPr>
        <w:spacing w:line="360" w:lineRule="auto"/>
        <w:ind w:firstLineChars="0"/>
        <w:contextualSpacing/>
        <w:rPr>
          <w:rFonts w:ascii="Times New Roman" w:hAnsi="Times New Roman" w:eastAsia="宋体"/>
          <w:b/>
          <w:color w:val="auto"/>
          <w:sz w:val="24"/>
          <w:szCs w:val="24"/>
          <w:highlight w:val="none"/>
        </w:rPr>
      </w:pPr>
      <w:r>
        <w:rPr>
          <w:rFonts w:ascii="Times New Roman" w:hAnsi="Times New Roman" w:eastAsia="宋体"/>
          <w:b/>
          <w:color w:val="auto"/>
          <w:sz w:val="24"/>
          <w:szCs w:val="24"/>
          <w:highlight w:val="none"/>
        </w:rPr>
        <w:t>商务要求</w:t>
      </w:r>
    </w:p>
    <w:p w14:paraId="4941BDCD">
      <w:pPr>
        <w:spacing w:line="360" w:lineRule="auto"/>
        <w:contextualSpacing/>
        <w:rPr>
          <w:rFonts w:ascii="Times New Roman" w:hAnsi="Times New Roman" w:eastAsia="宋体"/>
          <w:i/>
          <w:color w:val="auto"/>
          <w:sz w:val="24"/>
          <w:highlight w:val="none"/>
        </w:rPr>
      </w:pPr>
      <w:r>
        <w:rPr>
          <w:rFonts w:ascii="Times New Roman" w:hAnsi="Times New Roman" w:eastAsia="宋体"/>
          <w:color w:val="auto"/>
          <w:sz w:val="24"/>
          <w:highlight w:val="none"/>
        </w:rPr>
        <w:t>1. 交付（实施）的时间（期限）和地点（范围）</w:t>
      </w:r>
    </w:p>
    <w:p w14:paraId="596942EA">
      <w:pPr>
        <w:spacing w:line="360" w:lineRule="auto"/>
        <w:ind w:firstLine="482"/>
        <w:contextualSpacing/>
        <w:rPr>
          <w:rFonts w:hint="default" w:ascii="Times New Roman" w:hAnsi="Times New Roman" w:eastAsia="宋体" w:cs="仿宋_GB2312"/>
          <w:bCs/>
          <w:color w:val="auto"/>
          <w:sz w:val="24"/>
          <w:szCs w:val="24"/>
          <w:highlight w:val="none"/>
          <w:lang w:val="en-US" w:eastAsia="zh-CN"/>
        </w:rPr>
      </w:pPr>
      <w:r>
        <w:rPr>
          <w:rFonts w:hint="eastAsia" w:ascii="Times New Roman" w:hAnsi="Times New Roman" w:eastAsia="宋体" w:cs="仿宋_GB2312"/>
          <w:bCs/>
          <w:color w:val="auto"/>
          <w:sz w:val="24"/>
          <w:szCs w:val="24"/>
          <w:highlight w:val="none"/>
          <w:lang w:val="en-US" w:eastAsia="zh-CN"/>
        </w:rPr>
        <w:t>本项目服务周期为12个月，招标完成后，中标人应积极与</w:t>
      </w:r>
      <w:r>
        <w:rPr>
          <w:rFonts w:hint="eastAsia" w:cs="仿宋_GB2312"/>
          <w:bCs/>
          <w:color w:val="auto"/>
          <w:sz w:val="24"/>
          <w:szCs w:val="24"/>
          <w:highlight w:val="none"/>
          <w:lang w:val="en-US" w:eastAsia="zh-CN"/>
        </w:rPr>
        <w:t>采购人</w:t>
      </w:r>
      <w:r>
        <w:rPr>
          <w:rFonts w:hint="eastAsia" w:ascii="Times New Roman" w:hAnsi="Times New Roman" w:eastAsia="宋体" w:cs="仿宋_GB2312"/>
          <w:bCs/>
          <w:color w:val="auto"/>
          <w:sz w:val="24"/>
          <w:szCs w:val="24"/>
          <w:highlight w:val="none"/>
          <w:lang w:val="en-US" w:eastAsia="zh-CN"/>
        </w:rPr>
        <w:t>签订项目合同，并于合同签订后</w:t>
      </w:r>
      <w:r>
        <w:rPr>
          <w:rFonts w:hint="eastAsia" w:cs="仿宋_GB2312"/>
          <w:bCs/>
          <w:color w:val="auto"/>
          <w:sz w:val="24"/>
          <w:szCs w:val="24"/>
          <w:highlight w:val="none"/>
          <w:lang w:val="en-US" w:eastAsia="zh-CN"/>
        </w:rPr>
        <w:t>按照采购人要求</w:t>
      </w:r>
      <w:r>
        <w:rPr>
          <w:rFonts w:hint="eastAsia" w:ascii="Times New Roman" w:hAnsi="Times New Roman" w:eastAsia="宋体" w:cs="仿宋_GB2312"/>
          <w:bCs/>
          <w:color w:val="auto"/>
          <w:sz w:val="24"/>
          <w:szCs w:val="24"/>
          <w:highlight w:val="none"/>
          <w:lang w:val="en-US" w:eastAsia="zh-CN"/>
        </w:rPr>
        <w:t>完成主校区和分校区链路资源接入各校区机房，完成线路接入、设备安装调试工作，确保所有校区网络平稳切换和正常使用，实施地点为北京教育学院。</w:t>
      </w:r>
    </w:p>
    <w:p w14:paraId="0985C010">
      <w:pPr>
        <w:spacing w:line="360" w:lineRule="auto"/>
        <w:contextualSpacing/>
        <w:rPr>
          <w:rFonts w:ascii="Times New Roman" w:hAnsi="Times New Roman" w:eastAsia="宋体"/>
          <w:color w:val="auto"/>
          <w:sz w:val="24"/>
          <w:highlight w:val="none"/>
        </w:rPr>
      </w:pPr>
      <w:r>
        <w:rPr>
          <w:rFonts w:ascii="Times New Roman" w:hAnsi="Times New Roman" w:eastAsia="宋体"/>
          <w:color w:val="auto"/>
          <w:sz w:val="24"/>
          <w:highlight w:val="none"/>
        </w:rPr>
        <w:t>2. 付款条件（进度和方式）</w:t>
      </w:r>
    </w:p>
    <w:p w14:paraId="70710CE0">
      <w:pPr>
        <w:spacing w:line="360" w:lineRule="auto"/>
        <w:ind w:firstLine="482"/>
        <w:contextualSpacing/>
      </w:pPr>
    </w:p>
    <w:p w14:paraId="5FC41EA6">
      <w:pPr>
        <w:pStyle w:val="3"/>
        <w:ind w:firstLine="480" w:firstLineChars="200"/>
        <w:jc w:val="left"/>
        <w:rPr>
          <w:rFonts w:hint="eastAsia" w:ascii="Times New Roman" w:hAnsi="Times New Roman" w:eastAsia="宋体" w:cs="仿宋_GB2312"/>
          <w:b w:val="0"/>
          <w:bCs/>
          <w:color w:val="auto"/>
          <w:kern w:val="2"/>
          <w:sz w:val="24"/>
          <w:szCs w:val="24"/>
          <w:highlight w:val="none"/>
          <w:lang w:val="en-US" w:eastAsia="zh-CN" w:bidi="ar-SA"/>
        </w:rPr>
      </w:pPr>
      <w:r>
        <w:rPr>
          <w:rFonts w:hint="eastAsia" w:ascii="Times New Roman" w:hAnsi="Times New Roman" w:eastAsia="宋体" w:cs="仿宋_GB2312"/>
          <w:b w:val="0"/>
          <w:bCs/>
          <w:color w:val="auto"/>
          <w:kern w:val="2"/>
          <w:sz w:val="24"/>
          <w:szCs w:val="24"/>
          <w:highlight w:val="none"/>
          <w:lang w:val="en-US" w:eastAsia="zh-CN" w:bidi="ar-SA"/>
        </w:rPr>
        <w:t>合同签订后，采购人在收到乙方提供发票后的10个工作日内以汇款或转账的方式支付合同款的50%，合同履行六个月后，采购人在收到乙方提供发票的10个工作日内以汇款或转账的方式支付合同款的50%。</w:t>
      </w:r>
    </w:p>
    <w:p w14:paraId="037F6C8A">
      <w:pPr>
        <w:numPr>
          <w:ilvl w:val="0"/>
          <w:numId w:val="9"/>
        </w:numPr>
        <w:spacing w:line="360" w:lineRule="auto"/>
        <w:contextualSpacing/>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包装和运输</w:t>
      </w:r>
    </w:p>
    <w:p w14:paraId="64EF98FC">
      <w:pPr>
        <w:spacing w:line="360" w:lineRule="auto"/>
        <w:ind w:firstLine="482"/>
        <w:contextualSpacing/>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仿宋_GB2312"/>
          <w:bCs/>
          <w:color w:val="auto"/>
          <w:sz w:val="24"/>
          <w:szCs w:val="24"/>
          <w:highlight w:val="none"/>
          <w:lang w:val="en-US" w:eastAsia="zh-CN"/>
        </w:rPr>
        <w:t>本项目所涉及的货物、运输、安装、调试、验收、运维、培训、集成、备品和工具、保险、售后服务、税款、测试、质检、行政许可及相关证书等费用均包含在投标报价中。</w:t>
      </w:r>
    </w:p>
    <w:p w14:paraId="77F16F8B">
      <w:pPr>
        <w:pStyle w:val="17"/>
        <w:rPr>
          <w:rFonts w:ascii="Times New Roman" w:hAnsi="Times New Roman" w:eastAsia="宋体"/>
          <w:color w:val="auto"/>
          <w:highlight w:val="none"/>
        </w:rPr>
      </w:pPr>
    </w:p>
    <w:p w14:paraId="3961C01C">
      <w:pPr>
        <w:spacing w:line="360" w:lineRule="auto"/>
        <w:contextualSpacing/>
        <w:rPr>
          <w:rFonts w:ascii="Times New Roman" w:hAnsi="Times New Roman" w:eastAsia="宋体"/>
          <w:color w:val="auto"/>
          <w:sz w:val="24"/>
          <w:highlight w:val="none"/>
        </w:rPr>
      </w:pPr>
      <w:r>
        <w:rPr>
          <w:rFonts w:ascii="Times New Roman" w:hAnsi="Times New Roman" w:eastAsia="宋体"/>
          <w:color w:val="auto"/>
          <w:sz w:val="24"/>
          <w:highlight w:val="none"/>
        </w:rPr>
        <w:t>4. 售后服务（质保期）（如适用）</w:t>
      </w:r>
    </w:p>
    <w:p w14:paraId="40A6FEA4">
      <w:pPr>
        <w:spacing w:line="360" w:lineRule="auto"/>
        <w:ind w:firstLine="482"/>
        <w:contextualSpacing/>
        <w:rPr>
          <w:rFonts w:ascii="Times New Roman" w:hAnsi="Times New Roman" w:eastAsia="宋体"/>
          <w:b/>
          <w:i/>
          <w:color w:val="auto"/>
          <w:sz w:val="24"/>
          <w:highlight w:val="none"/>
        </w:rPr>
      </w:pPr>
      <w:r>
        <w:rPr>
          <w:rFonts w:hint="eastAsia" w:ascii="Times New Roman" w:hAnsi="Times New Roman" w:eastAsia="宋体" w:cs="仿宋_GB2312"/>
          <w:bCs/>
          <w:color w:val="auto"/>
          <w:sz w:val="24"/>
          <w:szCs w:val="24"/>
          <w:highlight w:val="none"/>
          <w:lang w:val="en-US" w:eastAsia="zh-CN"/>
        </w:rPr>
        <w:t>为用户提供专线接入一年售后服务，承诺保证专门指定1名客户服务代表负责</w:t>
      </w:r>
      <w:r>
        <w:rPr>
          <w:rFonts w:hint="eastAsia" w:cs="仿宋_GB2312"/>
          <w:bCs/>
          <w:color w:val="auto"/>
          <w:sz w:val="24"/>
          <w:szCs w:val="24"/>
          <w:highlight w:val="none"/>
          <w:lang w:val="en-US" w:eastAsia="zh-CN"/>
        </w:rPr>
        <w:t>采购人</w:t>
      </w:r>
      <w:r>
        <w:rPr>
          <w:rFonts w:hint="eastAsia" w:ascii="Times New Roman" w:hAnsi="Times New Roman" w:eastAsia="宋体" w:cs="仿宋_GB2312"/>
          <w:bCs/>
          <w:color w:val="auto"/>
          <w:sz w:val="24"/>
          <w:szCs w:val="24"/>
          <w:highlight w:val="none"/>
          <w:lang w:val="en-US" w:eastAsia="zh-CN"/>
        </w:rPr>
        <w:t>的所有售后服务工作，提供互联网专线的直接运行维护人员的联系方式，一旦变更应及时通知</w:t>
      </w:r>
      <w:r>
        <w:rPr>
          <w:rFonts w:hint="eastAsia" w:cs="仿宋_GB2312"/>
          <w:bCs/>
          <w:color w:val="auto"/>
          <w:sz w:val="24"/>
          <w:szCs w:val="24"/>
          <w:highlight w:val="none"/>
          <w:lang w:val="en-US" w:eastAsia="zh-CN"/>
        </w:rPr>
        <w:t>采购人</w:t>
      </w:r>
      <w:r>
        <w:rPr>
          <w:rFonts w:hint="eastAsia" w:ascii="Times New Roman" w:hAnsi="Times New Roman" w:eastAsia="宋体" w:cs="仿宋_GB2312"/>
          <w:bCs/>
          <w:color w:val="auto"/>
          <w:sz w:val="24"/>
          <w:szCs w:val="24"/>
          <w:highlight w:val="none"/>
          <w:lang w:val="en-US" w:eastAsia="zh-CN"/>
        </w:rPr>
        <w:t>。在服务期内，提供 7×24 小时的专业技术保障，有专业的技术服务团队和服务热线，确保在专线出现故障时应在</w:t>
      </w:r>
      <w:r>
        <w:rPr>
          <w:rFonts w:hint="eastAsia" w:cs="仿宋_GB2312"/>
          <w:bCs/>
          <w:color w:val="auto"/>
          <w:sz w:val="24"/>
          <w:szCs w:val="24"/>
          <w:highlight w:val="none"/>
          <w:lang w:val="en-US" w:eastAsia="zh-CN"/>
        </w:rPr>
        <w:t>4小时</w:t>
      </w:r>
      <w:r>
        <w:rPr>
          <w:rFonts w:hint="eastAsia" w:ascii="Times New Roman" w:hAnsi="Times New Roman" w:eastAsia="宋体" w:cs="仿宋_GB2312"/>
          <w:bCs/>
          <w:color w:val="auto"/>
          <w:sz w:val="24"/>
          <w:szCs w:val="24"/>
          <w:highlight w:val="none"/>
          <w:lang w:val="en-US" w:eastAsia="zh-CN"/>
        </w:rPr>
        <w:t>内解决，故障持续60分钟内必须到达现场处理。</w:t>
      </w:r>
    </w:p>
    <w:p w14:paraId="496EBE22">
      <w:pPr>
        <w:pStyle w:val="60"/>
        <w:numPr>
          <w:ilvl w:val="0"/>
          <w:numId w:val="8"/>
        </w:numPr>
        <w:spacing w:line="360" w:lineRule="auto"/>
        <w:ind w:firstLineChars="0"/>
        <w:contextualSpacing/>
        <w:rPr>
          <w:rFonts w:ascii="Times New Roman" w:hAnsi="Times New Roman" w:eastAsia="宋体"/>
          <w:b/>
          <w:color w:val="auto"/>
          <w:sz w:val="24"/>
          <w:szCs w:val="24"/>
          <w:highlight w:val="none"/>
        </w:rPr>
      </w:pPr>
      <w:r>
        <w:rPr>
          <w:rFonts w:ascii="Times New Roman" w:hAnsi="Times New Roman" w:eastAsia="宋体"/>
          <w:b/>
          <w:color w:val="auto"/>
          <w:sz w:val="24"/>
          <w:szCs w:val="24"/>
          <w:highlight w:val="none"/>
        </w:rPr>
        <w:t>技术要求</w:t>
      </w:r>
    </w:p>
    <w:p w14:paraId="23C44A23">
      <w:pPr>
        <w:spacing w:line="360" w:lineRule="auto"/>
        <w:contextualSpacing/>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1. 基本要求</w:t>
      </w:r>
    </w:p>
    <w:p w14:paraId="4C911FF7">
      <w:pPr>
        <w:spacing w:line="360" w:lineRule="auto"/>
        <w:ind w:firstLine="480" w:firstLineChars="200"/>
        <w:contextualSpacing/>
        <w:rPr>
          <w:rFonts w:hint="eastAsia" w:ascii="Times New Roman" w:hAnsi="Times New Roman" w:eastAsia="宋体" w:cs="仿宋_GB2312"/>
          <w:color w:val="auto"/>
          <w:sz w:val="24"/>
          <w:szCs w:val="24"/>
          <w:highlight w:val="none"/>
        </w:rPr>
      </w:pPr>
      <w:r>
        <w:rPr>
          <w:rFonts w:hint="eastAsia" w:ascii="Times New Roman" w:hAnsi="Times New Roman" w:eastAsia="宋体" w:cs="Times New Roman"/>
          <w:color w:val="auto"/>
          <w:sz w:val="24"/>
          <w:highlight w:val="none"/>
        </w:rPr>
        <w:t>1.1 采购标的需实现的功能或者目标</w:t>
      </w:r>
    </w:p>
    <w:p w14:paraId="63EDDDDE">
      <w:pPr>
        <w:pStyle w:val="17"/>
        <w:spacing w:line="360" w:lineRule="auto"/>
        <w:ind w:firstLine="480" w:firstLineChars="200"/>
        <w:rPr>
          <w:rFonts w:hint="eastAsia" w:ascii="Times New Roman" w:hAnsi="Times New Roman" w:eastAsia="宋体" w:cs="仿宋_GB2312"/>
          <w:bCs/>
          <w:color w:val="auto"/>
          <w:sz w:val="24"/>
          <w:szCs w:val="24"/>
          <w:highlight w:val="none"/>
          <w:lang w:val="en-US" w:eastAsia="zh-CN"/>
        </w:rPr>
      </w:pPr>
      <w:r>
        <w:rPr>
          <w:rFonts w:hint="eastAsia" w:ascii="Times New Roman" w:hAnsi="Times New Roman" w:eastAsia="宋体" w:cs="仿宋_GB2312"/>
          <w:bCs/>
          <w:color w:val="auto"/>
          <w:sz w:val="24"/>
          <w:szCs w:val="24"/>
          <w:highlight w:val="none"/>
          <w:lang w:val="en-US" w:eastAsia="zh-CN"/>
        </w:rPr>
        <w:t>（1）提供一条1G互联网专线，提供全院互联网统一接入及出口服务，满足全院教职工互联网访问需求，提供IPV4地址个数不少于256个，IPV6地址不少于1个/56和1个/52，以及相关网络运维安全等配套保障服务。</w:t>
      </w:r>
    </w:p>
    <w:p w14:paraId="0A5415AF">
      <w:pPr>
        <w:pStyle w:val="17"/>
        <w:spacing w:line="360" w:lineRule="auto"/>
        <w:ind w:firstLine="480" w:firstLineChars="200"/>
        <w:rPr>
          <w:rFonts w:hint="eastAsia" w:ascii="Times New Roman" w:hAnsi="Times New Roman" w:eastAsia="宋体" w:cs="仿宋_GB2312"/>
          <w:bCs/>
          <w:color w:val="auto"/>
          <w:sz w:val="24"/>
          <w:szCs w:val="24"/>
          <w:highlight w:val="none"/>
          <w:lang w:val="en-US" w:eastAsia="zh-CN"/>
        </w:rPr>
      </w:pPr>
      <w:r>
        <w:rPr>
          <w:rFonts w:hint="eastAsia" w:ascii="Times New Roman" w:hAnsi="Times New Roman" w:eastAsia="宋体" w:cs="仿宋_GB2312"/>
          <w:bCs/>
          <w:color w:val="auto"/>
          <w:sz w:val="24"/>
          <w:szCs w:val="24"/>
          <w:highlight w:val="none"/>
          <w:lang w:val="en-US" w:eastAsia="zh-CN"/>
        </w:rPr>
        <w:t>（2）提供不少于3条500M-SDH以太网本地线路，实现学院黄寺校区与三个分校区（文兴街、黄化门、中轴路）的光纤直连，提供与内网对接的必要设备，及相关网络运维安全保障服务。</w:t>
      </w:r>
    </w:p>
    <w:p w14:paraId="72B44D1A">
      <w:pPr>
        <w:pStyle w:val="42"/>
        <w:spacing w:line="360" w:lineRule="auto"/>
        <w:ind w:firstLine="480"/>
        <w:rPr>
          <w:rFonts w:ascii="Times New Roman" w:hAnsi="Times New Roman" w:eastAsia="宋体" w:cs="仿宋_GB2312"/>
          <w:bCs/>
          <w:color w:val="auto"/>
          <w:sz w:val="24"/>
          <w:szCs w:val="24"/>
          <w:highlight w:val="none"/>
          <w:lang w:val="en-US"/>
        </w:rPr>
      </w:pPr>
      <w:r>
        <w:rPr>
          <w:rFonts w:hint="eastAsia" w:ascii="Times New Roman" w:hAnsi="Times New Roman" w:eastAsia="宋体" w:cs="仿宋_GB2312"/>
          <w:bCs/>
          <w:color w:val="auto"/>
          <w:sz w:val="24"/>
          <w:szCs w:val="24"/>
          <w:highlight w:val="none"/>
          <w:lang w:val="en-US" w:eastAsia="zh-CN"/>
        </w:rPr>
        <w:t>（3）</w:t>
      </w:r>
      <w:r>
        <w:rPr>
          <w:rFonts w:ascii="Times New Roman" w:hAnsi="Times New Roman" w:eastAsia="宋体" w:cs="仿宋_GB2312"/>
          <w:bCs/>
          <w:color w:val="auto"/>
          <w:sz w:val="24"/>
          <w:szCs w:val="24"/>
          <w:highlight w:val="none"/>
          <w:lang w:val="en-US"/>
        </w:rPr>
        <w:t>提供500M</w:t>
      </w:r>
      <w:r>
        <w:rPr>
          <w:rFonts w:hint="eastAsia" w:ascii="Times New Roman" w:hAnsi="Times New Roman" w:eastAsia="宋体" w:cs="仿宋_GB2312"/>
          <w:bCs/>
          <w:color w:val="auto"/>
          <w:sz w:val="24"/>
          <w:szCs w:val="24"/>
          <w:highlight w:val="none"/>
          <w:lang w:val="en-US" w:eastAsia="zh-CN"/>
        </w:rPr>
        <w:t>专线</w:t>
      </w:r>
      <w:r>
        <w:rPr>
          <w:rFonts w:hint="eastAsia" w:ascii="Times New Roman" w:hAnsi="Times New Roman" w:eastAsia="宋体" w:cs="仿宋_GB2312"/>
          <w:bCs/>
          <w:color w:val="auto"/>
          <w:sz w:val="24"/>
          <w:szCs w:val="24"/>
          <w:highlight w:val="none"/>
          <w:lang w:val="en-US"/>
        </w:rPr>
        <w:t>可快速接入北京市教育系统城域网</w:t>
      </w:r>
      <w:r>
        <w:rPr>
          <w:rFonts w:hint="eastAsia" w:ascii="Times New Roman" w:hAnsi="Times New Roman" w:eastAsia="宋体" w:cs="仿宋_GB2312"/>
          <w:bCs/>
          <w:color w:val="auto"/>
          <w:sz w:val="24"/>
          <w:szCs w:val="24"/>
          <w:highlight w:val="none"/>
          <w:lang w:val="en-US" w:eastAsia="zh-CN"/>
        </w:rPr>
        <w:t>，</w:t>
      </w:r>
      <w:r>
        <w:rPr>
          <w:rFonts w:ascii="Times New Roman" w:hAnsi="Times New Roman" w:eastAsia="宋体" w:cs="仿宋_GB2312"/>
          <w:bCs/>
          <w:color w:val="auto"/>
          <w:sz w:val="24"/>
          <w:szCs w:val="24"/>
          <w:highlight w:val="none"/>
          <w:lang w:val="en-US"/>
        </w:rPr>
        <w:t>实现北京普教行业相关网络（北京市教委、北京教育学院、北京教育考试院、北京教育科学研究院、各区教育网等）的高速连接，需提供优化网络平台资源访问方案。提供不少于</w:t>
      </w:r>
      <w:r>
        <w:rPr>
          <w:rFonts w:hint="eastAsia" w:ascii="Times New Roman" w:hAnsi="Times New Roman" w:eastAsia="宋体" w:cs="仿宋_GB2312"/>
          <w:bCs/>
          <w:color w:val="auto"/>
          <w:sz w:val="24"/>
          <w:szCs w:val="24"/>
          <w:highlight w:val="none"/>
          <w:lang w:val="en-US" w:eastAsia="zh-CN"/>
        </w:rPr>
        <w:t>256</w:t>
      </w:r>
      <w:r>
        <w:rPr>
          <w:rFonts w:ascii="Times New Roman" w:hAnsi="Times New Roman" w:eastAsia="宋体" w:cs="仿宋_GB2312"/>
          <w:bCs/>
          <w:color w:val="auto"/>
          <w:sz w:val="24"/>
          <w:szCs w:val="24"/>
          <w:highlight w:val="none"/>
          <w:lang w:val="en-US"/>
        </w:rPr>
        <w:t>个IPv4地址</w:t>
      </w:r>
      <w:r>
        <w:rPr>
          <w:rFonts w:hint="eastAsia" w:ascii="Times New Roman" w:hAnsi="Times New Roman" w:eastAsia="宋体" w:cs="仿宋_GB2312"/>
          <w:bCs/>
          <w:color w:val="auto"/>
          <w:sz w:val="24"/>
          <w:szCs w:val="24"/>
          <w:highlight w:val="none"/>
          <w:lang w:val="en-US" w:eastAsia="zh-CN"/>
        </w:rPr>
        <w:t>，IPV6地址不少于1个/56和1个/52，</w:t>
      </w:r>
      <w:r>
        <w:rPr>
          <w:rFonts w:hint="eastAsia" w:ascii="Times New Roman" w:hAnsi="Times New Roman" w:eastAsia="宋体" w:cs="仿宋_GB2312"/>
          <w:bCs/>
          <w:color w:val="auto"/>
          <w:sz w:val="24"/>
          <w:szCs w:val="24"/>
          <w:highlight w:val="none"/>
          <w:lang w:val="en-US"/>
        </w:rPr>
        <w:t>以及相关网络运维安全保障服务。</w:t>
      </w:r>
    </w:p>
    <w:p w14:paraId="32E441B8">
      <w:pPr>
        <w:spacing w:line="360" w:lineRule="auto"/>
        <w:ind w:firstLine="480" w:firstLineChars="200"/>
        <w:contextualSpacing/>
        <w:rPr>
          <w:rFonts w:ascii="Times New Roman" w:hAnsi="Times New Roman" w:eastAsia="宋体"/>
          <w:color w:val="auto"/>
          <w:sz w:val="24"/>
          <w:highlight w:val="none"/>
        </w:rPr>
      </w:pPr>
      <w:r>
        <w:rPr>
          <w:rFonts w:ascii="Times New Roman" w:hAnsi="Times New Roman" w:eastAsia="宋体"/>
          <w:color w:val="auto"/>
          <w:sz w:val="24"/>
          <w:highlight w:val="none"/>
        </w:rPr>
        <w:t>1.2 需执行的国家相关标准、行业标准、地方标准或者其他标准、规范</w:t>
      </w:r>
    </w:p>
    <w:p w14:paraId="4E7007E2">
      <w:pPr>
        <w:spacing w:line="360" w:lineRule="auto"/>
        <w:contextualSpacing/>
        <w:rPr>
          <w:rFonts w:hint="eastAsia" w:ascii="Times New Roman" w:hAnsi="Times New Roman" w:eastAsia="宋体" w:cs="仿宋_GB2312"/>
          <w:bCs/>
          <w:color w:val="auto"/>
          <w:kern w:val="0"/>
          <w:sz w:val="24"/>
          <w:szCs w:val="24"/>
          <w:highlight w:val="none"/>
          <w:lang w:val="en-US" w:eastAsia="zh-CN" w:bidi="ar-SA"/>
        </w:rPr>
      </w:pPr>
      <w:r>
        <w:rPr>
          <w:rFonts w:hint="eastAsia" w:ascii="Times New Roman" w:hAnsi="Times New Roman" w:eastAsia="宋体" w:cs="仿宋_GB2312"/>
          <w:bCs/>
          <w:color w:val="auto"/>
          <w:kern w:val="0"/>
          <w:sz w:val="24"/>
          <w:szCs w:val="24"/>
          <w:highlight w:val="none"/>
          <w:lang w:val="en-US" w:eastAsia="zh-CN" w:bidi="ar-SA"/>
        </w:rPr>
        <w:t>（1）国家标准</w:t>
      </w:r>
    </w:p>
    <w:p w14:paraId="7965CE2B">
      <w:pPr>
        <w:spacing w:line="360" w:lineRule="auto"/>
        <w:ind w:firstLine="480" w:firstLineChars="200"/>
        <w:contextualSpacing/>
        <w:rPr>
          <w:rFonts w:hint="eastAsia" w:ascii="Times New Roman" w:hAnsi="Times New Roman" w:eastAsia="宋体" w:cs="仿宋_GB2312"/>
          <w:bCs/>
          <w:color w:val="auto"/>
          <w:kern w:val="0"/>
          <w:sz w:val="24"/>
          <w:szCs w:val="24"/>
          <w:highlight w:val="none"/>
          <w:lang w:val="en-US" w:eastAsia="zh-CN" w:bidi="ar-SA"/>
        </w:rPr>
      </w:pPr>
      <w:r>
        <w:rPr>
          <w:rFonts w:hint="eastAsia" w:ascii="Times New Roman" w:hAnsi="Times New Roman" w:eastAsia="宋体" w:cs="仿宋_GB2312"/>
          <w:bCs/>
          <w:color w:val="auto"/>
          <w:kern w:val="0"/>
          <w:sz w:val="24"/>
          <w:szCs w:val="24"/>
          <w:highlight w:val="none"/>
          <w:lang w:val="en-US" w:eastAsia="zh-CN" w:bidi="ar-SA"/>
        </w:rPr>
        <w:t>严格遵循《综合布线系统工程设计规范》（GB 50311-2016），专线布线施工需符合规范中建筑群、建筑物内缆线敷设、配线设备安装、传输性能指标要求，强制执行规范内强制性条文。</w:t>
      </w:r>
    </w:p>
    <w:p w14:paraId="4B3094E7">
      <w:pPr>
        <w:spacing w:line="360" w:lineRule="auto"/>
        <w:contextualSpacing/>
        <w:rPr>
          <w:rFonts w:hint="eastAsia" w:ascii="Times New Roman" w:hAnsi="Times New Roman" w:eastAsia="宋体" w:cs="仿宋_GB2312"/>
          <w:bCs/>
          <w:color w:val="auto"/>
          <w:kern w:val="0"/>
          <w:sz w:val="24"/>
          <w:szCs w:val="24"/>
          <w:highlight w:val="none"/>
          <w:lang w:val="en-US" w:eastAsia="zh-CN" w:bidi="ar-SA"/>
        </w:rPr>
      </w:pPr>
      <w:r>
        <w:rPr>
          <w:rFonts w:hint="eastAsia" w:ascii="Times New Roman" w:hAnsi="Times New Roman" w:eastAsia="宋体" w:cs="仿宋_GB2312"/>
          <w:bCs/>
          <w:color w:val="auto"/>
          <w:kern w:val="0"/>
          <w:sz w:val="24"/>
          <w:szCs w:val="24"/>
          <w:highlight w:val="none"/>
          <w:lang w:val="en-US" w:eastAsia="zh-CN" w:bidi="ar-SA"/>
        </w:rPr>
        <w:t>（2）行业及地方规范</w:t>
      </w:r>
    </w:p>
    <w:p w14:paraId="74E85AE9">
      <w:pPr>
        <w:spacing w:line="360" w:lineRule="auto"/>
        <w:ind w:firstLine="480" w:firstLineChars="200"/>
        <w:contextualSpacing/>
        <w:rPr>
          <w:rFonts w:hint="eastAsia" w:ascii="Times New Roman" w:hAnsi="Times New Roman" w:eastAsia="宋体" w:cs="仿宋_GB2312"/>
          <w:bCs/>
          <w:color w:val="auto"/>
          <w:kern w:val="0"/>
          <w:sz w:val="24"/>
          <w:szCs w:val="24"/>
          <w:highlight w:val="none"/>
          <w:lang w:val="en-US" w:eastAsia="zh-CN" w:bidi="ar-SA"/>
        </w:rPr>
      </w:pPr>
      <w:r>
        <w:rPr>
          <w:rFonts w:hint="eastAsia" w:ascii="Times New Roman" w:hAnsi="Times New Roman" w:eastAsia="宋体" w:cs="仿宋_GB2312"/>
          <w:bCs/>
          <w:color w:val="auto"/>
          <w:kern w:val="0"/>
          <w:sz w:val="24"/>
          <w:szCs w:val="24"/>
          <w:highlight w:val="none"/>
          <w:lang w:val="en-US" w:eastAsia="zh-CN" w:bidi="ar-SA"/>
        </w:rPr>
        <w:t>遵循北京市通信管理局、北京市教育委员会关于高校校园通信网络建设的相关通知要求，规范校园通信设施接入管理，禁止向无资质主体提供带宽、IP 地址等资源。</w:t>
      </w:r>
    </w:p>
    <w:p w14:paraId="76641805">
      <w:pPr>
        <w:spacing w:line="360" w:lineRule="auto"/>
        <w:contextualSpacing/>
        <w:rPr>
          <w:rFonts w:hint="eastAsia" w:ascii="Times New Roman" w:hAnsi="Times New Roman" w:eastAsia="宋体" w:cs="仿宋_GB2312"/>
          <w:bCs/>
          <w:color w:val="auto"/>
          <w:kern w:val="0"/>
          <w:sz w:val="24"/>
          <w:szCs w:val="24"/>
          <w:highlight w:val="none"/>
          <w:lang w:val="en-US" w:eastAsia="zh-CN" w:bidi="ar-SA"/>
        </w:rPr>
      </w:pPr>
      <w:r>
        <w:rPr>
          <w:rFonts w:hint="eastAsia" w:ascii="Times New Roman" w:hAnsi="Times New Roman" w:eastAsia="宋体" w:cs="仿宋_GB2312"/>
          <w:bCs/>
          <w:color w:val="auto"/>
          <w:kern w:val="0"/>
          <w:sz w:val="24"/>
          <w:szCs w:val="24"/>
          <w:highlight w:val="none"/>
          <w:lang w:val="en-US" w:eastAsia="zh-CN" w:bidi="ar-SA"/>
        </w:rPr>
        <w:t>（3）教育行业专项要求</w:t>
      </w:r>
    </w:p>
    <w:p w14:paraId="78BA015C">
      <w:pPr>
        <w:spacing w:line="360" w:lineRule="auto"/>
        <w:ind w:firstLine="480" w:firstLineChars="200"/>
        <w:contextualSpacing/>
        <w:rPr>
          <w:rFonts w:hint="eastAsia" w:ascii="Times New Roman" w:hAnsi="Times New Roman" w:eastAsia="宋体" w:cs="仿宋_GB2312"/>
          <w:bCs/>
          <w:color w:val="auto"/>
          <w:kern w:val="0"/>
          <w:sz w:val="24"/>
          <w:szCs w:val="24"/>
          <w:highlight w:val="none"/>
          <w:lang w:val="en-US" w:eastAsia="zh-CN" w:bidi="ar-SA"/>
        </w:rPr>
      </w:pPr>
      <w:r>
        <w:rPr>
          <w:rFonts w:hint="eastAsia" w:ascii="Times New Roman" w:hAnsi="Times New Roman" w:eastAsia="宋体" w:cs="仿宋_GB2312"/>
          <w:bCs/>
          <w:color w:val="auto"/>
          <w:kern w:val="0"/>
          <w:sz w:val="24"/>
          <w:szCs w:val="24"/>
          <w:highlight w:val="none"/>
          <w:lang w:val="en-US" w:eastAsia="zh-CN" w:bidi="ar-SA"/>
        </w:rPr>
        <w:t>符合《教育部办公厅工业和信息化部办公厅关于提高高等学校网络管理和服务质量的通知》（教科信厅函〔2021〕33号），保障校园网络服务质量，优先保障教学、科研核心业务带宽需求，规范运营商在校园内的服务行为。</w:t>
      </w:r>
    </w:p>
    <w:p w14:paraId="537C55CF">
      <w:pPr>
        <w:spacing w:line="360" w:lineRule="auto"/>
        <w:contextualSpacing/>
        <w:rPr>
          <w:rFonts w:ascii="Times New Roman" w:hAnsi="Times New Roman" w:eastAsia="宋体" w:cs="Times New Roman"/>
          <w:b w:val="0"/>
          <w:bCs/>
          <w:color w:val="auto"/>
          <w:highlight w:val="none"/>
        </w:rPr>
      </w:pPr>
      <w:r>
        <w:rPr>
          <w:rFonts w:ascii="Times New Roman" w:hAnsi="Times New Roman" w:eastAsia="宋体"/>
          <w:color w:val="auto"/>
          <w:sz w:val="24"/>
          <w:highlight w:val="none"/>
        </w:rPr>
        <w:t>2.技术</w:t>
      </w:r>
      <w:r>
        <w:rPr>
          <w:rFonts w:hint="eastAsia"/>
          <w:color w:val="auto"/>
          <w:sz w:val="24"/>
          <w:highlight w:val="none"/>
          <w:lang w:eastAsia="zh-CN"/>
        </w:rPr>
        <w:t>指标</w:t>
      </w:r>
      <w:r>
        <w:rPr>
          <w:rFonts w:ascii="Times New Roman" w:hAnsi="Times New Roman" w:eastAsia="宋体"/>
          <w:color w:val="auto"/>
          <w:sz w:val="24"/>
          <w:highlight w:val="none"/>
        </w:rPr>
        <w:t>要求</w:t>
      </w:r>
    </w:p>
    <w:p w14:paraId="48EE6BBC">
      <w:pPr>
        <w:spacing w:before="1" w:line="360" w:lineRule="auto"/>
        <w:ind w:firstLine="525"/>
        <w:rPr>
          <w:rFonts w:hint="eastAsia" w:ascii="Times New Roman" w:hAnsi="Times New Roman" w:eastAsia="宋体" w:cs="Times New Roman"/>
          <w:b/>
          <w:color w:val="auto"/>
          <w:highlight w:val="none"/>
          <w:lang w:eastAsia="zh-CN"/>
        </w:rPr>
      </w:pPr>
      <w:r>
        <w:rPr>
          <w:rFonts w:ascii="Times New Roman" w:hAnsi="Times New Roman" w:eastAsia="宋体" w:cs="Times New Roman"/>
          <w:b/>
          <w:color w:val="auto"/>
          <w:highlight w:val="none"/>
        </w:rPr>
        <w:t>以下</w:t>
      </w:r>
      <w:r>
        <w:rPr>
          <w:rFonts w:hint="eastAsia" w:ascii="Times New Roman" w:hAnsi="Times New Roman" w:eastAsia="宋体" w:cs="Times New Roman"/>
          <w:b/>
          <w:color w:val="auto"/>
          <w:highlight w:val="none"/>
          <w:lang w:val="en-US" w:eastAsia="zh-CN"/>
        </w:rPr>
        <w:t>技术</w:t>
      </w:r>
      <w:r>
        <w:rPr>
          <w:rFonts w:ascii="Times New Roman" w:hAnsi="Times New Roman" w:eastAsia="宋体" w:cs="Times New Roman"/>
          <w:b/>
          <w:color w:val="auto"/>
          <w:highlight w:val="none"/>
        </w:rPr>
        <w:t>条款中打“★”号条款为</w:t>
      </w:r>
      <w:r>
        <w:rPr>
          <w:rFonts w:hint="eastAsia" w:ascii="Times New Roman" w:hAnsi="Times New Roman" w:eastAsia="宋体" w:cs="Times New Roman"/>
          <w:b/>
          <w:color w:val="auto"/>
          <w:highlight w:val="none"/>
          <w:lang w:val="en-US" w:eastAsia="zh-CN"/>
        </w:rPr>
        <w:t>必须满足项</w:t>
      </w:r>
      <w:r>
        <w:rPr>
          <w:rFonts w:ascii="Times New Roman" w:hAnsi="Times New Roman" w:eastAsia="宋体" w:cs="Times New Roman"/>
          <w:b/>
          <w:color w:val="auto"/>
          <w:highlight w:val="none"/>
        </w:rPr>
        <w:t>，如投标人的《投标文件》中不满足任何一项，其</w:t>
      </w:r>
      <w:r>
        <w:rPr>
          <w:rFonts w:hint="eastAsia" w:cs="Times New Roman"/>
          <w:b/>
          <w:color w:val="auto"/>
          <w:highlight w:val="none"/>
          <w:lang w:eastAsia="zh-CN"/>
        </w:rPr>
        <w:t>投标</w:t>
      </w:r>
      <w:r>
        <w:rPr>
          <w:rFonts w:ascii="Times New Roman" w:hAnsi="Times New Roman" w:eastAsia="宋体" w:cs="Times New Roman"/>
          <w:b/>
          <w:color w:val="auto"/>
          <w:highlight w:val="none"/>
        </w:rPr>
        <w:t>将被拒绝。打“#”号条款为该重点技术指标项</w:t>
      </w:r>
      <w:r>
        <w:rPr>
          <w:rFonts w:hint="eastAsia" w:ascii="Times New Roman" w:hAnsi="Times New Roman" w:eastAsia="宋体" w:cs="Times New Roman"/>
          <w:b/>
          <w:color w:val="auto"/>
          <w:highlight w:val="none"/>
          <w:lang w:eastAsia="zh-CN"/>
        </w:rPr>
        <w:t>，</w:t>
      </w:r>
      <w:r>
        <w:rPr>
          <w:rFonts w:ascii="Times New Roman" w:hAnsi="Times New Roman" w:eastAsia="宋体" w:cs="Times New Roman"/>
          <w:b/>
          <w:color w:val="auto"/>
          <w:highlight w:val="none"/>
        </w:rPr>
        <w:t>将作为重要评分指标。</w:t>
      </w:r>
      <w:r>
        <w:rPr>
          <w:rFonts w:hint="eastAsia" w:cs="Times New Roman"/>
          <w:b/>
          <w:color w:val="auto"/>
          <w:highlight w:val="none"/>
          <w:lang w:eastAsia="zh-CN"/>
        </w:rPr>
        <w:t>注：所有技术指标需在采购需求偏离表中逐项响应，要求提供证明材料的技术参数需在投标文件中同时提供相应材料。</w:t>
      </w:r>
    </w:p>
    <w:p w14:paraId="29A85FE5">
      <w:pPr>
        <w:pStyle w:val="17"/>
        <w:spacing w:line="360" w:lineRule="auto"/>
        <w:rPr>
          <w:rFonts w:hint="eastAsia" w:ascii="Times New Roman" w:hAnsi="Times New Roman" w:eastAsia="宋体" w:cs="Times New Roman"/>
          <w:b w:val="0"/>
          <w:bCs/>
          <w:color w:val="auto"/>
          <w:highlight w:val="none"/>
          <w:lang w:val="en-US" w:eastAsia="zh-CN"/>
        </w:rPr>
      </w:pPr>
      <w:r>
        <w:rPr>
          <w:rFonts w:hint="eastAsia" w:ascii="Times New Roman" w:hAnsi="Times New Roman" w:eastAsia="宋体" w:cs="Times New Roman"/>
          <w:b w:val="0"/>
          <w:bCs/>
          <w:color w:val="auto"/>
          <w:highlight w:val="none"/>
          <w:lang w:val="en-US" w:eastAsia="zh-CN"/>
        </w:rPr>
        <w:t>(1) 1G互联网专线</w:t>
      </w:r>
    </w:p>
    <w:tbl>
      <w:tblPr>
        <w:tblStyle w:val="44"/>
        <w:tblW w:w="90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0" w:type="dxa"/>
          <w:bottom w:w="113" w:type="dxa"/>
          <w:right w:w="0" w:type="dxa"/>
        </w:tblCellMar>
      </w:tblPr>
      <w:tblGrid>
        <w:gridCol w:w="757"/>
        <w:gridCol w:w="1062"/>
        <w:gridCol w:w="1934"/>
        <w:gridCol w:w="3330"/>
        <w:gridCol w:w="1978"/>
      </w:tblGrid>
      <w:tr w14:paraId="7E277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360" w:hRule="atLeast"/>
          <w:jc w:val="center"/>
        </w:trPr>
        <w:tc>
          <w:tcPr>
            <w:tcW w:w="757" w:type="dxa"/>
            <w:shd w:val="clear" w:color="auto" w:fill="A6A6A6"/>
            <w:noWrap w:val="0"/>
            <w:vAlign w:val="center"/>
          </w:tcPr>
          <w:p w14:paraId="7ABAAD8A">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序号</w:t>
            </w:r>
          </w:p>
        </w:tc>
        <w:tc>
          <w:tcPr>
            <w:tcW w:w="1062" w:type="dxa"/>
            <w:shd w:val="clear" w:color="auto" w:fill="A6A6A6"/>
            <w:noWrap w:val="0"/>
            <w:vAlign w:val="center"/>
          </w:tcPr>
          <w:p w14:paraId="6693950C">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重要性</w:t>
            </w:r>
          </w:p>
        </w:tc>
        <w:tc>
          <w:tcPr>
            <w:tcW w:w="1934" w:type="dxa"/>
            <w:shd w:val="clear" w:color="auto" w:fill="A6A6A6"/>
            <w:noWrap w:val="0"/>
            <w:vAlign w:val="center"/>
          </w:tcPr>
          <w:p w14:paraId="0A8017A3">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指标项</w:t>
            </w:r>
          </w:p>
        </w:tc>
        <w:tc>
          <w:tcPr>
            <w:tcW w:w="3330" w:type="dxa"/>
            <w:shd w:val="clear" w:color="auto" w:fill="A6A6A6"/>
            <w:noWrap w:val="0"/>
            <w:vAlign w:val="center"/>
          </w:tcPr>
          <w:p w14:paraId="491311ED">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指标要求</w:t>
            </w:r>
          </w:p>
        </w:tc>
        <w:tc>
          <w:tcPr>
            <w:tcW w:w="1978" w:type="dxa"/>
            <w:shd w:val="clear" w:color="auto" w:fill="A6A6A6"/>
            <w:noWrap w:val="0"/>
            <w:vAlign w:val="center"/>
          </w:tcPr>
          <w:p w14:paraId="0C7276D8">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证明材料要求</w:t>
            </w:r>
          </w:p>
        </w:tc>
      </w:tr>
      <w:tr w14:paraId="3830A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360" w:hRule="atLeast"/>
          <w:jc w:val="center"/>
        </w:trPr>
        <w:tc>
          <w:tcPr>
            <w:tcW w:w="9061" w:type="dxa"/>
            <w:gridSpan w:val="5"/>
            <w:noWrap w:val="0"/>
            <w:vAlign w:val="center"/>
          </w:tcPr>
          <w:p w14:paraId="223A0441">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b/>
                <w:bCs/>
                <w:color w:val="auto"/>
                <w:highlight w:val="none"/>
              </w:rPr>
              <w:t>性能要求</w:t>
            </w:r>
          </w:p>
        </w:tc>
      </w:tr>
      <w:tr w14:paraId="2BBA4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90" w:hRule="atLeast"/>
          <w:jc w:val="center"/>
        </w:trPr>
        <w:tc>
          <w:tcPr>
            <w:tcW w:w="757" w:type="dxa"/>
            <w:noWrap w:val="0"/>
            <w:vAlign w:val="center"/>
          </w:tcPr>
          <w:p w14:paraId="708AD353">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1</w:t>
            </w:r>
          </w:p>
        </w:tc>
        <w:tc>
          <w:tcPr>
            <w:tcW w:w="1062" w:type="dxa"/>
            <w:noWrap w:val="0"/>
            <w:vAlign w:val="center"/>
          </w:tcPr>
          <w:p w14:paraId="4F54AF07">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w:t>
            </w:r>
          </w:p>
        </w:tc>
        <w:tc>
          <w:tcPr>
            <w:tcW w:w="1934" w:type="dxa"/>
            <w:noWrap w:val="0"/>
            <w:vAlign w:val="center"/>
          </w:tcPr>
          <w:p w14:paraId="6F4687AF">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接入能力</w:t>
            </w:r>
          </w:p>
        </w:tc>
        <w:tc>
          <w:tcPr>
            <w:tcW w:w="3330" w:type="dxa"/>
            <w:noWrap w:val="0"/>
            <w:vAlign w:val="center"/>
          </w:tcPr>
          <w:p w14:paraId="4B492468">
            <w:pPr>
              <w:pStyle w:val="55"/>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提供</w:t>
            </w:r>
            <w:r>
              <w:rPr>
                <w:rFonts w:hint="eastAsia"/>
                <w:color w:val="auto"/>
                <w:highlight w:val="none"/>
                <w:lang w:val="en-US" w:eastAsia="zh-CN"/>
              </w:rPr>
              <w:t>1</w:t>
            </w:r>
            <w:r>
              <w:rPr>
                <w:rFonts w:hint="default"/>
                <w:color w:val="auto"/>
                <w:highlight w:val="none"/>
              </w:rPr>
              <w:t>G的互联网接入能力，以备后期有可能出现的扩容需求。</w:t>
            </w:r>
          </w:p>
        </w:tc>
        <w:tc>
          <w:tcPr>
            <w:tcW w:w="1978" w:type="dxa"/>
            <w:noWrap w:val="0"/>
            <w:vAlign w:val="center"/>
          </w:tcPr>
          <w:p w14:paraId="0F1495B2">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否</w:t>
            </w:r>
          </w:p>
        </w:tc>
      </w:tr>
      <w:tr w14:paraId="319DF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831" w:hRule="atLeast"/>
          <w:jc w:val="center"/>
        </w:trPr>
        <w:tc>
          <w:tcPr>
            <w:tcW w:w="757" w:type="dxa"/>
            <w:noWrap w:val="0"/>
            <w:vAlign w:val="center"/>
          </w:tcPr>
          <w:p w14:paraId="118D1B90">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2</w:t>
            </w:r>
          </w:p>
        </w:tc>
        <w:tc>
          <w:tcPr>
            <w:tcW w:w="1062" w:type="dxa"/>
            <w:noWrap w:val="0"/>
            <w:vAlign w:val="center"/>
          </w:tcPr>
          <w:p w14:paraId="24A7D98E">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w:t>
            </w:r>
          </w:p>
        </w:tc>
        <w:tc>
          <w:tcPr>
            <w:tcW w:w="1934" w:type="dxa"/>
            <w:noWrap w:val="0"/>
            <w:vAlign w:val="center"/>
          </w:tcPr>
          <w:p w14:paraId="6305107C">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独享带宽</w:t>
            </w:r>
          </w:p>
        </w:tc>
        <w:tc>
          <w:tcPr>
            <w:tcW w:w="3330" w:type="dxa"/>
            <w:noWrap w:val="0"/>
            <w:vAlign w:val="center"/>
          </w:tcPr>
          <w:p w14:paraId="600A5F85">
            <w:pPr>
              <w:pStyle w:val="55"/>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必须提供双向全线速专线，独享带宽，线路可用率为99.9%以上。</w:t>
            </w:r>
          </w:p>
        </w:tc>
        <w:tc>
          <w:tcPr>
            <w:tcW w:w="1978" w:type="dxa"/>
            <w:noWrap w:val="0"/>
            <w:vAlign w:val="center"/>
          </w:tcPr>
          <w:p w14:paraId="6F653C31">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否</w:t>
            </w:r>
          </w:p>
        </w:tc>
      </w:tr>
      <w:tr w14:paraId="42355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90" w:hRule="atLeast"/>
          <w:jc w:val="center"/>
        </w:trPr>
        <w:tc>
          <w:tcPr>
            <w:tcW w:w="757" w:type="dxa"/>
            <w:noWrap w:val="0"/>
            <w:vAlign w:val="center"/>
          </w:tcPr>
          <w:p w14:paraId="0BEE3E24">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3</w:t>
            </w:r>
          </w:p>
        </w:tc>
        <w:tc>
          <w:tcPr>
            <w:tcW w:w="1062" w:type="dxa"/>
            <w:noWrap w:val="0"/>
            <w:vAlign w:val="center"/>
          </w:tcPr>
          <w:p w14:paraId="54A9F388">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w:t>
            </w:r>
          </w:p>
        </w:tc>
        <w:tc>
          <w:tcPr>
            <w:tcW w:w="1934" w:type="dxa"/>
            <w:noWrap w:val="0"/>
            <w:vAlign w:val="center"/>
          </w:tcPr>
          <w:p w14:paraId="4E5B4581">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带宽要求</w:t>
            </w:r>
          </w:p>
        </w:tc>
        <w:tc>
          <w:tcPr>
            <w:tcW w:w="3330" w:type="dxa"/>
            <w:noWrap w:val="0"/>
            <w:vAlign w:val="center"/>
          </w:tcPr>
          <w:p w14:paraId="205B595C">
            <w:pPr>
              <w:pStyle w:val="55"/>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提供不低于</w:t>
            </w:r>
            <w:r>
              <w:rPr>
                <w:rFonts w:hint="eastAsia"/>
                <w:color w:val="auto"/>
                <w:highlight w:val="none"/>
                <w:lang w:val="en-US" w:eastAsia="zh-CN"/>
              </w:rPr>
              <w:t>1</w:t>
            </w:r>
            <w:r>
              <w:rPr>
                <w:rFonts w:hint="default"/>
                <w:color w:val="auto"/>
                <w:highlight w:val="none"/>
              </w:rPr>
              <w:t>Gbps的互联网接入带宽，带宽同时支持IPv4和IPv6协议，接入带宽下行速率≥1Gbps，上行速率≥</w:t>
            </w:r>
            <w:r>
              <w:rPr>
                <w:rFonts w:hint="eastAsia"/>
                <w:color w:val="auto"/>
                <w:highlight w:val="none"/>
                <w:lang w:val="en-US" w:eastAsia="zh-CN"/>
              </w:rPr>
              <w:t>1</w:t>
            </w:r>
            <w:r>
              <w:rPr>
                <w:rFonts w:hint="default"/>
                <w:color w:val="auto"/>
                <w:highlight w:val="none"/>
              </w:rPr>
              <w:t>Gbps。</w:t>
            </w:r>
          </w:p>
        </w:tc>
        <w:tc>
          <w:tcPr>
            <w:tcW w:w="1978" w:type="dxa"/>
            <w:noWrap w:val="0"/>
            <w:vAlign w:val="center"/>
          </w:tcPr>
          <w:p w14:paraId="7B4830E5">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否</w:t>
            </w:r>
          </w:p>
        </w:tc>
      </w:tr>
      <w:tr w14:paraId="66280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90" w:hRule="atLeast"/>
          <w:jc w:val="center"/>
        </w:trPr>
        <w:tc>
          <w:tcPr>
            <w:tcW w:w="757" w:type="dxa"/>
            <w:noWrap w:val="0"/>
            <w:vAlign w:val="center"/>
          </w:tcPr>
          <w:p w14:paraId="3253541E">
            <w:pPr>
              <w:pStyle w:val="55"/>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val="en-US" w:eastAsia="zh-CN"/>
              </w:rPr>
              <w:t>4</w:t>
            </w:r>
          </w:p>
        </w:tc>
        <w:tc>
          <w:tcPr>
            <w:tcW w:w="1062" w:type="dxa"/>
            <w:noWrap w:val="0"/>
            <w:vAlign w:val="center"/>
          </w:tcPr>
          <w:p w14:paraId="7E1A0AAE">
            <w:pPr>
              <w:pStyle w:val="55"/>
              <w:keepNext w:val="0"/>
              <w:keepLines w:val="0"/>
              <w:suppressLineNumbers w:val="0"/>
              <w:bidi w:val="0"/>
              <w:spacing w:before="0" w:beforeAutospacing="0" w:after="0" w:afterAutospacing="0"/>
              <w:ind w:left="0" w:right="0"/>
              <w:rPr>
                <w:rFonts w:hint="eastAsia" w:eastAsia="宋体"/>
                <w:color w:val="auto"/>
                <w:highlight w:val="none"/>
                <w:lang w:eastAsia="zh-CN"/>
              </w:rPr>
            </w:pPr>
            <w:r>
              <w:rPr>
                <w:rFonts w:hint="eastAsia"/>
                <w:color w:val="auto"/>
                <w:highlight w:val="none"/>
                <w:lang w:val="en-US" w:eastAsia="zh-CN"/>
              </w:rPr>
              <w:t>#</w:t>
            </w:r>
          </w:p>
        </w:tc>
        <w:tc>
          <w:tcPr>
            <w:tcW w:w="1934" w:type="dxa"/>
            <w:noWrap w:val="0"/>
            <w:vAlign w:val="center"/>
          </w:tcPr>
          <w:p w14:paraId="71049B3B">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IP 地址</w:t>
            </w:r>
          </w:p>
        </w:tc>
        <w:tc>
          <w:tcPr>
            <w:tcW w:w="3330" w:type="dxa"/>
            <w:noWrap w:val="0"/>
            <w:vAlign w:val="center"/>
          </w:tcPr>
          <w:p w14:paraId="182EBADE">
            <w:pPr>
              <w:pStyle w:val="55"/>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合同期内必须提供</w:t>
            </w:r>
            <w:r>
              <w:rPr>
                <w:rFonts w:hint="eastAsia"/>
                <w:color w:val="auto"/>
                <w:highlight w:val="none"/>
                <w:lang w:val="en-US" w:eastAsia="zh-CN"/>
              </w:rPr>
              <w:t>IPV4地址个数不少于256个，IPV6地址不少于1个/56和1个/52</w:t>
            </w:r>
            <w:r>
              <w:rPr>
                <w:rFonts w:hint="default"/>
                <w:color w:val="auto"/>
                <w:highlight w:val="none"/>
              </w:rPr>
              <w:t>。为学校提供的静态公网IP地址，不得在学校以外的网络进行地址转换，如在学校不知情的情况下，出现上述情况，学校有权向投标方追加使用期或经济赔偿（具体时间或金额可协商写入合同）并保留法律诉讼的权利。支持今后带宽升级时的配套IP地址数量的增加。</w:t>
            </w:r>
          </w:p>
        </w:tc>
        <w:tc>
          <w:tcPr>
            <w:tcW w:w="1978" w:type="dxa"/>
            <w:noWrap w:val="0"/>
            <w:vAlign w:val="center"/>
          </w:tcPr>
          <w:p w14:paraId="533D4DD6">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否</w:t>
            </w:r>
          </w:p>
        </w:tc>
      </w:tr>
      <w:tr w14:paraId="3F047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880" w:hRule="atLeast"/>
          <w:jc w:val="center"/>
        </w:trPr>
        <w:tc>
          <w:tcPr>
            <w:tcW w:w="757" w:type="dxa"/>
            <w:noWrap w:val="0"/>
            <w:vAlign w:val="center"/>
          </w:tcPr>
          <w:p w14:paraId="4E18178E">
            <w:pPr>
              <w:pStyle w:val="55"/>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val="en-US" w:eastAsia="zh-CN"/>
              </w:rPr>
              <w:t>5</w:t>
            </w:r>
          </w:p>
        </w:tc>
        <w:tc>
          <w:tcPr>
            <w:tcW w:w="1062" w:type="dxa"/>
            <w:noWrap w:val="0"/>
            <w:vAlign w:val="center"/>
          </w:tcPr>
          <w:p w14:paraId="07D44F5A">
            <w:pPr>
              <w:pStyle w:val="55"/>
              <w:keepNext w:val="0"/>
              <w:keepLines w:val="0"/>
              <w:suppressLineNumbers w:val="0"/>
              <w:bidi w:val="0"/>
              <w:spacing w:before="0" w:beforeAutospacing="0" w:after="0" w:afterAutospacing="0"/>
              <w:ind w:left="0" w:right="0"/>
              <w:rPr>
                <w:rFonts w:hint="eastAsia" w:eastAsia="宋体"/>
                <w:color w:val="auto"/>
                <w:highlight w:val="none"/>
                <w:lang w:eastAsia="zh-CN"/>
              </w:rPr>
            </w:pPr>
            <w:r>
              <w:rPr>
                <w:rFonts w:hint="eastAsia"/>
                <w:color w:val="auto"/>
                <w:highlight w:val="none"/>
                <w:lang w:val="en-US" w:eastAsia="zh-CN"/>
              </w:rPr>
              <w:t>#</w:t>
            </w:r>
          </w:p>
        </w:tc>
        <w:tc>
          <w:tcPr>
            <w:tcW w:w="1934" w:type="dxa"/>
            <w:noWrap w:val="0"/>
            <w:vAlign w:val="center"/>
          </w:tcPr>
          <w:p w14:paraId="29A27874">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DNS解释</w:t>
            </w:r>
          </w:p>
        </w:tc>
        <w:tc>
          <w:tcPr>
            <w:tcW w:w="3330" w:type="dxa"/>
            <w:noWrap w:val="0"/>
            <w:vAlign w:val="center"/>
          </w:tcPr>
          <w:p w14:paraId="4E150DD5">
            <w:pPr>
              <w:pStyle w:val="55"/>
              <w:keepNext w:val="0"/>
              <w:keepLines w:val="0"/>
              <w:suppressLineNumbers w:val="0"/>
              <w:bidi w:val="0"/>
              <w:spacing w:before="0" w:beforeAutospacing="0" w:after="0" w:afterAutospacing="0"/>
              <w:ind w:left="0" w:right="0"/>
              <w:jc w:val="both"/>
              <w:rPr>
                <w:rFonts w:hint="eastAsia" w:eastAsia="宋体"/>
                <w:color w:val="auto"/>
                <w:highlight w:val="none"/>
                <w:lang w:eastAsia="zh-CN"/>
              </w:rPr>
            </w:pPr>
            <w:r>
              <w:rPr>
                <w:rFonts w:hint="default"/>
                <w:color w:val="auto"/>
                <w:highlight w:val="none"/>
              </w:rPr>
              <w:t>按学校要求，对学校服务器的IP和域名提供正向和反向解释服务</w:t>
            </w:r>
            <w:r>
              <w:rPr>
                <w:rFonts w:hint="eastAsia"/>
                <w:color w:val="auto"/>
                <w:highlight w:val="none"/>
                <w:lang w:eastAsia="zh-CN"/>
              </w:rPr>
              <w:t>。</w:t>
            </w:r>
          </w:p>
        </w:tc>
        <w:tc>
          <w:tcPr>
            <w:tcW w:w="1978" w:type="dxa"/>
            <w:noWrap w:val="0"/>
            <w:vAlign w:val="center"/>
          </w:tcPr>
          <w:p w14:paraId="3FBDEC16">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否</w:t>
            </w:r>
          </w:p>
        </w:tc>
      </w:tr>
      <w:tr w14:paraId="5A1AB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1080" w:hRule="atLeast"/>
          <w:jc w:val="center"/>
        </w:trPr>
        <w:tc>
          <w:tcPr>
            <w:tcW w:w="757" w:type="dxa"/>
            <w:noWrap w:val="0"/>
            <w:vAlign w:val="center"/>
          </w:tcPr>
          <w:p w14:paraId="1E887A16">
            <w:pPr>
              <w:pStyle w:val="55"/>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6</w:t>
            </w:r>
          </w:p>
        </w:tc>
        <w:tc>
          <w:tcPr>
            <w:tcW w:w="1062" w:type="dxa"/>
            <w:noWrap w:val="0"/>
            <w:vAlign w:val="center"/>
          </w:tcPr>
          <w:p w14:paraId="6CF9082D">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w:t>
            </w:r>
          </w:p>
        </w:tc>
        <w:tc>
          <w:tcPr>
            <w:tcW w:w="1934" w:type="dxa"/>
            <w:noWrap w:val="0"/>
            <w:vAlign w:val="center"/>
          </w:tcPr>
          <w:p w14:paraId="353F6C47">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线路性能</w:t>
            </w:r>
          </w:p>
        </w:tc>
        <w:tc>
          <w:tcPr>
            <w:tcW w:w="3330" w:type="dxa"/>
            <w:noWrap w:val="0"/>
            <w:vAlign w:val="center"/>
          </w:tcPr>
          <w:p w14:paraId="6DF95D0F">
            <w:pPr>
              <w:pStyle w:val="55"/>
              <w:keepNext w:val="0"/>
              <w:keepLines w:val="0"/>
              <w:suppressLineNumbers w:val="0"/>
              <w:bidi w:val="0"/>
              <w:spacing w:before="0" w:beforeAutospacing="0" w:after="0" w:afterAutospacing="0"/>
              <w:ind w:left="0" w:right="0"/>
              <w:jc w:val="both"/>
              <w:rPr>
                <w:rFonts w:hint="eastAsia"/>
                <w:color w:val="auto"/>
                <w:highlight w:val="none"/>
                <w:lang w:eastAsia="zh-CN"/>
              </w:rPr>
            </w:pPr>
            <w:r>
              <w:rPr>
                <w:rFonts w:hint="default"/>
                <w:color w:val="auto"/>
                <w:highlight w:val="none"/>
              </w:rPr>
              <w:t>提供端到端带宽的技术保障，到达常用网站的路由跳数&lt;=10 跳，提供</w:t>
            </w:r>
            <w:r>
              <w:rPr>
                <w:rFonts w:hint="eastAsia"/>
                <w:color w:val="auto"/>
                <w:highlight w:val="none"/>
                <w:lang w:val="en-US" w:eastAsia="zh-CN"/>
              </w:rPr>
              <w:t>承诺函</w:t>
            </w:r>
            <w:r>
              <w:rPr>
                <w:rFonts w:hint="default"/>
                <w:color w:val="auto"/>
                <w:highlight w:val="none"/>
              </w:rPr>
              <w:t>并加盖投标人公章。</w:t>
            </w:r>
          </w:p>
        </w:tc>
        <w:tc>
          <w:tcPr>
            <w:tcW w:w="1978" w:type="dxa"/>
            <w:noWrap w:val="0"/>
            <w:vAlign w:val="center"/>
          </w:tcPr>
          <w:p w14:paraId="7270CEA7">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是</w:t>
            </w:r>
          </w:p>
        </w:tc>
      </w:tr>
      <w:tr w14:paraId="62869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1755" w:hRule="atLeast"/>
          <w:jc w:val="center"/>
        </w:trPr>
        <w:tc>
          <w:tcPr>
            <w:tcW w:w="757" w:type="dxa"/>
            <w:noWrap w:val="0"/>
            <w:vAlign w:val="center"/>
          </w:tcPr>
          <w:p w14:paraId="1D7DD522">
            <w:pPr>
              <w:pStyle w:val="55"/>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val="en-US" w:eastAsia="zh-CN"/>
              </w:rPr>
              <w:t>7</w:t>
            </w:r>
          </w:p>
        </w:tc>
        <w:tc>
          <w:tcPr>
            <w:tcW w:w="1062" w:type="dxa"/>
            <w:noWrap w:val="0"/>
            <w:vAlign w:val="center"/>
          </w:tcPr>
          <w:p w14:paraId="0C29229B">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w:t>
            </w:r>
          </w:p>
        </w:tc>
        <w:tc>
          <w:tcPr>
            <w:tcW w:w="1934" w:type="dxa"/>
            <w:noWrap w:val="0"/>
            <w:vAlign w:val="center"/>
          </w:tcPr>
          <w:p w14:paraId="0FA49604">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线路性能</w:t>
            </w:r>
          </w:p>
        </w:tc>
        <w:tc>
          <w:tcPr>
            <w:tcW w:w="3330" w:type="dxa"/>
            <w:noWrap w:val="0"/>
            <w:vAlign w:val="center"/>
          </w:tcPr>
          <w:p w14:paraId="231189A1">
            <w:pPr>
              <w:pStyle w:val="55"/>
              <w:keepNext w:val="0"/>
              <w:keepLines w:val="0"/>
              <w:suppressLineNumbers w:val="0"/>
              <w:bidi w:val="0"/>
              <w:spacing w:before="0" w:beforeAutospacing="0" w:after="0" w:afterAutospacing="0"/>
              <w:ind w:left="0" w:right="0"/>
              <w:jc w:val="both"/>
              <w:rPr>
                <w:rFonts w:hint="eastAsia" w:eastAsia="宋体"/>
                <w:color w:val="auto"/>
                <w:highlight w:val="none"/>
                <w:lang w:val="en-US" w:eastAsia="zh-CN"/>
              </w:rPr>
            </w:pPr>
            <w:r>
              <w:rPr>
                <w:rFonts w:hint="default"/>
                <w:color w:val="auto"/>
                <w:highlight w:val="none"/>
              </w:rPr>
              <w:t>自学校路由设备到投标方骨干设备，不得大于</w:t>
            </w:r>
            <w:r>
              <w:rPr>
                <w:rFonts w:hint="eastAsia"/>
                <w:color w:val="auto"/>
                <w:highlight w:val="none"/>
                <w:lang w:val="en-US" w:eastAsia="zh-CN"/>
              </w:rPr>
              <w:t>3</w:t>
            </w:r>
            <w:r>
              <w:rPr>
                <w:rFonts w:hint="default"/>
                <w:color w:val="auto"/>
                <w:highlight w:val="none"/>
              </w:rPr>
              <w:t>跳，并满足今后带宽容量升级的需求。任何时刻校方路由设备无超载情况下检测从学校到运营商骨干节点延时≤10ms。</w:t>
            </w:r>
            <w:r>
              <w:rPr>
                <w:rFonts w:hint="eastAsia"/>
                <w:color w:val="auto"/>
                <w:highlight w:val="none"/>
                <w:lang w:val="en-US" w:eastAsia="zh-CN"/>
              </w:rPr>
              <w:t>提供承诺函</w:t>
            </w:r>
            <w:r>
              <w:rPr>
                <w:rFonts w:hint="default"/>
                <w:color w:val="auto"/>
                <w:highlight w:val="none"/>
              </w:rPr>
              <w:t>并加盖投标人公章</w:t>
            </w:r>
            <w:r>
              <w:rPr>
                <w:rFonts w:hint="eastAsia"/>
                <w:color w:val="auto"/>
                <w:highlight w:val="none"/>
                <w:lang w:eastAsia="zh-CN"/>
              </w:rPr>
              <w:t>。</w:t>
            </w:r>
          </w:p>
        </w:tc>
        <w:tc>
          <w:tcPr>
            <w:tcW w:w="1978" w:type="dxa"/>
            <w:noWrap w:val="0"/>
            <w:vAlign w:val="center"/>
          </w:tcPr>
          <w:p w14:paraId="56C4BCF0">
            <w:pPr>
              <w:pStyle w:val="55"/>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 xml:space="preserve"> </w:t>
            </w:r>
            <w:r>
              <w:rPr>
                <w:rFonts w:hint="default"/>
                <w:color w:val="auto"/>
                <w:highlight w:val="none"/>
              </w:rPr>
              <w:t>是</w:t>
            </w:r>
          </w:p>
        </w:tc>
      </w:tr>
      <w:tr w14:paraId="3EDF2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90" w:hRule="atLeast"/>
          <w:jc w:val="center"/>
        </w:trPr>
        <w:tc>
          <w:tcPr>
            <w:tcW w:w="757" w:type="dxa"/>
            <w:noWrap w:val="0"/>
            <w:vAlign w:val="center"/>
          </w:tcPr>
          <w:p w14:paraId="101199C9">
            <w:pPr>
              <w:pStyle w:val="55"/>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val="en-US" w:eastAsia="zh-CN"/>
              </w:rPr>
              <w:t>8</w:t>
            </w:r>
          </w:p>
        </w:tc>
        <w:tc>
          <w:tcPr>
            <w:tcW w:w="1062" w:type="dxa"/>
            <w:noWrap w:val="0"/>
            <w:vAlign w:val="center"/>
          </w:tcPr>
          <w:p w14:paraId="3FD55A78">
            <w:pPr>
              <w:pStyle w:val="55"/>
              <w:keepNext w:val="0"/>
              <w:keepLines w:val="0"/>
              <w:suppressLineNumbers w:val="0"/>
              <w:bidi w:val="0"/>
              <w:spacing w:before="0" w:beforeAutospacing="0" w:after="0" w:afterAutospacing="0"/>
              <w:ind w:left="0" w:right="0"/>
              <w:rPr>
                <w:rFonts w:hint="eastAsia" w:eastAsia="宋体"/>
                <w:color w:val="auto"/>
                <w:highlight w:val="none"/>
                <w:lang w:eastAsia="zh-CN"/>
              </w:rPr>
            </w:pPr>
            <w:r>
              <w:rPr>
                <w:rFonts w:hint="eastAsia"/>
                <w:color w:val="auto"/>
                <w:highlight w:val="none"/>
                <w:lang w:val="en-US" w:eastAsia="zh-CN"/>
              </w:rPr>
              <w:t>#</w:t>
            </w:r>
          </w:p>
        </w:tc>
        <w:tc>
          <w:tcPr>
            <w:tcW w:w="1934" w:type="dxa"/>
            <w:noWrap w:val="0"/>
            <w:vAlign w:val="center"/>
          </w:tcPr>
          <w:p w14:paraId="00CC36DD">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线路性能</w:t>
            </w:r>
          </w:p>
        </w:tc>
        <w:tc>
          <w:tcPr>
            <w:tcW w:w="3330" w:type="dxa"/>
            <w:noWrap w:val="0"/>
            <w:vAlign w:val="center"/>
          </w:tcPr>
          <w:p w14:paraId="7DC9C2C6">
            <w:pPr>
              <w:pStyle w:val="55"/>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从学校网络设备端口到服务提供商局端网络设备网络丢包率≤0.1</w:t>
            </w:r>
            <w:r>
              <w:rPr>
                <w:rFonts w:hint="eastAsia"/>
                <w:color w:val="auto"/>
                <w:highlight w:val="none"/>
                <w:lang w:val="en-US" w:eastAsia="zh-CN"/>
              </w:rPr>
              <w:t>%</w:t>
            </w:r>
            <w:r>
              <w:rPr>
                <w:rFonts w:hint="default"/>
                <w:color w:val="auto"/>
                <w:highlight w:val="none"/>
              </w:rPr>
              <w:t>。</w:t>
            </w:r>
          </w:p>
        </w:tc>
        <w:tc>
          <w:tcPr>
            <w:tcW w:w="1978" w:type="dxa"/>
            <w:noWrap w:val="0"/>
            <w:vAlign w:val="center"/>
          </w:tcPr>
          <w:p w14:paraId="388D10B2">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否</w:t>
            </w:r>
          </w:p>
        </w:tc>
      </w:tr>
      <w:tr w14:paraId="71151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424" w:hRule="atLeast"/>
          <w:jc w:val="center"/>
        </w:trPr>
        <w:tc>
          <w:tcPr>
            <w:tcW w:w="757" w:type="dxa"/>
            <w:noWrap w:val="0"/>
            <w:vAlign w:val="center"/>
          </w:tcPr>
          <w:p w14:paraId="6A3322A9">
            <w:pPr>
              <w:pStyle w:val="55"/>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val="en-US" w:eastAsia="zh-CN"/>
              </w:rPr>
              <w:t>9</w:t>
            </w:r>
          </w:p>
        </w:tc>
        <w:tc>
          <w:tcPr>
            <w:tcW w:w="1062" w:type="dxa"/>
            <w:noWrap w:val="0"/>
            <w:vAlign w:val="center"/>
          </w:tcPr>
          <w:p w14:paraId="60BD4DF6">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w:t>
            </w:r>
          </w:p>
        </w:tc>
        <w:tc>
          <w:tcPr>
            <w:tcW w:w="1934" w:type="dxa"/>
            <w:noWrap w:val="0"/>
            <w:vAlign w:val="center"/>
          </w:tcPr>
          <w:p w14:paraId="54DB0C1F">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双路由保障</w:t>
            </w:r>
          </w:p>
        </w:tc>
        <w:tc>
          <w:tcPr>
            <w:tcW w:w="3330" w:type="dxa"/>
            <w:noWrap w:val="0"/>
            <w:vAlign w:val="center"/>
          </w:tcPr>
          <w:p w14:paraId="6E5C0958">
            <w:pPr>
              <w:pStyle w:val="55"/>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提供接入段、网络段双路由保障。</w:t>
            </w:r>
          </w:p>
        </w:tc>
        <w:tc>
          <w:tcPr>
            <w:tcW w:w="1978" w:type="dxa"/>
            <w:noWrap w:val="0"/>
            <w:vAlign w:val="center"/>
          </w:tcPr>
          <w:p w14:paraId="0438A553">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否</w:t>
            </w:r>
          </w:p>
        </w:tc>
      </w:tr>
      <w:tr w14:paraId="49FCE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1161" w:hRule="atLeast"/>
          <w:jc w:val="center"/>
        </w:trPr>
        <w:tc>
          <w:tcPr>
            <w:tcW w:w="757" w:type="dxa"/>
            <w:noWrap w:val="0"/>
            <w:vAlign w:val="center"/>
          </w:tcPr>
          <w:p w14:paraId="3F26255C">
            <w:pPr>
              <w:pStyle w:val="55"/>
              <w:keepNext w:val="0"/>
              <w:keepLines w:val="0"/>
              <w:suppressLineNumbers w:val="0"/>
              <w:bidi w:val="0"/>
              <w:spacing w:before="0" w:beforeAutospacing="0" w:after="0" w:afterAutospacing="0"/>
              <w:ind w:left="0" w:right="0"/>
              <w:rPr>
                <w:rFonts w:hint="eastAsia"/>
                <w:color w:val="auto"/>
                <w:highlight w:val="none"/>
                <w:lang w:eastAsia="zh-CN"/>
              </w:rPr>
            </w:pPr>
            <w:r>
              <w:rPr>
                <w:rFonts w:hint="default"/>
                <w:color w:val="auto"/>
                <w:highlight w:val="none"/>
              </w:rPr>
              <w:t>1</w:t>
            </w:r>
            <w:r>
              <w:rPr>
                <w:rFonts w:hint="eastAsia"/>
                <w:color w:val="auto"/>
                <w:highlight w:val="none"/>
                <w:lang w:val="en-US" w:eastAsia="zh-CN"/>
              </w:rPr>
              <w:t>0</w:t>
            </w:r>
          </w:p>
        </w:tc>
        <w:tc>
          <w:tcPr>
            <w:tcW w:w="1062" w:type="dxa"/>
            <w:noWrap w:val="0"/>
            <w:vAlign w:val="center"/>
          </w:tcPr>
          <w:p w14:paraId="48F2C9F8">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w:t>
            </w:r>
          </w:p>
        </w:tc>
        <w:tc>
          <w:tcPr>
            <w:tcW w:w="1934" w:type="dxa"/>
            <w:noWrap w:val="0"/>
            <w:vAlign w:val="center"/>
          </w:tcPr>
          <w:p w14:paraId="67F237A2">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自治域号</w:t>
            </w:r>
          </w:p>
        </w:tc>
        <w:tc>
          <w:tcPr>
            <w:tcW w:w="3330" w:type="dxa"/>
            <w:noWrap w:val="0"/>
            <w:vAlign w:val="center"/>
          </w:tcPr>
          <w:p w14:paraId="6FF9851E">
            <w:pPr>
              <w:pStyle w:val="55"/>
              <w:keepNext w:val="0"/>
              <w:keepLines w:val="0"/>
              <w:suppressLineNumbers w:val="0"/>
              <w:bidi w:val="0"/>
              <w:spacing w:before="0" w:beforeAutospacing="0" w:after="0" w:afterAutospacing="0"/>
              <w:ind w:left="0" w:right="0"/>
              <w:jc w:val="both"/>
              <w:rPr>
                <w:rFonts w:hint="eastAsia" w:eastAsia="宋体"/>
                <w:color w:val="auto"/>
                <w:highlight w:val="none"/>
                <w:lang w:val="en-US" w:eastAsia="zh-CN"/>
              </w:rPr>
            </w:pPr>
            <w:r>
              <w:rPr>
                <w:rFonts w:hint="default"/>
                <w:color w:val="auto"/>
                <w:highlight w:val="none"/>
              </w:rPr>
              <w:t>具有自己独立的自治域号，为学校提供的带宽链路为自主的光纤链路资源。</w:t>
            </w:r>
            <w:r>
              <w:rPr>
                <w:rFonts w:hint="eastAsia"/>
                <w:color w:val="auto"/>
                <w:highlight w:val="none"/>
                <w:lang w:val="en-US" w:eastAsia="zh-CN"/>
              </w:rPr>
              <w:t>提供承诺函</w:t>
            </w:r>
            <w:r>
              <w:rPr>
                <w:rFonts w:hint="default"/>
                <w:color w:val="auto"/>
                <w:highlight w:val="none"/>
              </w:rPr>
              <w:t>并加盖投标人公章</w:t>
            </w:r>
            <w:r>
              <w:rPr>
                <w:rFonts w:hint="eastAsia"/>
                <w:color w:val="auto"/>
                <w:highlight w:val="none"/>
                <w:lang w:eastAsia="zh-CN"/>
              </w:rPr>
              <w:t>。</w:t>
            </w:r>
          </w:p>
        </w:tc>
        <w:tc>
          <w:tcPr>
            <w:tcW w:w="1978" w:type="dxa"/>
            <w:noWrap w:val="0"/>
            <w:vAlign w:val="center"/>
          </w:tcPr>
          <w:p w14:paraId="3F9CEC6C">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是</w:t>
            </w:r>
          </w:p>
        </w:tc>
      </w:tr>
      <w:tr w14:paraId="77B65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245" w:hRule="atLeast"/>
          <w:jc w:val="center"/>
        </w:trPr>
        <w:tc>
          <w:tcPr>
            <w:tcW w:w="9061" w:type="dxa"/>
            <w:gridSpan w:val="5"/>
            <w:noWrap w:val="0"/>
            <w:vAlign w:val="center"/>
          </w:tcPr>
          <w:p w14:paraId="06D27F2F">
            <w:pPr>
              <w:pStyle w:val="55"/>
              <w:keepNext w:val="0"/>
              <w:keepLines w:val="0"/>
              <w:suppressLineNumbers w:val="0"/>
              <w:bidi w:val="0"/>
              <w:spacing w:before="0" w:beforeAutospacing="0" w:after="0" w:afterAutospacing="0"/>
              <w:ind w:left="0" w:right="0"/>
              <w:jc w:val="center"/>
              <w:rPr>
                <w:rFonts w:hint="eastAsia"/>
                <w:color w:val="auto"/>
                <w:highlight w:val="none"/>
                <w:lang w:eastAsia="zh-CN"/>
              </w:rPr>
            </w:pPr>
            <w:r>
              <w:rPr>
                <w:rFonts w:hint="eastAsia"/>
                <w:b/>
                <w:bCs/>
                <w:color w:val="auto"/>
                <w:highlight w:val="none"/>
                <w:lang w:eastAsia="zh-CN"/>
              </w:rPr>
              <w:t>线路要求</w:t>
            </w:r>
          </w:p>
        </w:tc>
      </w:tr>
      <w:tr w14:paraId="73291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757" w:hRule="atLeast"/>
          <w:jc w:val="center"/>
        </w:trPr>
        <w:tc>
          <w:tcPr>
            <w:tcW w:w="757" w:type="dxa"/>
            <w:noWrap w:val="0"/>
            <w:vAlign w:val="center"/>
          </w:tcPr>
          <w:p w14:paraId="142F96A9">
            <w:pPr>
              <w:pStyle w:val="55"/>
              <w:keepNext w:val="0"/>
              <w:keepLines w:val="0"/>
              <w:suppressLineNumbers w:val="0"/>
              <w:bidi w:val="0"/>
              <w:spacing w:before="0" w:beforeAutospacing="0" w:after="0" w:afterAutospacing="0"/>
              <w:ind w:left="0" w:right="0"/>
              <w:rPr>
                <w:rFonts w:hint="eastAsia"/>
                <w:color w:val="auto"/>
                <w:highlight w:val="none"/>
                <w:lang w:eastAsia="zh-CN"/>
              </w:rPr>
            </w:pPr>
            <w:r>
              <w:rPr>
                <w:rFonts w:hint="default"/>
                <w:color w:val="auto"/>
                <w:highlight w:val="none"/>
              </w:rPr>
              <w:t>1</w:t>
            </w:r>
            <w:r>
              <w:rPr>
                <w:rFonts w:hint="eastAsia"/>
                <w:color w:val="auto"/>
                <w:highlight w:val="none"/>
                <w:lang w:val="en-US" w:eastAsia="zh-CN"/>
              </w:rPr>
              <w:t>1</w:t>
            </w:r>
          </w:p>
        </w:tc>
        <w:tc>
          <w:tcPr>
            <w:tcW w:w="1062" w:type="dxa"/>
            <w:noWrap w:val="0"/>
            <w:vAlign w:val="center"/>
          </w:tcPr>
          <w:p w14:paraId="53078474">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w:t>
            </w:r>
          </w:p>
        </w:tc>
        <w:tc>
          <w:tcPr>
            <w:tcW w:w="1934" w:type="dxa"/>
            <w:noWrap w:val="0"/>
            <w:vAlign w:val="center"/>
          </w:tcPr>
          <w:p w14:paraId="40AD8200">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基本要求</w:t>
            </w:r>
          </w:p>
        </w:tc>
        <w:tc>
          <w:tcPr>
            <w:tcW w:w="3330" w:type="dxa"/>
            <w:noWrap w:val="0"/>
            <w:vAlign w:val="center"/>
          </w:tcPr>
          <w:p w14:paraId="253D14D7">
            <w:pPr>
              <w:pStyle w:val="55"/>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提供互联网光纤专线接入，光纤直接接入</w:t>
            </w:r>
            <w:r>
              <w:rPr>
                <w:rFonts w:hint="eastAsia"/>
                <w:color w:val="auto"/>
                <w:highlight w:val="none"/>
                <w:lang w:eastAsia="zh-CN"/>
              </w:rPr>
              <w:t>采购人</w:t>
            </w:r>
            <w:r>
              <w:rPr>
                <w:rFonts w:hint="default"/>
                <w:color w:val="auto"/>
                <w:highlight w:val="none"/>
              </w:rPr>
              <w:t>指定机房（</w:t>
            </w:r>
            <w:r>
              <w:rPr>
                <w:rFonts w:hint="eastAsia"/>
                <w:color w:val="auto"/>
                <w:highlight w:val="none"/>
              </w:rPr>
              <w:t>北京市西城区德胜门外什坊街2号北京教育学院黄寺校区综合楼303网络机房</w:t>
            </w:r>
            <w:r>
              <w:rPr>
                <w:rFonts w:hint="default"/>
                <w:color w:val="auto"/>
                <w:highlight w:val="none"/>
              </w:rPr>
              <w:t>），进入校园后光缆必须全部入地；并提供相关的接入以及和路由器之间的转换设备，接入设备将安装在</w:t>
            </w:r>
            <w:r>
              <w:rPr>
                <w:rFonts w:hint="eastAsia"/>
                <w:color w:val="auto"/>
                <w:highlight w:val="none"/>
                <w:lang w:eastAsia="zh-CN"/>
              </w:rPr>
              <w:t>采购人</w:t>
            </w:r>
            <w:r>
              <w:rPr>
                <w:rFonts w:hint="default"/>
                <w:color w:val="auto"/>
                <w:highlight w:val="none"/>
              </w:rPr>
              <w:t>指定的场地</w:t>
            </w:r>
            <w:r>
              <w:rPr>
                <w:rFonts w:hint="eastAsia" w:cs="仿宋_GB2312"/>
                <w:bCs/>
                <w:color w:val="auto"/>
                <w:sz w:val="24"/>
                <w:szCs w:val="24"/>
                <w:highlight w:val="none"/>
                <w:lang w:val="en-US" w:eastAsia="zh-CN"/>
              </w:rPr>
              <w:t>。</w:t>
            </w:r>
          </w:p>
        </w:tc>
        <w:tc>
          <w:tcPr>
            <w:tcW w:w="1978" w:type="dxa"/>
            <w:noWrap w:val="0"/>
            <w:vAlign w:val="center"/>
          </w:tcPr>
          <w:p w14:paraId="5E40622A">
            <w:pPr>
              <w:pStyle w:val="55"/>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否</w:t>
            </w:r>
          </w:p>
        </w:tc>
      </w:tr>
      <w:tr w14:paraId="03AC3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1133" w:hRule="atLeast"/>
          <w:jc w:val="center"/>
        </w:trPr>
        <w:tc>
          <w:tcPr>
            <w:tcW w:w="757" w:type="dxa"/>
            <w:noWrap w:val="0"/>
            <w:vAlign w:val="center"/>
          </w:tcPr>
          <w:p w14:paraId="0F365B8D">
            <w:pPr>
              <w:pStyle w:val="55"/>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12</w:t>
            </w:r>
          </w:p>
        </w:tc>
        <w:tc>
          <w:tcPr>
            <w:tcW w:w="1062" w:type="dxa"/>
            <w:noWrap w:val="0"/>
            <w:vAlign w:val="center"/>
          </w:tcPr>
          <w:p w14:paraId="6E71898D">
            <w:pPr>
              <w:pStyle w:val="55"/>
              <w:keepNext w:val="0"/>
              <w:keepLines w:val="0"/>
              <w:suppressLineNumbers w:val="0"/>
              <w:bidi w:val="0"/>
              <w:spacing w:before="0" w:beforeAutospacing="0" w:after="0" w:afterAutospacing="0"/>
              <w:ind w:left="0" w:right="0"/>
              <w:rPr>
                <w:rFonts w:hint="eastAsia" w:eastAsia="宋体"/>
                <w:color w:val="auto"/>
                <w:highlight w:val="none"/>
                <w:lang w:eastAsia="zh-CN"/>
              </w:rPr>
            </w:pPr>
            <w:r>
              <w:rPr>
                <w:rFonts w:hint="eastAsia"/>
                <w:color w:val="auto"/>
                <w:highlight w:val="none"/>
                <w:lang w:val="en-US" w:eastAsia="zh-CN"/>
              </w:rPr>
              <w:t>#</w:t>
            </w:r>
          </w:p>
        </w:tc>
        <w:tc>
          <w:tcPr>
            <w:tcW w:w="1934" w:type="dxa"/>
            <w:noWrap w:val="0"/>
            <w:vAlign w:val="center"/>
          </w:tcPr>
          <w:p w14:paraId="3E533952">
            <w:pPr>
              <w:pStyle w:val="55"/>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国际带宽</w:t>
            </w:r>
          </w:p>
        </w:tc>
        <w:tc>
          <w:tcPr>
            <w:tcW w:w="3330" w:type="dxa"/>
            <w:noWrap w:val="0"/>
            <w:vAlign w:val="center"/>
          </w:tcPr>
          <w:p w14:paraId="470744EB">
            <w:pPr>
              <w:pStyle w:val="55"/>
              <w:keepNext w:val="0"/>
              <w:keepLines w:val="0"/>
              <w:suppressLineNumbers w:val="0"/>
              <w:bidi w:val="0"/>
              <w:spacing w:before="0" w:beforeAutospacing="0" w:after="0" w:afterAutospacing="0"/>
              <w:ind w:left="0" w:right="0"/>
              <w:jc w:val="both"/>
              <w:rPr>
                <w:rFonts w:hint="eastAsia"/>
                <w:color w:val="auto"/>
                <w:highlight w:val="none"/>
                <w:lang w:val="en-US" w:eastAsia="zh-CN"/>
              </w:rPr>
            </w:pPr>
            <w:r>
              <w:rPr>
                <w:rFonts w:hint="eastAsia"/>
                <w:color w:val="auto"/>
                <w:highlight w:val="none"/>
                <w:lang w:val="en-US" w:eastAsia="zh-CN"/>
              </w:rPr>
              <w:t>具有宽裕的国际出口带宽，带宽不低于4000Gbps。提供承诺函</w:t>
            </w:r>
            <w:r>
              <w:rPr>
                <w:rFonts w:hint="default"/>
                <w:color w:val="auto"/>
                <w:highlight w:val="none"/>
              </w:rPr>
              <w:t>并加盖投标人公章</w:t>
            </w:r>
            <w:r>
              <w:rPr>
                <w:rFonts w:hint="eastAsia"/>
                <w:color w:val="auto"/>
                <w:highlight w:val="none"/>
                <w:lang w:eastAsia="zh-CN"/>
              </w:rPr>
              <w:t>。</w:t>
            </w:r>
          </w:p>
        </w:tc>
        <w:tc>
          <w:tcPr>
            <w:tcW w:w="1978" w:type="dxa"/>
            <w:noWrap w:val="0"/>
            <w:vAlign w:val="center"/>
          </w:tcPr>
          <w:p w14:paraId="3EA02622">
            <w:pPr>
              <w:pStyle w:val="55"/>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是</w:t>
            </w:r>
          </w:p>
        </w:tc>
      </w:tr>
    </w:tbl>
    <w:p w14:paraId="66210489">
      <w:pPr>
        <w:pStyle w:val="17"/>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Times New Roman" w:hAnsi="Times New Roman" w:eastAsia="宋体" w:cs="Times New Roman"/>
          <w:b/>
          <w:color w:val="auto"/>
          <w:highlight w:val="none"/>
          <w:lang w:val="en-US" w:eastAsia="zh-CN"/>
        </w:rPr>
      </w:pPr>
    </w:p>
    <w:p w14:paraId="3C29786E">
      <w:pPr>
        <w:pStyle w:val="17"/>
        <w:keepNext w:val="0"/>
        <w:keepLines w:val="0"/>
        <w:pageBreakBefore w:val="0"/>
        <w:widowControl w:val="0"/>
        <w:kinsoku/>
        <w:wordWrap/>
        <w:overflowPunct/>
        <w:topLinePunct w:val="0"/>
        <w:autoSpaceDE/>
        <w:autoSpaceDN/>
        <w:bidi w:val="0"/>
        <w:adjustRightInd/>
        <w:snapToGrid/>
        <w:spacing w:after="0"/>
        <w:jc w:val="left"/>
        <w:textAlignment w:val="auto"/>
        <w:rPr>
          <w:rFonts w:hint="eastAsia"/>
          <w:b w:val="0"/>
          <w:bCs/>
          <w:color w:val="auto"/>
          <w:highlight w:val="none"/>
          <w:lang w:val="en-US" w:eastAsia="zh-CN"/>
        </w:rPr>
      </w:pPr>
      <w:r>
        <w:rPr>
          <w:rFonts w:hint="eastAsia" w:ascii="Times New Roman" w:hAnsi="Times New Roman" w:eastAsia="宋体" w:cs="Times New Roman"/>
          <w:b w:val="0"/>
          <w:bCs/>
          <w:color w:val="auto"/>
          <w:highlight w:val="none"/>
          <w:lang w:val="en-US" w:eastAsia="zh-CN"/>
        </w:rPr>
        <w:t>（2）500M-SDH以太网本地电路</w:t>
      </w:r>
    </w:p>
    <w:tbl>
      <w:tblPr>
        <w:tblStyle w:val="44"/>
        <w:tblW w:w="90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0" w:type="dxa"/>
          <w:bottom w:w="113" w:type="dxa"/>
          <w:right w:w="0" w:type="dxa"/>
        </w:tblCellMar>
      </w:tblPr>
      <w:tblGrid>
        <w:gridCol w:w="757"/>
        <w:gridCol w:w="1062"/>
        <w:gridCol w:w="1934"/>
        <w:gridCol w:w="3330"/>
        <w:gridCol w:w="1978"/>
      </w:tblGrid>
      <w:tr w14:paraId="56D33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360" w:hRule="atLeast"/>
          <w:jc w:val="center"/>
        </w:trPr>
        <w:tc>
          <w:tcPr>
            <w:tcW w:w="757" w:type="dxa"/>
            <w:shd w:val="clear" w:color="auto" w:fill="A6A6A6"/>
            <w:noWrap w:val="0"/>
            <w:vAlign w:val="center"/>
          </w:tcPr>
          <w:p w14:paraId="271A2443">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序号</w:t>
            </w:r>
          </w:p>
        </w:tc>
        <w:tc>
          <w:tcPr>
            <w:tcW w:w="1062" w:type="dxa"/>
            <w:shd w:val="clear" w:color="auto" w:fill="A6A6A6"/>
            <w:noWrap w:val="0"/>
            <w:vAlign w:val="center"/>
          </w:tcPr>
          <w:p w14:paraId="59FF2252">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重要性</w:t>
            </w:r>
          </w:p>
        </w:tc>
        <w:tc>
          <w:tcPr>
            <w:tcW w:w="1934" w:type="dxa"/>
            <w:shd w:val="clear" w:color="auto" w:fill="A6A6A6"/>
            <w:noWrap w:val="0"/>
            <w:vAlign w:val="center"/>
          </w:tcPr>
          <w:p w14:paraId="25544F07">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指标项</w:t>
            </w:r>
          </w:p>
        </w:tc>
        <w:tc>
          <w:tcPr>
            <w:tcW w:w="3330" w:type="dxa"/>
            <w:shd w:val="clear" w:color="auto" w:fill="A6A6A6"/>
            <w:noWrap w:val="0"/>
            <w:vAlign w:val="center"/>
          </w:tcPr>
          <w:p w14:paraId="27B75BD0">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指标要求</w:t>
            </w:r>
          </w:p>
        </w:tc>
        <w:tc>
          <w:tcPr>
            <w:tcW w:w="1978" w:type="dxa"/>
            <w:shd w:val="clear" w:color="auto" w:fill="A6A6A6"/>
            <w:noWrap w:val="0"/>
            <w:vAlign w:val="center"/>
          </w:tcPr>
          <w:p w14:paraId="607EACA2">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证明材料要求</w:t>
            </w:r>
          </w:p>
        </w:tc>
      </w:tr>
      <w:tr w14:paraId="44216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360" w:hRule="atLeast"/>
          <w:jc w:val="center"/>
        </w:trPr>
        <w:tc>
          <w:tcPr>
            <w:tcW w:w="9061" w:type="dxa"/>
            <w:gridSpan w:val="5"/>
            <w:noWrap w:val="0"/>
            <w:vAlign w:val="center"/>
          </w:tcPr>
          <w:p w14:paraId="775F6886">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b/>
                <w:bCs/>
                <w:color w:val="auto"/>
                <w:highlight w:val="none"/>
                <w:lang w:val="en-US" w:eastAsia="zh-CN"/>
              </w:rPr>
              <w:t>性能要求</w:t>
            </w:r>
          </w:p>
        </w:tc>
      </w:tr>
      <w:tr w14:paraId="594F7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706" w:hRule="atLeast"/>
          <w:jc w:val="center"/>
        </w:trPr>
        <w:tc>
          <w:tcPr>
            <w:tcW w:w="757" w:type="dxa"/>
            <w:noWrap w:val="0"/>
            <w:vAlign w:val="center"/>
          </w:tcPr>
          <w:p w14:paraId="3889A538">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062" w:type="dxa"/>
            <w:noWrap w:val="0"/>
            <w:vAlign w:val="center"/>
          </w:tcPr>
          <w:p w14:paraId="3FE58A8D">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24FBE83D">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接入能力</w:t>
            </w:r>
          </w:p>
        </w:tc>
        <w:tc>
          <w:tcPr>
            <w:tcW w:w="3330" w:type="dxa"/>
            <w:noWrap w:val="0"/>
            <w:vAlign w:val="center"/>
          </w:tcPr>
          <w:p w14:paraId="16156425">
            <w:pPr>
              <w:pStyle w:val="55"/>
              <w:keepNext w:val="0"/>
              <w:keepLines w:val="0"/>
              <w:suppressLineNumbers w:val="0"/>
              <w:bidi w:val="0"/>
              <w:spacing w:before="0" w:beforeAutospacing="0" w:after="0" w:afterAutospacing="0"/>
              <w:ind w:left="0" w:right="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提供不少于三条500M点对点专线，以备后期有可能出现的扩容需求。</w:t>
            </w:r>
          </w:p>
        </w:tc>
        <w:tc>
          <w:tcPr>
            <w:tcW w:w="1978" w:type="dxa"/>
            <w:noWrap w:val="0"/>
            <w:vAlign w:val="center"/>
          </w:tcPr>
          <w:p w14:paraId="5F723BAA">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否</w:t>
            </w:r>
          </w:p>
        </w:tc>
      </w:tr>
      <w:tr w14:paraId="42FAB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782" w:hRule="atLeast"/>
          <w:jc w:val="center"/>
        </w:trPr>
        <w:tc>
          <w:tcPr>
            <w:tcW w:w="757" w:type="dxa"/>
            <w:noWrap w:val="0"/>
            <w:vAlign w:val="center"/>
          </w:tcPr>
          <w:p w14:paraId="2DBE2A6F">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p>
        </w:tc>
        <w:tc>
          <w:tcPr>
            <w:tcW w:w="1062" w:type="dxa"/>
            <w:noWrap w:val="0"/>
            <w:vAlign w:val="center"/>
          </w:tcPr>
          <w:p w14:paraId="2EA69EC2">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07809E32">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独享带宽</w:t>
            </w:r>
          </w:p>
        </w:tc>
        <w:tc>
          <w:tcPr>
            <w:tcW w:w="3330" w:type="dxa"/>
            <w:noWrap w:val="0"/>
            <w:vAlign w:val="center"/>
          </w:tcPr>
          <w:p w14:paraId="71225B14">
            <w:pPr>
              <w:pStyle w:val="55"/>
              <w:keepNext w:val="0"/>
              <w:keepLines w:val="0"/>
              <w:suppressLineNumbers w:val="0"/>
              <w:bidi w:val="0"/>
              <w:spacing w:before="0" w:beforeAutospacing="0" w:after="0" w:afterAutospacing="0"/>
              <w:ind w:left="0" w:right="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必须提供双向全线速专线，独享</w:t>
            </w:r>
          </w:p>
          <w:p w14:paraId="7F986D9E">
            <w:pPr>
              <w:pStyle w:val="55"/>
              <w:keepNext w:val="0"/>
              <w:keepLines w:val="0"/>
              <w:suppressLineNumbers w:val="0"/>
              <w:bidi w:val="0"/>
              <w:spacing w:before="0" w:beforeAutospacing="0" w:after="0" w:afterAutospacing="0"/>
              <w:ind w:left="0" w:right="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带宽，线路可用率为99.9%以上。</w:t>
            </w:r>
          </w:p>
        </w:tc>
        <w:tc>
          <w:tcPr>
            <w:tcW w:w="1978" w:type="dxa"/>
            <w:noWrap w:val="0"/>
            <w:vAlign w:val="center"/>
          </w:tcPr>
          <w:p w14:paraId="29CFFB29">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否</w:t>
            </w:r>
          </w:p>
        </w:tc>
      </w:tr>
      <w:tr w14:paraId="3DB4B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1397" w:hRule="atLeast"/>
          <w:jc w:val="center"/>
        </w:trPr>
        <w:tc>
          <w:tcPr>
            <w:tcW w:w="757" w:type="dxa"/>
            <w:noWrap w:val="0"/>
            <w:vAlign w:val="center"/>
          </w:tcPr>
          <w:p w14:paraId="15B6609A">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w:t>
            </w:r>
          </w:p>
        </w:tc>
        <w:tc>
          <w:tcPr>
            <w:tcW w:w="1062" w:type="dxa"/>
            <w:noWrap w:val="0"/>
            <w:vAlign w:val="center"/>
          </w:tcPr>
          <w:p w14:paraId="3597AD17">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67A0246B">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带宽要求</w:t>
            </w:r>
          </w:p>
        </w:tc>
        <w:tc>
          <w:tcPr>
            <w:tcW w:w="3330" w:type="dxa"/>
            <w:noWrap w:val="0"/>
            <w:vAlign w:val="center"/>
          </w:tcPr>
          <w:p w14:paraId="141C054D">
            <w:pPr>
              <w:pStyle w:val="55"/>
              <w:keepNext w:val="0"/>
              <w:keepLines w:val="0"/>
              <w:suppressLineNumbers w:val="0"/>
              <w:bidi w:val="0"/>
              <w:spacing w:before="0" w:beforeAutospacing="0" w:after="0" w:afterAutospacing="0"/>
              <w:ind w:left="0" w:right="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提供不低于500Mbps的互联网接入带宽，带宽同时支持IPv4和IPv6协议，接入带宽下行速率≥500Mbps，上行速率≥500Mbps。</w:t>
            </w:r>
          </w:p>
        </w:tc>
        <w:tc>
          <w:tcPr>
            <w:tcW w:w="1978" w:type="dxa"/>
            <w:noWrap w:val="0"/>
            <w:vAlign w:val="center"/>
          </w:tcPr>
          <w:p w14:paraId="292B3616">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否</w:t>
            </w:r>
          </w:p>
        </w:tc>
      </w:tr>
      <w:tr w14:paraId="094E0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421" w:hRule="atLeast"/>
          <w:jc w:val="center"/>
        </w:trPr>
        <w:tc>
          <w:tcPr>
            <w:tcW w:w="757" w:type="dxa"/>
            <w:noWrap w:val="0"/>
            <w:vAlign w:val="center"/>
          </w:tcPr>
          <w:p w14:paraId="47E6EAFA">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4</w:t>
            </w:r>
          </w:p>
        </w:tc>
        <w:tc>
          <w:tcPr>
            <w:tcW w:w="1062" w:type="dxa"/>
            <w:noWrap w:val="0"/>
            <w:vAlign w:val="center"/>
          </w:tcPr>
          <w:p w14:paraId="17307804">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2B051FF7">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线路性能</w:t>
            </w:r>
          </w:p>
        </w:tc>
        <w:tc>
          <w:tcPr>
            <w:tcW w:w="3330" w:type="dxa"/>
            <w:noWrap w:val="0"/>
            <w:vAlign w:val="center"/>
          </w:tcPr>
          <w:p w14:paraId="18DB570E">
            <w:pPr>
              <w:pStyle w:val="55"/>
              <w:keepNext w:val="0"/>
              <w:keepLines w:val="0"/>
              <w:suppressLineNumbers w:val="0"/>
              <w:bidi w:val="0"/>
              <w:spacing w:before="0" w:beforeAutospacing="0" w:after="0" w:afterAutospacing="0"/>
              <w:ind w:left="0" w:right="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平均往返时延≤10ms</w:t>
            </w:r>
            <w:r>
              <w:rPr>
                <w:rFonts w:hint="eastAsia" w:cs="Times New Roman"/>
                <w:color w:val="auto"/>
                <w:highlight w:val="none"/>
                <w:lang w:val="en-US" w:eastAsia="zh-CN"/>
              </w:rPr>
              <w:t>。</w:t>
            </w:r>
          </w:p>
        </w:tc>
        <w:tc>
          <w:tcPr>
            <w:tcW w:w="1978" w:type="dxa"/>
            <w:noWrap w:val="0"/>
            <w:vAlign w:val="center"/>
          </w:tcPr>
          <w:p w14:paraId="3C378469">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否</w:t>
            </w:r>
          </w:p>
        </w:tc>
      </w:tr>
      <w:tr w14:paraId="0CCFB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427" w:hRule="atLeast"/>
          <w:jc w:val="center"/>
        </w:trPr>
        <w:tc>
          <w:tcPr>
            <w:tcW w:w="757" w:type="dxa"/>
            <w:noWrap w:val="0"/>
            <w:vAlign w:val="center"/>
          </w:tcPr>
          <w:p w14:paraId="70960880">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5</w:t>
            </w:r>
          </w:p>
        </w:tc>
        <w:tc>
          <w:tcPr>
            <w:tcW w:w="1062" w:type="dxa"/>
            <w:noWrap w:val="0"/>
            <w:vAlign w:val="center"/>
          </w:tcPr>
          <w:p w14:paraId="3D3AF7A7">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657E6C57">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线路性能</w:t>
            </w:r>
          </w:p>
        </w:tc>
        <w:tc>
          <w:tcPr>
            <w:tcW w:w="3330" w:type="dxa"/>
            <w:noWrap w:val="0"/>
            <w:vAlign w:val="center"/>
          </w:tcPr>
          <w:p w14:paraId="6B341FE9">
            <w:pPr>
              <w:pStyle w:val="55"/>
              <w:keepNext w:val="0"/>
              <w:keepLines w:val="0"/>
              <w:suppressLineNumbers w:val="0"/>
              <w:bidi w:val="0"/>
              <w:spacing w:before="0" w:beforeAutospacing="0" w:after="0" w:afterAutospacing="0"/>
              <w:ind w:left="0" w:right="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链路可用度≥99.9%</w:t>
            </w:r>
            <w:r>
              <w:rPr>
                <w:rFonts w:hint="eastAsia" w:cs="Times New Roman"/>
                <w:color w:val="auto"/>
                <w:highlight w:val="none"/>
                <w:lang w:val="en-US" w:eastAsia="zh-CN"/>
              </w:rPr>
              <w:t>。</w:t>
            </w:r>
          </w:p>
        </w:tc>
        <w:tc>
          <w:tcPr>
            <w:tcW w:w="1978" w:type="dxa"/>
            <w:noWrap w:val="0"/>
            <w:vAlign w:val="center"/>
          </w:tcPr>
          <w:p w14:paraId="72FC5ACA">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否</w:t>
            </w:r>
          </w:p>
        </w:tc>
      </w:tr>
      <w:tr w14:paraId="1E33C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806" w:hRule="atLeast"/>
          <w:jc w:val="center"/>
        </w:trPr>
        <w:tc>
          <w:tcPr>
            <w:tcW w:w="757" w:type="dxa"/>
            <w:noWrap w:val="0"/>
            <w:vAlign w:val="center"/>
          </w:tcPr>
          <w:p w14:paraId="69D33F89">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6</w:t>
            </w:r>
          </w:p>
        </w:tc>
        <w:tc>
          <w:tcPr>
            <w:tcW w:w="1062" w:type="dxa"/>
            <w:noWrap w:val="0"/>
            <w:vAlign w:val="center"/>
          </w:tcPr>
          <w:p w14:paraId="796983C4">
            <w:pPr>
              <w:pStyle w:val="55"/>
              <w:keepNext w:val="0"/>
              <w:keepLines w:val="0"/>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w:t>
            </w:r>
          </w:p>
        </w:tc>
        <w:tc>
          <w:tcPr>
            <w:tcW w:w="1934" w:type="dxa"/>
            <w:noWrap w:val="0"/>
            <w:vAlign w:val="center"/>
          </w:tcPr>
          <w:p w14:paraId="26D7F664">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线路性能</w:t>
            </w:r>
          </w:p>
        </w:tc>
        <w:tc>
          <w:tcPr>
            <w:tcW w:w="3330" w:type="dxa"/>
            <w:noWrap w:val="0"/>
            <w:vAlign w:val="center"/>
          </w:tcPr>
          <w:p w14:paraId="00D9A268">
            <w:pPr>
              <w:pStyle w:val="55"/>
              <w:keepNext w:val="0"/>
              <w:keepLines w:val="0"/>
              <w:suppressLineNumbers w:val="0"/>
              <w:bidi w:val="0"/>
              <w:spacing w:before="0" w:beforeAutospacing="0" w:after="0" w:afterAutospacing="0"/>
              <w:ind w:left="0" w:right="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从学校网络设备端口到服务提供商局端网络设备网络丢包率≤0.1</w:t>
            </w:r>
            <w:r>
              <w:rPr>
                <w:rFonts w:hint="eastAsia" w:cs="Times New Roman"/>
                <w:color w:val="auto"/>
                <w:highlight w:val="none"/>
                <w:lang w:val="en-US" w:eastAsia="zh-CN"/>
              </w:rPr>
              <w:t>%</w:t>
            </w:r>
            <w:r>
              <w:rPr>
                <w:rFonts w:hint="eastAsia" w:ascii="Times New Roman" w:hAnsi="Times New Roman" w:eastAsia="宋体" w:cs="Times New Roman"/>
                <w:color w:val="auto"/>
                <w:highlight w:val="none"/>
                <w:lang w:val="en-US" w:eastAsia="zh-CN"/>
              </w:rPr>
              <w:t>。</w:t>
            </w:r>
          </w:p>
        </w:tc>
        <w:tc>
          <w:tcPr>
            <w:tcW w:w="1978" w:type="dxa"/>
            <w:noWrap w:val="0"/>
            <w:vAlign w:val="center"/>
          </w:tcPr>
          <w:p w14:paraId="2C88390F">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否</w:t>
            </w:r>
          </w:p>
        </w:tc>
      </w:tr>
      <w:tr w14:paraId="695F8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166" w:hRule="atLeast"/>
          <w:jc w:val="center"/>
        </w:trPr>
        <w:tc>
          <w:tcPr>
            <w:tcW w:w="9061" w:type="dxa"/>
            <w:gridSpan w:val="5"/>
            <w:noWrap w:val="0"/>
            <w:vAlign w:val="center"/>
          </w:tcPr>
          <w:p w14:paraId="3C7D9606">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b/>
                <w:bCs/>
                <w:color w:val="auto"/>
                <w:highlight w:val="none"/>
                <w:lang w:val="en-US" w:eastAsia="zh-CN"/>
              </w:rPr>
              <w:t>线路要求</w:t>
            </w:r>
          </w:p>
        </w:tc>
      </w:tr>
      <w:tr w14:paraId="6F826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1714" w:hRule="atLeast"/>
          <w:jc w:val="center"/>
        </w:trPr>
        <w:tc>
          <w:tcPr>
            <w:tcW w:w="757" w:type="dxa"/>
            <w:noWrap w:val="0"/>
            <w:vAlign w:val="center"/>
          </w:tcPr>
          <w:p w14:paraId="36223389">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7</w:t>
            </w:r>
          </w:p>
        </w:tc>
        <w:tc>
          <w:tcPr>
            <w:tcW w:w="1062" w:type="dxa"/>
            <w:noWrap w:val="0"/>
            <w:vAlign w:val="center"/>
          </w:tcPr>
          <w:p w14:paraId="647F0C72">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5CA8A6B6">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基本要求</w:t>
            </w:r>
          </w:p>
        </w:tc>
        <w:tc>
          <w:tcPr>
            <w:tcW w:w="3330" w:type="dxa"/>
            <w:noWrap w:val="0"/>
            <w:vAlign w:val="center"/>
          </w:tcPr>
          <w:p w14:paraId="2C92F486">
            <w:pPr>
              <w:pStyle w:val="55"/>
              <w:keepNext w:val="0"/>
              <w:keepLines w:val="0"/>
              <w:suppressLineNumbers w:val="0"/>
              <w:bidi w:val="0"/>
              <w:spacing w:before="0" w:beforeAutospacing="0" w:after="0" w:afterAutospacing="0"/>
              <w:ind w:left="0" w:right="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提供SDH本地以太网专线接入，光纤直接接入</w:t>
            </w:r>
            <w:r>
              <w:rPr>
                <w:rFonts w:hint="eastAsia" w:cs="Times New Roman"/>
                <w:color w:val="auto"/>
                <w:highlight w:val="none"/>
                <w:lang w:val="en-US" w:eastAsia="zh-CN"/>
              </w:rPr>
              <w:t>采购人</w:t>
            </w:r>
            <w:r>
              <w:rPr>
                <w:rFonts w:hint="eastAsia" w:ascii="Times New Roman" w:hAnsi="Times New Roman" w:eastAsia="宋体" w:cs="Times New Roman"/>
                <w:color w:val="auto"/>
                <w:highlight w:val="none"/>
                <w:lang w:val="en-US" w:eastAsia="zh-CN"/>
              </w:rPr>
              <w:t>指定机房，进入校园后光缆必须全部入地；并提供相关的接入以及和路由器之间的转换设备，接入设备将安装在</w:t>
            </w:r>
            <w:r>
              <w:rPr>
                <w:rFonts w:hint="eastAsia" w:cs="Times New Roman"/>
                <w:color w:val="auto"/>
                <w:highlight w:val="none"/>
                <w:lang w:val="en-US" w:eastAsia="zh-CN"/>
              </w:rPr>
              <w:t>采购人</w:t>
            </w:r>
            <w:r>
              <w:rPr>
                <w:rFonts w:hint="eastAsia" w:ascii="Times New Roman" w:hAnsi="Times New Roman" w:eastAsia="宋体" w:cs="Times New Roman"/>
                <w:color w:val="auto"/>
                <w:highlight w:val="none"/>
                <w:lang w:val="en-US" w:eastAsia="zh-CN"/>
              </w:rPr>
              <w:t>指定的场地</w:t>
            </w:r>
            <w:r>
              <w:rPr>
                <w:rFonts w:hint="eastAsia" w:cs="仿宋_GB2312"/>
                <w:bCs/>
                <w:color w:val="auto"/>
                <w:sz w:val="24"/>
                <w:szCs w:val="24"/>
                <w:highlight w:val="none"/>
                <w:lang w:val="en-US" w:eastAsia="zh-CN"/>
              </w:rPr>
              <w:t>。</w:t>
            </w:r>
          </w:p>
        </w:tc>
        <w:tc>
          <w:tcPr>
            <w:tcW w:w="1978" w:type="dxa"/>
            <w:noWrap w:val="0"/>
            <w:vAlign w:val="center"/>
          </w:tcPr>
          <w:p w14:paraId="3DAE5DC9">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否</w:t>
            </w:r>
          </w:p>
        </w:tc>
      </w:tr>
    </w:tbl>
    <w:p w14:paraId="7A847A36">
      <w:pPr>
        <w:pStyle w:val="17"/>
        <w:rPr>
          <w:rFonts w:hint="eastAsia" w:ascii="Times New Roman" w:hAnsi="Times New Roman" w:eastAsia="宋体" w:cs="Times New Roman"/>
          <w:b/>
          <w:color w:val="auto"/>
          <w:highlight w:val="none"/>
          <w:lang w:val="en-US" w:eastAsia="zh-CN"/>
        </w:rPr>
      </w:pPr>
    </w:p>
    <w:p w14:paraId="7AC177D2">
      <w:pPr>
        <w:pStyle w:val="17"/>
        <w:rPr>
          <w:rFonts w:hint="default" w:ascii="Times New Roman" w:hAnsi="Times New Roman" w:eastAsia="宋体" w:cs="Times New Roman"/>
          <w:b w:val="0"/>
          <w:bCs/>
          <w:color w:val="auto"/>
          <w:highlight w:val="none"/>
          <w:lang w:val="en-US" w:eastAsia="zh-CN"/>
        </w:rPr>
      </w:pPr>
      <w:r>
        <w:rPr>
          <w:rFonts w:hint="eastAsia" w:ascii="Times New Roman" w:hAnsi="Times New Roman" w:eastAsia="宋体" w:cs="Times New Roman"/>
          <w:b w:val="0"/>
          <w:bCs/>
          <w:color w:val="auto"/>
          <w:highlight w:val="none"/>
          <w:lang w:val="en-US" w:eastAsia="zh-CN"/>
        </w:rPr>
        <w:t>（3）500M互联网专线</w:t>
      </w:r>
    </w:p>
    <w:tbl>
      <w:tblPr>
        <w:tblStyle w:val="44"/>
        <w:tblW w:w="90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0" w:type="dxa"/>
          <w:bottom w:w="113" w:type="dxa"/>
          <w:right w:w="0" w:type="dxa"/>
        </w:tblCellMar>
      </w:tblPr>
      <w:tblGrid>
        <w:gridCol w:w="757"/>
        <w:gridCol w:w="1062"/>
        <w:gridCol w:w="1934"/>
        <w:gridCol w:w="3330"/>
        <w:gridCol w:w="1978"/>
      </w:tblGrid>
      <w:tr w14:paraId="524E9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360" w:hRule="atLeast"/>
          <w:jc w:val="center"/>
        </w:trPr>
        <w:tc>
          <w:tcPr>
            <w:tcW w:w="757" w:type="dxa"/>
            <w:shd w:val="clear" w:color="auto" w:fill="A6A6A6"/>
            <w:noWrap w:val="0"/>
            <w:vAlign w:val="center"/>
          </w:tcPr>
          <w:p w14:paraId="09EEB63D">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序号</w:t>
            </w:r>
          </w:p>
        </w:tc>
        <w:tc>
          <w:tcPr>
            <w:tcW w:w="1062" w:type="dxa"/>
            <w:shd w:val="clear" w:color="auto" w:fill="A6A6A6"/>
            <w:noWrap w:val="0"/>
            <w:vAlign w:val="center"/>
          </w:tcPr>
          <w:p w14:paraId="2C57C979">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重要性</w:t>
            </w:r>
          </w:p>
        </w:tc>
        <w:tc>
          <w:tcPr>
            <w:tcW w:w="1934" w:type="dxa"/>
            <w:shd w:val="clear" w:color="auto" w:fill="A6A6A6"/>
            <w:noWrap w:val="0"/>
            <w:vAlign w:val="center"/>
          </w:tcPr>
          <w:p w14:paraId="26460AB2">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指标项</w:t>
            </w:r>
          </w:p>
        </w:tc>
        <w:tc>
          <w:tcPr>
            <w:tcW w:w="3330" w:type="dxa"/>
            <w:shd w:val="clear" w:color="auto" w:fill="A6A6A6"/>
            <w:noWrap w:val="0"/>
            <w:vAlign w:val="center"/>
          </w:tcPr>
          <w:p w14:paraId="0C587782">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指标要求</w:t>
            </w:r>
          </w:p>
        </w:tc>
        <w:tc>
          <w:tcPr>
            <w:tcW w:w="1978" w:type="dxa"/>
            <w:shd w:val="clear" w:color="auto" w:fill="A6A6A6"/>
            <w:noWrap w:val="0"/>
            <w:vAlign w:val="center"/>
          </w:tcPr>
          <w:p w14:paraId="251750A0">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证明材料要求</w:t>
            </w:r>
          </w:p>
        </w:tc>
      </w:tr>
      <w:tr w14:paraId="18B82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360" w:hRule="atLeast"/>
          <w:jc w:val="center"/>
        </w:trPr>
        <w:tc>
          <w:tcPr>
            <w:tcW w:w="9061" w:type="dxa"/>
            <w:gridSpan w:val="5"/>
            <w:noWrap w:val="0"/>
            <w:vAlign w:val="center"/>
          </w:tcPr>
          <w:p w14:paraId="7746F741">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b/>
                <w:bCs/>
                <w:color w:val="auto"/>
                <w:highlight w:val="none"/>
                <w:lang w:val="en-US" w:eastAsia="zh-CN"/>
              </w:rPr>
              <w:t>性能要求</w:t>
            </w:r>
          </w:p>
        </w:tc>
      </w:tr>
      <w:tr w14:paraId="0B64E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1080" w:hRule="atLeast"/>
          <w:jc w:val="center"/>
        </w:trPr>
        <w:tc>
          <w:tcPr>
            <w:tcW w:w="757" w:type="dxa"/>
            <w:noWrap w:val="0"/>
            <w:vAlign w:val="center"/>
          </w:tcPr>
          <w:p w14:paraId="30C303C9">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062" w:type="dxa"/>
            <w:noWrap w:val="0"/>
            <w:vAlign w:val="center"/>
          </w:tcPr>
          <w:p w14:paraId="287AFDE6">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1F9054C5">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接入能力</w:t>
            </w:r>
          </w:p>
        </w:tc>
        <w:tc>
          <w:tcPr>
            <w:tcW w:w="3330" w:type="dxa"/>
            <w:noWrap w:val="0"/>
            <w:vAlign w:val="center"/>
          </w:tcPr>
          <w:p w14:paraId="62C50C85">
            <w:pPr>
              <w:pStyle w:val="55"/>
              <w:keepNext w:val="0"/>
              <w:keepLines w:val="0"/>
              <w:suppressLineNumbers w:val="0"/>
              <w:bidi w:val="0"/>
              <w:spacing w:before="0" w:beforeAutospacing="0" w:after="0" w:afterAutospacing="0"/>
              <w:ind w:left="0" w:right="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提供一条不少于500M专线可接入北京市教育系统城域网，以备后期有可能出现的扩容需求。</w:t>
            </w:r>
          </w:p>
        </w:tc>
        <w:tc>
          <w:tcPr>
            <w:tcW w:w="1978" w:type="dxa"/>
            <w:noWrap w:val="0"/>
            <w:vAlign w:val="center"/>
          </w:tcPr>
          <w:p w14:paraId="2349BB6C">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否</w:t>
            </w:r>
          </w:p>
        </w:tc>
      </w:tr>
      <w:tr w14:paraId="06FBF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615" w:hRule="atLeast"/>
          <w:jc w:val="center"/>
        </w:trPr>
        <w:tc>
          <w:tcPr>
            <w:tcW w:w="757" w:type="dxa"/>
            <w:noWrap w:val="0"/>
            <w:vAlign w:val="center"/>
          </w:tcPr>
          <w:p w14:paraId="548C116E">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p>
        </w:tc>
        <w:tc>
          <w:tcPr>
            <w:tcW w:w="1062" w:type="dxa"/>
            <w:noWrap w:val="0"/>
            <w:vAlign w:val="center"/>
          </w:tcPr>
          <w:p w14:paraId="2049B428">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381DB4DA">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独享带宽</w:t>
            </w:r>
          </w:p>
        </w:tc>
        <w:tc>
          <w:tcPr>
            <w:tcW w:w="3330" w:type="dxa"/>
            <w:noWrap w:val="0"/>
            <w:vAlign w:val="center"/>
          </w:tcPr>
          <w:p w14:paraId="547DFB63">
            <w:pPr>
              <w:pStyle w:val="55"/>
              <w:keepNext w:val="0"/>
              <w:keepLines w:val="0"/>
              <w:suppressLineNumbers w:val="0"/>
              <w:bidi w:val="0"/>
              <w:spacing w:before="0" w:beforeAutospacing="0" w:after="0" w:afterAutospacing="0"/>
              <w:ind w:left="0" w:right="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必须提供双向全线速专线，独享带宽，线路可用率为99.9%以上。</w:t>
            </w:r>
          </w:p>
        </w:tc>
        <w:tc>
          <w:tcPr>
            <w:tcW w:w="1978" w:type="dxa"/>
            <w:noWrap w:val="0"/>
            <w:vAlign w:val="center"/>
          </w:tcPr>
          <w:p w14:paraId="0566457A">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否</w:t>
            </w:r>
          </w:p>
        </w:tc>
      </w:tr>
      <w:tr w14:paraId="4977E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90" w:hRule="atLeast"/>
          <w:jc w:val="center"/>
        </w:trPr>
        <w:tc>
          <w:tcPr>
            <w:tcW w:w="757" w:type="dxa"/>
            <w:noWrap w:val="0"/>
            <w:vAlign w:val="center"/>
          </w:tcPr>
          <w:p w14:paraId="28721A4F">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w:t>
            </w:r>
          </w:p>
        </w:tc>
        <w:tc>
          <w:tcPr>
            <w:tcW w:w="1062" w:type="dxa"/>
            <w:noWrap w:val="0"/>
            <w:vAlign w:val="center"/>
          </w:tcPr>
          <w:p w14:paraId="61571B81">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6D7C63D2">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带宽要求</w:t>
            </w:r>
          </w:p>
        </w:tc>
        <w:tc>
          <w:tcPr>
            <w:tcW w:w="3330" w:type="dxa"/>
            <w:noWrap w:val="0"/>
            <w:vAlign w:val="center"/>
          </w:tcPr>
          <w:p w14:paraId="3857BABB">
            <w:pPr>
              <w:pStyle w:val="55"/>
              <w:keepNext w:val="0"/>
              <w:keepLines w:val="0"/>
              <w:suppressLineNumbers w:val="0"/>
              <w:bidi w:val="0"/>
              <w:spacing w:before="0" w:beforeAutospacing="0" w:after="0" w:afterAutospacing="0"/>
              <w:ind w:left="0" w:right="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提供不低于500Mbps的专线可接入北京市教育系统城域网，带宽同时支持IPv4和IPv6协议，接入带宽下行速率≥500Mbps，上行速率≥500Mbps。</w:t>
            </w:r>
          </w:p>
        </w:tc>
        <w:tc>
          <w:tcPr>
            <w:tcW w:w="1978" w:type="dxa"/>
            <w:noWrap w:val="0"/>
            <w:vAlign w:val="center"/>
          </w:tcPr>
          <w:p w14:paraId="24668111">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否</w:t>
            </w:r>
          </w:p>
        </w:tc>
      </w:tr>
      <w:tr w14:paraId="4B162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90" w:hRule="atLeast"/>
          <w:jc w:val="center"/>
        </w:trPr>
        <w:tc>
          <w:tcPr>
            <w:tcW w:w="757" w:type="dxa"/>
            <w:shd w:val="clear" w:color="auto" w:fill="auto"/>
            <w:noWrap w:val="0"/>
            <w:vAlign w:val="center"/>
          </w:tcPr>
          <w:p w14:paraId="6F891F93">
            <w:pPr>
              <w:pStyle w:val="55"/>
              <w:keepNext w:val="0"/>
              <w:keepLines w:val="0"/>
              <w:suppressLineNumbers w:val="0"/>
              <w:bidi w:val="0"/>
              <w:spacing w:before="0" w:beforeAutospacing="0" w:after="0" w:afterAutospacing="0"/>
              <w:ind w:left="0" w:right="0" w:firstLine="0" w:firstLineChars="0"/>
              <w:rPr>
                <w:rFonts w:hint="eastAsia" w:ascii="Times New Roman" w:hAnsi="Times New Roman" w:eastAsia="宋体" w:cs="Times New Roman"/>
                <w:color w:val="auto"/>
                <w:kern w:val="0"/>
                <w:sz w:val="21"/>
                <w:szCs w:val="21"/>
                <w:highlight w:val="none"/>
                <w:lang w:val="en-US" w:eastAsia="zh-CN" w:bidi="ar-SA"/>
              </w:rPr>
            </w:pPr>
            <w:r>
              <w:rPr>
                <w:rFonts w:hint="eastAsia"/>
                <w:color w:val="auto"/>
                <w:highlight w:val="none"/>
                <w:lang w:val="en-US" w:eastAsia="zh-CN"/>
              </w:rPr>
              <w:t>4</w:t>
            </w:r>
          </w:p>
        </w:tc>
        <w:tc>
          <w:tcPr>
            <w:tcW w:w="1062" w:type="dxa"/>
            <w:shd w:val="clear" w:color="auto" w:fill="auto"/>
            <w:noWrap w:val="0"/>
            <w:vAlign w:val="center"/>
          </w:tcPr>
          <w:p w14:paraId="50E25E4F">
            <w:pPr>
              <w:pStyle w:val="55"/>
              <w:keepNext w:val="0"/>
              <w:keepLines w:val="0"/>
              <w:suppressLineNumbers w:val="0"/>
              <w:bidi w:val="0"/>
              <w:spacing w:before="0" w:beforeAutospacing="0" w:after="0" w:afterAutospacing="0"/>
              <w:ind w:left="0" w:right="0" w:firstLine="0" w:firstLineChars="0"/>
              <w:rPr>
                <w:rFonts w:hint="eastAsia" w:ascii="Times New Roman" w:hAnsi="Times New Roman" w:eastAsia="宋体" w:cs="Times New Roman"/>
                <w:color w:val="auto"/>
                <w:kern w:val="0"/>
                <w:sz w:val="21"/>
                <w:szCs w:val="21"/>
                <w:highlight w:val="none"/>
                <w:lang w:val="en-US" w:eastAsia="zh-CN" w:bidi="ar-SA"/>
              </w:rPr>
            </w:pPr>
            <w:r>
              <w:rPr>
                <w:rFonts w:hint="eastAsia"/>
                <w:color w:val="auto"/>
                <w:highlight w:val="none"/>
                <w:lang w:val="en-US" w:eastAsia="zh-CN"/>
              </w:rPr>
              <w:t>#</w:t>
            </w:r>
          </w:p>
        </w:tc>
        <w:tc>
          <w:tcPr>
            <w:tcW w:w="1934" w:type="dxa"/>
            <w:shd w:val="clear" w:color="auto" w:fill="auto"/>
            <w:noWrap w:val="0"/>
            <w:vAlign w:val="center"/>
          </w:tcPr>
          <w:p w14:paraId="242F4D80">
            <w:pPr>
              <w:pStyle w:val="55"/>
              <w:keepNext w:val="0"/>
              <w:keepLines w:val="0"/>
              <w:suppressLineNumbers w:val="0"/>
              <w:bidi w:val="0"/>
              <w:spacing w:before="0" w:beforeAutospacing="0" w:after="0" w:afterAutospacing="0"/>
              <w:ind w:left="0" w:right="0" w:firstLine="0" w:firstLineChars="0"/>
              <w:rPr>
                <w:rFonts w:hint="eastAsia" w:ascii="Times New Roman" w:hAnsi="Times New Roman" w:eastAsia="宋体" w:cs="Times New Roman"/>
                <w:color w:val="auto"/>
                <w:kern w:val="0"/>
                <w:sz w:val="21"/>
                <w:szCs w:val="21"/>
                <w:highlight w:val="none"/>
                <w:lang w:val="en-US" w:eastAsia="zh-CN" w:bidi="ar-SA"/>
              </w:rPr>
            </w:pPr>
            <w:r>
              <w:rPr>
                <w:rFonts w:hint="default"/>
                <w:color w:val="auto"/>
                <w:highlight w:val="none"/>
              </w:rPr>
              <w:t>IP 地址</w:t>
            </w:r>
          </w:p>
        </w:tc>
        <w:tc>
          <w:tcPr>
            <w:tcW w:w="3330" w:type="dxa"/>
            <w:shd w:val="clear" w:color="auto" w:fill="auto"/>
            <w:noWrap w:val="0"/>
            <w:vAlign w:val="center"/>
          </w:tcPr>
          <w:p w14:paraId="61423FDF">
            <w:pPr>
              <w:pStyle w:val="55"/>
              <w:keepNext w:val="0"/>
              <w:keepLines w:val="0"/>
              <w:suppressLineNumbers w:val="0"/>
              <w:bidi w:val="0"/>
              <w:spacing w:before="0" w:beforeAutospacing="0" w:after="0" w:afterAutospacing="0"/>
              <w:ind w:left="0" w:right="0" w:firstLine="0" w:firstLineChars="0"/>
              <w:jc w:val="both"/>
              <w:rPr>
                <w:rFonts w:hint="eastAsia" w:ascii="Times New Roman" w:hAnsi="Times New Roman" w:eastAsia="宋体" w:cs="Times New Roman"/>
                <w:color w:val="auto"/>
                <w:kern w:val="0"/>
                <w:sz w:val="21"/>
                <w:szCs w:val="21"/>
                <w:highlight w:val="none"/>
                <w:lang w:val="en-US" w:eastAsia="zh-CN" w:bidi="ar-SA"/>
              </w:rPr>
            </w:pPr>
            <w:r>
              <w:rPr>
                <w:rFonts w:hint="default"/>
                <w:color w:val="auto"/>
                <w:highlight w:val="none"/>
              </w:rPr>
              <w:t>合同期内必须提供</w:t>
            </w:r>
            <w:r>
              <w:rPr>
                <w:rFonts w:hint="eastAsia"/>
                <w:color w:val="auto"/>
                <w:highlight w:val="none"/>
                <w:lang w:val="en-US" w:eastAsia="zh-CN"/>
              </w:rPr>
              <w:t>IPV4地址个数不少于256个，IPV6地址不少于1个/56和1个/52</w:t>
            </w:r>
            <w:r>
              <w:rPr>
                <w:rFonts w:hint="default"/>
                <w:color w:val="auto"/>
                <w:highlight w:val="none"/>
              </w:rPr>
              <w:t>。为学校提供的静态公网IP地址，不得在学校以外的网络进行地址转换，如在学校不知情的情况下，出现上述情况，学校有权向投标方追加使用期或经济赔偿（具体时间或金额可协商写入合同）并保留法律诉讼的权利。支持今后带宽升级时的配套IP地址数量的增加。</w:t>
            </w:r>
          </w:p>
        </w:tc>
        <w:tc>
          <w:tcPr>
            <w:tcW w:w="1978" w:type="dxa"/>
            <w:shd w:val="clear" w:color="auto" w:fill="auto"/>
            <w:noWrap w:val="0"/>
            <w:vAlign w:val="center"/>
          </w:tcPr>
          <w:p w14:paraId="78C769A1">
            <w:pPr>
              <w:pStyle w:val="55"/>
              <w:keepNext w:val="0"/>
              <w:keepLines w:val="0"/>
              <w:suppressLineNumbers w:val="0"/>
              <w:bidi w:val="0"/>
              <w:spacing w:before="0" w:beforeAutospacing="0" w:after="0" w:afterAutospacing="0"/>
              <w:ind w:left="0" w:right="0" w:firstLine="0" w:firstLineChars="0"/>
              <w:rPr>
                <w:rFonts w:hint="eastAsia" w:ascii="Times New Roman" w:hAnsi="Times New Roman" w:eastAsia="宋体" w:cs="Times New Roman"/>
                <w:color w:val="auto"/>
                <w:kern w:val="0"/>
                <w:sz w:val="21"/>
                <w:szCs w:val="21"/>
                <w:highlight w:val="none"/>
                <w:lang w:val="en-US" w:eastAsia="zh-CN" w:bidi="ar-SA"/>
              </w:rPr>
            </w:pPr>
            <w:r>
              <w:rPr>
                <w:rFonts w:hint="default"/>
                <w:color w:val="auto"/>
                <w:highlight w:val="none"/>
              </w:rPr>
              <w:t>否</w:t>
            </w:r>
          </w:p>
        </w:tc>
      </w:tr>
      <w:tr w14:paraId="57ACB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458" w:hRule="atLeast"/>
          <w:jc w:val="center"/>
        </w:trPr>
        <w:tc>
          <w:tcPr>
            <w:tcW w:w="757" w:type="dxa"/>
            <w:noWrap w:val="0"/>
            <w:vAlign w:val="center"/>
          </w:tcPr>
          <w:p w14:paraId="58367DF2">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5</w:t>
            </w:r>
          </w:p>
        </w:tc>
        <w:tc>
          <w:tcPr>
            <w:tcW w:w="1062" w:type="dxa"/>
            <w:noWrap w:val="0"/>
            <w:vAlign w:val="center"/>
          </w:tcPr>
          <w:p w14:paraId="284BB660">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1AD556FB">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线路性能</w:t>
            </w:r>
          </w:p>
        </w:tc>
        <w:tc>
          <w:tcPr>
            <w:tcW w:w="3330" w:type="dxa"/>
            <w:noWrap w:val="0"/>
            <w:vAlign w:val="center"/>
          </w:tcPr>
          <w:p w14:paraId="796D85A2">
            <w:pPr>
              <w:pStyle w:val="55"/>
              <w:keepNext w:val="0"/>
              <w:keepLines w:val="0"/>
              <w:suppressLineNumbers w:val="0"/>
              <w:bidi w:val="0"/>
              <w:spacing w:before="0" w:beforeAutospacing="0" w:after="0" w:afterAutospacing="0"/>
              <w:ind w:left="0" w:right="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平均往返时延≤10ms</w:t>
            </w:r>
            <w:r>
              <w:rPr>
                <w:rFonts w:hint="eastAsia" w:cs="Times New Roman"/>
                <w:color w:val="auto"/>
                <w:highlight w:val="none"/>
                <w:lang w:val="en-US" w:eastAsia="zh-CN"/>
              </w:rPr>
              <w:t>。</w:t>
            </w:r>
          </w:p>
        </w:tc>
        <w:tc>
          <w:tcPr>
            <w:tcW w:w="1978" w:type="dxa"/>
            <w:noWrap w:val="0"/>
            <w:vAlign w:val="center"/>
          </w:tcPr>
          <w:p w14:paraId="7D368D0F">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否</w:t>
            </w:r>
          </w:p>
        </w:tc>
      </w:tr>
      <w:tr w14:paraId="17F3D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587" w:hRule="atLeast"/>
          <w:jc w:val="center"/>
        </w:trPr>
        <w:tc>
          <w:tcPr>
            <w:tcW w:w="757" w:type="dxa"/>
            <w:noWrap w:val="0"/>
            <w:vAlign w:val="center"/>
          </w:tcPr>
          <w:p w14:paraId="7241F787">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6</w:t>
            </w:r>
          </w:p>
        </w:tc>
        <w:tc>
          <w:tcPr>
            <w:tcW w:w="1062" w:type="dxa"/>
            <w:noWrap w:val="0"/>
            <w:vAlign w:val="center"/>
          </w:tcPr>
          <w:p w14:paraId="253704DC">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203290D4">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线路性能</w:t>
            </w:r>
          </w:p>
        </w:tc>
        <w:tc>
          <w:tcPr>
            <w:tcW w:w="3330" w:type="dxa"/>
            <w:noWrap w:val="0"/>
            <w:vAlign w:val="center"/>
          </w:tcPr>
          <w:p w14:paraId="5FB376F3">
            <w:pPr>
              <w:pStyle w:val="55"/>
              <w:keepNext w:val="0"/>
              <w:keepLines w:val="0"/>
              <w:suppressLineNumbers w:val="0"/>
              <w:bidi w:val="0"/>
              <w:spacing w:before="0" w:beforeAutospacing="0" w:after="0" w:afterAutospacing="0"/>
              <w:ind w:left="0" w:right="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链路可用度≥99.9%</w:t>
            </w:r>
            <w:r>
              <w:rPr>
                <w:rFonts w:hint="eastAsia" w:cs="Times New Roman"/>
                <w:color w:val="auto"/>
                <w:highlight w:val="none"/>
                <w:lang w:val="en-US" w:eastAsia="zh-CN"/>
              </w:rPr>
              <w:t>。</w:t>
            </w:r>
          </w:p>
        </w:tc>
        <w:tc>
          <w:tcPr>
            <w:tcW w:w="1978" w:type="dxa"/>
            <w:noWrap w:val="0"/>
            <w:vAlign w:val="center"/>
          </w:tcPr>
          <w:p w14:paraId="041D5C89">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否</w:t>
            </w:r>
          </w:p>
        </w:tc>
      </w:tr>
      <w:tr w14:paraId="65F16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1215" w:hRule="atLeast"/>
          <w:jc w:val="center"/>
        </w:trPr>
        <w:tc>
          <w:tcPr>
            <w:tcW w:w="757" w:type="dxa"/>
            <w:noWrap w:val="0"/>
            <w:vAlign w:val="center"/>
          </w:tcPr>
          <w:p w14:paraId="188E1582">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7</w:t>
            </w:r>
          </w:p>
        </w:tc>
        <w:tc>
          <w:tcPr>
            <w:tcW w:w="1062" w:type="dxa"/>
            <w:noWrap w:val="0"/>
            <w:vAlign w:val="center"/>
          </w:tcPr>
          <w:p w14:paraId="0DA6D601">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w:t>
            </w:r>
          </w:p>
        </w:tc>
        <w:tc>
          <w:tcPr>
            <w:tcW w:w="1934" w:type="dxa"/>
            <w:noWrap w:val="0"/>
            <w:vAlign w:val="center"/>
          </w:tcPr>
          <w:p w14:paraId="5A03F268">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线路性能</w:t>
            </w:r>
          </w:p>
        </w:tc>
        <w:tc>
          <w:tcPr>
            <w:tcW w:w="3330" w:type="dxa"/>
            <w:noWrap w:val="0"/>
            <w:vAlign w:val="center"/>
          </w:tcPr>
          <w:p w14:paraId="59F18CC7">
            <w:pPr>
              <w:pStyle w:val="55"/>
              <w:keepNext w:val="0"/>
              <w:keepLines w:val="0"/>
              <w:suppressLineNumbers w:val="0"/>
              <w:bidi w:val="0"/>
              <w:spacing w:before="0" w:beforeAutospacing="0" w:after="0" w:afterAutospacing="0"/>
              <w:ind w:left="0" w:right="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从学校网络设备端口到服务提供商局端网络设备网络丢包率≤0.1</w:t>
            </w:r>
            <w:r>
              <w:rPr>
                <w:rFonts w:hint="eastAsia" w:cs="Times New Roman"/>
                <w:color w:val="auto"/>
                <w:highlight w:val="none"/>
                <w:lang w:val="en-US" w:eastAsia="zh-CN"/>
              </w:rPr>
              <w:t>%</w:t>
            </w:r>
            <w:r>
              <w:rPr>
                <w:rFonts w:hint="eastAsia" w:ascii="Times New Roman" w:hAnsi="Times New Roman" w:eastAsia="宋体" w:cs="Times New Roman"/>
                <w:color w:val="auto"/>
                <w:highlight w:val="none"/>
                <w:lang w:val="en-US" w:eastAsia="zh-CN"/>
              </w:rPr>
              <w:t>。</w:t>
            </w:r>
          </w:p>
        </w:tc>
        <w:tc>
          <w:tcPr>
            <w:tcW w:w="1978" w:type="dxa"/>
            <w:noWrap w:val="0"/>
            <w:vAlign w:val="center"/>
          </w:tcPr>
          <w:p w14:paraId="666AD69F">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否</w:t>
            </w:r>
          </w:p>
        </w:tc>
      </w:tr>
      <w:tr w14:paraId="28757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166" w:hRule="atLeast"/>
          <w:jc w:val="center"/>
        </w:trPr>
        <w:tc>
          <w:tcPr>
            <w:tcW w:w="9061" w:type="dxa"/>
            <w:gridSpan w:val="5"/>
            <w:noWrap w:val="0"/>
            <w:vAlign w:val="center"/>
          </w:tcPr>
          <w:p w14:paraId="6DBE7E15">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b/>
                <w:bCs/>
                <w:color w:val="auto"/>
                <w:highlight w:val="none"/>
                <w:lang w:val="en-US" w:eastAsia="zh-CN"/>
              </w:rPr>
              <w:t>线路要求</w:t>
            </w:r>
          </w:p>
        </w:tc>
      </w:tr>
      <w:tr w14:paraId="38631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487" w:hRule="atLeast"/>
          <w:jc w:val="center"/>
        </w:trPr>
        <w:tc>
          <w:tcPr>
            <w:tcW w:w="757" w:type="dxa"/>
            <w:noWrap w:val="0"/>
            <w:vAlign w:val="center"/>
          </w:tcPr>
          <w:p w14:paraId="2E8FEC9E">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8</w:t>
            </w:r>
          </w:p>
        </w:tc>
        <w:tc>
          <w:tcPr>
            <w:tcW w:w="1062" w:type="dxa"/>
            <w:noWrap w:val="0"/>
            <w:vAlign w:val="center"/>
          </w:tcPr>
          <w:p w14:paraId="4738CD38">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5D1B55EB">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基本要求</w:t>
            </w:r>
          </w:p>
        </w:tc>
        <w:tc>
          <w:tcPr>
            <w:tcW w:w="3330" w:type="dxa"/>
            <w:noWrap w:val="0"/>
            <w:vAlign w:val="center"/>
          </w:tcPr>
          <w:p w14:paraId="68A6FE63">
            <w:pPr>
              <w:pStyle w:val="55"/>
              <w:keepNext w:val="0"/>
              <w:keepLines w:val="0"/>
              <w:suppressLineNumbers w:val="0"/>
              <w:bidi w:val="0"/>
              <w:spacing w:before="0" w:beforeAutospacing="0" w:after="0" w:afterAutospacing="0"/>
              <w:ind w:left="0" w:right="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提供一条500Mbps的专线可接入北京市教育系统城域网，光纤直接接入</w:t>
            </w:r>
            <w:r>
              <w:rPr>
                <w:rFonts w:hint="eastAsia" w:cs="Times New Roman"/>
                <w:color w:val="auto"/>
                <w:highlight w:val="none"/>
                <w:lang w:val="en-US" w:eastAsia="zh-CN"/>
              </w:rPr>
              <w:t>采购人</w:t>
            </w:r>
            <w:r>
              <w:rPr>
                <w:rFonts w:hint="eastAsia" w:ascii="Times New Roman" w:hAnsi="Times New Roman" w:eastAsia="宋体" w:cs="Times New Roman"/>
                <w:color w:val="auto"/>
                <w:highlight w:val="none"/>
                <w:lang w:val="en-US" w:eastAsia="zh-CN"/>
              </w:rPr>
              <w:t>指定机房，进入校园后光缆必须全部入地；并提供相关的接入以及和路由器之间的转换设备，接入设备将安装在</w:t>
            </w:r>
            <w:r>
              <w:rPr>
                <w:rFonts w:hint="eastAsia" w:cs="Times New Roman"/>
                <w:color w:val="auto"/>
                <w:highlight w:val="none"/>
                <w:lang w:val="en-US" w:eastAsia="zh-CN"/>
              </w:rPr>
              <w:t>采购人</w:t>
            </w:r>
            <w:r>
              <w:rPr>
                <w:rFonts w:hint="eastAsia" w:ascii="Times New Roman" w:hAnsi="Times New Roman" w:eastAsia="宋体" w:cs="Times New Roman"/>
                <w:color w:val="auto"/>
                <w:highlight w:val="none"/>
                <w:lang w:val="en-US" w:eastAsia="zh-CN"/>
              </w:rPr>
              <w:t>指定的场地</w:t>
            </w:r>
            <w:r>
              <w:rPr>
                <w:rFonts w:hint="eastAsia" w:cs="仿宋_GB2312"/>
                <w:bCs/>
                <w:color w:val="auto"/>
                <w:sz w:val="24"/>
                <w:szCs w:val="24"/>
                <w:highlight w:val="none"/>
                <w:lang w:val="en-US" w:eastAsia="zh-CN"/>
              </w:rPr>
              <w:t>。</w:t>
            </w:r>
          </w:p>
        </w:tc>
        <w:tc>
          <w:tcPr>
            <w:tcW w:w="1978" w:type="dxa"/>
            <w:noWrap w:val="0"/>
            <w:vAlign w:val="center"/>
          </w:tcPr>
          <w:p w14:paraId="4F9F8D7D">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否</w:t>
            </w:r>
          </w:p>
        </w:tc>
      </w:tr>
    </w:tbl>
    <w:p w14:paraId="73718213">
      <w:pPr>
        <w:pStyle w:val="17"/>
        <w:rPr>
          <w:rFonts w:hint="eastAsia" w:ascii="Times New Roman" w:hAnsi="Times New Roman" w:eastAsia="宋体" w:cs="Times New Roman"/>
          <w:b w:val="0"/>
          <w:bCs/>
          <w:color w:val="auto"/>
          <w:highlight w:val="none"/>
          <w:lang w:val="en-US" w:eastAsia="zh-CN"/>
        </w:rPr>
      </w:pPr>
    </w:p>
    <w:p w14:paraId="7EFA444C">
      <w:pPr>
        <w:pStyle w:val="17"/>
        <w:rPr>
          <w:rFonts w:hint="eastAsia" w:ascii="Times New Roman" w:hAnsi="Times New Roman" w:eastAsia="宋体" w:cs="Times New Roman"/>
          <w:b w:val="0"/>
          <w:bCs/>
          <w:color w:val="auto"/>
          <w:highlight w:val="none"/>
          <w:lang w:val="en-US" w:eastAsia="zh-CN"/>
        </w:rPr>
      </w:pPr>
    </w:p>
    <w:p w14:paraId="1CB567EC">
      <w:pPr>
        <w:pStyle w:val="17"/>
        <w:rPr>
          <w:rFonts w:hint="eastAsia" w:ascii="Times New Roman" w:hAnsi="Times New Roman" w:eastAsia="宋体" w:cs="Times New Roman"/>
          <w:b w:val="0"/>
          <w:bCs/>
          <w:color w:val="auto"/>
          <w:highlight w:val="none"/>
          <w:lang w:val="en-US" w:eastAsia="zh-CN"/>
        </w:rPr>
      </w:pPr>
      <w:r>
        <w:rPr>
          <w:rFonts w:hint="eastAsia" w:ascii="Times New Roman" w:hAnsi="Times New Roman" w:eastAsia="宋体" w:cs="Times New Roman"/>
          <w:b w:val="0"/>
          <w:bCs/>
          <w:color w:val="auto"/>
          <w:highlight w:val="none"/>
          <w:lang w:val="en-US" w:eastAsia="zh-CN"/>
        </w:rPr>
        <w:t>（4）</w:t>
      </w:r>
      <w:r>
        <w:rPr>
          <w:rFonts w:hint="eastAsia" w:ascii="Times New Roman" w:hAnsi="Times New Roman" w:cs="Times New Roman"/>
          <w:b w:val="0"/>
          <w:bCs/>
          <w:color w:val="auto"/>
          <w:highlight w:val="none"/>
          <w:lang w:val="en-US" w:eastAsia="zh-CN"/>
        </w:rPr>
        <w:t>通用线路要求及</w:t>
      </w:r>
      <w:r>
        <w:rPr>
          <w:rFonts w:hint="eastAsia" w:ascii="Times New Roman" w:hAnsi="Times New Roman" w:eastAsia="宋体" w:cs="Times New Roman"/>
          <w:b w:val="0"/>
          <w:bCs/>
          <w:color w:val="auto"/>
          <w:highlight w:val="none"/>
          <w:lang w:val="en-US" w:eastAsia="zh-CN"/>
        </w:rPr>
        <w:t>网络运维服务</w:t>
      </w:r>
    </w:p>
    <w:tbl>
      <w:tblPr>
        <w:tblStyle w:val="44"/>
        <w:tblW w:w="90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0" w:type="dxa"/>
          <w:bottom w:w="113" w:type="dxa"/>
          <w:right w:w="0" w:type="dxa"/>
        </w:tblCellMar>
      </w:tblPr>
      <w:tblGrid>
        <w:gridCol w:w="756"/>
        <w:gridCol w:w="1061"/>
        <w:gridCol w:w="1937"/>
        <w:gridCol w:w="3337"/>
        <w:gridCol w:w="1996"/>
      </w:tblGrid>
      <w:tr w14:paraId="345C6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360" w:hRule="atLeast"/>
          <w:jc w:val="center"/>
        </w:trPr>
        <w:tc>
          <w:tcPr>
            <w:tcW w:w="756" w:type="dxa"/>
            <w:shd w:val="clear" w:color="auto" w:fill="A6A6A6"/>
            <w:noWrap w:val="0"/>
            <w:vAlign w:val="center"/>
          </w:tcPr>
          <w:p w14:paraId="4FC47B8F">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序号</w:t>
            </w:r>
          </w:p>
        </w:tc>
        <w:tc>
          <w:tcPr>
            <w:tcW w:w="1061" w:type="dxa"/>
            <w:shd w:val="clear" w:color="auto" w:fill="A6A6A6"/>
            <w:noWrap w:val="0"/>
            <w:vAlign w:val="center"/>
          </w:tcPr>
          <w:p w14:paraId="2C354445">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重要性</w:t>
            </w:r>
          </w:p>
        </w:tc>
        <w:tc>
          <w:tcPr>
            <w:tcW w:w="1937" w:type="dxa"/>
            <w:shd w:val="clear" w:color="auto" w:fill="A6A6A6"/>
            <w:noWrap w:val="0"/>
            <w:vAlign w:val="center"/>
          </w:tcPr>
          <w:p w14:paraId="63461F7C">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指标项</w:t>
            </w:r>
          </w:p>
        </w:tc>
        <w:tc>
          <w:tcPr>
            <w:tcW w:w="3337" w:type="dxa"/>
            <w:shd w:val="clear" w:color="auto" w:fill="A6A6A6"/>
            <w:noWrap w:val="0"/>
            <w:vAlign w:val="center"/>
          </w:tcPr>
          <w:p w14:paraId="3026F793">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指标要求</w:t>
            </w:r>
          </w:p>
        </w:tc>
        <w:tc>
          <w:tcPr>
            <w:tcW w:w="1996" w:type="dxa"/>
            <w:shd w:val="clear" w:color="auto" w:fill="A6A6A6"/>
            <w:noWrap w:val="0"/>
            <w:vAlign w:val="center"/>
          </w:tcPr>
          <w:p w14:paraId="0706A2E6">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证明材料要求</w:t>
            </w:r>
          </w:p>
        </w:tc>
      </w:tr>
      <w:tr w14:paraId="11A90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360" w:hRule="atLeast"/>
          <w:jc w:val="center"/>
        </w:trPr>
        <w:tc>
          <w:tcPr>
            <w:tcW w:w="9087" w:type="dxa"/>
            <w:gridSpan w:val="5"/>
            <w:noWrap w:val="0"/>
            <w:vAlign w:val="top"/>
          </w:tcPr>
          <w:p w14:paraId="3270AC67">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b/>
                <w:bCs/>
                <w:color w:val="auto"/>
                <w:highlight w:val="none"/>
                <w:lang w:val="en-US" w:eastAsia="zh-CN"/>
              </w:rPr>
            </w:pPr>
            <w:r>
              <w:rPr>
                <w:rFonts w:hint="eastAsia" w:ascii="Times New Roman" w:hAnsi="Times New Roman" w:cs="Times New Roman"/>
                <w:b/>
                <w:bCs/>
                <w:color w:val="auto"/>
                <w:highlight w:val="none"/>
                <w:lang w:val="en-US" w:eastAsia="zh-CN"/>
              </w:rPr>
              <w:t>通用线路要求</w:t>
            </w:r>
          </w:p>
        </w:tc>
      </w:tr>
      <w:tr w14:paraId="0971D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360" w:hRule="atLeast"/>
          <w:jc w:val="center"/>
        </w:trPr>
        <w:tc>
          <w:tcPr>
            <w:tcW w:w="756" w:type="dxa"/>
            <w:noWrap w:val="0"/>
            <w:vAlign w:val="center"/>
          </w:tcPr>
          <w:p w14:paraId="26CA8D08">
            <w:pPr>
              <w:pStyle w:val="55"/>
              <w:keepNext w:val="0"/>
              <w:keepLines w:val="0"/>
              <w:suppressLineNumbers w:val="0"/>
              <w:bidi w:val="0"/>
              <w:spacing w:before="0" w:beforeAutospacing="0" w:after="0" w:afterAutospacing="0"/>
              <w:ind w:left="0" w:right="0" w:firstLine="0" w:firstLineChars="0"/>
              <w:rPr>
                <w:rFonts w:hint="eastAsia" w:ascii="Times New Roman" w:hAnsi="Times New Roman" w:eastAsia="宋体" w:cs="Times New Roman"/>
                <w:b/>
                <w:bCs/>
                <w:color w:val="auto"/>
                <w:highlight w:val="none"/>
                <w:lang w:val="en-US" w:eastAsia="zh-CN"/>
              </w:rPr>
            </w:pPr>
            <w:r>
              <w:rPr>
                <w:rFonts w:hint="eastAsia"/>
                <w:color w:val="auto"/>
                <w:highlight w:val="none"/>
                <w:lang w:val="en-US" w:eastAsia="zh-CN"/>
              </w:rPr>
              <w:t>1</w:t>
            </w:r>
          </w:p>
        </w:tc>
        <w:tc>
          <w:tcPr>
            <w:tcW w:w="1061" w:type="dxa"/>
            <w:noWrap w:val="0"/>
            <w:vAlign w:val="center"/>
          </w:tcPr>
          <w:p w14:paraId="3D37C252">
            <w:pPr>
              <w:pStyle w:val="55"/>
              <w:keepNext w:val="0"/>
              <w:keepLines w:val="0"/>
              <w:suppressLineNumbers w:val="0"/>
              <w:bidi w:val="0"/>
              <w:spacing w:before="0" w:beforeAutospacing="0" w:after="0" w:afterAutospacing="0"/>
              <w:ind w:left="0" w:right="0" w:firstLine="0" w:firstLineChars="0"/>
              <w:rPr>
                <w:rFonts w:hint="eastAsia" w:ascii="Times New Roman" w:hAnsi="Times New Roman" w:eastAsia="宋体" w:cs="Times New Roman"/>
                <w:b/>
                <w:bCs/>
                <w:color w:val="auto"/>
                <w:highlight w:val="none"/>
                <w:lang w:val="en-US" w:eastAsia="zh-CN"/>
              </w:rPr>
            </w:pPr>
            <w:r>
              <w:rPr>
                <w:rFonts w:hint="default"/>
                <w:color w:val="auto"/>
                <w:highlight w:val="none"/>
              </w:rPr>
              <w:t>△</w:t>
            </w:r>
          </w:p>
        </w:tc>
        <w:tc>
          <w:tcPr>
            <w:tcW w:w="1937" w:type="dxa"/>
            <w:noWrap w:val="0"/>
            <w:vAlign w:val="center"/>
          </w:tcPr>
          <w:p w14:paraId="1B6AA088">
            <w:pPr>
              <w:pStyle w:val="55"/>
              <w:keepNext w:val="0"/>
              <w:keepLines w:val="0"/>
              <w:suppressLineNumbers w:val="0"/>
              <w:bidi w:val="0"/>
              <w:spacing w:before="0" w:beforeAutospacing="0" w:after="0" w:afterAutospacing="0"/>
              <w:ind w:left="0" w:right="0" w:firstLine="0" w:firstLineChars="0"/>
              <w:rPr>
                <w:rFonts w:hint="eastAsia" w:ascii="Times New Roman" w:hAnsi="Times New Roman" w:eastAsia="宋体" w:cs="Times New Roman"/>
                <w:b/>
                <w:bCs/>
                <w:color w:val="auto"/>
                <w:highlight w:val="none"/>
                <w:lang w:val="en-US" w:eastAsia="zh-CN"/>
              </w:rPr>
            </w:pPr>
            <w:r>
              <w:rPr>
                <w:rFonts w:hint="default"/>
                <w:color w:val="auto"/>
                <w:highlight w:val="none"/>
              </w:rPr>
              <w:t>通信线路规范</w:t>
            </w:r>
          </w:p>
        </w:tc>
        <w:tc>
          <w:tcPr>
            <w:tcW w:w="3337" w:type="dxa"/>
            <w:noWrap w:val="0"/>
            <w:vAlign w:val="center"/>
          </w:tcPr>
          <w:p w14:paraId="75E34D11">
            <w:pPr>
              <w:pStyle w:val="55"/>
              <w:keepNext w:val="0"/>
              <w:keepLines w:val="0"/>
              <w:suppressLineNumbers w:val="0"/>
              <w:bidi w:val="0"/>
              <w:spacing w:before="0" w:beforeAutospacing="0" w:after="0" w:afterAutospacing="0"/>
              <w:ind w:left="0" w:right="0" w:firstLine="0" w:firstLineChars="0"/>
              <w:jc w:val="both"/>
              <w:rPr>
                <w:rFonts w:hint="eastAsia" w:ascii="Times New Roman" w:hAnsi="Times New Roman" w:eastAsia="宋体" w:cs="Times New Roman"/>
                <w:b/>
                <w:bCs/>
                <w:color w:val="auto"/>
                <w:highlight w:val="none"/>
                <w:lang w:val="en-US" w:eastAsia="zh-CN"/>
              </w:rPr>
            </w:pPr>
            <w:r>
              <w:rPr>
                <w:rFonts w:hint="default"/>
                <w:color w:val="auto"/>
                <w:highlight w:val="none"/>
              </w:rPr>
              <w:t>提供电路质量符合电信服务规范 要求的通信电路，并提供全部的电信接入设备和施工服务，所产生的相关费用，包括初装、割接、模块、调试等均由中标</w:t>
            </w:r>
            <w:r>
              <w:rPr>
                <w:rFonts w:hint="eastAsia"/>
                <w:color w:val="auto"/>
                <w:highlight w:val="none"/>
                <w:lang w:eastAsia="zh-CN"/>
              </w:rPr>
              <w:t>人</w:t>
            </w:r>
            <w:r>
              <w:rPr>
                <w:rFonts w:hint="default"/>
                <w:color w:val="auto"/>
                <w:highlight w:val="none"/>
              </w:rPr>
              <w:t>承担。</w:t>
            </w:r>
          </w:p>
        </w:tc>
        <w:tc>
          <w:tcPr>
            <w:tcW w:w="1996" w:type="dxa"/>
            <w:noWrap w:val="0"/>
            <w:vAlign w:val="center"/>
          </w:tcPr>
          <w:p w14:paraId="7D024285">
            <w:pPr>
              <w:pStyle w:val="55"/>
              <w:keepNext w:val="0"/>
              <w:keepLines w:val="0"/>
              <w:suppressLineNumbers w:val="0"/>
              <w:bidi w:val="0"/>
              <w:spacing w:before="0" w:beforeAutospacing="0" w:after="0" w:afterAutospacing="0"/>
              <w:ind w:left="0" w:right="0" w:firstLine="0" w:firstLineChars="0"/>
              <w:rPr>
                <w:rFonts w:hint="eastAsia" w:ascii="Times New Roman" w:hAnsi="Times New Roman" w:eastAsia="宋体" w:cs="Times New Roman"/>
                <w:b/>
                <w:bCs/>
                <w:color w:val="auto"/>
                <w:highlight w:val="none"/>
                <w:lang w:val="en-US" w:eastAsia="zh-CN"/>
              </w:rPr>
            </w:pPr>
            <w:r>
              <w:rPr>
                <w:rFonts w:hint="default"/>
                <w:color w:val="auto"/>
                <w:highlight w:val="none"/>
              </w:rPr>
              <w:t>否</w:t>
            </w:r>
          </w:p>
        </w:tc>
      </w:tr>
      <w:tr w14:paraId="49746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360" w:hRule="atLeast"/>
          <w:jc w:val="center"/>
        </w:trPr>
        <w:tc>
          <w:tcPr>
            <w:tcW w:w="756" w:type="dxa"/>
            <w:noWrap w:val="0"/>
            <w:vAlign w:val="center"/>
          </w:tcPr>
          <w:p w14:paraId="5133FB7D">
            <w:pPr>
              <w:pStyle w:val="55"/>
              <w:keepNext w:val="0"/>
              <w:keepLines w:val="0"/>
              <w:suppressLineNumbers w:val="0"/>
              <w:bidi w:val="0"/>
              <w:spacing w:before="0" w:beforeAutospacing="0" w:after="0" w:afterAutospacing="0"/>
              <w:ind w:left="0" w:right="0" w:firstLine="0" w:firstLineChars="0"/>
              <w:rPr>
                <w:rFonts w:hint="eastAsia" w:ascii="Times New Roman" w:hAnsi="Times New Roman" w:eastAsia="宋体" w:cs="Times New Roman"/>
                <w:b/>
                <w:bCs/>
                <w:color w:val="auto"/>
                <w:highlight w:val="none"/>
                <w:lang w:val="en-US" w:eastAsia="zh-CN"/>
              </w:rPr>
            </w:pPr>
            <w:r>
              <w:rPr>
                <w:rFonts w:hint="eastAsia"/>
                <w:color w:val="auto"/>
                <w:highlight w:val="none"/>
                <w:lang w:val="en-US" w:eastAsia="zh-CN"/>
              </w:rPr>
              <w:t>2</w:t>
            </w:r>
          </w:p>
        </w:tc>
        <w:tc>
          <w:tcPr>
            <w:tcW w:w="1061" w:type="dxa"/>
            <w:noWrap w:val="0"/>
            <w:vAlign w:val="center"/>
          </w:tcPr>
          <w:p w14:paraId="2408B4CD">
            <w:pPr>
              <w:pStyle w:val="55"/>
              <w:keepNext w:val="0"/>
              <w:keepLines w:val="0"/>
              <w:suppressLineNumbers w:val="0"/>
              <w:bidi w:val="0"/>
              <w:spacing w:before="0" w:beforeAutospacing="0" w:after="0" w:afterAutospacing="0"/>
              <w:ind w:left="0" w:right="0" w:firstLine="0" w:firstLineChars="0"/>
              <w:rPr>
                <w:rFonts w:hint="eastAsia" w:ascii="Times New Roman" w:hAnsi="Times New Roman" w:eastAsia="宋体" w:cs="Times New Roman"/>
                <w:b/>
                <w:bCs/>
                <w:color w:val="auto"/>
                <w:highlight w:val="none"/>
                <w:lang w:val="en-US" w:eastAsia="zh-CN"/>
              </w:rPr>
            </w:pPr>
            <w:r>
              <w:rPr>
                <w:rFonts w:hint="default"/>
                <w:color w:val="auto"/>
                <w:highlight w:val="none"/>
              </w:rPr>
              <w:t>△</w:t>
            </w:r>
          </w:p>
        </w:tc>
        <w:tc>
          <w:tcPr>
            <w:tcW w:w="1937" w:type="dxa"/>
            <w:noWrap w:val="0"/>
            <w:vAlign w:val="center"/>
          </w:tcPr>
          <w:p w14:paraId="3CB4EF70">
            <w:pPr>
              <w:pStyle w:val="55"/>
              <w:keepNext w:val="0"/>
              <w:keepLines w:val="0"/>
              <w:suppressLineNumbers w:val="0"/>
              <w:bidi w:val="0"/>
              <w:spacing w:before="0" w:beforeAutospacing="0" w:after="0" w:afterAutospacing="0"/>
              <w:ind w:left="0" w:right="0" w:firstLine="0" w:firstLineChars="0"/>
              <w:rPr>
                <w:rFonts w:hint="eastAsia" w:ascii="Times New Roman" w:hAnsi="Times New Roman" w:eastAsia="宋体" w:cs="Times New Roman"/>
                <w:b/>
                <w:bCs/>
                <w:color w:val="auto"/>
                <w:highlight w:val="none"/>
                <w:lang w:val="en-US" w:eastAsia="zh-CN"/>
              </w:rPr>
            </w:pPr>
            <w:r>
              <w:rPr>
                <w:rFonts w:hint="default"/>
                <w:color w:val="auto"/>
                <w:highlight w:val="none"/>
              </w:rPr>
              <w:t>线路迁移</w:t>
            </w:r>
          </w:p>
        </w:tc>
        <w:tc>
          <w:tcPr>
            <w:tcW w:w="3337" w:type="dxa"/>
            <w:noWrap w:val="0"/>
            <w:vAlign w:val="center"/>
          </w:tcPr>
          <w:p w14:paraId="28D4212C">
            <w:pPr>
              <w:pStyle w:val="55"/>
              <w:keepNext w:val="0"/>
              <w:keepLines w:val="0"/>
              <w:suppressLineNumbers w:val="0"/>
              <w:bidi w:val="0"/>
              <w:spacing w:before="0" w:beforeAutospacing="0" w:after="0" w:afterAutospacing="0"/>
              <w:ind w:left="0" w:right="0" w:firstLine="0" w:firstLineChars="0"/>
              <w:jc w:val="both"/>
              <w:rPr>
                <w:rFonts w:hint="eastAsia" w:ascii="Times New Roman" w:hAnsi="Times New Roman" w:eastAsia="宋体" w:cs="Times New Roman"/>
                <w:b/>
                <w:bCs/>
                <w:color w:val="auto"/>
                <w:highlight w:val="none"/>
                <w:lang w:val="en-US" w:eastAsia="zh-CN"/>
              </w:rPr>
            </w:pPr>
            <w:r>
              <w:rPr>
                <w:rFonts w:hint="default"/>
                <w:color w:val="auto"/>
                <w:highlight w:val="none"/>
              </w:rPr>
              <w:t>线路迁移时，保证平滑迁移，线路流量不下降，</w:t>
            </w:r>
            <w:r>
              <w:rPr>
                <w:rFonts w:hint="eastAsia"/>
                <w:color w:val="auto"/>
                <w:highlight w:val="none"/>
                <w:lang w:val="en-US" w:eastAsia="zh-CN"/>
              </w:rPr>
              <w:t>保障网络正常运行</w:t>
            </w:r>
            <w:r>
              <w:rPr>
                <w:rFonts w:hint="default"/>
                <w:color w:val="auto"/>
                <w:highlight w:val="none"/>
              </w:rPr>
              <w:t>，客户端的配置不改变。</w:t>
            </w:r>
          </w:p>
        </w:tc>
        <w:tc>
          <w:tcPr>
            <w:tcW w:w="1996" w:type="dxa"/>
            <w:noWrap w:val="0"/>
            <w:vAlign w:val="center"/>
          </w:tcPr>
          <w:p w14:paraId="5BF9AA20">
            <w:pPr>
              <w:pStyle w:val="55"/>
              <w:keepNext w:val="0"/>
              <w:keepLines w:val="0"/>
              <w:suppressLineNumbers w:val="0"/>
              <w:bidi w:val="0"/>
              <w:spacing w:before="0" w:beforeAutospacing="0" w:after="0" w:afterAutospacing="0"/>
              <w:ind w:left="0" w:right="0" w:firstLine="0" w:firstLineChars="0"/>
              <w:rPr>
                <w:rFonts w:hint="eastAsia" w:ascii="Times New Roman" w:hAnsi="Times New Roman" w:eastAsia="宋体" w:cs="Times New Roman"/>
                <w:b/>
                <w:bCs/>
                <w:color w:val="auto"/>
                <w:highlight w:val="none"/>
                <w:lang w:val="en-US" w:eastAsia="zh-CN"/>
              </w:rPr>
            </w:pPr>
            <w:r>
              <w:rPr>
                <w:rFonts w:hint="default"/>
                <w:color w:val="auto"/>
                <w:highlight w:val="none"/>
              </w:rPr>
              <w:t>否</w:t>
            </w:r>
          </w:p>
        </w:tc>
      </w:tr>
      <w:tr w14:paraId="4D153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360" w:hRule="atLeast"/>
          <w:jc w:val="center"/>
        </w:trPr>
        <w:tc>
          <w:tcPr>
            <w:tcW w:w="756" w:type="dxa"/>
            <w:noWrap w:val="0"/>
            <w:vAlign w:val="center"/>
          </w:tcPr>
          <w:p w14:paraId="658783CC">
            <w:pPr>
              <w:pStyle w:val="55"/>
              <w:keepNext w:val="0"/>
              <w:keepLines w:val="0"/>
              <w:suppressLineNumbers w:val="0"/>
              <w:bidi w:val="0"/>
              <w:spacing w:before="0" w:beforeAutospacing="0" w:after="0" w:afterAutospacing="0"/>
              <w:ind w:left="0" w:right="0" w:firstLine="0" w:firstLineChars="0"/>
              <w:rPr>
                <w:rFonts w:hint="eastAsia" w:ascii="Times New Roman" w:hAnsi="Times New Roman" w:eastAsia="宋体" w:cs="Times New Roman"/>
                <w:b/>
                <w:bCs/>
                <w:color w:val="auto"/>
                <w:highlight w:val="none"/>
                <w:lang w:val="en-US" w:eastAsia="zh-CN"/>
              </w:rPr>
            </w:pPr>
            <w:r>
              <w:rPr>
                <w:rFonts w:hint="eastAsia"/>
                <w:color w:val="auto"/>
                <w:highlight w:val="none"/>
                <w:lang w:val="en-US" w:eastAsia="zh-CN"/>
              </w:rPr>
              <w:t>3</w:t>
            </w:r>
          </w:p>
        </w:tc>
        <w:tc>
          <w:tcPr>
            <w:tcW w:w="1061" w:type="dxa"/>
            <w:noWrap w:val="0"/>
            <w:vAlign w:val="center"/>
          </w:tcPr>
          <w:p w14:paraId="74B4C046">
            <w:pPr>
              <w:pStyle w:val="55"/>
              <w:keepNext w:val="0"/>
              <w:keepLines w:val="0"/>
              <w:suppressLineNumbers w:val="0"/>
              <w:bidi w:val="0"/>
              <w:spacing w:before="0" w:beforeAutospacing="0" w:after="0" w:afterAutospacing="0"/>
              <w:ind w:left="0" w:right="0" w:firstLine="0" w:firstLineChars="0"/>
              <w:rPr>
                <w:rFonts w:hint="eastAsia" w:ascii="Times New Roman" w:hAnsi="Times New Roman" w:eastAsia="宋体" w:cs="Times New Roman"/>
                <w:b/>
                <w:bCs/>
                <w:color w:val="auto"/>
                <w:highlight w:val="none"/>
                <w:lang w:val="en-US" w:eastAsia="zh-CN"/>
              </w:rPr>
            </w:pPr>
            <w:r>
              <w:rPr>
                <w:rFonts w:hint="default"/>
                <w:color w:val="auto"/>
                <w:highlight w:val="none"/>
              </w:rPr>
              <w:t>#</w:t>
            </w:r>
          </w:p>
        </w:tc>
        <w:tc>
          <w:tcPr>
            <w:tcW w:w="1937" w:type="dxa"/>
            <w:noWrap w:val="0"/>
            <w:vAlign w:val="center"/>
          </w:tcPr>
          <w:p w14:paraId="10293B9A">
            <w:pPr>
              <w:pStyle w:val="55"/>
              <w:keepNext w:val="0"/>
              <w:keepLines w:val="0"/>
              <w:suppressLineNumbers w:val="0"/>
              <w:bidi w:val="0"/>
              <w:spacing w:before="0" w:beforeAutospacing="0" w:after="0" w:afterAutospacing="0"/>
              <w:ind w:left="0" w:right="0" w:firstLine="0" w:firstLineChars="0"/>
              <w:rPr>
                <w:rFonts w:hint="eastAsia" w:ascii="Times New Roman" w:hAnsi="Times New Roman" w:eastAsia="宋体" w:cs="Times New Roman"/>
                <w:b/>
                <w:bCs/>
                <w:color w:val="auto"/>
                <w:highlight w:val="none"/>
                <w:lang w:val="en-US" w:eastAsia="zh-CN"/>
              </w:rPr>
            </w:pPr>
            <w:r>
              <w:rPr>
                <w:rFonts w:hint="default"/>
                <w:color w:val="auto"/>
                <w:highlight w:val="none"/>
              </w:rPr>
              <w:t>线路控制要求</w:t>
            </w:r>
          </w:p>
        </w:tc>
        <w:tc>
          <w:tcPr>
            <w:tcW w:w="3337" w:type="dxa"/>
            <w:noWrap w:val="0"/>
            <w:vAlign w:val="center"/>
          </w:tcPr>
          <w:p w14:paraId="4B0EFB81">
            <w:pPr>
              <w:pStyle w:val="55"/>
              <w:keepNext w:val="0"/>
              <w:keepLines w:val="0"/>
              <w:suppressLineNumbers w:val="0"/>
              <w:bidi w:val="0"/>
              <w:spacing w:before="0" w:beforeAutospacing="0" w:after="0" w:afterAutospacing="0"/>
              <w:ind w:left="0" w:right="0" w:firstLine="0" w:firstLineChars="0"/>
              <w:jc w:val="both"/>
              <w:rPr>
                <w:rFonts w:hint="eastAsia" w:ascii="Times New Roman" w:hAnsi="Times New Roman" w:eastAsia="宋体" w:cs="Times New Roman"/>
                <w:b/>
                <w:bCs/>
                <w:color w:val="auto"/>
                <w:highlight w:val="none"/>
                <w:lang w:val="en-US" w:eastAsia="zh-CN"/>
              </w:rPr>
            </w:pPr>
            <w:r>
              <w:rPr>
                <w:rFonts w:hint="eastAsia"/>
                <w:color w:val="auto"/>
                <w:highlight w:val="none"/>
                <w:lang w:val="en-US" w:eastAsia="zh-CN"/>
              </w:rPr>
              <w:t>（1）</w:t>
            </w:r>
            <w:r>
              <w:rPr>
                <w:rFonts w:hint="default"/>
                <w:color w:val="auto"/>
                <w:highlight w:val="none"/>
              </w:rPr>
              <w:t>除控制总带宽之外，不许再对网络协议做额外控制</w:t>
            </w:r>
            <w:r>
              <w:rPr>
                <w:rFonts w:hint="eastAsia"/>
                <w:color w:val="auto"/>
                <w:highlight w:val="none"/>
                <w:lang w:eastAsia="zh-CN"/>
              </w:rPr>
              <w:t>，</w:t>
            </w:r>
            <w:r>
              <w:rPr>
                <w:rFonts w:hint="default"/>
                <w:color w:val="auto"/>
                <w:highlight w:val="none"/>
              </w:rPr>
              <w:t>且互联网接入无需对学校现有网络配置进行重大修改。</w:t>
            </w: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default"/>
                <w:color w:val="auto"/>
                <w:highlight w:val="none"/>
              </w:rPr>
              <w:t>由于特殊原因需对学校出口做额外控制，必须提前与学校协商，触发控制机制后，在10分钟内通知校方，保证校园网畅通。</w:t>
            </w:r>
            <w:r>
              <w:rPr>
                <w:rFonts w:hint="eastAsia"/>
                <w:color w:val="auto"/>
                <w:highlight w:val="none"/>
                <w:lang w:eastAsia="zh-CN"/>
              </w:rPr>
              <w:t>以上</w:t>
            </w:r>
            <w:r>
              <w:rPr>
                <w:rFonts w:hint="eastAsia"/>
                <w:color w:val="auto"/>
                <w:highlight w:val="none"/>
                <w:lang w:val="en-US" w:eastAsia="zh-CN"/>
              </w:rPr>
              <w:t>2项</w:t>
            </w:r>
            <w:r>
              <w:rPr>
                <w:rFonts w:hint="default"/>
                <w:color w:val="auto"/>
                <w:highlight w:val="none"/>
              </w:rPr>
              <w:t>提</w:t>
            </w:r>
            <w:r>
              <w:rPr>
                <w:rFonts w:hint="eastAsia"/>
                <w:color w:val="auto"/>
                <w:highlight w:val="none"/>
                <w:lang w:val="en-US" w:eastAsia="zh-CN"/>
              </w:rPr>
              <w:t>供承诺函</w:t>
            </w:r>
            <w:r>
              <w:rPr>
                <w:rFonts w:hint="default"/>
                <w:color w:val="auto"/>
                <w:highlight w:val="none"/>
              </w:rPr>
              <w:t>并加盖投标人公章</w:t>
            </w:r>
            <w:r>
              <w:rPr>
                <w:rFonts w:hint="default"/>
                <w:color w:val="auto"/>
                <w:highlight w:val="none"/>
              </w:rPr>
              <w:t>。</w:t>
            </w:r>
          </w:p>
        </w:tc>
        <w:tc>
          <w:tcPr>
            <w:tcW w:w="1996" w:type="dxa"/>
            <w:noWrap w:val="0"/>
            <w:vAlign w:val="center"/>
          </w:tcPr>
          <w:p w14:paraId="0FE0C1C5">
            <w:pPr>
              <w:pStyle w:val="55"/>
              <w:keepNext w:val="0"/>
              <w:keepLines w:val="0"/>
              <w:suppressLineNumbers w:val="0"/>
              <w:bidi w:val="0"/>
              <w:spacing w:before="0" w:beforeAutospacing="0" w:after="0" w:afterAutospacing="0"/>
              <w:ind w:left="0" w:right="0" w:firstLine="0" w:firstLineChars="0"/>
              <w:rPr>
                <w:rFonts w:hint="eastAsia" w:ascii="Times New Roman" w:hAnsi="Times New Roman" w:eastAsia="宋体" w:cs="Times New Roman"/>
                <w:b/>
                <w:bCs/>
                <w:color w:val="auto"/>
                <w:highlight w:val="none"/>
                <w:lang w:val="en-US" w:eastAsia="zh-CN"/>
              </w:rPr>
            </w:pPr>
            <w:r>
              <w:rPr>
                <w:rFonts w:hint="default"/>
                <w:color w:val="auto"/>
                <w:highlight w:val="none"/>
              </w:rPr>
              <w:t>是</w:t>
            </w:r>
          </w:p>
        </w:tc>
      </w:tr>
      <w:tr w14:paraId="67B04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360" w:hRule="atLeast"/>
          <w:jc w:val="center"/>
        </w:trPr>
        <w:tc>
          <w:tcPr>
            <w:tcW w:w="9087" w:type="dxa"/>
            <w:gridSpan w:val="5"/>
            <w:noWrap w:val="0"/>
            <w:vAlign w:val="top"/>
          </w:tcPr>
          <w:p w14:paraId="46E76F0C">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b/>
                <w:bCs/>
                <w:color w:val="auto"/>
                <w:highlight w:val="none"/>
                <w:lang w:val="en-US" w:eastAsia="zh-CN"/>
              </w:rPr>
              <w:t>运营维护标准</w:t>
            </w:r>
          </w:p>
        </w:tc>
      </w:tr>
      <w:tr w14:paraId="2B403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2880" w:hRule="atLeast"/>
          <w:jc w:val="center"/>
        </w:trPr>
        <w:tc>
          <w:tcPr>
            <w:tcW w:w="756" w:type="dxa"/>
            <w:shd w:val="clear" w:color="auto" w:fill="auto"/>
            <w:noWrap w:val="0"/>
            <w:vAlign w:val="center"/>
          </w:tcPr>
          <w:p w14:paraId="48F35A83">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4"/>
                <w:lang w:val="en-US" w:eastAsia="zh-CN" w:bidi="ar-SA"/>
              </w:rPr>
            </w:pPr>
            <w:r>
              <w:rPr>
                <w:rFonts w:hint="eastAsia" w:ascii="宋体" w:hAnsi="宋体"/>
                <w:b w:val="0"/>
                <w:sz w:val="20"/>
                <w:lang w:val="en-US" w:eastAsia="zh-CN"/>
              </w:rPr>
              <w:t>4</w:t>
            </w:r>
          </w:p>
        </w:tc>
        <w:tc>
          <w:tcPr>
            <w:tcW w:w="1061" w:type="dxa"/>
            <w:shd w:val="clear" w:color="auto" w:fill="auto"/>
            <w:noWrap w:val="0"/>
            <w:vAlign w:val="center"/>
          </w:tcPr>
          <w:p w14:paraId="1AB152A0">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4"/>
                <w:lang w:val="en-US" w:eastAsia="zh-CN" w:bidi="ar-SA"/>
              </w:rPr>
            </w:pPr>
            <w:r>
              <w:rPr>
                <w:rFonts w:hint="eastAsia" w:ascii="宋体" w:hAnsi="宋体"/>
                <w:b w:val="0"/>
                <w:sz w:val="20"/>
              </w:rPr>
              <w:t>#</w:t>
            </w:r>
          </w:p>
        </w:tc>
        <w:tc>
          <w:tcPr>
            <w:tcW w:w="1937" w:type="dxa"/>
            <w:shd w:val="clear" w:color="auto" w:fill="auto"/>
            <w:noWrap w:val="0"/>
            <w:vAlign w:val="center"/>
          </w:tcPr>
          <w:p w14:paraId="21108CEB">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4"/>
                <w:lang w:val="en-US" w:eastAsia="zh-CN" w:bidi="ar-SA"/>
              </w:rPr>
            </w:pPr>
            <w:r>
              <w:rPr>
                <w:rFonts w:hint="eastAsia" w:ascii="宋体" w:hAnsi="宋体"/>
                <w:b w:val="0"/>
                <w:sz w:val="20"/>
              </w:rPr>
              <w:t>网络及基础设施运维</w:t>
            </w:r>
          </w:p>
        </w:tc>
        <w:tc>
          <w:tcPr>
            <w:tcW w:w="3337" w:type="dxa"/>
            <w:shd w:val="clear" w:color="auto" w:fill="auto"/>
            <w:noWrap w:val="0"/>
            <w:vAlign w:val="center"/>
          </w:tcPr>
          <w:p w14:paraId="1F4143FE">
            <w:pPr>
              <w:keepNext w:val="0"/>
              <w:keepLines w:val="0"/>
              <w:suppressLineNumbers w:val="0"/>
              <w:spacing w:before="0" w:beforeAutospacing="0" w:after="0" w:afterAutospacing="0"/>
              <w:ind w:left="0" w:right="0"/>
              <w:jc w:val="left"/>
              <w:rPr>
                <w:rFonts w:hint="eastAsia" w:ascii="Times New Roman" w:hAnsi="Times New Roman" w:eastAsia="宋体" w:cs="Times New Roman"/>
                <w:kern w:val="2"/>
                <w:sz w:val="21"/>
                <w:szCs w:val="24"/>
                <w:lang w:val="en-US" w:eastAsia="zh-CN" w:bidi="ar-SA"/>
              </w:rPr>
            </w:pPr>
            <w:r>
              <w:rPr>
                <w:rFonts w:hint="eastAsia" w:ascii="宋体" w:hAnsi="宋体"/>
                <w:b w:val="0"/>
                <w:sz w:val="20"/>
              </w:rPr>
              <w:t>定期检查和维护网络设备、机房设备及DDI、智算平台、虚拟化等系统平台，涵盖硬件检测、软件升级、配置优化、网络扩容改造与技术升级。对各类网络系统进行性能监测与分析，优化网络带宽、降低延迟，定期开展网络拓扑优化与设备调整，提高网络整体响应速度与用户体验。及时排除设备故障，确保网络及系统正常运行。提供承诺函并加盖投标人公章。</w:t>
            </w:r>
          </w:p>
        </w:tc>
        <w:tc>
          <w:tcPr>
            <w:tcW w:w="1996" w:type="dxa"/>
            <w:noWrap w:val="0"/>
            <w:vAlign w:val="center"/>
          </w:tcPr>
          <w:p w14:paraId="20C5F102">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是</w:t>
            </w:r>
          </w:p>
        </w:tc>
      </w:tr>
      <w:tr w14:paraId="0F114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2161" w:hRule="atLeast"/>
          <w:jc w:val="center"/>
        </w:trPr>
        <w:tc>
          <w:tcPr>
            <w:tcW w:w="756" w:type="dxa"/>
            <w:shd w:val="clear" w:color="auto" w:fill="auto"/>
            <w:noWrap w:val="0"/>
            <w:vAlign w:val="center"/>
          </w:tcPr>
          <w:p w14:paraId="058295CE">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4"/>
                <w:lang w:val="en-US" w:eastAsia="zh-CN" w:bidi="ar-SA"/>
              </w:rPr>
            </w:pPr>
            <w:r>
              <w:rPr>
                <w:rFonts w:hint="eastAsia" w:ascii="宋体" w:hAnsi="宋体"/>
                <w:b w:val="0"/>
                <w:sz w:val="20"/>
                <w:lang w:val="en-US" w:eastAsia="zh-CN"/>
              </w:rPr>
              <w:t>5</w:t>
            </w:r>
          </w:p>
        </w:tc>
        <w:tc>
          <w:tcPr>
            <w:tcW w:w="1061" w:type="dxa"/>
            <w:shd w:val="clear" w:color="auto" w:fill="auto"/>
            <w:noWrap w:val="0"/>
            <w:vAlign w:val="center"/>
          </w:tcPr>
          <w:p w14:paraId="5B9ABD25">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4"/>
                <w:lang w:val="en-US" w:eastAsia="zh-CN" w:bidi="ar-SA"/>
              </w:rPr>
            </w:pPr>
            <w:r>
              <w:rPr>
                <w:rFonts w:hint="eastAsia" w:ascii="宋体" w:hAnsi="宋体"/>
                <w:b w:val="0"/>
                <w:sz w:val="20"/>
              </w:rPr>
              <w:t>#</w:t>
            </w:r>
          </w:p>
        </w:tc>
        <w:tc>
          <w:tcPr>
            <w:tcW w:w="1937" w:type="dxa"/>
            <w:shd w:val="clear" w:color="auto" w:fill="auto"/>
            <w:noWrap w:val="0"/>
            <w:vAlign w:val="center"/>
          </w:tcPr>
          <w:p w14:paraId="74877ED2">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4"/>
                <w:lang w:val="en-US" w:eastAsia="zh-CN" w:bidi="ar-SA"/>
              </w:rPr>
            </w:pPr>
            <w:r>
              <w:rPr>
                <w:rFonts w:hint="eastAsia" w:ascii="宋体" w:hAnsi="宋体"/>
                <w:b w:val="0"/>
                <w:sz w:val="20"/>
              </w:rPr>
              <w:t>网络安全管理</w:t>
            </w:r>
          </w:p>
        </w:tc>
        <w:tc>
          <w:tcPr>
            <w:tcW w:w="3337" w:type="dxa"/>
            <w:shd w:val="clear" w:color="auto" w:fill="auto"/>
            <w:noWrap w:val="0"/>
            <w:vAlign w:val="center"/>
          </w:tcPr>
          <w:p w14:paraId="7B5782E8">
            <w:pPr>
              <w:keepNext w:val="0"/>
              <w:keepLines w:val="0"/>
              <w:suppressLineNumbers w:val="0"/>
              <w:spacing w:before="0" w:beforeAutospacing="0" w:after="0" w:afterAutospacing="0"/>
              <w:ind w:left="0" w:right="0"/>
              <w:jc w:val="left"/>
              <w:rPr>
                <w:rFonts w:hint="eastAsia" w:ascii="Times New Roman" w:hAnsi="Times New Roman" w:eastAsia="宋体" w:cs="Times New Roman"/>
                <w:kern w:val="2"/>
                <w:sz w:val="21"/>
                <w:szCs w:val="24"/>
                <w:lang w:val="en-US" w:eastAsia="zh-CN" w:bidi="ar-SA"/>
              </w:rPr>
            </w:pPr>
            <w:r>
              <w:rPr>
                <w:rFonts w:hint="eastAsia" w:ascii="宋体" w:hAnsi="宋体"/>
                <w:b w:val="0"/>
                <w:sz w:val="20"/>
              </w:rPr>
              <w:t>部署和更新防火墙、入侵检测系统等安全设备，定期开展网络安全检查、漏洞扫描及安全风险评估，及时修复潜在安全隐患。实时监测网络流量和异常行为，防范网络攻击与恶意入侵，提供校园网络安全策略规划与实施服务，配置管理网络安全设备。提供承诺函并加盖投标人公章。</w:t>
            </w:r>
          </w:p>
        </w:tc>
        <w:tc>
          <w:tcPr>
            <w:tcW w:w="1996" w:type="dxa"/>
            <w:noWrap w:val="0"/>
            <w:vAlign w:val="center"/>
          </w:tcPr>
          <w:p w14:paraId="4A6C3E3F">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是</w:t>
            </w:r>
          </w:p>
        </w:tc>
      </w:tr>
      <w:tr w14:paraId="11CA0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2024" w:hRule="atLeast"/>
          <w:jc w:val="center"/>
        </w:trPr>
        <w:tc>
          <w:tcPr>
            <w:tcW w:w="756" w:type="dxa"/>
            <w:shd w:val="clear" w:color="auto" w:fill="auto"/>
            <w:noWrap w:val="0"/>
            <w:vAlign w:val="center"/>
          </w:tcPr>
          <w:p w14:paraId="407DB842">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4"/>
                <w:lang w:val="en-US" w:eastAsia="zh-CN" w:bidi="ar-SA"/>
              </w:rPr>
            </w:pPr>
            <w:r>
              <w:rPr>
                <w:rFonts w:hint="eastAsia" w:ascii="宋体" w:hAnsi="宋体"/>
                <w:b w:val="0"/>
                <w:sz w:val="20"/>
                <w:lang w:val="en-US" w:eastAsia="zh-CN"/>
              </w:rPr>
              <w:t>6</w:t>
            </w:r>
          </w:p>
        </w:tc>
        <w:tc>
          <w:tcPr>
            <w:tcW w:w="1061" w:type="dxa"/>
            <w:shd w:val="clear" w:color="auto" w:fill="auto"/>
            <w:noWrap w:val="0"/>
            <w:vAlign w:val="center"/>
          </w:tcPr>
          <w:p w14:paraId="6E3BFF00">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4"/>
                <w:lang w:val="en-US" w:eastAsia="zh-CN" w:bidi="ar-SA"/>
              </w:rPr>
            </w:pPr>
            <w:r>
              <w:rPr>
                <w:rFonts w:hint="eastAsia" w:ascii="宋体" w:hAnsi="宋体"/>
                <w:b w:val="0"/>
                <w:sz w:val="20"/>
              </w:rPr>
              <w:t>#</w:t>
            </w:r>
          </w:p>
        </w:tc>
        <w:tc>
          <w:tcPr>
            <w:tcW w:w="1937" w:type="dxa"/>
            <w:shd w:val="clear" w:color="auto" w:fill="auto"/>
            <w:noWrap w:val="0"/>
            <w:vAlign w:val="center"/>
          </w:tcPr>
          <w:p w14:paraId="24263528">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4"/>
                <w:lang w:val="en-US" w:eastAsia="zh-CN" w:bidi="ar-SA"/>
              </w:rPr>
            </w:pPr>
            <w:r>
              <w:rPr>
                <w:rFonts w:hint="eastAsia" w:ascii="宋体" w:hAnsi="宋体"/>
                <w:b w:val="0"/>
                <w:sz w:val="20"/>
              </w:rPr>
              <w:t>故障响应</w:t>
            </w:r>
          </w:p>
        </w:tc>
        <w:tc>
          <w:tcPr>
            <w:tcW w:w="3337" w:type="dxa"/>
            <w:shd w:val="clear" w:color="auto" w:fill="auto"/>
            <w:noWrap w:val="0"/>
            <w:vAlign w:val="center"/>
          </w:tcPr>
          <w:p w14:paraId="7F0B118E">
            <w:pPr>
              <w:keepNext w:val="0"/>
              <w:keepLines w:val="0"/>
              <w:suppressLineNumbers w:val="0"/>
              <w:spacing w:before="0" w:beforeAutospacing="0" w:after="0" w:afterAutospacing="0"/>
              <w:ind w:left="0" w:right="0"/>
              <w:jc w:val="left"/>
              <w:rPr>
                <w:rFonts w:hint="eastAsia" w:ascii="宋体" w:hAnsi="宋体"/>
                <w:b w:val="0"/>
                <w:sz w:val="20"/>
                <w:lang w:val="en-US" w:eastAsia="zh-CN"/>
              </w:rPr>
            </w:pPr>
            <w:r>
              <w:rPr>
                <w:rFonts w:hint="eastAsia" w:ascii="宋体" w:hAnsi="宋体"/>
                <w:b w:val="0"/>
                <w:sz w:val="20"/>
              </w:rPr>
              <w:t>实时监测网络状况，及时发现并排查修复故障，制定故障恢复计划，确保紧急情况下迅速恢复系统正常运行。除不可抗力外，</w:t>
            </w:r>
            <w:r>
              <w:rPr>
                <w:rFonts w:hint="eastAsia" w:ascii="宋体" w:hAnsi="宋体"/>
                <w:b w:val="0"/>
                <w:sz w:val="20"/>
                <w:lang w:val="en-US" w:eastAsia="zh-CN"/>
              </w:rPr>
              <w:t>线路</w:t>
            </w:r>
            <w:r>
              <w:rPr>
                <w:rFonts w:hint="eastAsia" w:ascii="宋体" w:hAnsi="宋体"/>
                <w:b w:val="0"/>
                <w:sz w:val="20"/>
              </w:rPr>
              <w:t>故障</w:t>
            </w:r>
            <w:r>
              <w:rPr>
                <w:rFonts w:hint="eastAsia" w:ascii="宋体" w:hAnsi="宋体"/>
                <w:b w:val="0"/>
                <w:sz w:val="20"/>
                <w:lang w:val="en-US" w:eastAsia="zh-CN"/>
              </w:rPr>
              <w:t>要求</w:t>
            </w:r>
            <w:r>
              <w:rPr>
                <w:rFonts w:hint="eastAsia" w:ascii="宋体" w:hAnsi="宋体"/>
                <w:b w:val="0"/>
                <w:sz w:val="20"/>
              </w:rPr>
              <w:t>4小时内解决，</w:t>
            </w:r>
            <w:r>
              <w:rPr>
                <w:rFonts w:hint="eastAsia" w:ascii="宋体" w:hAnsi="宋体"/>
                <w:b w:val="0"/>
                <w:sz w:val="20"/>
                <w:lang w:val="en-US" w:eastAsia="zh-CN"/>
              </w:rPr>
              <w:t>故障持续</w:t>
            </w:r>
            <w:r>
              <w:rPr>
                <w:rFonts w:hint="eastAsia" w:ascii="宋体" w:hAnsi="宋体"/>
                <w:b w:val="0"/>
                <w:sz w:val="20"/>
              </w:rPr>
              <w:t>60分钟内必须到达现场</w:t>
            </w:r>
            <w:r>
              <w:rPr>
                <w:rFonts w:hint="eastAsia" w:ascii="宋体" w:hAnsi="宋体"/>
                <w:b w:val="0"/>
                <w:sz w:val="20"/>
                <w:lang w:val="en-US" w:eastAsia="zh-CN"/>
              </w:rPr>
              <w:t>处理，</w:t>
            </w:r>
            <w:r>
              <w:rPr>
                <w:rFonts w:hint="eastAsia" w:ascii="宋体" w:hAnsi="宋体"/>
                <w:b w:val="0"/>
                <w:sz w:val="20"/>
              </w:rPr>
              <w:t>每月平均修复及时率≥98%。提供承诺函并加盖投标人公章。</w:t>
            </w:r>
          </w:p>
        </w:tc>
        <w:tc>
          <w:tcPr>
            <w:tcW w:w="1996" w:type="dxa"/>
            <w:noWrap w:val="0"/>
            <w:vAlign w:val="center"/>
          </w:tcPr>
          <w:p w14:paraId="398CDB6A">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是</w:t>
            </w:r>
          </w:p>
        </w:tc>
      </w:tr>
      <w:tr w14:paraId="0D802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760" w:hRule="atLeast"/>
          <w:jc w:val="center"/>
        </w:trPr>
        <w:tc>
          <w:tcPr>
            <w:tcW w:w="756" w:type="dxa"/>
            <w:shd w:val="clear" w:color="auto" w:fill="auto"/>
            <w:noWrap w:val="0"/>
            <w:vAlign w:val="center"/>
          </w:tcPr>
          <w:p w14:paraId="4251988B">
            <w:pPr>
              <w:keepNext w:val="0"/>
              <w:keepLines w:val="0"/>
              <w:suppressLineNumbers w:val="0"/>
              <w:spacing w:before="0" w:beforeAutospacing="0" w:after="0" w:afterAutospacing="0"/>
              <w:ind w:left="0" w:leftChars="0" w:right="0" w:rightChars="0"/>
              <w:jc w:val="center"/>
              <w:rPr>
                <w:rFonts w:hint="eastAsia" w:ascii="宋体" w:hAnsi="宋体"/>
                <w:b w:val="0"/>
                <w:sz w:val="20"/>
                <w:lang w:val="en-US" w:eastAsia="zh-CN"/>
              </w:rPr>
            </w:pPr>
            <w:r>
              <w:rPr>
                <w:rFonts w:hint="eastAsia" w:ascii="宋体" w:hAnsi="宋体"/>
                <w:b w:val="0"/>
                <w:sz w:val="20"/>
                <w:lang w:val="en-US" w:eastAsia="zh-CN"/>
              </w:rPr>
              <w:t>7</w:t>
            </w:r>
          </w:p>
        </w:tc>
        <w:tc>
          <w:tcPr>
            <w:tcW w:w="1061" w:type="dxa"/>
            <w:shd w:val="clear" w:color="auto" w:fill="auto"/>
            <w:noWrap w:val="0"/>
            <w:vAlign w:val="center"/>
          </w:tcPr>
          <w:p w14:paraId="53DE7E3B">
            <w:pPr>
              <w:keepNext w:val="0"/>
              <w:keepLines w:val="0"/>
              <w:suppressLineNumbers w:val="0"/>
              <w:spacing w:before="0" w:beforeAutospacing="0" w:after="0" w:afterAutospacing="0"/>
              <w:ind w:left="0" w:leftChars="0" w:right="0" w:rightChars="0"/>
              <w:jc w:val="center"/>
              <w:rPr>
                <w:rFonts w:hint="eastAsia" w:ascii="宋体" w:hAnsi="宋体"/>
                <w:b w:val="0"/>
                <w:sz w:val="20"/>
              </w:rPr>
            </w:pPr>
            <w:r>
              <w:rPr>
                <w:rFonts w:hint="eastAsia" w:ascii="宋体" w:hAnsi="宋体"/>
                <w:b w:val="0"/>
                <w:sz w:val="20"/>
              </w:rPr>
              <w:t>#</w:t>
            </w:r>
          </w:p>
        </w:tc>
        <w:tc>
          <w:tcPr>
            <w:tcW w:w="1937" w:type="dxa"/>
            <w:shd w:val="clear" w:color="auto" w:fill="auto"/>
            <w:noWrap w:val="0"/>
            <w:vAlign w:val="center"/>
          </w:tcPr>
          <w:p w14:paraId="565B801F">
            <w:pPr>
              <w:keepNext w:val="0"/>
              <w:keepLines w:val="0"/>
              <w:suppressLineNumbers w:val="0"/>
              <w:spacing w:before="0" w:beforeAutospacing="0" w:after="0" w:afterAutospacing="0"/>
              <w:ind w:left="0" w:leftChars="0" w:right="0" w:rightChars="0"/>
              <w:jc w:val="center"/>
              <w:rPr>
                <w:rFonts w:hint="eastAsia" w:ascii="宋体" w:hAnsi="宋体" w:eastAsia="宋体"/>
                <w:b w:val="0"/>
                <w:sz w:val="20"/>
                <w:lang w:val="en-US" w:eastAsia="zh-CN"/>
              </w:rPr>
            </w:pPr>
            <w:r>
              <w:rPr>
                <w:rFonts w:hint="eastAsia" w:ascii="宋体" w:hAnsi="宋体"/>
                <w:b w:val="0"/>
                <w:sz w:val="20"/>
              </w:rPr>
              <w:t>补偿</w:t>
            </w:r>
            <w:r>
              <w:rPr>
                <w:rFonts w:hint="eastAsia" w:ascii="宋体" w:hAnsi="宋体"/>
                <w:b w:val="0"/>
                <w:sz w:val="20"/>
                <w:lang w:val="en-US" w:eastAsia="zh-CN"/>
              </w:rPr>
              <w:t>条款</w:t>
            </w:r>
          </w:p>
        </w:tc>
        <w:tc>
          <w:tcPr>
            <w:tcW w:w="3337" w:type="dxa"/>
            <w:shd w:val="clear" w:color="auto" w:fill="auto"/>
            <w:noWrap w:val="0"/>
            <w:vAlign w:val="center"/>
          </w:tcPr>
          <w:p w14:paraId="1993248D">
            <w:pPr>
              <w:keepNext w:val="0"/>
              <w:keepLines w:val="0"/>
              <w:suppressLineNumbers w:val="0"/>
              <w:spacing w:before="0" w:beforeAutospacing="0" w:after="0" w:afterAutospacing="0"/>
              <w:ind w:left="0" w:leftChars="0" w:right="0" w:rightChars="0"/>
              <w:jc w:val="left"/>
              <w:rPr>
                <w:rFonts w:hint="eastAsia" w:ascii="宋体" w:hAnsi="宋体"/>
                <w:b w:val="0"/>
                <w:sz w:val="20"/>
                <w:lang w:val="en-US" w:eastAsia="zh-CN"/>
              </w:rPr>
            </w:pPr>
            <w:r>
              <w:rPr>
                <w:rFonts w:hint="eastAsia" w:ascii="宋体" w:hAnsi="宋体"/>
                <w:b w:val="0"/>
                <w:sz w:val="20"/>
              </w:rPr>
              <w:t>在服务期内，因中标方原因造成传输中断累计超过12小时（计划中断除外），提供等时长免费线路使用作为补偿；累计超过24小时，学校有权进一步追究或单方解除合同。提供承诺函并加盖投标人公章。</w:t>
            </w:r>
          </w:p>
        </w:tc>
        <w:tc>
          <w:tcPr>
            <w:tcW w:w="1996" w:type="dxa"/>
            <w:noWrap w:val="0"/>
            <w:vAlign w:val="center"/>
          </w:tcPr>
          <w:p w14:paraId="721A7950">
            <w:pPr>
              <w:pStyle w:val="55"/>
              <w:keepNext w:val="0"/>
              <w:keepLines w:val="0"/>
              <w:suppressLineNumbers w:val="0"/>
              <w:bidi w:val="0"/>
              <w:spacing w:before="0" w:beforeAutospacing="0" w:after="0" w:afterAutospacing="0"/>
              <w:ind w:left="0" w:leftChars="0" w:right="0" w:rightChars="0" w:firstLine="0" w:firstLineChars="0"/>
              <w:rPr>
                <w:rFonts w:hint="eastAsia" w:cs="Times New Roman"/>
                <w:color w:val="auto"/>
                <w:highlight w:val="none"/>
                <w:lang w:val="en-US" w:eastAsia="zh-CN"/>
              </w:rPr>
            </w:pPr>
            <w:r>
              <w:rPr>
                <w:rFonts w:hint="eastAsia" w:cs="Times New Roman"/>
                <w:color w:val="auto"/>
                <w:highlight w:val="none"/>
                <w:lang w:val="en-US" w:eastAsia="zh-CN"/>
              </w:rPr>
              <w:t>是</w:t>
            </w:r>
          </w:p>
        </w:tc>
      </w:tr>
      <w:tr w14:paraId="5832E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2161" w:hRule="atLeast"/>
          <w:jc w:val="center"/>
        </w:trPr>
        <w:tc>
          <w:tcPr>
            <w:tcW w:w="756" w:type="dxa"/>
            <w:shd w:val="clear" w:color="auto" w:fill="auto"/>
            <w:noWrap w:val="0"/>
            <w:vAlign w:val="center"/>
          </w:tcPr>
          <w:p w14:paraId="0B083B23">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4"/>
                <w:lang w:val="en-US" w:eastAsia="zh-CN" w:bidi="ar-SA"/>
              </w:rPr>
            </w:pPr>
            <w:r>
              <w:rPr>
                <w:rFonts w:hint="eastAsia" w:ascii="宋体" w:hAnsi="宋体"/>
                <w:b w:val="0"/>
                <w:sz w:val="20"/>
                <w:lang w:val="en-US" w:eastAsia="zh-CN"/>
              </w:rPr>
              <w:t>8</w:t>
            </w:r>
          </w:p>
        </w:tc>
        <w:tc>
          <w:tcPr>
            <w:tcW w:w="1061" w:type="dxa"/>
            <w:shd w:val="clear" w:color="auto" w:fill="auto"/>
            <w:noWrap w:val="0"/>
            <w:vAlign w:val="center"/>
          </w:tcPr>
          <w:p w14:paraId="0FD0BF59">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4"/>
                <w:lang w:val="en-US" w:eastAsia="zh-CN" w:bidi="ar-SA"/>
              </w:rPr>
            </w:pPr>
            <w:r>
              <w:rPr>
                <w:rFonts w:hint="eastAsia" w:ascii="宋体" w:hAnsi="宋体"/>
                <w:b w:val="0"/>
                <w:sz w:val="20"/>
              </w:rPr>
              <w:t>#</w:t>
            </w:r>
          </w:p>
        </w:tc>
        <w:tc>
          <w:tcPr>
            <w:tcW w:w="1937" w:type="dxa"/>
            <w:shd w:val="clear" w:color="auto" w:fill="auto"/>
            <w:noWrap w:val="0"/>
            <w:vAlign w:val="center"/>
          </w:tcPr>
          <w:p w14:paraId="349236F7">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4"/>
                <w:lang w:val="en-US" w:eastAsia="zh-CN" w:bidi="ar-SA"/>
              </w:rPr>
            </w:pPr>
            <w:r>
              <w:rPr>
                <w:rFonts w:hint="eastAsia" w:ascii="宋体" w:hAnsi="宋体"/>
                <w:b w:val="0"/>
                <w:sz w:val="20"/>
              </w:rPr>
              <w:t>技术支撑与服务保障</w:t>
            </w:r>
          </w:p>
        </w:tc>
        <w:tc>
          <w:tcPr>
            <w:tcW w:w="3337" w:type="dxa"/>
            <w:shd w:val="clear" w:color="auto" w:fill="auto"/>
            <w:noWrap w:val="0"/>
            <w:vAlign w:val="center"/>
          </w:tcPr>
          <w:p w14:paraId="6713B672">
            <w:pPr>
              <w:keepNext w:val="0"/>
              <w:keepLines w:val="0"/>
              <w:numPr>
                <w:ilvl w:val="0"/>
                <w:numId w:val="10"/>
              </w:numPr>
              <w:suppressLineNumbers w:val="0"/>
              <w:spacing w:before="0" w:beforeAutospacing="0" w:after="0" w:afterAutospacing="0"/>
              <w:ind w:left="0" w:right="0"/>
              <w:jc w:val="left"/>
              <w:rPr>
                <w:rFonts w:hint="eastAsia" w:ascii="宋体" w:hAnsi="宋体"/>
                <w:b w:val="0"/>
                <w:sz w:val="20"/>
              </w:rPr>
            </w:pPr>
            <w:r>
              <w:rPr>
                <w:rFonts w:hint="eastAsia" w:ascii="宋体" w:hAnsi="宋体"/>
                <w:b w:val="0"/>
                <w:sz w:val="20"/>
                <w:lang w:val="en-US" w:eastAsia="zh-CN"/>
              </w:rPr>
              <w:t>配备</w:t>
            </w:r>
            <w:r>
              <w:rPr>
                <w:rFonts w:hint="eastAsia" w:ascii="宋体" w:hAnsi="宋体"/>
                <w:b w:val="0"/>
                <w:sz w:val="20"/>
              </w:rPr>
              <w:t>专业技术服务团队和热线</w:t>
            </w:r>
            <w:r>
              <w:rPr>
                <w:rFonts w:hint="eastAsia" w:ascii="宋体" w:hAnsi="宋体"/>
                <w:b w:val="0"/>
                <w:sz w:val="20"/>
                <w:lang w:eastAsia="zh-CN"/>
              </w:rPr>
              <w:t>，</w:t>
            </w:r>
            <w:r>
              <w:rPr>
                <w:rFonts w:hint="eastAsia" w:ascii="宋体" w:hAnsi="宋体"/>
                <w:b w:val="0"/>
                <w:sz w:val="20"/>
                <w:lang w:val="en-US" w:eastAsia="zh-CN"/>
              </w:rPr>
              <w:t>提供</w:t>
            </w:r>
            <w:r>
              <w:rPr>
                <w:rFonts w:hint="eastAsia" w:ascii="宋体" w:hAnsi="宋体"/>
                <w:b w:val="0"/>
                <w:sz w:val="20"/>
              </w:rPr>
              <w:t>7×24小时用户</w:t>
            </w:r>
            <w:r>
              <w:rPr>
                <w:rFonts w:hint="eastAsia" w:ascii="宋体" w:hAnsi="宋体"/>
                <w:b w:val="0"/>
                <w:sz w:val="20"/>
                <w:lang w:val="en-US" w:eastAsia="zh-CN"/>
              </w:rPr>
              <w:t>答疑、</w:t>
            </w:r>
            <w:r>
              <w:rPr>
                <w:rFonts w:hint="eastAsia" w:ascii="宋体" w:hAnsi="宋体"/>
                <w:b w:val="0"/>
                <w:sz w:val="20"/>
              </w:rPr>
              <w:t>专业技术支持</w:t>
            </w:r>
            <w:r>
              <w:rPr>
                <w:rFonts w:hint="eastAsia" w:ascii="宋体" w:hAnsi="宋体"/>
                <w:b w:val="0"/>
                <w:sz w:val="20"/>
                <w:lang w:eastAsia="zh-CN"/>
              </w:rPr>
              <w:t>、</w:t>
            </w:r>
            <w:r>
              <w:rPr>
                <w:rFonts w:hint="eastAsia" w:ascii="宋体" w:hAnsi="宋体"/>
                <w:b w:val="0"/>
                <w:sz w:val="20"/>
              </w:rPr>
              <w:t>网络故障</w:t>
            </w:r>
            <w:r>
              <w:rPr>
                <w:rFonts w:hint="eastAsia" w:ascii="宋体" w:hAnsi="宋体"/>
                <w:b w:val="0"/>
                <w:sz w:val="20"/>
                <w:lang w:val="en-US" w:eastAsia="zh-CN"/>
              </w:rPr>
              <w:t>处理</w:t>
            </w:r>
            <w:r>
              <w:rPr>
                <w:rFonts w:hint="eastAsia" w:ascii="宋体" w:hAnsi="宋体"/>
                <w:b w:val="0"/>
                <w:sz w:val="20"/>
              </w:rPr>
              <w:t>。</w:t>
            </w:r>
          </w:p>
          <w:p w14:paraId="12E7600A">
            <w:pPr>
              <w:keepNext w:val="0"/>
              <w:keepLines w:val="0"/>
              <w:numPr>
                <w:ilvl w:val="-1"/>
                <w:numId w:val="0"/>
              </w:numPr>
              <w:suppressLineNumbers w:val="0"/>
              <w:spacing w:before="0" w:beforeAutospacing="0" w:after="0" w:afterAutospacing="0"/>
              <w:ind w:left="0" w:right="0"/>
              <w:jc w:val="left"/>
              <w:rPr>
                <w:rFonts w:hint="eastAsia" w:ascii="宋体" w:hAnsi="宋体"/>
                <w:b w:val="0"/>
                <w:sz w:val="20"/>
                <w:lang w:eastAsia="zh-CN"/>
              </w:rPr>
            </w:pPr>
            <w:r>
              <w:rPr>
                <w:rFonts w:hint="eastAsia" w:cs="Times New Roman"/>
                <w:color w:val="auto"/>
                <w:highlight w:val="none"/>
                <w:lang w:val="en-US" w:eastAsia="zh-CN"/>
              </w:rPr>
              <w:t>2.</w:t>
            </w:r>
            <w:r>
              <w:rPr>
                <w:rFonts w:hint="eastAsia" w:ascii="Times New Roman" w:hAnsi="Times New Roman" w:eastAsia="宋体" w:cs="Times New Roman"/>
                <w:color w:val="auto"/>
                <w:highlight w:val="none"/>
                <w:lang w:val="en-US" w:eastAsia="zh-CN"/>
              </w:rPr>
              <w:t>提供2人以上的系统管理技术培训（培训时间每人不少于30小时）</w:t>
            </w:r>
            <w:r>
              <w:rPr>
                <w:rFonts w:hint="eastAsia" w:ascii="宋体" w:hAnsi="宋体"/>
                <w:b w:val="0"/>
                <w:sz w:val="20"/>
                <w:lang w:eastAsia="zh-CN"/>
              </w:rPr>
              <w:t>。</w:t>
            </w:r>
          </w:p>
          <w:p w14:paraId="14375A9B">
            <w:pPr>
              <w:keepNext w:val="0"/>
              <w:keepLines w:val="0"/>
              <w:suppressLineNumbers w:val="0"/>
              <w:spacing w:before="0" w:beforeAutospacing="0" w:after="0" w:afterAutospacing="0"/>
              <w:ind w:left="0" w:right="0"/>
              <w:jc w:val="left"/>
              <w:rPr>
                <w:rFonts w:hint="eastAsia" w:ascii="宋体" w:hAnsi="宋体"/>
                <w:b w:val="0"/>
                <w:sz w:val="20"/>
              </w:rPr>
            </w:pPr>
            <w:r>
              <w:rPr>
                <w:rFonts w:hint="eastAsia" w:ascii="宋体" w:hAnsi="宋体"/>
                <w:b w:val="0"/>
                <w:sz w:val="20"/>
                <w:lang w:val="en-US" w:eastAsia="zh-CN"/>
              </w:rPr>
              <w:t>3.</w:t>
            </w:r>
            <w:r>
              <w:rPr>
                <w:rFonts w:hint="eastAsia" w:ascii="宋体" w:hAnsi="宋体"/>
                <w:b w:val="0"/>
                <w:sz w:val="20"/>
              </w:rPr>
              <w:t>定期更新和维护网络服务配置与管理，确保校园网络系统的先进性与稳定性。</w:t>
            </w:r>
          </w:p>
          <w:p w14:paraId="2ADEE430">
            <w:pPr>
              <w:keepNext w:val="0"/>
              <w:keepLines w:val="0"/>
              <w:suppressLineNumbers w:val="0"/>
              <w:spacing w:before="0" w:beforeAutospacing="0" w:after="0" w:afterAutospacing="0"/>
              <w:ind w:left="0" w:right="0"/>
              <w:jc w:val="left"/>
              <w:rPr>
                <w:rFonts w:hint="eastAsia" w:ascii="Times New Roman" w:hAnsi="Times New Roman" w:eastAsia="宋体" w:cs="Times New Roman"/>
                <w:kern w:val="2"/>
                <w:sz w:val="21"/>
                <w:szCs w:val="24"/>
                <w:lang w:val="en-US" w:eastAsia="zh-CN" w:bidi="ar-SA"/>
              </w:rPr>
            </w:pPr>
            <w:r>
              <w:rPr>
                <w:rFonts w:hint="eastAsia" w:ascii="宋体" w:hAnsi="宋体"/>
                <w:b w:val="0"/>
                <w:sz w:val="20"/>
              </w:rPr>
              <w:t>提供承诺函并加盖投标人公章。</w:t>
            </w:r>
          </w:p>
        </w:tc>
        <w:tc>
          <w:tcPr>
            <w:tcW w:w="1996" w:type="dxa"/>
            <w:noWrap w:val="0"/>
            <w:vAlign w:val="center"/>
          </w:tcPr>
          <w:p w14:paraId="2152869C">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是</w:t>
            </w:r>
          </w:p>
        </w:tc>
      </w:tr>
      <w:tr w14:paraId="60C95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854" w:hRule="atLeast"/>
          <w:jc w:val="center"/>
        </w:trPr>
        <w:tc>
          <w:tcPr>
            <w:tcW w:w="756" w:type="dxa"/>
            <w:shd w:val="clear" w:color="auto" w:fill="auto"/>
            <w:noWrap w:val="0"/>
            <w:vAlign w:val="center"/>
          </w:tcPr>
          <w:p w14:paraId="1283D458">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4"/>
                <w:lang w:val="en-US" w:eastAsia="zh-CN" w:bidi="ar-SA"/>
              </w:rPr>
            </w:pPr>
            <w:r>
              <w:rPr>
                <w:rFonts w:hint="eastAsia" w:ascii="宋体" w:hAnsi="宋体"/>
                <w:b w:val="0"/>
                <w:sz w:val="20"/>
                <w:lang w:val="en-US" w:eastAsia="zh-CN"/>
              </w:rPr>
              <w:t>9</w:t>
            </w:r>
          </w:p>
        </w:tc>
        <w:tc>
          <w:tcPr>
            <w:tcW w:w="1061" w:type="dxa"/>
            <w:shd w:val="clear" w:color="auto" w:fill="auto"/>
            <w:noWrap w:val="0"/>
            <w:vAlign w:val="center"/>
          </w:tcPr>
          <w:p w14:paraId="0C109CD5">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4"/>
                <w:lang w:val="en-US" w:eastAsia="zh-CN" w:bidi="ar-SA"/>
              </w:rPr>
            </w:pPr>
            <w:r>
              <w:rPr>
                <w:rFonts w:hint="eastAsia" w:ascii="宋体" w:hAnsi="宋体"/>
                <w:b w:val="0"/>
                <w:sz w:val="20"/>
              </w:rPr>
              <w:t>#</w:t>
            </w:r>
          </w:p>
        </w:tc>
        <w:tc>
          <w:tcPr>
            <w:tcW w:w="1937" w:type="dxa"/>
            <w:shd w:val="clear" w:color="auto" w:fill="auto"/>
            <w:noWrap w:val="0"/>
            <w:vAlign w:val="center"/>
          </w:tcPr>
          <w:p w14:paraId="60C8A06A">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4"/>
                <w:lang w:val="en-US" w:eastAsia="zh-CN" w:bidi="ar-SA"/>
              </w:rPr>
            </w:pPr>
            <w:r>
              <w:rPr>
                <w:rFonts w:hint="eastAsia" w:ascii="宋体" w:hAnsi="宋体"/>
                <w:b w:val="0"/>
                <w:sz w:val="20"/>
              </w:rPr>
              <w:t>服务人员要求</w:t>
            </w:r>
          </w:p>
        </w:tc>
        <w:tc>
          <w:tcPr>
            <w:tcW w:w="3337" w:type="dxa"/>
            <w:shd w:val="clear" w:color="auto" w:fill="auto"/>
            <w:noWrap w:val="0"/>
            <w:vAlign w:val="center"/>
          </w:tcPr>
          <w:p w14:paraId="0E078A78">
            <w:pPr>
              <w:keepNext w:val="0"/>
              <w:keepLines w:val="0"/>
              <w:suppressLineNumbers w:val="0"/>
              <w:spacing w:before="0" w:beforeAutospacing="0" w:after="0" w:afterAutospacing="0"/>
              <w:ind w:left="0" w:right="0"/>
              <w:jc w:val="left"/>
              <w:rPr>
                <w:rFonts w:hint="eastAsia" w:ascii="Times New Roman" w:hAnsi="Times New Roman" w:eastAsia="宋体" w:cs="Times New Roman"/>
                <w:kern w:val="2"/>
                <w:sz w:val="21"/>
                <w:szCs w:val="24"/>
                <w:lang w:val="en-US" w:eastAsia="zh-CN" w:bidi="ar-SA"/>
              </w:rPr>
            </w:pPr>
            <w:r>
              <w:rPr>
                <w:rFonts w:hint="eastAsia" w:ascii="宋体" w:hAnsi="宋体"/>
                <w:b w:val="0"/>
                <w:sz w:val="20"/>
              </w:rPr>
              <w:t>承诺指定1名客户服务代表负责所有售后服务工作，提供专线直接运维人员联系方式，如有变更及时通知采购人。提供承诺函并加盖投标人公章。</w:t>
            </w:r>
          </w:p>
        </w:tc>
        <w:tc>
          <w:tcPr>
            <w:tcW w:w="1996" w:type="dxa"/>
            <w:noWrap w:val="0"/>
            <w:vAlign w:val="center"/>
          </w:tcPr>
          <w:p w14:paraId="39FCD42C">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是</w:t>
            </w:r>
          </w:p>
        </w:tc>
      </w:tr>
      <w:tr w14:paraId="0A021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866" w:hRule="atLeast"/>
          <w:jc w:val="center"/>
        </w:trPr>
        <w:tc>
          <w:tcPr>
            <w:tcW w:w="756" w:type="dxa"/>
            <w:shd w:val="clear" w:color="auto" w:fill="auto"/>
            <w:noWrap w:val="0"/>
            <w:vAlign w:val="center"/>
          </w:tcPr>
          <w:p w14:paraId="1BA4498E">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4"/>
                <w:lang w:val="en-US" w:eastAsia="zh-CN" w:bidi="ar-SA"/>
              </w:rPr>
            </w:pPr>
            <w:r>
              <w:rPr>
                <w:rFonts w:hint="eastAsia" w:ascii="宋体" w:hAnsi="宋体"/>
                <w:b w:val="0"/>
                <w:sz w:val="20"/>
                <w:lang w:val="en-US" w:eastAsia="zh-CN"/>
              </w:rPr>
              <w:t>10</w:t>
            </w:r>
          </w:p>
        </w:tc>
        <w:tc>
          <w:tcPr>
            <w:tcW w:w="1061" w:type="dxa"/>
            <w:shd w:val="clear" w:color="auto" w:fill="auto"/>
            <w:noWrap w:val="0"/>
            <w:vAlign w:val="center"/>
          </w:tcPr>
          <w:p w14:paraId="7289D589">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4"/>
                <w:lang w:val="en-US" w:eastAsia="zh-CN" w:bidi="ar-SA"/>
              </w:rPr>
            </w:pPr>
            <w:r>
              <w:rPr>
                <w:rFonts w:hint="eastAsia" w:ascii="宋体" w:hAnsi="宋体"/>
                <w:b w:val="0"/>
                <w:sz w:val="20"/>
              </w:rPr>
              <w:t>#</w:t>
            </w:r>
          </w:p>
        </w:tc>
        <w:tc>
          <w:tcPr>
            <w:tcW w:w="1937" w:type="dxa"/>
            <w:shd w:val="clear" w:color="auto" w:fill="auto"/>
            <w:noWrap w:val="0"/>
            <w:vAlign w:val="center"/>
          </w:tcPr>
          <w:p w14:paraId="26320A75">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4"/>
                <w:lang w:val="en-US" w:eastAsia="zh-CN" w:bidi="ar-SA"/>
              </w:rPr>
            </w:pPr>
            <w:r>
              <w:rPr>
                <w:rFonts w:hint="eastAsia" w:ascii="宋体" w:hAnsi="宋体"/>
                <w:b w:val="0"/>
                <w:sz w:val="20"/>
              </w:rPr>
              <w:t>驻场</w:t>
            </w:r>
            <w:r>
              <w:rPr>
                <w:rFonts w:hint="eastAsia" w:ascii="宋体" w:hAnsi="宋体"/>
                <w:b w:val="0"/>
                <w:sz w:val="20"/>
                <w:lang w:val="en-US" w:eastAsia="zh-CN"/>
              </w:rPr>
              <w:t>服务</w:t>
            </w:r>
          </w:p>
        </w:tc>
        <w:tc>
          <w:tcPr>
            <w:tcW w:w="3337" w:type="dxa"/>
            <w:shd w:val="clear" w:color="auto" w:fill="auto"/>
            <w:noWrap w:val="0"/>
            <w:vAlign w:val="center"/>
          </w:tcPr>
          <w:p w14:paraId="4BDAAC92">
            <w:pPr>
              <w:keepNext w:val="0"/>
              <w:keepLines w:val="0"/>
              <w:suppressLineNumbers w:val="0"/>
              <w:spacing w:before="0" w:beforeAutospacing="0" w:after="0" w:afterAutospacing="0"/>
              <w:ind w:left="0" w:right="0"/>
              <w:jc w:val="left"/>
              <w:rPr>
                <w:rFonts w:hint="eastAsia" w:ascii="宋体" w:hAnsi="宋体"/>
                <w:b w:val="0"/>
                <w:sz w:val="20"/>
                <w:lang w:val="en-US" w:eastAsia="zh-CN"/>
              </w:rPr>
            </w:pPr>
            <w:r>
              <w:rPr>
                <w:rFonts w:hint="eastAsia" w:ascii="宋体" w:hAnsi="宋体"/>
                <w:b w:val="0"/>
                <w:sz w:val="20"/>
              </w:rPr>
              <w:t>提供不少于1名驻场人员，本科及以上计算机或相关专业学历，具备网络或信息化相关工作经验，胜任校园网或智算平台运维工作。提供承诺函并加盖投标人公章。</w:t>
            </w:r>
          </w:p>
        </w:tc>
        <w:tc>
          <w:tcPr>
            <w:tcW w:w="1996" w:type="dxa"/>
            <w:noWrap w:val="0"/>
            <w:vAlign w:val="center"/>
          </w:tcPr>
          <w:p w14:paraId="55094FE6">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是</w:t>
            </w:r>
          </w:p>
        </w:tc>
      </w:tr>
      <w:tr w14:paraId="0DF52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881" w:hRule="atLeast"/>
          <w:jc w:val="center"/>
        </w:trPr>
        <w:tc>
          <w:tcPr>
            <w:tcW w:w="756" w:type="dxa"/>
            <w:noWrap w:val="0"/>
            <w:vAlign w:val="center"/>
          </w:tcPr>
          <w:p w14:paraId="3769844B">
            <w:pPr>
              <w:keepNext w:val="0"/>
              <w:keepLines w:val="0"/>
              <w:suppressLineNumbers w:val="0"/>
              <w:spacing w:before="0" w:beforeAutospacing="0" w:after="0" w:afterAutospacing="0"/>
              <w:ind w:left="0" w:leftChars="0" w:right="0" w:rightChars="0"/>
              <w:jc w:val="center"/>
              <w:rPr>
                <w:rFonts w:hint="default" w:cs="Times New Roman"/>
                <w:color w:val="auto"/>
                <w:highlight w:val="none"/>
                <w:lang w:val="en-US" w:eastAsia="zh-CN"/>
              </w:rPr>
            </w:pPr>
            <w:r>
              <w:rPr>
                <w:rFonts w:hint="eastAsia" w:ascii="宋体" w:hAnsi="宋体"/>
                <w:b w:val="0"/>
                <w:sz w:val="20"/>
                <w:lang w:val="en-US" w:eastAsia="zh-CN"/>
              </w:rPr>
              <w:t>11</w:t>
            </w:r>
          </w:p>
        </w:tc>
        <w:tc>
          <w:tcPr>
            <w:tcW w:w="1061" w:type="dxa"/>
            <w:noWrap w:val="0"/>
            <w:vAlign w:val="center"/>
          </w:tcPr>
          <w:p w14:paraId="48BFED4A">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highlight w:val="none"/>
                <w:lang w:val="en-US" w:eastAsia="zh-CN"/>
              </w:rPr>
            </w:pPr>
            <w:r>
              <w:rPr>
                <w:rFonts w:hint="eastAsia" w:ascii="宋体" w:hAnsi="宋体"/>
                <w:b w:val="0"/>
                <w:sz w:val="20"/>
              </w:rPr>
              <w:t>#</w:t>
            </w:r>
          </w:p>
        </w:tc>
        <w:tc>
          <w:tcPr>
            <w:tcW w:w="1937" w:type="dxa"/>
            <w:noWrap w:val="0"/>
            <w:vAlign w:val="center"/>
          </w:tcPr>
          <w:p w14:paraId="0385B35C">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highlight w:val="none"/>
                <w:lang w:val="en-US" w:eastAsia="zh-CN"/>
              </w:rPr>
            </w:pPr>
            <w:r>
              <w:rPr>
                <w:rFonts w:hint="eastAsia" w:ascii="宋体" w:hAnsi="宋体"/>
                <w:b w:val="0"/>
                <w:sz w:val="20"/>
              </w:rPr>
              <w:t>其他服务</w:t>
            </w:r>
          </w:p>
        </w:tc>
        <w:tc>
          <w:tcPr>
            <w:tcW w:w="3337" w:type="dxa"/>
            <w:noWrap w:val="0"/>
            <w:vAlign w:val="center"/>
          </w:tcPr>
          <w:p w14:paraId="359062C0">
            <w:pPr>
              <w:keepNext w:val="0"/>
              <w:keepLines w:val="0"/>
              <w:suppressLineNumbers w:val="0"/>
              <w:spacing w:before="0" w:beforeAutospacing="0" w:after="0" w:afterAutospacing="0"/>
              <w:ind w:left="0" w:leftChars="0" w:right="0" w:rightChars="0"/>
              <w:jc w:val="left"/>
              <w:rPr>
                <w:rFonts w:hint="eastAsia" w:ascii="Times New Roman" w:hAnsi="Times New Roman" w:eastAsia="宋体" w:cs="Times New Roman"/>
                <w:color w:val="auto"/>
                <w:highlight w:val="none"/>
                <w:lang w:val="en-US" w:eastAsia="zh-CN"/>
              </w:rPr>
            </w:pPr>
            <w:r>
              <w:rPr>
                <w:rFonts w:hint="eastAsia" w:ascii="宋体" w:hAnsi="宋体"/>
                <w:b w:val="0"/>
                <w:sz w:val="20"/>
              </w:rPr>
              <w:t>提供黄寺校区共9间公寓的年宽带（每户带宽200Mbps）接入。提供承诺函并加盖投标人公章。</w:t>
            </w:r>
          </w:p>
        </w:tc>
        <w:tc>
          <w:tcPr>
            <w:tcW w:w="1996" w:type="dxa"/>
            <w:noWrap w:val="0"/>
            <w:vAlign w:val="center"/>
          </w:tcPr>
          <w:p w14:paraId="083BC7D6">
            <w:pPr>
              <w:pStyle w:val="55"/>
              <w:keepNext w:val="0"/>
              <w:keepLines w:val="0"/>
              <w:suppressLineNumbers w:val="0"/>
              <w:bidi w:val="0"/>
              <w:spacing w:before="0" w:beforeAutospacing="0" w:after="0" w:afterAutospacing="0"/>
              <w:ind w:left="0" w:leftChars="0" w:right="0" w:rightChars="0" w:firstLine="0" w:firstLineChars="0"/>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是</w:t>
            </w:r>
          </w:p>
        </w:tc>
      </w:tr>
    </w:tbl>
    <w:p w14:paraId="23DC48E0">
      <w:pPr>
        <w:pStyle w:val="42"/>
        <w:rPr>
          <w:rFonts w:hint="default" w:ascii="Times New Roman" w:hAnsi="Times New Roman" w:eastAsia="宋体"/>
          <w:color w:val="auto"/>
          <w:highlight w:val="none"/>
          <w:lang w:val="en-US" w:eastAsia="zh-CN"/>
        </w:rPr>
      </w:pPr>
    </w:p>
    <w:p w14:paraId="4BEEF5C2">
      <w:pPr>
        <w:spacing w:line="360" w:lineRule="auto"/>
        <w:contextualSpacing/>
        <w:rPr>
          <w:rFonts w:ascii="Times New Roman" w:hAnsi="Times New Roman" w:eastAsia="宋体"/>
          <w:i/>
          <w:iCs/>
          <w:color w:val="auto"/>
          <w:sz w:val="24"/>
          <w:highlight w:val="none"/>
        </w:rPr>
      </w:pPr>
      <w:r>
        <w:rPr>
          <w:rFonts w:ascii="Times New Roman" w:hAnsi="Times New Roman" w:eastAsia="宋体"/>
          <w:color w:val="auto"/>
          <w:sz w:val="24"/>
          <w:highlight w:val="none"/>
        </w:rPr>
        <w:t>3. 验收标准</w:t>
      </w:r>
    </w:p>
    <w:p w14:paraId="46AC2DBD">
      <w:pPr>
        <w:pStyle w:val="255"/>
        <w:spacing w:after="0" w:line="360" w:lineRule="auto"/>
        <w:ind w:firstLine="560"/>
        <w:jc w:val="both"/>
        <w:rPr>
          <w:rFonts w:hint="eastAsia" w:ascii="Times New Roman" w:hAnsi="Times New Roman" w:eastAsia="宋体" w:cs="宋体"/>
          <w:color w:val="auto"/>
          <w:kern w:val="2"/>
          <w:sz w:val="28"/>
          <w:szCs w:val="22"/>
          <w:highlight w:val="none"/>
        </w:rPr>
      </w:pPr>
      <w:r>
        <w:rPr>
          <w:rFonts w:hint="eastAsia" w:ascii="Times New Roman" w:hAnsi="Times New Roman" w:eastAsia="宋体" w:cs="仿宋_GB2312"/>
          <w:color w:val="auto"/>
          <w:kern w:val="2"/>
          <w:sz w:val="24"/>
          <w:szCs w:val="24"/>
          <w:highlight w:val="none"/>
        </w:rPr>
        <w:t>中标人应在规定时间内完成项目竣工验收。当中标人完成学院所有网络业务迁移后，以书面形式向学院信息</w:t>
      </w:r>
      <w:r>
        <w:rPr>
          <w:rFonts w:hint="eastAsia" w:ascii="Times New Roman" w:hAnsi="Times New Roman" w:eastAsia="宋体" w:cs="仿宋_GB2312"/>
          <w:color w:val="auto"/>
          <w:kern w:val="2"/>
          <w:sz w:val="24"/>
          <w:szCs w:val="24"/>
          <w:highlight w:val="none"/>
          <w:lang w:val="en-US" w:eastAsia="zh-CN"/>
        </w:rPr>
        <w:t>化</w:t>
      </w:r>
      <w:r>
        <w:rPr>
          <w:rFonts w:hint="eastAsia" w:ascii="Times New Roman" w:hAnsi="Times New Roman" w:eastAsia="宋体" w:cs="仿宋_GB2312"/>
          <w:color w:val="auto"/>
          <w:kern w:val="2"/>
          <w:sz w:val="24"/>
          <w:szCs w:val="24"/>
          <w:highlight w:val="none"/>
        </w:rPr>
        <w:t>办公室提出初步验收申请，验收申请至少提前 5 个工作日，便于学院组织人员进行网络质量和硬件设备的验收工作。</w:t>
      </w:r>
      <w:r>
        <w:rPr>
          <w:rFonts w:hint="eastAsia" w:ascii="Times New Roman" w:hAnsi="Times New Roman" w:eastAsia="宋体" w:cs="仿宋_GB2312"/>
          <w:color w:val="auto"/>
          <w:kern w:val="2"/>
          <w:sz w:val="24"/>
          <w:szCs w:val="24"/>
          <w:highlight w:val="none"/>
          <w:lang w:eastAsia="zh-CN"/>
        </w:rPr>
        <w:t>采购人接到申请后，派出人员与</w:t>
      </w:r>
      <w:r>
        <w:rPr>
          <w:rFonts w:hint="eastAsia" w:ascii="Times New Roman" w:hAnsi="Times New Roman" w:eastAsia="宋体" w:cs="仿宋_GB2312"/>
          <w:color w:val="auto"/>
          <w:kern w:val="2"/>
          <w:sz w:val="24"/>
          <w:szCs w:val="24"/>
          <w:highlight w:val="none"/>
          <w:lang w:val="en-US" w:eastAsia="zh-CN"/>
        </w:rPr>
        <w:t>中标人</w:t>
      </w:r>
      <w:r>
        <w:rPr>
          <w:rFonts w:hint="eastAsia" w:ascii="Times New Roman" w:hAnsi="Times New Roman" w:eastAsia="宋体" w:cs="仿宋_GB2312"/>
          <w:color w:val="auto"/>
          <w:kern w:val="2"/>
          <w:sz w:val="24"/>
          <w:szCs w:val="24"/>
          <w:highlight w:val="none"/>
          <w:lang w:eastAsia="zh-CN"/>
        </w:rPr>
        <w:t>共同对线路质量进行验收，包括但不限于使用测速工具进行测试、邀请第三方机构测试等。如</w:t>
      </w:r>
      <w:r>
        <w:rPr>
          <w:rFonts w:hint="eastAsia" w:ascii="Times New Roman" w:hAnsi="Times New Roman" w:eastAsia="宋体" w:cs="仿宋_GB2312"/>
          <w:color w:val="auto"/>
          <w:kern w:val="2"/>
          <w:sz w:val="24"/>
          <w:szCs w:val="24"/>
          <w:highlight w:val="none"/>
        </w:rPr>
        <w:t>验收</w:t>
      </w:r>
      <w:r>
        <w:rPr>
          <w:rFonts w:hint="eastAsia" w:ascii="Times New Roman" w:hAnsi="Times New Roman" w:eastAsia="宋体" w:cs="仿宋_GB2312"/>
          <w:color w:val="auto"/>
          <w:kern w:val="2"/>
          <w:sz w:val="24"/>
          <w:szCs w:val="24"/>
          <w:highlight w:val="none"/>
          <w:lang w:eastAsia="zh-CN"/>
        </w:rPr>
        <w:t>不</w:t>
      </w:r>
      <w:r>
        <w:rPr>
          <w:rFonts w:hint="eastAsia" w:ascii="Times New Roman" w:hAnsi="Times New Roman" w:eastAsia="宋体" w:cs="仿宋_GB2312"/>
          <w:color w:val="auto"/>
          <w:kern w:val="2"/>
          <w:sz w:val="24"/>
          <w:szCs w:val="24"/>
          <w:highlight w:val="none"/>
        </w:rPr>
        <w:t>通过</w:t>
      </w:r>
      <w:r>
        <w:rPr>
          <w:rFonts w:hint="eastAsia" w:ascii="Times New Roman" w:hAnsi="Times New Roman" w:eastAsia="宋体" w:cs="仿宋_GB2312"/>
          <w:color w:val="auto"/>
          <w:kern w:val="2"/>
          <w:sz w:val="24"/>
          <w:szCs w:val="24"/>
          <w:highlight w:val="none"/>
          <w:lang w:eastAsia="zh-CN"/>
        </w:rPr>
        <w:t>，</w:t>
      </w:r>
      <w:r>
        <w:rPr>
          <w:rFonts w:hint="eastAsia" w:ascii="Times New Roman" w:hAnsi="Times New Roman" w:eastAsia="宋体" w:cs="仿宋_GB2312"/>
          <w:color w:val="auto"/>
          <w:kern w:val="2"/>
          <w:sz w:val="24"/>
          <w:szCs w:val="24"/>
          <w:highlight w:val="none"/>
          <w:lang w:val="en-US" w:eastAsia="zh-CN"/>
        </w:rPr>
        <w:t>中标人</w:t>
      </w:r>
      <w:r>
        <w:rPr>
          <w:rFonts w:hint="eastAsia" w:ascii="Times New Roman" w:hAnsi="Times New Roman" w:eastAsia="宋体" w:cs="仿宋_GB2312"/>
          <w:color w:val="auto"/>
          <w:kern w:val="2"/>
          <w:sz w:val="24"/>
          <w:szCs w:val="24"/>
          <w:highlight w:val="none"/>
          <w:lang w:eastAsia="zh-CN"/>
        </w:rPr>
        <w:t>应在</w:t>
      </w:r>
      <w:r>
        <w:rPr>
          <w:rFonts w:hint="eastAsia" w:ascii="Times New Roman" w:hAnsi="Times New Roman" w:eastAsia="宋体" w:cs="仿宋_GB2312"/>
          <w:color w:val="auto"/>
          <w:kern w:val="2"/>
          <w:sz w:val="24"/>
          <w:szCs w:val="24"/>
          <w:highlight w:val="none"/>
          <w:lang w:val="en-US" w:eastAsia="zh-CN"/>
        </w:rPr>
        <w:t>5个工作日内进行整改，整改后重新提出</w:t>
      </w:r>
      <w:r>
        <w:rPr>
          <w:rFonts w:hint="eastAsia" w:ascii="Times New Roman" w:hAnsi="Times New Roman" w:eastAsia="宋体" w:cs="仿宋_GB2312"/>
          <w:color w:val="auto"/>
          <w:kern w:val="2"/>
          <w:sz w:val="24"/>
          <w:szCs w:val="24"/>
          <w:highlight w:val="none"/>
          <w:lang w:eastAsia="zh-CN"/>
        </w:rPr>
        <w:t>验收申请</w:t>
      </w:r>
      <w:r>
        <w:rPr>
          <w:rFonts w:hint="eastAsia" w:ascii="Times New Roman" w:hAnsi="Times New Roman" w:eastAsia="宋体" w:cs="仿宋_GB2312"/>
          <w:color w:val="auto"/>
          <w:kern w:val="2"/>
          <w:sz w:val="24"/>
          <w:szCs w:val="24"/>
          <w:highlight w:val="none"/>
        </w:rPr>
        <w:t>。</w:t>
      </w:r>
    </w:p>
    <w:p w14:paraId="486D02DA">
      <w:pPr>
        <w:widowControl/>
        <w:spacing w:line="360" w:lineRule="auto"/>
        <w:ind w:firstLine="482"/>
        <w:contextualSpacing/>
        <w:rPr>
          <w:rFonts w:ascii="Times New Roman" w:hAnsi="Times New Roman" w:eastAsia="宋体"/>
          <w:b/>
          <w:color w:val="auto"/>
          <w:sz w:val="24"/>
          <w:highlight w:val="none"/>
        </w:rPr>
      </w:pPr>
    </w:p>
    <w:p w14:paraId="521CE785">
      <w:pPr>
        <w:numPr>
          <w:ilvl w:val="0"/>
          <w:numId w:val="9"/>
        </w:numPr>
        <w:spacing w:line="360" w:lineRule="auto"/>
        <w:ind w:left="0" w:leftChars="0" w:firstLine="0" w:firstLineChars="0"/>
        <w:contextualSpacing/>
        <w:rPr>
          <w:rFonts w:ascii="Times New Roman" w:hAnsi="Times New Roman" w:eastAsia="宋体"/>
          <w:color w:val="auto"/>
          <w:sz w:val="24"/>
          <w:highlight w:val="none"/>
        </w:rPr>
      </w:pPr>
      <w:r>
        <w:rPr>
          <w:rFonts w:ascii="Times New Roman" w:hAnsi="Times New Roman" w:eastAsia="宋体"/>
          <w:color w:val="auto"/>
          <w:sz w:val="24"/>
          <w:highlight w:val="none"/>
        </w:rPr>
        <w:t>其他要求</w:t>
      </w:r>
    </w:p>
    <w:p w14:paraId="2941C7DC">
      <w:pPr>
        <w:widowControl/>
        <w:spacing w:line="360" w:lineRule="auto"/>
        <w:ind w:firstLine="480" w:firstLineChars="200"/>
        <w:rPr>
          <w:rFonts w:hint="eastAsia" w:ascii="Times New Roman" w:hAnsi="Times New Roman" w:eastAsia="宋体" w:cs="仿宋_GB2312"/>
          <w:color w:val="auto"/>
          <w:sz w:val="24"/>
          <w:szCs w:val="24"/>
          <w:highlight w:val="none"/>
          <w:lang w:bidi="ar"/>
        </w:rPr>
      </w:pPr>
      <w:r>
        <w:rPr>
          <w:rFonts w:hint="eastAsia" w:ascii="Times New Roman" w:hAnsi="Times New Roman" w:eastAsia="宋体" w:cs="仿宋_GB2312"/>
          <w:color w:val="auto"/>
          <w:sz w:val="24"/>
          <w:szCs w:val="24"/>
          <w:highlight w:val="none"/>
          <w:lang w:bidi="ar"/>
        </w:rPr>
        <w:t>为保障项目实施、服务质量，中标人必须成立合理的项目组织机构，包括实施团队和服务团队，并且明确各岗位的人员配备和职责要求、沟通方式、项目管理辅助工具等。同时，中标人须建立项目实施保障与服务的各项管理制度，建立完备的项目服务质量保障体系，确保项目顺利进行。</w:t>
      </w:r>
    </w:p>
    <w:p w14:paraId="37726A18">
      <w:pPr>
        <w:spacing w:line="360" w:lineRule="auto"/>
        <w:contextualSpacing/>
        <w:rPr>
          <w:rFonts w:ascii="Times New Roman" w:hAnsi="Times New Roman" w:eastAsia="宋体"/>
          <w:color w:val="auto"/>
          <w:sz w:val="24"/>
          <w:highlight w:val="none"/>
        </w:rPr>
      </w:pPr>
    </w:p>
    <w:bookmarkEnd w:id="1"/>
    <w:bookmarkEnd w:id="2"/>
    <w:bookmarkEnd w:id="3"/>
    <w:bookmarkEnd w:id="4"/>
    <w:bookmarkEnd w:id="5"/>
    <w:bookmarkEnd w:id="6"/>
    <w:bookmarkEnd w:id="7"/>
    <w:bookmarkEnd w:id="8"/>
    <w:bookmarkEnd w:id="9"/>
    <w:bookmarkEnd w:id="10"/>
    <w:bookmarkEnd w:id="11"/>
    <w:bookmarkEnd w:id="12"/>
    <w:bookmarkEnd w:id="13"/>
    <w:bookmarkEnd w:id="14"/>
    <w:p w14:paraId="66176489">
      <w:pPr>
        <w:widowControl/>
        <w:jc w:val="left"/>
        <w:rPr>
          <w:b/>
          <w:sz w:val="36"/>
          <w:szCs w:val="36"/>
        </w:rPr>
      </w:pPr>
      <w:bookmarkStart w:id="15" w:name="_GoBack"/>
      <w:bookmarkEnd w:id="15"/>
    </w:p>
    <w:sectPr>
      <w:footerReference r:id="rId3"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icrosoft YaHei UI">
    <w:altName w:val="宋体"/>
    <w:panose1 w:val="020B0503020204020204"/>
    <w:charset w:val="86"/>
    <w:family w:val="swiss"/>
    <w:pitch w:val="default"/>
    <w:sig w:usb0="00000000" w:usb1="0000000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50D3B">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69</w:t>
    </w:r>
    <w:r>
      <w:rPr>
        <w:rFonts w:ascii="Times New Roma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5C6C96"/>
    <w:multiLevelType w:val="singleLevel"/>
    <w:tmpl w:val="C65C6C96"/>
    <w:lvl w:ilvl="0" w:tentative="0">
      <w:start w:val="3"/>
      <w:numFmt w:val="decimal"/>
      <w:suff w:val="space"/>
      <w:lvlText w:val="%1."/>
      <w:lvlJc w:val="left"/>
    </w:lvl>
  </w:abstractNum>
  <w:abstractNum w:abstractNumId="1">
    <w:nsid w:val="EDAEAC94"/>
    <w:multiLevelType w:val="singleLevel"/>
    <w:tmpl w:val="EDAEAC94"/>
    <w:lvl w:ilvl="0" w:tentative="0">
      <w:start w:val="1"/>
      <w:numFmt w:val="decimal"/>
      <w:lvlText w:val="%1."/>
      <w:lvlJc w:val="left"/>
      <w:pPr>
        <w:tabs>
          <w:tab w:val="left" w:pos="312"/>
        </w:tabs>
      </w:pPr>
    </w:lvl>
  </w:abstractNum>
  <w:abstractNum w:abstractNumId="2">
    <w:nsid w:val="0000000A"/>
    <w:multiLevelType w:val="multilevel"/>
    <w:tmpl w:val="0000000A"/>
    <w:lvl w:ilvl="0" w:tentative="0">
      <w:start w:val="1"/>
      <w:numFmt w:val="decimal"/>
      <w:pStyle w:val="75"/>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5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10"/>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69"/>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68"/>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8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8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9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3"/>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8"/>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F"/>
    <w:multiLevelType w:val="multilevel"/>
    <w:tmpl w:val="0000002F"/>
    <w:lvl w:ilvl="0" w:tentative="0">
      <w:start w:val="1"/>
      <w:numFmt w:val="decimal"/>
      <w:pStyle w:val="7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69"/>
      <w:lvlText w:val="%1"/>
      <w:lvlJc w:val="left"/>
      <w:pPr>
        <w:ind w:left="680" w:hanging="680"/>
      </w:pPr>
      <w:rPr>
        <w:rFonts w:hint="eastAsia" w:ascii="宋体" w:hAnsi="宋体" w:eastAsia="宋体"/>
      </w:rPr>
    </w:lvl>
    <w:lvl w:ilvl="1" w:tentative="0">
      <w:start w:val="1"/>
      <w:numFmt w:val="decimal"/>
      <w:pStyle w:val="170"/>
      <w:lvlText w:val="%1.%2"/>
      <w:lvlJc w:val="left"/>
      <w:pPr>
        <w:ind w:left="851" w:hanging="851"/>
      </w:pPr>
      <w:rPr>
        <w:rFonts w:hint="eastAsia" w:ascii="宋体" w:hAnsi="宋体" w:eastAsia="宋体"/>
        <w:color w:val="auto"/>
      </w:rPr>
    </w:lvl>
    <w:lvl w:ilvl="2" w:tentative="0">
      <w:start w:val="1"/>
      <w:numFmt w:val="decimal"/>
      <w:pStyle w:val="171"/>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2"/>
  </w:num>
  <w:num w:numId="3">
    <w:abstractNumId w:val="7"/>
  </w:num>
  <w:num w:numId="4">
    <w:abstractNumId w:val="4"/>
  </w:num>
  <w:num w:numId="5">
    <w:abstractNumId w:val="6"/>
  </w:num>
  <w:num w:numId="6">
    <w:abstractNumId w:val="3"/>
  </w:num>
  <w:num w:numId="7">
    <w:abstractNumId w:val="8"/>
  </w:num>
  <w:num w:numId="8">
    <w:abstractNumId w:val="9"/>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9C3"/>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78"/>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4DCF"/>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4C5"/>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CE7"/>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AC"/>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3F1"/>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CA3"/>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304"/>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283"/>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4FFB"/>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E7A"/>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04A"/>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18"/>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57"/>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854"/>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A4C"/>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345"/>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175"/>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1FB5"/>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A"/>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6C4"/>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D7D"/>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069"/>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5E2"/>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8C7"/>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0EA1"/>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47"/>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6D"/>
    <w:rsid w:val="009F2EE3"/>
    <w:rsid w:val="009F3032"/>
    <w:rsid w:val="009F31A7"/>
    <w:rsid w:val="009F33DC"/>
    <w:rsid w:val="009F3920"/>
    <w:rsid w:val="009F3948"/>
    <w:rsid w:val="009F3A1F"/>
    <w:rsid w:val="009F3D21"/>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41"/>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44D"/>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B36"/>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03"/>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0C"/>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682"/>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EB4"/>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10"/>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37F"/>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7BD"/>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48"/>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BE7"/>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6FF"/>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7FF"/>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2F5"/>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020"/>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D5FC6"/>
    <w:rsid w:val="012A4E2C"/>
    <w:rsid w:val="012A7AF5"/>
    <w:rsid w:val="012F5F9F"/>
    <w:rsid w:val="01303AC5"/>
    <w:rsid w:val="01323CE1"/>
    <w:rsid w:val="01366A9D"/>
    <w:rsid w:val="013730A5"/>
    <w:rsid w:val="01396E1E"/>
    <w:rsid w:val="013E2686"/>
    <w:rsid w:val="01457570"/>
    <w:rsid w:val="01461C6E"/>
    <w:rsid w:val="014D28C9"/>
    <w:rsid w:val="01687703"/>
    <w:rsid w:val="016F0A91"/>
    <w:rsid w:val="017240DE"/>
    <w:rsid w:val="017936BE"/>
    <w:rsid w:val="0179546C"/>
    <w:rsid w:val="017C0447"/>
    <w:rsid w:val="017E757F"/>
    <w:rsid w:val="01877B89"/>
    <w:rsid w:val="018F529B"/>
    <w:rsid w:val="01995B0E"/>
    <w:rsid w:val="01A56033"/>
    <w:rsid w:val="01A77528"/>
    <w:rsid w:val="01A87AFF"/>
    <w:rsid w:val="01AF0E8E"/>
    <w:rsid w:val="01AF5332"/>
    <w:rsid w:val="01B34E22"/>
    <w:rsid w:val="01B91D0C"/>
    <w:rsid w:val="01C26E13"/>
    <w:rsid w:val="01C9417B"/>
    <w:rsid w:val="01CC1A40"/>
    <w:rsid w:val="01DB7ED5"/>
    <w:rsid w:val="01DE4120"/>
    <w:rsid w:val="01F310F2"/>
    <w:rsid w:val="01F33470"/>
    <w:rsid w:val="01F571E8"/>
    <w:rsid w:val="01FB0577"/>
    <w:rsid w:val="020A1730"/>
    <w:rsid w:val="020D373D"/>
    <w:rsid w:val="020E2058"/>
    <w:rsid w:val="020E3E06"/>
    <w:rsid w:val="02104022"/>
    <w:rsid w:val="02111B48"/>
    <w:rsid w:val="02145195"/>
    <w:rsid w:val="02182ED7"/>
    <w:rsid w:val="0219590E"/>
    <w:rsid w:val="021A09FD"/>
    <w:rsid w:val="023870D5"/>
    <w:rsid w:val="023F66B6"/>
    <w:rsid w:val="0240504A"/>
    <w:rsid w:val="02443CCC"/>
    <w:rsid w:val="02471A55"/>
    <w:rsid w:val="02502671"/>
    <w:rsid w:val="0256755B"/>
    <w:rsid w:val="02587777"/>
    <w:rsid w:val="025D6B3C"/>
    <w:rsid w:val="02691984"/>
    <w:rsid w:val="0270686F"/>
    <w:rsid w:val="027D4F23"/>
    <w:rsid w:val="02820350"/>
    <w:rsid w:val="028265A2"/>
    <w:rsid w:val="028E2EE9"/>
    <w:rsid w:val="0293255D"/>
    <w:rsid w:val="029A38EC"/>
    <w:rsid w:val="029E162E"/>
    <w:rsid w:val="02A209F3"/>
    <w:rsid w:val="02AB256F"/>
    <w:rsid w:val="02B240F8"/>
    <w:rsid w:val="02B70580"/>
    <w:rsid w:val="02BC7D06"/>
    <w:rsid w:val="02C31095"/>
    <w:rsid w:val="02C941D1"/>
    <w:rsid w:val="02D23086"/>
    <w:rsid w:val="02D432A2"/>
    <w:rsid w:val="02EA48AE"/>
    <w:rsid w:val="02EB4148"/>
    <w:rsid w:val="02F56D74"/>
    <w:rsid w:val="03127926"/>
    <w:rsid w:val="03171BF9"/>
    <w:rsid w:val="031E62CB"/>
    <w:rsid w:val="03217B69"/>
    <w:rsid w:val="03282B7E"/>
    <w:rsid w:val="032A1114"/>
    <w:rsid w:val="032A4C70"/>
    <w:rsid w:val="032C5FC0"/>
    <w:rsid w:val="033250C0"/>
    <w:rsid w:val="03483348"/>
    <w:rsid w:val="034F0B7A"/>
    <w:rsid w:val="0365214C"/>
    <w:rsid w:val="03695E25"/>
    <w:rsid w:val="036A712A"/>
    <w:rsid w:val="0371289F"/>
    <w:rsid w:val="03863E70"/>
    <w:rsid w:val="03AC7D7B"/>
    <w:rsid w:val="03B629A7"/>
    <w:rsid w:val="03BB788D"/>
    <w:rsid w:val="03C055D4"/>
    <w:rsid w:val="03C926DB"/>
    <w:rsid w:val="03D504FD"/>
    <w:rsid w:val="03DB0660"/>
    <w:rsid w:val="03DE3866"/>
    <w:rsid w:val="03DF17D9"/>
    <w:rsid w:val="03E766F4"/>
    <w:rsid w:val="03EB50FA"/>
    <w:rsid w:val="03EF22A7"/>
    <w:rsid w:val="03F359AA"/>
    <w:rsid w:val="03F51722"/>
    <w:rsid w:val="03FB660C"/>
    <w:rsid w:val="03FD2384"/>
    <w:rsid w:val="0403042D"/>
    <w:rsid w:val="040C6A6B"/>
    <w:rsid w:val="040E4592"/>
    <w:rsid w:val="042033D6"/>
    <w:rsid w:val="042711AF"/>
    <w:rsid w:val="0430275A"/>
    <w:rsid w:val="0436754B"/>
    <w:rsid w:val="04461F7D"/>
    <w:rsid w:val="045301F6"/>
    <w:rsid w:val="04561A95"/>
    <w:rsid w:val="04567CE7"/>
    <w:rsid w:val="04697A1A"/>
    <w:rsid w:val="048E2C65"/>
    <w:rsid w:val="04966335"/>
    <w:rsid w:val="04A80D30"/>
    <w:rsid w:val="04B70785"/>
    <w:rsid w:val="04BA3851"/>
    <w:rsid w:val="04BC3254"/>
    <w:rsid w:val="04BC7E25"/>
    <w:rsid w:val="04CD61FB"/>
    <w:rsid w:val="04EC5FA1"/>
    <w:rsid w:val="04EE72A6"/>
    <w:rsid w:val="04F25C61"/>
    <w:rsid w:val="04F75026"/>
    <w:rsid w:val="04F95F88"/>
    <w:rsid w:val="05025F47"/>
    <w:rsid w:val="05087233"/>
    <w:rsid w:val="051200B1"/>
    <w:rsid w:val="051554AC"/>
    <w:rsid w:val="05171224"/>
    <w:rsid w:val="051E0804"/>
    <w:rsid w:val="0523406D"/>
    <w:rsid w:val="05277080"/>
    <w:rsid w:val="05283431"/>
    <w:rsid w:val="052D480C"/>
    <w:rsid w:val="05300925"/>
    <w:rsid w:val="053022E6"/>
    <w:rsid w:val="05344197"/>
    <w:rsid w:val="0537332A"/>
    <w:rsid w:val="05465FAD"/>
    <w:rsid w:val="05575AC4"/>
    <w:rsid w:val="055C535C"/>
    <w:rsid w:val="0563090D"/>
    <w:rsid w:val="05646EE5"/>
    <w:rsid w:val="05726DA2"/>
    <w:rsid w:val="05790131"/>
    <w:rsid w:val="05926AFC"/>
    <w:rsid w:val="05A131E3"/>
    <w:rsid w:val="05A52CD4"/>
    <w:rsid w:val="05B41169"/>
    <w:rsid w:val="05B841BF"/>
    <w:rsid w:val="05CA098C"/>
    <w:rsid w:val="05D24F9A"/>
    <w:rsid w:val="05D76C05"/>
    <w:rsid w:val="05DB1B61"/>
    <w:rsid w:val="05E41A4E"/>
    <w:rsid w:val="05E50738"/>
    <w:rsid w:val="05FD48BE"/>
    <w:rsid w:val="0600615C"/>
    <w:rsid w:val="06021ED4"/>
    <w:rsid w:val="060379FA"/>
    <w:rsid w:val="0607573C"/>
    <w:rsid w:val="060B0977"/>
    <w:rsid w:val="060C2D53"/>
    <w:rsid w:val="061816F7"/>
    <w:rsid w:val="0619721E"/>
    <w:rsid w:val="0622059D"/>
    <w:rsid w:val="062F7381"/>
    <w:rsid w:val="06357A0E"/>
    <w:rsid w:val="063B36C5"/>
    <w:rsid w:val="063F6C84"/>
    <w:rsid w:val="064249C6"/>
    <w:rsid w:val="0648365F"/>
    <w:rsid w:val="064A5629"/>
    <w:rsid w:val="06532730"/>
    <w:rsid w:val="065345EF"/>
    <w:rsid w:val="065564A8"/>
    <w:rsid w:val="065E2E82"/>
    <w:rsid w:val="06606BFB"/>
    <w:rsid w:val="06700194"/>
    <w:rsid w:val="067F3525"/>
    <w:rsid w:val="068E63E3"/>
    <w:rsid w:val="069114AA"/>
    <w:rsid w:val="06935222"/>
    <w:rsid w:val="06A109A1"/>
    <w:rsid w:val="06A26ADE"/>
    <w:rsid w:val="06A64F55"/>
    <w:rsid w:val="06A83CF9"/>
    <w:rsid w:val="06AE1485"/>
    <w:rsid w:val="06B156A8"/>
    <w:rsid w:val="06B16B87"/>
    <w:rsid w:val="06B55198"/>
    <w:rsid w:val="06BA630B"/>
    <w:rsid w:val="06CB0518"/>
    <w:rsid w:val="06D922CA"/>
    <w:rsid w:val="06DE41D3"/>
    <w:rsid w:val="06DF1C54"/>
    <w:rsid w:val="06DF5D71"/>
    <w:rsid w:val="06EE4206"/>
    <w:rsid w:val="06F02D57"/>
    <w:rsid w:val="06F757B1"/>
    <w:rsid w:val="07100621"/>
    <w:rsid w:val="07117EF5"/>
    <w:rsid w:val="07247C28"/>
    <w:rsid w:val="07320597"/>
    <w:rsid w:val="073B6AEB"/>
    <w:rsid w:val="073C7668"/>
    <w:rsid w:val="07465DF0"/>
    <w:rsid w:val="075229E7"/>
    <w:rsid w:val="07534B7C"/>
    <w:rsid w:val="075B5D40"/>
    <w:rsid w:val="076B1CFB"/>
    <w:rsid w:val="076B3AA9"/>
    <w:rsid w:val="076F3599"/>
    <w:rsid w:val="077010BF"/>
    <w:rsid w:val="07746E01"/>
    <w:rsid w:val="07765A71"/>
    <w:rsid w:val="07794418"/>
    <w:rsid w:val="07827A92"/>
    <w:rsid w:val="079528D4"/>
    <w:rsid w:val="07972AF0"/>
    <w:rsid w:val="07983601"/>
    <w:rsid w:val="079A08EA"/>
    <w:rsid w:val="079E3E7E"/>
    <w:rsid w:val="07A07BF6"/>
    <w:rsid w:val="07A31495"/>
    <w:rsid w:val="07B05960"/>
    <w:rsid w:val="07B62F76"/>
    <w:rsid w:val="07BB67DE"/>
    <w:rsid w:val="07CD4764"/>
    <w:rsid w:val="07D653C6"/>
    <w:rsid w:val="07D76969"/>
    <w:rsid w:val="07DF2BAA"/>
    <w:rsid w:val="07EF46DA"/>
    <w:rsid w:val="07F17D92"/>
    <w:rsid w:val="07F36417"/>
    <w:rsid w:val="07F41CF0"/>
    <w:rsid w:val="07F82721"/>
    <w:rsid w:val="080812F8"/>
    <w:rsid w:val="080A32C2"/>
    <w:rsid w:val="080D2DB2"/>
    <w:rsid w:val="081964D9"/>
    <w:rsid w:val="081D52ED"/>
    <w:rsid w:val="081E2961"/>
    <w:rsid w:val="082A74C0"/>
    <w:rsid w:val="082D4FD4"/>
    <w:rsid w:val="0833183F"/>
    <w:rsid w:val="083B791F"/>
    <w:rsid w:val="083E2F6B"/>
    <w:rsid w:val="08517143"/>
    <w:rsid w:val="085406AB"/>
    <w:rsid w:val="085A276B"/>
    <w:rsid w:val="085D6368"/>
    <w:rsid w:val="085F7B47"/>
    <w:rsid w:val="08606B5E"/>
    <w:rsid w:val="08624EAC"/>
    <w:rsid w:val="086E55FF"/>
    <w:rsid w:val="087370B9"/>
    <w:rsid w:val="087B5F6E"/>
    <w:rsid w:val="087F5A5E"/>
    <w:rsid w:val="08836BD0"/>
    <w:rsid w:val="088F5575"/>
    <w:rsid w:val="089C542D"/>
    <w:rsid w:val="089D4136"/>
    <w:rsid w:val="089E0931"/>
    <w:rsid w:val="089E3A0A"/>
    <w:rsid w:val="08A234FA"/>
    <w:rsid w:val="08B63606"/>
    <w:rsid w:val="08BA4CE8"/>
    <w:rsid w:val="08BA6A96"/>
    <w:rsid w:val="08BB5CE2"/>
    <w:rsid w:val="08C14368"/>
    <w:rsid w:val="08CB2A51"/>
    <w:rsid w:val="08D31906"/>
    <w:rsid w:val="08DD09D6"/>
    <w:rsid w:val="08DF474E"/>
    <w:rsid w:val="08E12275"/>
    <w:rsid w:val="08E7715F"/>
    <w:rsid w:val="08E9552D"/>
    <w:rsid w:val="08F301FA"/>
    <w:rsid w:val="08F85810"/>
    <w:rsid w:val="09063A89"/>
    <w:rsid w:val="092403B3"/>
    <w:rsid w:val="09267C87"/>
    <w:rsid w:val="09336848"/>
    <w:rsid w:val="09436A8B"/>
    <w:rsid w:val="09491BC8"/>
    <w:rsid w:val="094C3466"/>
    <w:rsid w:val="094D790A"/>
    <w:rsid w:val="095011A8"/>
    <w:rsid w:val="09502F56"/>
    <w:rsid w:val="095073FA"/>
    <w:rsid w:val="095E0D6F"/>
    <w:rsid w:val="095E38C5"/>
    <w:rsid w:val="09616F12"/>
    <w:rsid w:val="097529BD"/>
    <w:rsid w:val="097F1A8E"/>
    <w:rsid w:val="09864BCA"/>
    <w:rsid w:val="098E3A7F"/>
    <w:rsid w:val="098F5CBA"/>
    <w:rsid w:val="09C120A6"/>
    <w:rsid w:val="09C556F2"/>
    <w:rsid w:val="09C6146A"/>
    <w:rsid w:val="09D41DD9"/>
    <w:rsid w:val="09D43B87"/>
    <w:rsid w:val="09D92F4C"/>
    <w:rsid w:val="09D973F0"/>
    <w:rsid w:val="09DB3168"/>
    <w:rsid w:val="09E46A49"/>
    <w:rsid w:val="09EB05D3"/>
    <w:rsid w:val="09EF09C1"/>
    <w:rsid w:val="09F0285C"/>
    <w:rsid w:val="0A0A75A9"/>
    <w:rsid w:val="0A0D52EB"/>
    <w:rsid w:val="0A1246B0"/>
    <w:rsid w:val="0A2166A1"/>
    <w:rsid w:val="0A2262F9"/>
    <w:rsid w:val="0A36214C"/>
    <w:rsid w:val="0A3665F0"/>
    <w:rsid w:val="0A3864D3"/>
    <w:rsid w:val="0A4725AB"/>
    <w:rsid w:val="0A4F320E"/>
    <w:rsid w:val="0A546CFD"/>
    <w:rsid w:val="0A5847B8"/>
    <w:rsid w:val="0A595E3B"/>
    <w:rsid w:val="0A5E508E"/>
    <w:rsid w:val="0A652A31"/>
    <w:rsid w:val="0A6946C2"/>
    <w:rsid w:val="0A6B21A6"/>
    <w:rsid w:val="0A6F38B0"/>
    <w:rsid w:val="0A764C3F"/>
    <w:rsid w:val="0A786C09"/>
    <w:rsid w:val="0A791196"/>
    <w:rsid w:val="0A80786B"/>
    <w:rsid w:val="0A8530D4"/>
    <w:rsid w:val="0A9F4195"/>
    <w:rsid w:val="0AA96DC2"/>
    <w:rsid w:val="0AD35BED"/>
    <w:rsid w:val="0AD876A7"/>
    <w:rsid w:val="0ADC375E"/>
    <w:rsid w:val="0AE0030A"/>
    <w:rsid w:val="0AEA3D79"/>
    <w:rsid w:val="0AEE26D6"/>
    <w:rsid w:val="0AEE6ECB"/>
    <w:rsid w:val="0AEF054D"/>
    <w:rsid w:val="0AFC1866"/>
    <w:rsid w:val="0B04224A"/>
    <w:rsid w:val="0B067E26"/>
    <w:rsid w:val="0B0E131B"/>
    <w:rsid w:val="0B1526A9"/>
    <w:rsid w:val="0B185CF6"/>
    <w:rsid w:val="0B21104E"/>
    <w:rsid w:val="0B2226D0"/>
    <w:rsid w:val="0B3568A8"/>
    <w:rsid w:val="0B416FFB"/>
    <w:rsid w:val="0B4D3BF1"/>
    <w:rsid w:val="0B4E5BBB"/>
    <w:rsid w:val="0B660C1A"/>
    <w:rsid w:val="0B6E1DBA"/>
    <w:rsid w:val="0B725406"/>
    <w:rsid w:val="0B7D3DAB"/>
    <w:rsid w:val="0B815649"/>
    <w:rsid w:val="0B896BF3"/>
    <w:rsid w:val="0B8C3FEE"/>
    <w:rsid w:val="0B972584"/>
    <w:rsid w:val="0BAD643E"/>
    <w:rsid w:val="0BB856CB"/>
    <w:rsid w:val="0BC97B2F"/>
    <w:rsid w:val="0BCB2D68"/>
    <w:rsid w:val="0BCD088E"/>
    <w:rsid w:val="0BCF1A6D"/>
    <w:rsid w:val="0BDE2A9B"/>
    <w:rsid w:val="0BE107DE"/>
    <w:rsid w:val="0BE81B6C"/>
    <w:rsid w:val="0BE8391A"/>
    <w:rsid w:val="0BF127E9"/>
    <w:rsid w:val="0C1A784C"/>
    <w:rsid w:val="0C1B3CF0"/>
    <w:rsid w:val="0C1B40EA"/>
    <w:rsid w:val="0C1E558E"/>
    <w:rsid w:val="0C281F69"/>
    <w:rsid w:val="0C2C7CAB"/>
    <w:rsid w:val="0C34090D"/>
    <w:rsid w:val="0C3C77C2"/>
    <w:rsid w:val="0C517716"/>
    <w:rsid w:val="0C5E1E2E"/>
    <w:rsid w:val="0C5E3BDC"/>
    <w:rsid w:val="0C632FA1"/>
    <w:rsid w:val="0C6805B7"/>
    <w:rsid w:val="0C686809"/>
    <w:rsid w:val="0C717078"/>
    <w:rsid w:val="0C7F0C41"/>
    <w:rsid w:val="0C807FF6"/>
    <w:rsid w:val="0C811679"/>
    <w:rsid w:val="0C8E0BA6"/>
    <w:rsid w:val="0C923886"/>
    <w:rsid w:val="0C937D2A"/>
    <w:rsid w:val="0CA041F5"/>
    <w:rsid w:val="0CA05FA3"/>
    <w:rsid w:val="0CA21D1B"/>
    <w:rsid w:val="0CAF61E6"/>
    <w:rsid w:val="0CB258E3"/>
    <w:rsid w:val="0CC25B7D"/>
    <w:rsid w:val="0CCC648D"/>
    <w:rsid w:val="0CCF6888"/>
    <w:rsid w:val="0CD10852"/>
    <w:rsid w:val="0CD41330"/>
    <w:rsid w:val="0CFB119E"/>
    <w:rsid w:val="0CFD51A3"/>
    <w:rsid w:val="0D091D9A"/>
    <w:rsid w:val="0D0E73B0"/>
    <w:rsid w:val="0D183D8B"/>
    <w:rsid w:val="0D1D3A97"/>
    <w:rsid w:val="0D200E92"/>
    <w:rsid w:val="0D26294C"/>
    <w:rsid w:val="0D270472"/>
    <w:rsid w:val="0D3037CB"/>
    <w:rsid w:val="0D305579"/>
    <w:rsid w:val="0D3112F1"/>
    <w:rsid w:val="0D352B8F"/>
    <w:rsid w:val="0D38442D"/>
    <w:rsid w:val="0D417786"/>
    <w:rsid w:val="0D423468"/>
    <w:rsid w:val="0D5200B9"/>
    <w:rsid w:val="0D605732"/>
    <w:rsid w:val="0D676AC1"/>
    <w:rsid w:val="0D774F56"/>
    <w:rsid w:val="0D7A1AA8"/>
    <w:rsid w:val="0D7A4A46"/>
    <w:rsid w:val="0D7F205C"/>
    <w:rsid w:val="0D837D9E"/>
    <w:rsid w:val="0D8E6743"/>
    <w:rsid w:val="0D99235D"/>
    <w:rsid w:val="0D9D24E2"/>
    <w:rsid w:val="0D9F26FE"/>
    <w:rsid w:val="0DA11FD2"/>
    <w:rsid w:val="0DA9532B"/>
    <w:rsid w:val="0DB8731C"/>
    <w:rsid w:val="0DD24882"/>
    <w:rsid w:val="0DD95C10"/>
    <w:rsid w:val="0DE14AC5"/>
    <w:rsid w:val="0DEB5944"/>
    <w:rsid w:val="0DEB76F2"/>
    <w:rsid w:val="0DF30354"/>
    <w:rsid w:val="0DFF4F4B"/>
    <w:rsid w:val="0E082052"/>
    <w:rsid w:val="0E0B38F0"/>
    <w:rsid w:val="0E0B7D94"/>
    <w:rsid w:val="0E1053AA"/>
    <w:rsid w:val="0E132027"/>
    <w:rsid w:val="0E15651D"/>
    <w:rsid w:val="0E236A3E"/>
    <w:rsid w:val="0E2F75DE"/>
    <w:rsid w:val="0E3177FA"/>
    <w:rsid w:val="0E342E47"/>
    <w:rsid w:val="0E344BF5"/>
    <w:rsid w:val="0E3E1F17"/>
    <w:rsid w:val="0E5B4619"/>
    <w:rsid w:val="0E5E0E21"/>
    <w:rsid w:val="0E6C0832"/>
    <w:rsid w:val="0E77636A"/>
    <w:rsid w:val="0E7771D7"/>
    <w:rsid w:val="0E7E0566"/>
    <w:rsid w:val="0E7F623D"/>
    <w:rsid w:val="0E884F40"/>
    <w:rsid w:val="0E924FCE"/>
    <w:rsid w:val="0E927B6D"/>
    <w:rsid w:val="0E99714E"/>
    <w:rsid w:val="0EA004DC"/>
    <w:rsid w:val="0EB61AAE"/>
    <w:rsid w:val="0EC046DA"/>
    <w:rsid w:val="0EC54049"/>
    <w:rsid w:val="0EC95C85"/>
    <w:rsid w:val="0ED63EFE"/>
    <w:rsid w:val="0ED85268"/>
    <w:rsid w:val="0EDC703A"/>
    <w:rsid w:val="0EE02FCE"/>
    <w:rsid w:val="0EE24651"/>
    <w:rsid w:val="0EE7610B"/>
    <w:rsid w:val="0EE859DF"/>
    <w:rsid w:val="0EF32D02"/>
    <w:rsid w:val="0EF56A7A"/>
    <w:rsid w:val="0EF64818"/>
    <w:rsid w:val="0F026AA1"/>
    <w:rsid w:val="0F0912BA"/>
    <w:rsid w:val="0F0E3698"/>
    <w:rsid w:val="0F1113DA"/>
    <w:rsid w:val="0F16254C"/>
    <w:rsid w:val="0F173CF7"/>
    <w:rsid w:val="0F2904D1"/>
    <w:rsid w:val="0F346E76"/>
    <w:rsid w:val="0F360E40"/>
    <w:rsid w:val="0F515C7A"/>
    <w:rsid w:val="0F517A28"/>
    <w:rsid w:val="0F587009"/>
    <w:rsid w:val="0F59068B"/>
    <w:rsid w:val="0F5B4403"/>
    <w:rsid w:val="0F657030"/>
    <w:rsid w:val="0F6B6D3C"/>
    <w:rsid w:val="0F7756E1"/>
    <w:rsid w:val="0F7A5ED6"/>
    <w:rsid w:val="0F827BE2"/>
    <w:rsid w:val="0F851480"/>
    <w:rsid w:val="0F8C0A60"/>
    <w:rsid w:val="0F931DEF"/>
    <w:rsid w:val="0F9F76B1"/>
    <w:rsid w:val="0FA1450C"/>
    <w:rsid w:val="0FA67D74"/>
    <w:rsid w:val="0FAE6C29"/>
    <w:rsid w:val="0FB00BF3"/>
    <w:rsid w:val="0FB04F4B"/>
    <w:rsid w:val="0FB26719"/>
    <w:rsid w:val="0FB75D3C"/>
    <w:rsid w:val="0FBE4977"/>
    <w:rsid w:val="0FC7512F"/>
    <w:rsid w:val="0FD12D30"/>
    <w:rsid w:val="0FD35650"/>
    <w:rsid w:val="0FE32D76"/>
    <w:rsid w:val="0FE34B24"/>
    <w:rsid w:val="0FEF171B"/>
    <w:rsid w:val="0FF05D35"/>
    <w:rsid w:val="0FFA3C1C"/>
    <w:rsid w:val="0FFC3E38"/>
    <w:rsid w:val="10046849"/>
    <w:rsid w:val="100625C1"/>
    <w:rsid w:val="100827DD"/>
    <w:rsid w:val="101051ED"/>
    <w:rsid w:val="10125409"/>
    <w:rsid w:val="101822F4"/>
    <w:rsid w:val="10196798"/>
    <w:rsid w:val="10233173"/>
    <w:rsid w:val="102869DB"/>
    <w:rsid w:val="102B0279"/>
    <w:rsid w:val="103C4234"/>
    <w:rsid w:val="104906FF"/>
    <w:rsid w:val="10501A8E"/>
    <w:rsid w:val="10512C80"/>
    <w:rsid w:val="105656D9"/>
    <w:rsid w:val="105772C0"/>
    <w:rsid w:val="105C5B54"/>
    <w:rsid w:val="10635C65"/>
    <w:rsid w:val="106A0DA2"/>
    <w:rsid w:val="107B7E97"/>
    <w:rsid w:val="107E303F"/>
    <w:rsid w:val="10881228"/>
    <w:rsid w:val="108B0D18"/>
    <w:rsid w:val="108F0808"/>
    <w:rsid w:val="1090632E"/>
    <w:rsid w:val="10950DE7"/>
    <w:rsid w:val="109A074C"/>
    <w:rsid w:val="109E4EEF"/>
    <w:rsid w:val="10A741DE"/>
    <w:rsid w:val="10AB0D80"/>
    <w:rsid w:val="10AC760C"/>
    <w:rsid w:val="10B14C22"/>
    <w:rsid w:val="10B262A5"/>
    <w:rsid w:val="10BB33AB"/>
    <w:rsid w:val="10C06C14"/>
    <w:rsid w:val="10C41590"/>
    <w:rsid w:val="10C5422A"/>
    <w:rsid w:val="10C83D1A"/>
    <w:rsid w:val="10CB7366"/>
    <w:rsid w:val="10CD30DE"/>
    <w:rsid w:val="10D33DA9"/>
    <w:rsid w:val="10D476E3"/>
    <w:rsid w:val="10D51B29"/>
    <w:rsid w:val="10DB57FB"/>
    <w:rsid w:val="10E1375F"/>
    <w:rsid w:val="10E36DA6"/>
    <w:rsid w:val="10E55348"/>
    <w:rsid w:val="10F90CC7"/>
    <w:rsid w:val="10F93ED3"/>
    <w:rsid w:val="11032FA4"/>
    <w:rsid w:val="110732FE"/>
    <w:rsid w:val="110A1D05"/>
    <w:rsid w:val="11165B17"/>
    <w:rsid w:val="11274EE5"/>
    <w:rsid w:val="11431086"/>
    <w:rsid w:val="114B0570"/>
    <w:rsid w:val="114E06C3"/>
    <w:rsid w:val="115B2DE0"/>
    <w:rsid w:val="115D26B4"/>
    <w:rsid w:val="116003F7"/>
    <w:rsid w:val="11606F49"/>
    <w:rsid w:val="116D6526"/>
    <w:rsid w:val="117874EE"/>
    <w:rsid w:val="117E4242"/>
    <w:rsid w:val="11812847"/>
    <w:rsid w:val="118714DF"/>
    <w:rsid w:val="118A2253"/>
    <w:rsid w:val="118B5473"/>
    <w:rsid w:val="118E6531"/>
    <w:rsid w:val="118F65E6"/>
    <w:rsid w:val="11904838"/>
    <w:rsid w:val="1198193E"/>
    <w:rsid w:val="11A007F3"/>
    <w:rsid w:val="11A622AD"/>
    <w:rsid w:val="11A7392F"/>
    <w:rsid w:val="11AB1672"/>
    <w:rsid w:val="11AC2651"/>
    <w:rsid w:val="11B82B2F"/>
    <w:rsid w:val="11BC62A5"/>
    <w:rsid w:val="11BD7880"/>
    <w:rsid w:val="11C269BB"/>
    <w:rsid w:val="11D02E86"/>
    <w:rsid w:val="11D24E50"/>
    <w:rsid w:val="11D706B9"/>
    <w:rsid w:val="11DA3D05"/>
    <w:rsid w:val="11E46932"/>
    <w:rsid w:val="11E608FC"/>
    <w:rsid w:val="11EE155E"/>
    <w:rsid w:val="11F052D6"/>
    <w:rsid w:val="1211524D"/>
    <w:rsid w:val="12194ADA"/>
    <w:rsid w:val="12244F80"/>
    <w:rsid w:val="12307DC9"/>
    <w:rsid w:val="123526C9"/>
    <w:rsid w:val="12353631"/>
    <w:rsid w:val="12371157"/>
    <w:rsid w:val="123E24E6"/>
    <w:rsid w:val="123E4294"/>
    <w:rsid w:val="12495CFE"/>
    <w:rsid w:val="124B0112"/>
    <w:rsid w:val="124F64A1"/>
    <w:rsid w:val="12502219"/>
    <w:rsid w:val="12505D75"/>
    <w:rsid w:val="12527D3F"/>
    <w:rsid w:val="127978A5"/>
    <w:rsid w:val="127E0EA0"/>
    <w:rsid w:val="129245E0"/>
    <w:rsid w:val="12940358"/>
    <w:rsid w:val="12A52565"/>
    <w:rsid w:val="12AC266A"/>
    <w:rsid w:val="12B1333A"/>
    <w:rsid w:val="12B427A8"/>
    <w:rsid w:val="12B564BD"/>
    <w:rsid w:val="12B97DBE"/>
    <w:rsid w:val="12BC165D"/>
    <w:rsid w:val="12BE53D5"/>
    <w:rsid w:val="12C549B5"/>
    <w:rsid w:val="12D544CC"/>
    <w:rsid w:val="12E55A06"/>
    <w:rsid w:val="12E666D9"/>
    <w:rsid w:val="12E7492B"/>
    <w:rsid w:val="12F33B47"/>
    <w:rsid w:val="12F47048"/>
    <w:rsid w:val="130354DD"/>
    <w:rsid w:val="13053004"/>
    <w:rsid w:val="130D3C66"/>
    <w:rsid w:val="13182D37"/>
    <w:rsid w:val="131D4BE7"/>
    <w:rsid w:val="13292337"/>
    <w:rsid w:val="132F62D2"/>
    <w:rsid w:val="133236CD"/>
    <w:rsid w:val="13387C12"/>
    <w:rsid w:val="133E7202"/>
    <w:rsid w:val="135A334F"/>
    <w:rsid w:val="135B70C7"/>
    <w:rsid w:val="13716D2E"/>
    <w:rsid w:val="13741F37"/>
    <w:rsid w:val="1379754E"/>
    <w:rsid w:val="1380268A"/>
    <w:rsid w:val="13854144"/>
    <w:rsid w:val="13870AF5"/>
    <w:rsid w:val="138A175B"/>
    <w:rsid w:val="139268D6"/>
    <w:rsid w:val="13946135"/>
    <w:rsid w:val="139525D9"/>
    <w:rsid w:val="139F773F"/>
    <w:rsid w:val="13AC1380"/>
    <w:rsid w:val="13D139EE"/>
    <w:rsid w:val="13DA7E9F"/>
    <w:rsid w:val="13DC1FB6"/>
    <w:rsid w:val="13DF1AA7"/>
    <w:rsid w:val="13F05A62"/>
    <w:rsid w:val="13F82AB8"/>
    <w:rsid w:val="14072DAB"/>
    <w:rsid w:val="14107EB2"/>
    <w:rsid w:val="14221993"/>
    <w:rsid w:val="1424395D"/>
    <w:rsid w:val="1424570B"/>
    <w:rsid w:val="14281C22"/>
    <w:rsid w:val="14324730"/>
    <w:rsid w:val="143F60A1"/>
    <w:rsid w:val="1444190A"/>
    <w:rsid w:val="14457ECD"/>
    <w:rsid w:val="14467430"/>
    <w:rsid w:val="144C07BE"/>
    <w:rsid w:val="144C0C74"/>
    <w:rsid w:val="144F5F7E"/>
    <w:rsid w:val="14503CE0"/>
    <w:rsid w:val="14535FF1"/>
    <w:rsid w:val="14625AD7"/>
    <w:rsid w:val="1468384A"/>
    <w:rsid w:val="14687188"/>
    <w:rsid w:val="147815B3"/>
    <w:rsid w:val="147E4E1C"/>
    <w:rsid w:val="149A2E5A"/>
    <w:rsid w:val="149D1BE1"/>
    <w:rsid w:val="14A20267"/>
    <w:rsid w:val="14A5684C"/>
    <w:rsid w:val="14B24AC5"/>
    <w:rsid w:val="14D1061F"/>
    <w:rsid w:val="14D233B9"/>
    <w:rsid w:val="14DB226E"/>
    <w:rsid w:val="14DC1B42"/>
    <w:rsid w:val="14E153AA"/>
    <w:rsid w:val="14E31122"/>
    <w:rsid w:val="14E530ED"/>
    <w:rsid w:val="14EF6B16"/>
    <w:rsid w:val="14FB46BE"/>
    <w:rsid w:val="15093E2B"/>
    <w:rsid w:val="150D7916"/>
    <w:rsid w:val="151A266A"/>
    <w:rsid w:val="152662C1"/>
    <w:rsid w:val="153010D2"/>
    <w:rsid w:val="153674A4"/>
    <w:rsid w:val="153D4CD7"/>
    <w:rsid w:val="1562473D"/>
    <w:rsid w:val="15695ACC"/>
    <w:rsid w:val="156A1844"/>
    <w:rsid w:val="15722EBE"/>
    <w:rsid w:val="15763D45"/>
    <w:rsid w:val="1585667E"/>
    <w:rsid w:val="15A00DC2"/>
    <w:rsid w:val="15A765F4"/>
    <w:rsid w:val="15AA7E92"/>
    <w:rsid w:val="15AF54A9"/>
    <w:rsid w:val="15BA6327"/>
    <w:rsid w:val="15C076B6"/>
    <w:rsid w:val="15C26F8A"/>
    <w:rsid w:val="15C745A0"/>
    <w:rsid w:val="15C9656A"/>
    <w:rsid w:val="15CC605B"/>
    <w:rsid w:val="15D05B4B"/>
    <w:rsid w:val="15DF5D8E"/>
    <w:rsid w:val="15E45152"/>
    <w:rsid w:val="160F4043"/>
    <w:rsid w:val="16111CBF"/>
    <w:rsid w:val="161377E5"/>
    <w:rsid w:val="161517B0"/>
    <w:rsid w:val="162639BD"/>
    <w:rsid w:val="163A1216"/>
    <w:rsid w:val="163A7468"/>
    <w:rsid w:val="163B0388"/>
    <w:rsid w:val="163E3604"/>
    <w:rsid w:val="1642631D"/>
    <w:rsid w:val="16455853"/>
    <w:rsid w:val="16516CA8"/>
    <w:rsid w:val="1652228F"/>
    <w:rsid w:val="1653052A"/>
    <w:rsid w:val="165A18B8"/>
    <w:rsid w:val="165F6ECF"/>
    <w:rsid w:val="16610551"/>
    <w:rsid w:val="1666200B"/>
    <w:rsid w:val="166A5654"/>
    <w:rsid w:val="167427AE"/>
    <w:rsid w:val="16810BF3"/>
    <w:rsid w:val="168E50BE"/>
    <w:rsid w:val="169046A4"/>
    <w:rsid w:val="169E17A5"/>
    <w:rsid w:val="16A40CB1"/>
    <w:rsid w:val="16C136E5"/>
    <w:rsid w:val="16C84A74"/>
    <w:rsid w:val="16CA259A"/>
    <w:rsid w:val="16CD3E38"/>
    <w:rsid w:val="16DB47A7"/>
    <w:rsid w:val="16DC22CD"/>
    <w:rsid w:val="16E60821"/>
    <w:rsid w:val="16F65939"/>
    <w:rsid w:val="16F94C2D"/>
    <w:rsid w:val="170809D5"/>
    <w:rsid w:val="17092996"/>
    <w:rsid w:val="17163A31"/>
    <w:rsid w:val="171B1BF4"/>
    <w:rsid w:val="171C091C"/>
    <w:rsid w:val="172A4DE7"/>
    <w:rsid w:val="172B0B5F"/>
    <w:rsid w:val="172F6514"/>
    <w:rsid w:val="17342109"/>
    <w:rsid w:val="173C4B1A"/>
    <w:rsid w:val="17435EA8"/>
    <w:rsid w:val="1752258F"/>
    <w:rsid w:val="17591B70"/>
    <w:rsid w:val="175D3E63"/>
    <w:rsid w:val="176127D3"/>
    <w:rsid w:val="17710405"/>
    <w:rsid w:val="17716EB9"/>
    <w:rsid w:val="17780248"/>
    <w:rsid w:val="1779567C"/>
    <w:rsid w:val="177F1919"/>
    <w:rsid w:val="17822E75"/>
    <w:rsid w:val="17831AAD"/>
    <w:rsid w:val="17842D50"/>
    <w:rsid w:val="178564C1"/>
    <w:rsid w:val="178612A4"/>
    <w:rsid w:val="17876D25"/>
    <w:rsid w:val="178A7F7B"/>
    <w:rsid w:val="178D35C8"/>
    <w:rsid w:val="178F10EE"/>
    <w:rsid w:val="17920BDE"/>
    <w:rsid w:val="17935082"/>
    <w:rsid w:val="179C380B"/>
    <w:rsid w:val="17A20BD4"/>
    <w:rsid w:val="17AC6144"/>
    <w:rsid w:val="17B111EE"/>
    <w:rsid w:val="17B15508"/>
    <w:rsid w:val="17BC5001"/>
    <w:rsid w:val="17C74D2B"/>
    <w:rsid w:val="17D66D1D"/>
    <w:rsid w:val="17D9680D"/>
    <w:rsid w:val="17EC4792"/>
    <w:rsid w:val="17F00E91"/>
    <w:rsid w:val="17F93E0B"/>
    <w:rsid w:val="17FF2717"/>
    <w:rsid w:val="180970F2"/>
    <w:rsid w:val="180A5720"/>
    <w:rsid w:val="182E4DAB"/>
    <w:rsid w:val="183C74C7"/>
    <w:rsid w:val="18491011"/>
    <w:rsid w:val="18491BE4"/>
    <w:rsid w:val="184B7D68"/>
    <w:rsid w:val="18561C0B"/>
    <w:rsid w:val="18583BD5"/>
    <w:rsid w:val="18585984"/>
    <w:rsid w:val="18622CA6"/>
    <w:rsid w:val="1864257A"/>
    <w:rsid w:val="186500A0"/>
    <w:rsid w:val="186E164B"/>
    <w:rsid w:val="187C25C2"/>
    <w:rsid w:val="187D6E27"/>
    <w:rsid w:val="18816398"/>
    <w:rsid w:val="188449CB"/>
    <w:rsid w:val="18876269"/>
    <w:rsid w:val="189D783A"/>
    <w:rsid w:val="189F35B2"/>
    <w:rsid w:val="18A60DE5"/>
    <w:rsid w:val="18B54B84"/>
    <w:rsid w:val="18BB389F"/>
    <w:rsid w:val="18BC5F12"/>
    <w:rsid w:val="18BE00A7"/>
    <w:rsid w:val="18D92F68"/>
    <w:rsid w:val="18ED6A14"/>
    <w:rsid w:val="18F363CF"/>
    <w:rsid w:val="18F71640"/>
    <w:rsid w:val="18F7519C"/>
    <w:rsid w:val="19006747"/>
    <w:rsid w:val="190333E8"/>
    <w:rsid w:val="190B0C48"/>
    <w:rsid w:val="19306900"/>
    <w:rsid w:val="19322678"/>
    <w:rsid w:val="193463F1"/>
    <w:rsid w:val="19353F17"/>
    <w:rsid w:val="193957B5"/>
    <w:rsid w:val="193A32DB"/>
    <w:rsid w:val="19403CF3"/>
    <w:rsid w:val="1954439D"/>
    <w:rsid w:val="19687E48"/>
    <w:rsid w:val="196A273E"/>
    <w:rsid w:val="196B04A0"/>
    <w:rsid w:val="19744A3F"/>
    <w:rsid w:val="19756550"/>
    <w:rsid w:val="197B401F"/>
    <w:rsid w:val="198033E4"/>
    <w:rsid w:val="19924EC5"/>
    <w:rsid w:val="199649B5"/>
    <w:rsid w:val="19AC242B"/>
    <w:rsid w:val="19AC5F87"/>
    <w:rsid w:val="19AE4515"/>
    <w:rsid w:val="19D83220"/>
    <w:rsid w:val="19E01483"/>
    <w:rsid w:val="19F05074"/>
    <w:rsid w:val="1A0538E9"/>
    <w:rsid w:val="1A0D324C"/>
    <w:rsid w:val="1A295829"/>
    <w:rsid w:val="1A2F1202"/>
    <w:rsid w:val="1A3366A8"/>
    <w:rsid w:val="1A3F5F9B"/>
    <w:rsid w:val="1A402B73"/>
    <w:rsid w:val="1A4620D6"/>
    <w:rsid w:val="1A49562F"/>
    <w:rsid w:val="1A497C7A"/>
    <w:rsid w:val="1A646862"/>
    <w:rsid w:val="1A6F02EB"/>
    <w:rsid w:val="1A7B1681"/>
    <w:rsid w:val="1A7F5449"/>
    <w:rsid w:val="1A815666"/>
    <w:rsid w:val="1A82318C"/>
    <w:rsid w:val="1A824F3A"/>
    <w:rsid w:val="1A8313CD"/>
    <w:rsid w:val="1A85418F"/>
    <w:rsid w:val="1A907657"/>
    <w:rsid w:val="1A9133CF"/>
    <w:rsid w:val="1AA17AB6"/>
    <w:rsid w:val="1AA43102"/>
    <w:rsid w:val="1AA44EB0"/>
    <w:rsid w:val="1AA930CA"/>
    <w:rsid w:val="1AAF2DD5"/>
    <w:rsid w:val="1AB71087"/>
    <w:rsid w:val="1AB723E0"/>
    <w:rsid w:val="1ABF618E"/>
    <w:rsid w:val="1ACE4623"/>
    <w:rsid w:val="1AD02149"/>
    <w:rsid w:val="1AD62C95"/>
    <w:rsid w:val="1ADC0AEE"/>
    <w:rsid w:val="1AE16104"/>
    <w:rsid w:val="1AE23C2A"/>
    <w:rsid w:val="1AE87493"/>
    <w:rsid w:val="1AF225C5"/>
    <w:rsid w:val="1B040045"/>
    <w:rsid w:val="1B101B75"/>
    <w:rsid w:val="1B177D78"/>
    <w:rsid w:val="1B264D2C"/>
    <w:rsid w:val="1B294C9D"/>
    <w:rsid w:val="1B373F76"/>
    <w:rsid w:val="1B3D71C1"/>
    <w:rsid w:val="1B446693"/>
    <w:rsid w:val="1B570174"/>
    <w:rsid w:val="1B617245"/>
    <w:rsid w:val="1B650AE3"/>
    <w:rsid w:val="1B66485B"/>
    <w:rsid w:val="1B764745"/>
    <w:rsid w:val="1B776A68"/>
    <w:rsid w:val="1B7A37A3"/>
    <w:rsid w:val="1B854CE1"/>
    <w:rsid w:val="1B8A22F8"/>
    <w:rsid w:val="1B9118D8"/>
    <w:rsid w:val="1BA23AE5"/>
    <w:rsid w:val="1BA3785E"/>
    <w:rsid w:val="1BA50EE0"/>
    <w:rsid w:val="1BB34F7C"/>
    <w:rsid w:val="1BB9498B"/>
    <w:rsid w:val="1BC3580A"/>
    <w:rsid w:val="1BCD0437"/>
    <w:rsid w:val="1BE20386"/>
    <w:rsid w:val="1BEC6B0F"/>
    <w:rsid w:val="1BEF65FF"/>
    <w:rsid w:val="1BF14125"/>
    <w:rsid w:val="1BFB4FA4"/>
    <w:rsid w:val="1BFC2ACA"/>
    <w:rsid w:val="1C0876C1"/>
    <w:rsid w:val="1C093B64"/>
    <w:rsid w:val="1C0F0A4F"/>
    <w:rsid w:val="1C2838BF"/>
    <w:rsid w:val="1C2C33AF"/>
    <w:rsid w:val="1C2E5379"/>
    <w:rsid w:val="1C2F1FCD"/>
    <w:rsid w:val="1C363B56"/>
    <w:rsid w:val="1C393D1E"/>
    <w:rsid w:val="1C420E24"/>
    <w:rsid w:val="1C424981"/>
    <w:rsid w:val="1C442E6B"/>
    <w:rsid w:val="1C455CA5"/>
    <w:rsid w:val="1C4D60B5"/>
    <w:rsid w:val="1C4E1577"/>
    <w:rsid w:val="1C5046FF"/>
    <w:rsid w:val="1C556BF2"/>
    <w:rsid w:val="1C654B13"/>
    <w:rsid w:val="1C6635DD"/>
    <w:rsid w:val="1C69015F"/>
    <w:rsid w:val="1C6A2129"/>
    <w:rsid w:val="1C844F99"/>
    <w:rsid w:val="1C876837"/>
    <w:rsid w:val="1C9571A6"/>
    <w:rsid w:val="1CA6321C"/>
    <w:rsid w:val="1CAE4A99"/>
    <w:rsid w:val="1CB369A2"/>
    <w:rsid w:val="1CB77F29"/>
    <w:rsid w:val="1CBB2985"/>
    <w:rsid w:val="1CC47A8B"/>
    <w:rsid w:val="1CCB0E1A"/>
    <w:rsid w:val="1CCB2BC8"/>
    <w:rsid w:val="1CCE4466"/>
    <w:rsid w:val="1CD53A47"/>
    <w:rsid w:val="1CD852E5"/>
    <w:rsid w:val="1CDD0E6C"/>
    <w:rsid w:val="1CF76192"/>
    <w:rsid w:val="1CF77E61"/>
    <w:rsid w:val="1CFF2872"/>
    <w:rsid w:val="1D01483C"/>
    <w:rsid w:val="1D0165EA"/>
    <w:rsid w:val="1D04432C"/>
    <w:rsid w:val="1D0F5089"/>
    <w:rsid w:val="1D1019E5"/>
    <w:rsid w:val="1D104B3E"/>
    <w:rsid w:val="1D13456F"/>
    <w:rsid w:val="1D181B85"/>
    <w:rsid w:val="1D1A3B4F"/>
    <w:rsid w:val="1D222DC7"/>
    <w:rsid w:val="1D230C56"/>
    <w:rsid w:val="1D293D92"/>
    <w:rsid w:val="1D2C69D2"/>
    <w:rsid w:val="1D3158C2"/>
    <w:rsid w:val="1D322C47"/>
    <w:rsid w:val="1D34366A"/>
    <w:rsid w:val="1D385D84"/>
    <w:rsid w:val="1D3C5874"/>
    <w:rsid w:val="1D3D5C67"/>
    <w:rsid w:val="1D3E783E"/>
    <w:rsid w:val="1D40788B"/>
    <w:rsid w:val="1D4E37F9"/>
    <w:rsid w:val="1D4F1A4B"/>
    <w:rsid w:val="1D5E3A3C"/>
    <w:rsid w:val="1D666D95"/>
    <w:rsid w:val="1D6848BB"/>
    <w:rsid w:val="1D721295"/>
    <w:rsid w:val="1D8666D1"/>
    <w:rsid w:val="1D9B6A3E"/>
    <w:rsid w:val="1DA33B45"/>
    <w:rsid w:val="1DAD0520"/>
    <w:rsid w:val="1DC046F7"/>
    <w:rsid w:val="1DC37D43"/>
    <w:rsid w:val="1DC53ABB"/>
    <w:rsid w:val="1DC55869"/>
    <w:rsid w:val="1DC87107"/>
    <w:rsid w:val="1DCA10D2"/>
    <w:rsid w:val="1DCD0BC2"/>
    <w:rsid w:val="1DD73282"/>
    <w:rsid w:val="1DE718A3"/>
    <w:rsid w:val="1DE877AA"/>
    <w:rsid w:val="1DEA1774"/>
    <w:rsid w:val="1DFC5003"/>
    <w:rsid w:val="1E0565AE"/>
    <w:rsid w:val="1E1B36DB"/>
    <w:rsid w:val="1E206F43"/>
    <w:rsid w:val="1E222CBC"/>
    <w:rsid w:val="1E2D340E"/>
    <w:rsid w:val="1E311151"/>
    <w:rsid w:val="1E325F1A"/>
    <w:rsid w:val="1E334EC9"/>
    <w:rsid w:val="1E57048B"/>
    <w:rsid w:val="1E594203"/>
    <w:rsid w:val="1E5B441F"/>
    <w:rsid w:val="1E6C3F37"/>
    <w:rsid w:val="1E6E02FD"/>
    <w:rsid w:val="1E761E86"/>
    <w:rsid w:val="1E85149C"/>
    <w:rsid w:val="1E8F5E77"/>
    <w:rsid w:val="1E985081"/>
    <w:rsid w:val="1E990AA4"/>
    <w:rsid w:val="1EA01E32"/>
    <w:rsid w:val="1EAE27A1"/>
    <w:rsid w:val="1EB15448"/>
    <w:rsid w:val="1EB37DB8"/>
    <w:rsid w:val="1EB4196B"/>
    <w:rsid w:val="1EB63404"/>
    <w:rsid w:val="1EB83620"/>
    <w:rsid w:val="1EC10726"/>
    <w:rsid w:val="1ECA6EAF"/>
    <w:rsid w:val="1ECF44C6"/>
    <w:rsid w:val="1EFA0FA8"/>
    <w:rsid w:val="1EFB52BB"/>
    <w:rsid w:val="1EFC175F"/>
    <w:rsid w:val="1EFF71B8"/>
    <w:rsid w:val="1F010B23"/>
    <w:rsid w:val="1F066139"/>
    <w:rsid w:val="1F093E7B"/>
    <w:rsid w:val="1F106802"/>
    <w:rsid w:val="1F185E6D"/>
    <w:rsid w:val="1F1D5B17"/>
    <w:rsid w:val="1F2B686C"/>
    <w:rsid w:val="1F354C71"/>
    <w:rsid w:val="1F417171"/>
    <w:rsid w:val="1F680BA2"/>
    <w:rsid w:val="1F6D61B8"/>
    <w:rsid w:val="1F72557D"/>
    <w:rsid w:val="1F745799"/>
    <w:rsid w:val="1F746526"/>
    <w:rsid w:val="1F75506D"/>
    <w:rsid w:val="1F770DE5"/>
    <w:rsid w:val="1F772D2E"/>
    <w:rsid w:val="1F7D4C37"/>
    <w:rsid w:val="1F830AA6"/>
    <w:rsid w:val="1F973235"/>
    <w:rsid w:val="1F990CE4"/>
    <w:rsid w:val="1F9A0F77"/>
    <w:rsid w:val="1F9A2D26"/>
    <w:rsid w:val="1F9B6D2D"/>
    <w:rsid w:val="1FAA11BB"/>
    <w:rsid w:val="1FAA4647"/>
    <w:rsid w:val="1FB04F2D"/>
    <w:rsid w:val="1FB37FF3"/>
    <w:rsid w:val="1FB4442F"/>
    <w:rsid w:val="1FB73B17"/>
    <w:rsid w:val="1FB75686"/>
    <w:rsid w:val="1FB8780A"/>
    <w:rsid w:val="1FCC023A"/>
    <w:rsid w:val="1FD665CB"/>
    <w:rsid w:val="1FD707C9"/>
    <w:rsid w:val="1FD91AA0"/>
    <w:rsid w:val="1FD9384E"/>
    <w:rsid w:val="1FDE2C12"/>
    <w:rsid w:val="1FE346CD"/>
    <w:rsid w:val="1FEB3581"/>
    <w:rsid w:val="1FF468DA"/>
    <w:rsid w:val="1FFE648A"/>
    <w:rsid w:val="20020FF7"/>
    <w:rsid w:val="20085EE1"/>
    <w:rsid w:val="200D34F7"/>
    <w:rsid w:val="202A27D1"/>
    <w:rsid w:val="202B4E35"/>
    <w:rsid w:val="202D6FD9"/>
    <w:rsid w:val="203647FC"/>
    <w:rsid w:val="204D1B46"/>
    <w:rsid w:val="20541126"/>
    <w:rsid w:val="20621A95"/>
    <w:rsid w:val="206A5F63"/>
    <w:rsid w:val="20801F1B"/>
    <w:rsid w:val="20847C5E"/>
    <w:rsid w:val="20895274"/>
    <w:rsid w:val="208E4638"/>
    <w:rsid w:val="209618B1"/>
    <w:rsid w:val="209634ED"/>
    <w:rsid w:val="20A21E92"/>
    <w:rsid w:val="20A35C0A"/>
    <w:rsid w:val="20A53730"/>
    <w:rsid w:val="20A553B9"/>
    <w:rsid w:val="20A8226A"/>
    <w:rsid w:val="20A83220"/>
    <w:rsid w:val="20B120D5"/>
    <w:rsid w:val="20B16579"/>
    <w:rsid w:val="20B239AF"/>
    <w:rsid w:val="20B758B9"/>
    <w:rsid w:val="20B758CE"/>
    <w:rsid w:val="20C31E08"/>
    <w:rsid w:val="20C77828"/>
    <w:rsid w:val="20C77B4A"/>
    <w:rsid w:val="20CE712B"/>
    <w:rsid w:val="20CF1AB6"/>
    <w:rsid w:val="20CF69FF"/>
    <w:rsid w:val="20D109C9"/>
    <w:rsid w:val="20D10E23"/>
    <w:rsid w:val="20E00C0C"/>
    <w:rsid w:val="20F900A6"/>
    <w:rsid w:val="20FC6055"/>
    <w:rsid w:val="210C1A01"/>
    <w:rsid w:val="211D2A9C"/>
    <w:rsid w:val="212925B3"/>
    <w:rsid w:val="213276BA"/>
    <w:rsid w:val="21464F13"/>
    <w:rsid w:val="21521B0A"/>
    <w:rsid w:val="215F4227"/>
    <w:rsid w:val="216102D0"/>
    <w:rsid w:val="21613AFB"/>
    <w:rsid w:val="216B497A"/>
    <w:rsid w:val="21754D72"/>
    <w:rsid w:val="217C0935"/>
    <w:rsid w:val="21871088"/>
    <w:rsid w:val="21952861"/>
    <w:rsid w:val="219F4CC2"/>
    <w:rsid w:val="21D1768A"/>
    <w:rsid w:val="21D97B35"/>
    <w:rsid w:val="21ED35E0"/>
    <w:rsid w:val="21F4671D"/>
    <w:rsid w:val="22097CEF"/>
    <w:rsid w:val="220B1CB9"/>
    <w:rsid w:val="220B3A67"/>
    <w:rsid w:val="221072CF"/>
    <w:rsid w:val="22151078"/>
    <w:rsid w:val="2232642A"/>
    <w:rsid w:val="223E223C"/>
    <w:rsid w:val="224D22D1"/>
    <w:rsid w:val="224F6049"/>
    <w:rsid w:val="22833F45"/>
    <w:rsid w:val="22883309"/>
    <w:rsid w:val="229606CD"/>
    <w:rsid w:val="22A14452"/>
    <w:rsid w:val="22B1460E"/>
    <w:rsid w:val="22B45EAC"/>
    <w:rsid w:val="22BD1205"/>
    <w:rsid w:val="22C407E5"/>
    <w:rsid w:val="22C8439F"/>
    <w:rsid w:val="22D21296"/>
    <w:rsid w:val="22D35FB3"/>
    <w:rsid w:val="22D94639"/>
    <w:rsid w:val="22FA4207"/>
    <w:rsid w:val="22FB1D2D"/>
    <w:rsid w:val="22FD5AA5"/>
    <w:rsid w:val="22FE5379"/>
    <w:rsid w:val="22FF7A6F"/>
    <w:rsid w:val="23005595"/>
    <w:rsid w:val="23072480"/>
    <w:rsid w:val="231E732C"/>
    <w:rsid w:val="232C0139"/>
    <w:rsid w:val="232F75C6"/>
    <w:rsid w:val="233174FD"/>
    <w:rsid w:val="23362D65"/>
    <w:rsid w:val="233A0AA7"/>
    <w:rsid w:val="233F1C1A"/>
    <w:rsid w:val="23411E36"/>
    <w:rsid w:val="23485F72"/>
    <w:rsid w:val="234C4337"/>
    <w:rsid w:val="235651B5"/>
    <w:rsid w:val="235B27CC"/>
    <w:rsid w:val="23607DE2"/>
    <w:rsid w:val="23694EE9"/>
    <w:rsid w:val="237C5C29"/>
    <w:rsid w:val="237F470C"/>
    <w:rsid w:val="23827D58"/>
    <w:rsid w:val="23871813"/>
    <w:rsid w:val="23963804"/>
    <w:rsid w:val="239E00B4"/>
    <w:rsid w:val="23A423C5"/>
    <w:rsid w:val="23A44173"/>
    <w:rsid w:val="23A45F21"/>
    <w:rsid w:val="23AB3753"/>
    <w:rsid w:val="23CA5246"/>
    <w:rsid w:val="23D22653"/>
    <w:rsid w:val="23DC1B5F"/>
    <w:rsid w:val="23DF51AB"/>
    <w:rsid w:val="23E53872"/>
    <w:rsid w:val="23ED3D6C"/>
    <w:rsid w:val="23F21382"/>
    <w:rsid w:val="23F23130"/>
    <w:rsid w:val="23FA3D93"/>
    <w:rsid w:val="241E3F25"/>
    <w:rsid w:val="24253506"/>
    <w:rsid w:val="24264B88"/>
    <w:rsid w:val="24284DA4"/>
    <w:rsid w:val="242D5F16"/>
    <w:rsid w:val="243454F7"/>
    <w:rsid w:val="2435301D"/>
    <w:rsid w:val="24374FE7"/>
    <w:rsid w:val="243C25FD"/>
    <w:rsid w:val="243E0123"/>
    <w:rsid w:val="24431BDE"/>
    <w:rsid w:val="2446522A"/>
    <w:rsid w:val="24480FA2"/>
    <w:rsid w:val="244D480A"/>
    <w:rsid w:val="245E7CB8"/>
    <w:rsid w:val="246102B6"/>
    <w:rsid w:val="246B6FCE"/>
    <w:rsid w:val="24794322"/>
    <w:rsid w:val="248532A5"/>
    <w:rsid w:val="248A3369"/>
    <w:rsid w:val="249327A2"/>
    <w:rsid w:val="249D7540"/>
    <w:rsid w:val="24A274A8"/>
    <w:rsid w:val="24A7216D"/>
    <w:rsid w:val="24A835B0"/>
    <w:rsid w:val="24AA7567"/>
    <w:rsid w:val="24B30B11"/>
    <w:rsid w:val="24BD373E"/>
    <w:rsid w:val="24C04FDC"/>
    <w:rsid w:val="24CA5E5B"/>
    <w:rsid w:val="24CF521F"/>
    <w:rsid w:val="24D171E9"/>
    <w:rsid w:val="24D82326"/>
    <w:rsid w:val="24D87982"/>
    <w:rsid w:val="24DA7BC0"/>
    <w:rsid w:val="24DC16EA"/>
    <w:rsid w:val="25012D45"/>
    <w:rsid w:val="250A5BD3"/>
    <w:rsid w:val="25194B68"/>
    <w:rsid w:val="251A293E"/>
    <w:rsid w:val="251D5F8B"/>
    <w:rsid w:val="251E74A4"/>
    <w:rsid w:val="25203CCD"/>
    <w:rsid w:val="252437BD"/>
    <w:rsid w:val="252E63EA"/>
    <w:rsid w:val="25323D6A"/>
    <w:rsid w:val="2540611D"/>
    <w:rsid w:val="254479BB"/>
    <w:rsid w:val="254554E2"/>
    <w:rsid w:val="2547125A"/>
    <w:rsid w:val="254F08C6"/>
    <w:rsid w:val="255045B2"/>
    <w:rsid w:val="25565941"/>
    <w:rsid w:val="2566688E"/>
    <w:rsid w:val="256B319A"/>
    <w:rsid w:val="25747800"/>
    <w:rsid w:val="25910727"/>
    <w:rsid w:val="259737EF"/>
    <w:rsid w:val="25983863"/>
    <w:rsid w:val="25A16BBC"/>
    <w:rsid w:val="25A360B5"/>
    <w:rsid w:val="25A641D2"/>
    <w:rsid w:val="25A91F14"/>
    <w:rsid w:val="25AA1ED9"/>
    <w:rsid w:val="25B74631"/>
    <w:rsid w:val="25BF7042"/>
    <w:rsid w:val="25C26B32"/>
    <w:rsid w:val="25C35001"/>
    <w:rsid w:val="25C40AFC"/>
    <w:rsid w:val="25CD1194"/>
    <w:rsid w:val="25DE6EB0"/>
    <w:rsid w:val="25DF5936"/>
    <w:rsid w:val="25E140B7"/>
    <w:rsid w:val="25E20F82"/>
    <w:rsid w:val="25EE5B79"/>
    <w:rsid w:val="25F767DC"/>
    <w:rsid w:val="25FF7D86"/>
    <w:rsid w:val="260006E9"/>
    <w:rsid w:val="26086C3B"/>
    <w:rsid w:val="260D32DD"/>
    <w:rsid w:val="26142B0A"/>
    <w:rsid w:val="26151358"/>
    <w:rsid w:val="261A4BC0"/>
    <w:rsid w:val="261E020C"/>
    <w:rsid w:val="26253DA1"/>
    <w:rsid w:val="262704CD"/>
    <w:rsid w:val="262805A9"/>
    <w:rsid w:val="262B0B7B"/>
    <w:rsid w:val="262D044F"/>
    <w:rsid w:val="262D48F3"/>
    <w:rsid w:val="264B61DF"/>
    <w:rsid w:val="266C1F97"/>
    <w:rsid w:val="26722306"/>
    <w:rsid w:val="26760048"/>
    <w:rsid w:val="267C13D7"/>
    <w:rsid w:val="267C7E02"/>
    <w:rsid w:val="26831BBC"/>
    <w:rsid w:val="268564DD"/>
    <w:rsid w:val="268838D8"/>
    <w:rsid w:val="269C3827"/>
    <w:rsid w:val="26A37EF2"/>
    <w:rsid w:val="26A83F7A"/>
    <w:rsid w:val="26B648E9"/>
    <w:rsid w:val="26E01966"/>
    <w:rsid w:val="26EE4083"/>
    <w:rsid w:val="26F234F5"/>
    <w:rsid w:val="26F6621A"/>
    <w:rsid w:val="26FC6002"/>
    <w:rsid w:val="26FD2518"/>
    <w:rsid w:val="26FE1DEC"/>
    <w:rsid w:val="270218DC"/>
    <w:rsid w:val="270A5318"/>
    <w:rsid w:val="271635D9"/>
    <w:rsid w:val="27165388"/>
    <w:rsid w:val="27182EAE"/>
    <w:rsid w:val="27225ADA"/>
    <w:rsid w:val="27295BCD"/>
    <w:rsid w:val="272E0923"/>
    <w:rsid w:val="273677D8"/>
    <w:rsid w:val="27427F2B"/>
    <w:rsid w:val="2754044E"/>
    <w:rsid w:val="27561C28"/>
    <w:rsid w:val="2758774E"/>
    <w:rsid w:val="275A1C1F"/>
    <w:rsid w:val="275E288B"/>
    <w:rsid w:val="275F6D2E"/>
    <w:rsid w:val="276205CD"/>
    <w:rsid w:val="276734B3"/>
    <w:rsid w:val="276C1B3A"/>
    <w:rsid w:val="277F4CDB"/>
    <w:rsid w:val="27843CE5"/>
    <w:rsid w:val="279B763B"/>
    <w:rsid w:val="279E360D"/>
    <w:rsid w:val="27A26C1B"/>
    <w:rsid w:val="27C44DE4"/>
    <w:rsid w:val="27D327E3"/>
    <w:rsid w:val="27D7484C"/>
    <w:rsid w:val="27DC212D"/>
    <w:rsid w:val="27E2757A"/>
    <w:rsid w:val="27EB2370"/>
    <w:rsid w:val="27F154AD"/>
    <w:rsid w:val="27F751B9"/>
    <w:rsid w:val="28072F22"/>
    <w:rsid w:val="28094EEC"/>
    <w:rsid w:val="280D16C3"/>
    <w:rsid w:val="281178FD"/>
    <w:rsid w:val="281E73DF"/>
    <w:rsid w:val="28287CEE"/>
    <w:rsid w:val="282F7679"/>
    <w:rsid w:val="28373807"/>
    <w:rsid w:val="283C7070"/>
    <w:rsid w:val="28405F00"/>
    <w:rsid w:val="2843631A"/>
    <w:rsid w:val="284B72B3"/>
    <w:rsid w:val="285223EF"/>
    <w:rsid w:val="285A74F6"/>
    <w:rsid w:val="285C6DCA"/>
    <w:rsid w:val="28716D31"/>
    <w:rsid w:val="287171E9"/>
    <w:rsid w:val="28754330"/>
    <w:rsid w:val="28817AB6"/>
    <w:rsid w:val="28843D57"/>
    <w:rsid w:val="288D3427"/>
    <w:rsid w:val="28902F18"/>
    <w:rsid w:val="28924EE2"/>
    <w:rsid w:val="289E3886"/>
    <w:rsid w:val="28B409B4"/>
    <w:rsid w:val="28B60BD0"/>
    <w:rsid w:val="28B766F6"/>
    <w:rsid w:val="28BC5ABB"/>
    <w:rsid w:val="28BE1833"/>
    <w:rsid w:val="28CB1898"/>
    <w:rsid w:val="28D21782"/>
    <w:rsid w:val="28D23530"/>
    <w:rsid w:val="28D472A8"/>
    <w:rsid w:val="28DA4193"/>
    <w:rsid w:val="28E079FB"/>
    <w:rsid w:val="28EF1CB6"/>
    <w:rsid w:val="28EF40E2"/>
    <w:rsid w:val="28F33BD2"/>
    <w:rsid w:val="28F416F8"/>
    <w:rsid w:val="28F53BBF"/>
    <w:rsid w:val="28F925C5"/>
    <w:rsid w:val="28F96D0F"/>
    <w:rsid w:val="28FC235B"/>
    <w:rsid w:val="29017971"/>
    <w:rsid w:val="290C4E0E"/>
    <w:rsid w:val="290D1266"/>
    <w:rsid w:val="291E22D1"/>
    <w:rsid w:val="2920429C"/>
    <w:rsid w:val="2927562A"/>
    <w:rsid w:val="29285ED5"/>
    <w:rsid w:val="292A6EC8"/>
    <w:rsid w:val="292F0982"/>
    <w:rsid w:val="29385A89"/>
    <w:rsid w:val="293B7327"/>
    <w:rsid w:val="29451F54"/>
    <w:rsid w:val="294B502C"/>
    <w:rsid w:val="294F4B81"/>
    <w:rsid w:val="29583C63"/>
    <w:rsid w:val="295959FF"/>
    <w:rsid w:val="295D54F0"/>
    <w:rsid w:val="29622B06"/>
    <w:rsid w:val="29657F00"/>
    <w:rsid w:val="29693E94"/>
    <w:rsid w:val="29695C42"/>
    <w:rsid w:val="296A19BB"/>
    <w:rsid w:val="296A7401"/>
    <w:rsid w:val="296B4E82"/>
    <w:rsid w:val="296C5733"/>
    <w:rsid w:val="296F6364"/>
    <w:rsid w:val="29780915"/>
    <w:rsid w:val="297D524A"/>
    <w:rsid w:val="298011DE"/>
    <w:rsid w:val="298A3E0B"/>
    <w:rsid w:val="29982084"/>
    <w:rsid w:val="29A027D4"/>
    <w:rsid w:val="29A21ADA"/>
    <w:rsid w:val="29B33362"/>
    <w:rsid w:val="29BF1089"/>
    <w:rsid w:val="29CA4E9C"/>
    <w:rsid w:val="29CB06AB"/>
    <w:rsid w:val="29CB291D"/>
    <w:rsid w:val="29DA6B40"/>
    <w:rsid w:val="29E277A3"/>
    <w:rsid w:val="29EC23D0"/>
    <w:rsid w:val="29EE439A"/>
    <w:rsid w:val="29EF3C6E"/>
    <w:rsid w:val="29FF2103"/>
    <w:rsid w:val="2A002AB0"/>
    <w:rsid w:val="2A01703A"/>
    <w:rsid w:val="2A102562"/>
    <w:rsid w:val="2A1831C5"/>
    <w:rsid w:val="2A1979DD"/>
    <w:rsid w:val="2A1D4C7F"/>
    <w:rsid w:val="2A234631"/>
    <w:rsid w:val="2A247DBB"/>
    <w:rsid w:val="2A2E29E8"/>
    <w:rsid w:val="2A2F572C"/>
    <w:rsid w:val="2A375D41"/>
    <w:rsid w:val="2A5B478B"/>
    <w:rsid w:val="2A662182"/>
    <w:rsid w:val="2A6B59EA"/>
    <w:rsid w:val="2A703001"/>
    <w:rsid w:val="2A7523C5"/>
    <w:rsid w:val="2A832D34"/>
    <w:rsid w:val="2A8940C2"/>
    <w:rsid w:val="2A8D5961"/>
    <w:rsid w:val="2A8F5EDF"/>
    <w:rsid w:val="2A944F41"/>
    <w:rsid w:val="2A946CEF"/>
    <w:rsid w:val="2A997AF3"/>
    <w:rsid w:val="2A9B0564"/>
    <w:rsid w:val="2AE01F34"/>
    <w:rsid w:val="2AE13EFE"/>
    <w:rsid w:val="2AF23A16"/>
    <w:rsid w:val="2AF754D0"/>
    <w:rsid w:val="2B0F1CB0"/>
    <w:rsid w:val="2B1B2F6C"/>
    <w:rsid w:val="2B1B4B4E"/>
    <w:rsid w:val="2B1E0CAF"/>
    <w:rsid w:val="2B255B99"/>
    <w:rsid w:val="2B2C33CC"/>
    <w:rsid w:val="2B3269EC"/>
    <w:rsid w:val="2B34402E"/>
    <w:rsid w:val="2B3758CC"/>
    <w:rsid w:val="2B3F01E4"/>
    <w:rsid w:val="2B41674B"/>
    <w:rsid w:val="2B456DC3"/>
    <w:rsid w:val="2B54022C"/>
    <w:rsid w:val="2B5F65B7"/>
    <w:rsid w:val="2B6568DD"/>
    <w:rsid w:val="2B6C7C6C"/>
    <w:rsid w:val="2B706488"/>
    <w:rsid w:val="2B7E52A9"/>
    <w:rsid w:val="2B830B12"/>
    <w:rsid w:val="2B8D5E01"/>
    <w:rsid w:val="2B9026EF"/>
    <w:rsid w:val="2B966A97"/>
    <w:rsid w:val="2B97636B"/>
    <w:rsid w:val="2B984192"/>
    <w:rsid w:val="2B9845BD"/>
    <w:rsid w:val="2BB331A5"/>
    <w:rsid w:val="2BC24FD7"/>
    <w:rsid w:val="2BC32A58"/>
    <w:rsid w:val="2BC74EA2"/>
    <w:rsid w:val="2BCA4992"/>
    <w:rsid w:val="2BCC4267"/>
    <w:rsid w:val="2BDD6474"/>
    <w:rsid w:val="2BE75544"/>
    <w:rsid w:val="2BFD1938"/>
    <w:rsid w:val="2C1C3440"/>
    <w:rsid w:val="2C1D4AC2"/>
    <w:rsid w:val="2C2220D9"/>
    <w:rsid w:val="2C293467"/>
    <w:rsid w:val="2C3B13EC"/>
    <w:rsid w:val="2C401128"/>
    <w:rsid w:val="2C444501"/>
    <w:rsid w:val="2C470AB3"/>
    <w:rsid w:val="2C484235"/>
    <w:rsid w:val="2C542347"/>
    <w:rsid w:val="2C5632CC"/>
    <w:rsid w:val="2C5F157F"/>
    <w:rsid w:val="2C624BCB"/>
    <w:rsid w:val="2C666469"/>
    <w:rsid w:val="2C6B33A7"/>
    <w:rsid w:val="2C6B7F24"/>
    <w:rsid w:val="2C8E59C0"/>
    <w:rsid w:val="2CA5304B"/>
    <w:rsid w:val="2CA7654E"/>
    <w:rsid w:val="2CA90A4C"/>
    <w:rsid w:val="2CB251AB"/>
    <w:rsid w:val="2CC44F03"/>
    <w:rsid w:val="2CC82C80"/>
    <w:rsid w:val="2CD755B9"/>
    <w:rsid w:val="2CD803A2"/>
    <w:rsid w:val="2CD930DF"/>
    <w:rsid w:val="2CDC603F"/>
    <w:rsid w:val="2CDF621C"/>
    <w:rsid w:val="2CE43832"/>
    <w:rsid w:val="2CEF46B1"/>
    <w:rsid w:val="2CF565D5"/>
    <w:rsid w:val="2CF57952"/>
    <w:rsid w:val="2CF9552F"/>
    <w:rsid w:val="2CFC0B7C"/>
    <w:rsid w:val="2CFC3A5A"/>
    <w:rsid w:val="2CFC5020"/>
    <w:rsid w:val="2D0B6272"/>
    <w:rsid w:val="2D13367F"/>
    <w:rsid w:val="2D134CE9"/>
    <w:rsid w:val="2D142369"/>
    <w:rsid w:val="2D1934DC"/>
    <w:rsid w:val="2D1E0AF2"/>
    <w:rsid w:val="2D1E4F96"/>
    <w:rsid w:val="2D2D51D9"/>
    <w:rsid w:val="2D3E73E6"/>
    <w:rsid w:val="2D430559"/>
    <w:rsid w:val="2D460049"/>
    <w:rsid w:val="2D4F33A1"/>
    <w:rsid w:val="2D5704A8"/>
    <w:rsid w:val="2D684463"/>
    <w:rsid w:val="2D6A7911"/>
    <w:rsid w:val="2D825525"/>
    <w:rsid w:val="2D880661"/>
    <w:rsid w:val="2D9139BA"/>
    <w:rsid w:val="2D990AC0"/>
    <w:rsid w:val="2D9D410D"/>
    <w:rsid w:val="2DA84860"/>
    <w:rsid w:val="2DA93DD9"/>
    <w:rsid w:val="2DAD00C8"/>
    <w:rsid w:val="2DB94CBF"/>
    <w:rsid w:val="2DBB6416"/>
    <w:rsid w:val="2DD4153F"/>
    <w:rsid w:val="2DD83397"/>
    <w:rsid w:val="2DDD09AD"/>
    <w:rsid w:val="2DDE64D3"/>
    <w:rsid w:val="2DEC6C60"/>
    <w:rsid w:val="2DEE2BBA"/>
    <w:rsid w:val="2DF0747E"/>
    <w:rsid w:val="2DF14458"/>
    <w:rsid w:val="2DF301D1"/>
    <w:rsid w:val="2E0917A2"/>
    <w:rsid w:val="2E132621"/>
    <w:rsid w:val="2E156399"/>
    <w:rsid w:val="2E204D3E"/>
    <w:rsid w:val="2E24038A"/>
    <w:rsid w:val="2E2760CC"/>
    <w:rsid w:val="2E2C5491"/>
    <w:rsid w:val="2E2E2ED2"/>
    <w:rsid w:val="2E310CF9"/>
    <w:rsid w:val="2E3737E1"/>
    <w:rsid w:val="2E3D31FA"/>
    <w:rsid w:val="2E402CEA"/>
    <w:rsid w:val="2E494294"/>
    <w:rsid w:val="2E4E5407"/>
    <w:rsid w:val="2E5F7614"/>
    <w:rsid w:val="2E67471B"/>
    <w:rsid w:val="2E7C1A67"/>
    <w:rsid w:val="2E800632"/>
    <w:rsid w:val="2E8500F0"/>
    <w:rsid w:val="2E870919"/>
    <w:rsid w:val="2E886A64"/>
    <w:rsid w:val="2E8B21B7"/>
    <w:rsid w:val="2E8B326C"/>
    <w:rsid w:val="2E8E1CA7"/>
    <w:rsid w:val="2E8E7EF9"/>
    <w:rsid w:val="2E9077CD"/>
    <w:rsid w:val="2E9279E9"/>
    <w:rsid w:val="2E951288"/>
    <w:rsid w:val="2E960B5C"/>
    <w:rsid w:val="2E990003"/>
    <w:rsid w:val="2E992581"/>
    <w:rsid w:val="2E9A689E"/>
    <w:rsid w:val="2EA80FBB"/>
    <w:rsid w:val="2EAB4607"/>
    <w:rsid w:val="2ECB6253"/>
    <w:rsid w:val="2ECE6548"/>
    <w:rsid w:val="2EDB0A6C"/>
    <w:rsid w:val="2EDF69A7"/>
    <w:rsid w:val="2EE61AE3"/>
    <w:rsid w:val="2EF12C10"/>
    <w:rsid w:val="2EFC1307"/>
    <w:rsid w:val="2EFE2352"/>
    <w:rsid w:val="2F062BB5"/>
    <w:rsid w:val="2F191EB9"/>
    <w:rsid w:val="2F195A15"/>
    <w:rsid w:val="2F1F0B51"/>
    <w:rsid w:val="2F204FF5"/>
    <w:rsid w:val="2F25260C"/>
    <w:rsid w:val="2F2E6FE6"/>
    <w:rsid w:val="2F3017FB"/>
    <w:rsid w:val="2F3740ED"/>
    <w:rsid w:val="2F386C07"/>
    <w:rsid w:val="2F511653"/>
    <w:rsid w:val="2F5C1DA5"/>
    <w:rsid w:val="2F650C5A"/>
    <w:rsid w:val="2F656EAC"/>
    <w:rsid w:val="2F715851"/>
    <w:rsid w:val="2F7610B9"/>
    <w:rsid w:val="2F77416E"/>
    <w:rsid w:val="2F78563A"/>
    <w:rsid w:val="2F94153F"/>
    <w:rsid w:val="2F990904"/>
    <w:rsid w:val="2FA5374C"/>
    <w:rsid w:val="2FB15C4D"/>
    <w:rsid w:val="2FB43990"/>
    <w:rsid w:val="2FB4573E"/>
    <w:rsid w:val="2FBD48E2"/>
    <w:rsid w:val="2FBE2364"/>
    <w:rsid w:val="2FC82F97"/>
    <w:rsid w:val="2FCD70FB"/>
    <w:rsid w:val="2FD1009E"/>
    <w:rsid w:val="2FD71C09"/>
    <w:rsid w:val="2FDA2B8D"/>
    <w:rsid w:val="2FE51D9B"/>
    <w:rsid w:val="2FEB71BF"/>
    <w:rsid w:val="2FF91560"/>
    <w:rsid w:val="2FFD5337"/>
    <w:rsid w:val="2FFF534B"/>
    <w:rsid w:val="300466C5"/>
    <w:rsid w:val="300C557A"/>
    <w:rsid w:val="300F55E6"/>
    <w:rsid w:val="30202DD3"/>
    <w:rsid w:val="302208F9"/>
    <w:rsid w:val="30281C88"/>
    <w:rsid w:val="303D4A56"/>
    <w:rsid w:val="303E28B2"/>
    <w:rsid w:val="304E16EE"/>
    <w:rsid w:val="305111DE"/>
    <w:rsid w:val="305F7D9F"/>
    <w:rsid w:val="3078676B"/>
    <w:rsid w:val="308415B4"/>
    <w:rsid w:val="30890978"/>
    <w:rsid w:val="30986E0D"/>
    <w:rsid w:val="309D61D2"/>
    <w:rsid w:val="30B26229"/>
    <w:rsid w:val="30B8300C"/>
    <w:rsid w:val="30B86170"/>
    <w:rsid w:val="30C45E54"/>
    <w:rsid w:val="30C85944"/>
    <w:rsid w:val="30D51E0F"/>
    <w:rsid w:val="30D53BBD"/>
    <w:rsid w:val="30E67B79"/>
    <w:rsid w:val="30E965CE"/>
    <w:rsid w:val="30EB1AD1"/>
    <w:rsid w:val="30ED4FD4"/>
    <w:rsid w:val="30FA3624"/>
    <w:rsid w:val="31061FC9"/>
    <w:rsid w:val="310B75DF"/>
    <w:rsid w:val="311741D6"/>
    <w:rsid w:val="312C253A"/>
    <w:rsid w:val="312D57A8"/>
    <w:rsid w:val="313308E4"/>
    <w:rsid w:val="3135465C"/>
    <w:rsid w:val="3139239E"/>
    <w:rsid w:val="31496359"/>
    <w:rsid w:val="314F1BC2"/>
    <w:rsid w:val="3150593A"/>
    <w:rsid w:val="31514CF8"/>
    <w:rsid w:val="31556AAC"/>
    <w:rsid w:val="315D2D09"/>
    <w:rsid w:val="31624B17"/>
    <w:rsid w:val="3163566D"/>
    <w:rsid w:val="316D2048"/>
    <w:rsid w:val="316E2FA4"/>
    <w:rsid w:val="316E71C4"/>
    <w:rsid w:val="31745184"/>
    <w:rsid w:val="31754DFF"/>
    <w:rsid w:val="317909ED"/>
    <w:rsid w:val="317E6003"/>
    <w:rsid w:val="31847007"/>
    <w:rsid w:val="318873D1"/>
    <w:rsid w:val="318A0E4C"/>
    <w:rsid w:val="318F0CC5"/>
    <w:rsid w:val="3192385D"/>
    <w:rsid w:val="3198766B"/>
    <w:rsid w:val="31A67308"/>
    <w:rsid w:val="31AD68E8"/>
    <w:rsid w:val="31B12793"/>
    <w:rsid w:val="31B1462B"/>
    <w:rsid w:val="31B859B9"/>
    <w:rsid w:val="31C003CA"/>
    <w:rsid w:val="31C12394"/>
    <w:rsid w:val="31C37EBA"/>
    <w:rsid w:val="31C61758"/>
    <w:rsid w:val="31C72739"/>
    <w:rsid w:val="31CF55C7"/>
    <w:rsid w:val="31D143D5"/>
    <w:rsid w:val="31D16A7B"/>
    <w:rsid w:val="31D77D3F"/>
    <w:rsid w:val="31D9148B"/>
    <w:rsid w:val="31E56082"/>
    <w:rsid w:val="31E83DC4"/>
    <w:rsid w:val="31F140E7"/>
    <w:rsid w:val="31F14A27"/>
    <w:rsid w:val="31F664E1"/>
    <w:rsid w:val="31FB58A6"/>
    <w:rsid w:val="32026C34"/>
    <w:rsid w:val="320504D2"/>
    <w:rsid w:val="320D7387"/>
    <w:rsid w:val="32110C25"/>
    <w:rsid w:val="321715DC"/>
    <w:rsid w:val="32195D2C"/>
    <w:rsid w:val="321B1AA4"/>
    <w:rsid w:val="321B7CF6"/>
    <w:rsid w:val="321D3A6E"/>
    <w:rsid w:val="3227669B"/>
    <w:rsid w:val="323A4620"/>
    <w:rsid w:val="324059AE"/>
    <w:rsid w:val="32472899"/>
    <w:rsid w:val="3267118D"/>
    <w:rsid w:val="32755D55"/>
    <w:rsid w:val="328533C1"/>
    <w:rsid w:val="32855FEF"/>
    <w:rsid w:val="32867865"/>
    <w:rsid w:val="328E04C8"/>
    <w:rsid w:val="32963820"/>
    <w:rsid w:val="32A01FA9"/>
    <w:rsid w:val="32A43020"/>
    <w:rsid w:val="32AE0B6A"/>
    <w:rsid w:val="32BD273D"/>
    <w:rsid w:val="32D00AE0"/>
    <w:rsid w:val="32D0288E"/>
    <w:rsid w:val="32E05404"/>
    <w:rsid w:val="32E60304"/>
    <w:rsid w:val="32EB653A"/>
    <w:rsid w:val="32EE540A"/>
    <w:rsid w:val="32F169A3"/>
    <w:rsid w:val="32F347CF"/>
    <w:rsid w:val="32F553A9"/>
    <w:rsid w:val="3304078A"/>
    <w:rsid w:val="330429A5"/>
    <w:rsid w:val="33093F1E"/>
    <w:rsid w:val="330B7D6A"/>
    <w:rsid w:val="330E4C4E"/>
    <w:rsid w:val="33111456"/>
    <w:rsid w:val="33134E71"/>
    <w:rsid w:val="331712AE"/>
    <w:rsid w:val="33182487"/>
    <w:rsid w:val="33185FE3"/>
    <w:rsid w:val="331D184C"/>
    <w:rsid w:val="332116F0"/>
    <w:rsid w:val="332130EA"/>
    <w:rsid w:val="33233306"/>
    <w:rsid w:val="332532E0"/>
    <w:rsid w:val="332901F1"/>
    <w:rsid w:val="33373B93"/>
    <w:rsid w:val="333F17C2"/>
    <w:rsid w:val="33490893"/>
    <w:rsid w:val="33574D5E"/>
    <w:rsid w:val="33631954"/>
    <w:rsid w:val="336A2CE3"/>
    <w:rsid w:val="336B6A5B"/>
    <w:rsid w:val="33712774"/>
    <w:rsid w:val="3372790A"/>
    <w:rsid w:val="337F6063"/>
    <w:rsid w:val="33802506"/>
    <w:rsid w:val="338027AA"/>
    <w:rsid w:val="338F0E0F"/>
    <w:rsid w:val="33B95A18"/>
    <w:rsid w:val="33BE436E"/>
    <w:rsid w:val="33BE6FF0"/>
    <w:rsid w:val="33C57F19"/>
    <w:rsid w:val="33C643FD"/>
    <w:rsid w:val="33C67C80"/>
    <w:rsid w:val="33CD3272"/>
    <w:rsid w:val="33E365F1"/>
    <w:rsid w:val="33F7209D"/>
    <w:rsid w:val="34060532"/>
    <w:rsid w:val="34120C85"/>
    <w:rsid w:val="34160D04"/>
    <w:rsid w:val="34395080"/>
    <w:rsid w:val="344D6161"/>
    <w:rsid w:val="34592D57"/>
    <w:rsid w:val="34675474"/>
    <w:rsid w:val="34694A22"/>
    <w:rsid w:val="346F4329"/>
    <w:rsid w:val="3473350F"/>
    <w:rsid w:val="34733E19"/>
    <w:rsid w:val="347656B7"/>
    <w:rsid w:val="34767465"/>
    <w:rsid w:val="347D612A"/>
    <w:rsid w:val="347E58B4"/>
    <w:rsid w:val="348A1163"/>
    <w:rsid w:val="348E0C53"/>
    <w:rsid w:val="34931DC5"/>
    <w:rsid w:val="349A75F8"/>
    <w:rsid w:val="349C315B"/>
    <w:rsid w:val="34A208E8"/>
    <w:rsid w:val="34A43FD3"/>
    <w:rsid w:val="34BD6E42"/>
    <w:rsid w:val="34C06933"/>
    <w:rsid w:val="34C1167C"/>
    <w:rsid w:val="34C208FD"/>
    <w:rsid w:val="34C44320"/>
    <w:rsid w:val="34D04DC8"/>
    <w:rsid w:val="34D26EB9"/>
    <w:rsid w:val="34D46B38"/>
    <w:rsid w:val="34E24AFB"/>
    <w:rsid w:val="34EE16F2"/>
    <w:rsid w:val="34EF0FC6"/>
    <w:rsid w:val="35066A3B"/>
    <w:rsid w:val="3509652C"/>
    <w:rsid w:val="3516544E"/>
    <w:rsid w:val="35223295"/>
    <w:rsid w:val="352B0250"/>
    <w:rsid w:val="35357321"/>
    <w:rsid w:val="355377A7"/>
    <w:rsid w:val="355A2295"/>
    <w:rsid w:val="355A28E3"/>
    <w:rsid w:val="35613C72"/>
    <w:rsid w:val="356279EA"/>
    <w:rsid w:val="356C3834"/>
    <w:rsid w:val="358F4C83"/>
    <w:rsid w:val="359F479A"/>
    <w:rsid w:val="35AB313F"/>
    <w:rsid w:val="35B53FBD"/>
    <w:rsid w:val="35B629AE"/>
    <w:rsid w:val="35C506A4"/>
    <w:rsid w:val="35C806CA"/>
    <w:rsid w:val="35E054DE"/>
    <w:rsid w:val="35E30B2B"/>
    <w:rsid w:val="35EB1B84"/>
    <w:rsid w:val="35EB3E83"/>
    <w:rsid w:val="35FC40DB"/>
    <w:rsid w:val="36064819"/>
    <w:rsid w:val="36066AFC"/>
    <w:rsid w:val="36174C78"/>
    <w:rsid w:val="361B6516"/>
    <w:rsid w:val="36203099"/>
    <w:rsid w:val="36251143"/>
    <w:rsid w:val="362D624A"/>
    <w:rsid w:val="3632560E"/>
    <w:rsid w:val="363475D8"/>
    <w:rsid w:val="363D4742"/>
    <w:rsid w:val="363E0309"/>
    <w:rsid w:val="363E3B8C"/>
    <w:rsid w:val="36405F7D"/>
    <w:rsid w:val="36511F38"/>
    <w:rsid w:val="36552BBE"/>
    <w:rsid w:val="365E759D"/>
    <w:rsid w:val="36637EBD"/>
    <w:rsid w:val="36806379"/>
    <w:rsid w:val="368C2F70"/>
    <w:rsid w:val="36915B95"/>
    <w:rsid w:val="36981915"/>
    <w:rsid w:val="36985520"/>
    <w:rsid w:val="369D6F2B"/>
    <w:rsid w:val="36A54835"/>
    <w:rsid w:val="36A622B7"/>
    <w:rsid w:val="36AC53C0"/>
    <w:rsid w:val="36B85B13"/>
    <w:rsid w:val="36B86C0F"/>
    <w:rsid w:val="36BE50F4"/>
    <w:rsid w:val="36C721FA"/>
    <w:rsid w:val="36D030FB"/>
    <w:rsid w:val="36DF5796"/>
    <w:rsid w:val="36E0506A"/>
    <w:rsid w:val="36E41D9C"/>
    <w:rsid w:val="36E44B5A"/>
    <w:rsid w:val="36E75360"/>
    <w:rsid w:val="36E865A3"/>
    <w:rsid w:val="36EE4B2C"/>
    <w:rsid w:val="36FB00F6"/>
    <w:rsid w:val="36FC6914"/>
    <w:rsid w:val="370C5B1B"/>
    <w:rsid w:val="370D2F60"/>
    <w:rsid w:val="371A057C"/>
    <w:rsid w:val="372413FB"/>
    <w:rsid w:val="372E5DD5"/>
    <w:rsid w:val="37317C9C"/>
    <w:rsid w:val="37337890"/>
    <w:rsid w:val="3743542F"/>
    <w:rsid w:val="3747333B"/>
    <w:rsid w:val="374D4804"/>
    <w:rsid w:val="37503F9E"/>
    <w:rsid w:val="37517D16"/>
    <w:rsid w:val="37645C9B"/>
    <w:rsid w:val="37661A13"/>
    <w:rsid w:val="37717401"/>
    <w:rsid w:val="37781747"/>
    <w:rsid w:val="377E0EAD"/>
    <w:rsid w:val="378123A9"/>
    <w:rsid w:val="378D6FA0"/>
    <w:rsid w:val="378E47B3"/>
    <w:rsid w:val="37A10C9D"/>
    <w:rsid w:val="37A60062"/>
    <w:rsid w:val="37AB1B1C"/>
    <w:rsid w:val="37B00EE0"/>
    <w:rsid w:val="37B207B5"/>
    <w:rsid w:val="37B3277F"/>
    <w:rsid w:val="37B704C1"/>
    <w:rsid w:val="37B855F7"/>
    <w:rsid w:val="37BC00E4"/>
    <w:rsid w:val="37C30C14"/>
    <w:rsid w:val="37C624B2"/>
    <w:rsid w:val="37C8447C"/>
    <w:rsid w:val="37CF521C"/>
    <w:rsid w:val="37D01583"/>
    <w:rsid w:val="37D42E21"/>
    <w:rsid w:val="37D51FEC"/>
    <w:rsid w:val="37D57125"/>
    <w:rsid w:val="37E961A0"/>
    <w:rsid w:val="37F30DCD"/>
    <w:rsid w:val="37F963E3"/>
    <w:rsid w:val="37FB65FF"/>
    <w:rsid w:val="37FD5E1C"/>
    <w:rsid w:val="37FE1C4C"/>
    <w:rsid w:val="3808762B"/>
    <w:rsid w:val="380D0A0A"/>
    <w:rsid w:val="381D2D9D"/>
    <w:rsid w:val="381E409C"/>
    <w:rsid w:val="382D0783"/>
    <w:rsid w:val="3831783F"/>
    <w:rsid w:val="383B2EA0"/>
    <w:rsid w:val="383E473E"/>
    <w:rsid w:val="38417D8A"/>
    <w:rsid w:val="384A2968"/>
    <w:rsid w:val="384D2BD3"/>
    <w:rsid w:val="384F6DEF"/>
    <w:rsid w:val="385E093C"/>
    <w:rsid w:val="386341A5"/>
    <w:rsid w:val="387B329C"/>
    <w:rsid w:val="388008B3"/>
    <w:rsid w:val="388365F5"/>
    <w:rsid w:val="388D4D7E"/>
    <w:rsid w:val="38997BC6"/>
    <w:rsid w:val="38AC16A8"/>
    <w:rsid w:val="38C8225A"/>
    <w:rsid w:val="38CF2BC1"/>
    <w:rsid w:val="38E075A3"/>
    <w:rsid w:val="38E2331B"/>
    <w:rsid w:val="38E30E42"/>
    <w:rsid w:val="38E928FC"/>
    <w:rsid w:val="38EA0422"/>
    <w:rsid w:val="38EE7F12"/>
    <w:rsid w:val="38F372D7"/>
    <w:rsid w:val="38F52E00"/>
    <w:rsid w:val="38F73D85"/>
    <w:rsid w:val="38F80D91"/>
    <w:rsid w:val="391D07F7"/>
    <w:rsid w:val="392E6561"/>
    <w:rsid w:val="39311BAD"/>
    <w:rsid w:val="39324E64"/>
    <w:rsid w:val="39331DC9"/>
    <w:rsid w:val="39340367"/>
    <w:rsid w:val="393A3157"/>
    <w:rsid w:val="393A4F06"/>
    <w:rsid w:val="393B1281"/>
    <w:rsid w:val="393F076E"/>
    <w:rsid w:val="39581820"/>
    <w:rsid w:val="395B30CE"/>
    <w:rsid w:val="396957EB"/>
    <w:rsid w:val="396E4BAF"/>
    <w:rsid w:val="396F084D"/>
    <w:rsid w:val="397152BF"/>
    <w:rsid w:val="39737FC8"/>
    <w:rsid w:val="39761CB6"/>
    <w:rsid w:val="39783C80"/>
    <w:rsid w:val="397D1296"/>
    <w:rsid w:val="39822409"/>
    <w:rsid w:val="39897C3B"/>
    <w:rsid w:val="398F586D"/>
    <w:rsid w:val="399A3BF6"/>
    <w:rsid w:val="399F2FBB"/>
    <w:rsid w:val="39A20CFD"/>
    <w:rsid w:val="39A607ED"/>
    <w:rsid w:val="39A6259B"/>
    <w:rsid w:val="39A93E39"/>
    <w:rsid w:val="39D72754"/>
    <w:rsid w:val="39EB2094"/>
    <w:rsid w:val="39ED170C"/>
    <w:rsid w:val="3A013C75"/>
    <w:rsid w:val="3A1763DB"/>
    <w:rsid w:val="3A2D6818"/>
    <w:rsid w:val="3A2E433E"/>
    <w:rsid w:val="3A3A5696"/>
    <w:rsid w:val="3A3E6C77"/>
    <w:rsid w:val="3A43603C"/>
    <w:rsid w:val="3A49316C"/>
    <w:rsid w:val="3A4D2A17"/>
    <w:rsid w:val="3A58530A"/>
    <w:rsid w:val="3A5B15D7"/>
    <w:rsid w:val="3A7909FE"/>
    <w:rsid w:val="3A7B3F01"/>
    <w:rsid w:val="3A8723CC"/>
    <w:rsid w:val="3A887EF3"/>
    <w:rsid w:val="3A8B1791"/>
    <w:rsid w:val="3A9160A5"/>
    <w:rsid w:val="3A991DCA"/>
    <w:rsid w:val="3A9934B1"/>
    <w:rsid w:val="3AAA7E69"/>
    <w:rsid w:val="3AB26A42"/>
    <w:rsid w:val="3AD1189A"/>
    <w:rsid w:val="3AE27603"/>
    <w:rsid w:val="3AE42E2B"/>
    <w:rsid w:val="3AF17846"/>
    <w:rsid w:val="3AF90F4C"/>
    <w:rsid w:val="3B051543"/>
    <w:rsid w:val="3B0E664A"/>
    <w:rsid w:val="3B0F4170"/>
    <w:rsid w:val="3B11613A"/>
    <w:rsid w:val="3B1B2B15"/>
    <w:rsid w:val="3B1E1CF6"/>
    <w:rsid w:val="3B225C51"/>
    <w:rsid w:val="3B366832"/>
    <w:rsid w:val="3B36794F"/>
    <w:rsid w:val="3B381919"/>
    <w:rsid w:val="3B385475"/>
    <w:rsid w:val="3B392F9B"/>
    <w:rsid w:val="3B3F2CA7"/>
    <w:rsid w:val="3B5D312D"/>
    <w:rsid w:val="3B6224F2"/>
    <w:rsid w:val="3B6F440E"/>
    <w:rsid w:val="3B787F67"/>
    <w:rsid w:val="3B822B94"/>
    <w:rsid w:val="3B8B1A48"/>
    <w:rsid w:val="3B950B19"/>
    <w:rsid w:val="3B983959"/>
    <w:rsid w:val="3B9A7EDD"/>
    <w:rsid w:val="3BA1126C"/>
    <w:rsid w:val="3BA96372"/>
    <w:rsid w:val="3BAF3257"/>
    <w:rsid w:val="3BB4167F"/>
    <w:rsid w:val="3BB56AC5"/>
    <w:rsid w:val="3BB93335"/>
    <w:rsid w:val="3BC27434"/>
    <w:rsid w:val="3BCB6780"/>
    <w:rsid w:val="3BD258C9"/>
    <w:rsid w:val="3BDF1D94"/>
    <w:rsid w:val="3BE64ED1"/>
    <w:rsid w:val="3BF32469"/>
    <w:rsid w:val="3BF5780A"/>
    <w:rsid w:val="3BFD046C"/>
    <w:rsid w:val="3C004876"/>
    <w:rsid w:val="3C096E11"/>
    <w:rsid w:val="3C0D6901"/>
    <w:rsid w:val="3C1063F2"/>
    <w:rsid w:val="3C15041F"/>
    <w:rsid w:val="3C273F06"/>
    <w:rsid w:val="3C277297"/>
    <w:rsid w:val="3C2B322B"/>
    <w:rsid w:val="3C306A4A"/>
    <w:rsid w:val="3C320116"/>
    <w:rsid w:val="3C32423D"/>
    <w:rsid w:val="3C410359"/>
    <w:rsid w:val="3C486DB6"/>
    <w:rsid w:val="3C5462DE"/>
    <w:rsid w:val="3C587C0F"/>
    <w:rsid w:val="3C6329C5"/>
    <w:rsid w:val="3C6627A8"/>
    <w:rsid w:val="3C720E5A"/>
    <w:rsid w:val="3C830A53"/>
    <w:rsid w:val="3C8464D4"/>
    <w:rsid w:val="3C8841DA"/>
    <w:rsid w:val="3C8B3CCA"/>
    <w:rsid w:val="3C8D359E"/>
    <w:rsid w:val="3C9035EC"/>
    <w:rsid w:val="3C925059"/>
    <w:rsid w:val="3C9809F8"/>
    <w:rsid w:val="3C9A5CBB"/>
    <w:rsid w:val="3CA408E8"/>
    <w:rsid w:val="3CBB45AF"/>
    <w:rsid w:val="3CC11BBD"/>
    <w:rsid w:val="3CC2763E"/>
    <w:rsid w:val="3CC80A7A"/>
    <w:rsid w:val="3CC85B63"/>
    <w:rsid w:val="3CCA6C49"/>
    <w:rsid w:val="3CD016DD"/>
    <w:rsid w:val="3CEB6517"/>
    <w:rsid w:val="3CF405C0"/>
    <w:rsid w:val="3CFD624E"/>
    <w:rsid w:val="3CFE3C20"/>
    <w:rsid w:val="3D0B54B4"/>
    <w:rsid w:val="3D0C6BB9"/>
    <w:rsid w:val="3D3954D4"/>
    <w:rsid w:val="3D3B2FFA"/>
    <w:rsid w:val="3D3B56F0"/>
    <w:rsid w:val="3D406F54"/>
    <w:rsid w:val="3D4636E1"/>
    <w:rsid w:val="3D490006"/>
    <w:rsid w:val="3D4F2F4A"/>
    <w:rsid w:val="3D567E34"/>
    <w:rsid w:val="3D5D5666"/>
    <w:rsid w:val="3D6548C9"/>
    <w:rsid w:val="3D736C38"/>
    <w:rsid w:val="3D820C29"/>
    <w:rsid w:val="3D850719"/>
    <w:rsid w:val="3D8A5D30"/>
    <w:rsid w:val="3D8C7CFA"/>
    <w:rsid w:val="3D8D000C"/>
    <w:rsid w:val="3D8E5820"/>
    <w:rsid w:val="3D9267FC"/>
    <w:rsid w:val="3D956BAE"/>
    <w:rsid w:val="3D98669F"/>
    <w:rsid w:val="3D9B7F3D"/>
    <w:rsid w:val="3DB42DAD"/>
    <w:rsid w:val="3DC271E1"/>
    <w:rsid w:val="3DCE0312"/>
    <w:rsid w:val="3DDB658B"/>
    <w:rsid w:val="3DDF607B"/>
    <w:rsid w:val="3DE11DF4"/>
    <w:rsid w:val="3DE511B8"/>
    <w:rsid w:val="3DEB0EC4"/>
    <w:rsid w:val="3DF77869"/>
    <w:rsid w:val="3DFD6502"/>
    <w:rsid w:val="3E1201FF"/>
    <w:rsid w:val="3E18333B"/>
    <w:rsid w:val="3E2148E6"/>
    <w:rsid w:val="3E375EB7"/>
    <w:rsid w:val="3E38578C"/>
    <w:rsid w:val="3E4031C1"/>
    <w:rsid w:val="3E416D36"/>
    <w:rsid w:val="3E4B54BF"/>
    <w:rsid w:val="3E4D6DC5"/>
    <w:rsid w:val="3E5325C6"/>
    <w:rsid w:val="3E630A5B"/>
    <w:rsid w:val="3E6B790F"/>
    <w:rsid w:val="3E703177"/>
    <w:rsid w:val="3E740EBA"/>
    <w:rsid w:val="3E90381A"/>
    <w:rsid w:val="3E9055C8"/>
    <w:rsid w:val="3E952BDE"/>
    <w:rsid w:val="3E9926CE"/>
    <w:rsid w:val="3E9B4698"/>
    <w:rsid w:val="3E9E3004"/>
    <w:rsid w:val="3EA352FB"/>
    <w:rsid w:val="3EB01079"/>
    <w:rsid w:val="3EB219E2"/>
    <w:rsid w:val="3EB43064"/>
    <w:rsid w:val="3EB47508"/>
    <w:rsid w:val="3ECD4126"/>
    <w:rsid w:val="3ED328A1"/>
    <w:rsid w:val="3ED74FA5"/>
    <w:rsid w:val="3EDE6333"/>
    <w:rsid w:val="3EDF08B2"/>
    <w:rsid w:val="3EE15E23"/>
    <w:rsid w:val="3EE55913"/>
    <w:rsid w:val="3EE85404"/>
    <w:rsid w:val="3EEA117C"/>
    <w:rsid w:val="3EEA2F2A"/>
    <w:rsid w:val="3EF25354"/>
    <w:rsid w:val="3EF43DA9"/>
    <w:rsid w:val="3EF73899"/>
    <w:rsid w:val="3EFF0DE7"/>
    <w:rsid w:val="3F1104B7"/>
    <w:rsid w:val="3F125FDD"/>
    <w:rsid w:val="3F163D1F"/>
    <w:rsid w:val="3F1B1335"/>
    <w:rsid w:val="3F1C50AD"/>
    <w:rsid w:val="3F1F4F1F"/>
    <w:rsid w:val="3F261A88"/>
    <w:rsid w:val="3F275F2C"/>
    <w:rsid w:val="3F2F35E8"/>
    <w:rsid w:val="3F303EDB"/>
    <w:rsid w:val="3F4A7F61"/>
    <w:rsid w:val="3F4C4B9D"/>
    <w:rsid w:val="3F5C54AA"/>
    <w:rsid w:val="3F5D7BA0"/>
    <w:rsid w:val="3F696545"/>
    <w:rsid w:val="3F6A7BC7"/>
    <w:rsid w:val="3F6C179B"/>
    <w:rsid w:val="3F786788"/>
    <w:rsid w:val="3F790AB1"/>
    <w:rsid w:val="3F8213B4"/>
    <w:rsid w:val="3F8F587F"/>
    <w:rsid w:val="3F9335C1"/>
    <w:rsid w:val="3FAF1A7E"/>
    <w:rsid w:val="3FAF7CCF"/>
    <w:rsid w:val="3FBB48C6"/>
    <w:rsid w:val="3FBE7F20"/>
    <w:rsid w:val="3FC44B7C"/>
    <w:rsid w:val="3FC91B34"/>
    <w:rsid w:val="3FCA75B6"/>
    <w:rsid w:val="3FE0432D"/>
    <w:rsid w:val="3FEC4A80"/>
    <w:rsid w:val="3FF1653A"/>
    <w:rsid w:val="3FF57DD8"/>
    <w:rsid w:val="4000052B"/>
    <w:rsid w:val="4000420D"/>
    <w:rsid w:val="400718BA"/>
    <w:rsid w:val="40183AC7"/>
    <w:rsid w:val="401F09B1"/>
    <w:rsid w:val="401F6C03"/>
    <w:rsid w:val="40204729"/>
    <w:rsid w:val="402406BD"/>
    <w:rsid w:val="40297A82"/>
    <w:rsid w:val="402A14E2"/>
    <w:rsid w:val="402B7E4E"/>
    <w:rsid w:val="402D14BB"/>
    <w:rsid w:val="402D7572"/>
    <w:rsid w:val="402E32EA"/>
    <w:rsid w:val="403A57EB"/>
    <w:rsid w:val="403C7F85"/>
    <w:rsid w:val="403E1236"/>
    <w:rsid w:val="40572841"/>
    <w:rsid w:val="40577546"/>
    <w:rsid w:val="405F18B1"/>
    <w:rsid w:val="406E36E7"/>
    <w:rsid w:val="406E7B8B"/>
    <w:rsid w:val="40714F85"/>
    <w:rsid w:val="407231D7"/>
    <w:rsid w:val="407629B4"/>
    <w:rsid w:val="407C22A8"/>
    <w:rsid w:val="407F76A2"/>
    <w:rsid w:val="40830A17"/>
    <w:rsid w:val="40842B91"/>
    <w:rsid w:val="408A11FC"/>
    <w:rsid w:val="408F19E3"/>
    <w:rsid w:val="4093314D"/>
    <w:rsid w:val="409E758E"/>
    <w:rsid w:val="40AD06B3"/>
    <w:rsid w:val="40B05AAD"/>
    <w:rsid w:val="40CB37C4"/>
    <w:rsid w:val="40CB6D8B"/>
    <w:rsid w:val="40CD2B03"/>
    <w:rsid w:val="40DB5220"/>
    <w:rsid w:val="40E439DE"/>
    <w:rsid w:val="40E8793D"/>
    <w:rsid w:val="40E90FBF"/>
    <w:rsid w:val="40EB2F11"/>
    <w:rsid w:val="40ED4F53"/>
    <w:rsid w:val="40F07398"/>
    <w:rsid w:val="40F24A9A"/>
    <w:rsid w:val="40F462E2"/>
    <w:rsid w:val="40F97454"/>
    <w:rsid w:val="40FC5196"/>
    <w:rsid w:val="410A340F"/>
    <w:rsid w:val="410A5768"/>
    <w:rsid w:val="41120516"/>
    <w:rsid w:val="41173D7E"/>
    <w:rsid w:val="411B4114"/>
    <w:rsid w:val="412546ED"/>
    <w:rsid w:val="412874F2"/>
    <w:rsid w:val="41297BA8"/>
    <w:rsid w:val="412B15D8"/>
    <w:rsid w:val="412C5A7C"/>
    <w:rsid w:val="412F48FF"/>
    <w:rsid w:val="41384420"/>
    <w:rsid w:val="41413FF5"/>
    <w:rsid w:val="4142391F"/>
    <w:rsid w:val="41452699"/>
    <w:rsid w:val="415006B7"/>
    <w:rsid w:val="41502BF6"/>
    <w:rsid w:val="415428DD"/>
    <w:rsid w:val="4157061F"/>
    <w:rsid w:val="41586871"/>
    <w:rsid w:val="41596145"/>
    <w:rsid w:val="415B010F"/>
    <w:rsid w:val="415C79E3"/>
    <w:rsid w:val="415E19AD"/>
    <w:rsid w:val="416845DA"/>
    <w:rsid w:val="416F56E8"/>
    <w:rsid w:val="41720FB5"/>
    <w:rsid w:val="417411D1"/>
    <w:rsid w:val="41780CC1"/>
    <w:rsid w:val="41870937"/>
    <w:rsid w:val="418A6618"/>
    <w:rsid w:val="418D5DEE"/>
    <w:rsid w:val="41911D83"/>
    <w:rsid w:val="41986C6D"/>
    <w:rsid w:val="41990C37"/>
    <w:rsid w:val="419D0727"/>
    <w:rsid w:val="419E6238"/>
    <w:rsid w:val="41AA074E"/>
    <w:rsid w:val="41AA2E44"/>
    <w:rsid w:val="41AC554D"/>
    <w:rsid w:val="41B370D6"/>
    <w:rsid w:val="41B4781F"/>
    <w:rsid w:val="41D1217F"/>
    <w:rsid w:val="41DB1250"/>
    <w:rsid w:val="41E40104"/>
    <w:rsid w:val="41E55C2A"/>
    <w:rsid w:val="41E719A3"/>
    <w:rsid w:val="41FD7266"/>
    <w:rsid w:val="42072045"/>
    <w:rsid w:val="420A743F"/>
    <w:rsid w:val="421D7172"/>
    <w:rsid w:val="42213106"/>
    <w:rsid w:val="422624CB"/>
    <w:rsid w:val="42267415"/>
    <w:rsid w:val="42295B17"/>
    <w:rsid w:val="422E312E"/>
    <w:rsid w:val="42426BD9"/>
    <w:rsid w:val="42440BA3"/>
    <w:rsid w:val="4250579A"/>
    <w:rsid w:val="42573468"/>
    <w:rsid w:val="425A2175"/>
    <w:rsid w:val="425A6618"/>
    <w:rsid w:val="425E3E47"/>
    <w:rsid w:val="42631478"/>
    <w:rsid w:val="426424FA"/>
    <w:rsid w:val="427C0F6E"/>
    <w:rsid w:val="427F5525"/>
    <w:rsid w:val="42937435"/>
    <w:rsid w:val="429C278D"/>
    <w:rsid w:val="429D7FCA"/>
    <w:rsid w:val="429F5DD9"/>
    <w:rsid w:val="42A44BF6"/>
    <w:rsid w:val="42AE481A"/>
    <w:rsid w:val="42B75819"/>
    <w:rsid w:val="42BE088D"/>
    <w:rsid w:val="42CB6BCE"/>
    <w:rsid w:val="42CD0A98"/>
    <w:rsid w:val="42CD2946"/>
    <w:rsid w:val="42CE66BF"/>
    <w:rsid w:val="42D812EB"/>
    <w:rsid w:val="42DC702D"/>
    <w:rsid w:val="42E859D2"/>
    <w:rsid w:val="42EF6D61"/>
    <w:rsid w:val="42F609E7"/>
    <w:rsid w:val="42F75C15"/>
    <w:rsid w:val="42FC147E"/>
    <w:rsid w:val="42FE6FA4"/>
    <w:rsid w:val="42FF2D1C"/>
    <w:rsid w:val="430B7913"/>
    <w:rsid w:val="430D5439"/>
    <w:rsid w:val="43100A85"/>
    <w:rsid w:val="43160791"/>
    <w:rsid w:val="431A0C09"/>
    <w:rsid w:val="43353935"/>
    <w:rsid w:val="43374264"/>
    <w:rsid w:val="433B01F8"/>
    <w:rsid w:val="434B5F61"/>
    <w:rsid w:val="434D1CD9"/>
    <w:rsid w:val="434F5A51"/>
    <w:rsid w:val="4350389D"/>
    <w:rsid w:val="436239D7"/>
    <w:rsid w:val="436B0835"/>
    <w:rsid w:val="436F39FE"/>
    <w:rsid w:val="436F5AFE"/>
    <w:rsid w:val="43762FDE"/>
    <w:rsid w:val="4387343D"/>
    <w:rsid w:val="439416B6"/>
    <w:rsid w:val="4395506D"/>
    <w:rsid w:val="43A37B4B"/>
    <w:rsid w:val="43A63197"/>
    <w:rsid w:val="43A86F10"/>
    <w:rsid w:val="43AC2FD1"/>
    <w:rsid w:val="43AF38A6"/>
    <w:rsid w:val="43AF64F0"/>
    <w:rsid w:val="43B104BA"/>
    <w:rsid w:val="43B65AD0"/>
    <w:rsid w:val="43CC7746"/>
    <w:rsid w:val="43D0107A"/>
    <w:rsid w:val="43D1290A"/>
    <w:rsid w:val="43D16466"/>
    <w:rsid w:val="43D46C6D"/>
    <w:rsid w:val="43D95264"/>
    <w:rsid w:val="43DE2931"/>
    <w:rsid w:val="43E066A9"/>
    <w:rsid w:val="43E4263E"/>
    <w:rsid w:val="43E53CC0"/>
    <w:rsid w:val="43E73EDC"/>
    <w:rsid w:val="43E91A02"/>
    <w:rsid w:val="43EF4B3E"/>
    <w:rsid w:val="43F42155"/>
    <w:rsid w:val="43F959BD"/>
    <w:rsid w:val="44054362"/>
    <w:rsid w:val="4416031D"/>
    <w:rsid w:val="441647C1"/>
    <w:rsid w:val="44181DC4"/>
    <w:rsid w:val="44191BBB"/>
    <w:rsid w:val="442944F4"/>
    <w:rsid w:val="442A3DC9"/>
    <w:rsid w:val="443609BF"/>
    <w:rsid w:val="4436276D"/>
    <w:rsid w:val="443B7D84"/>
    <w:rsid w:val="443F1622"/>
    <w:rsid w:val="445D419E"/>
    <w:rsid w:val="44627A06"/>
    <w:rsid w:val="44641089"/>
    <w:rsid w:val="44710E2A"/>
    <w:rsid w:val="4476700E"/>
    <w:rsid w:val="44786965"/>
    <w:rsid w:val="447F5EC2"/>
    <w:rsid w:val="44815F70"/>
    <w:rsid w:val="44877E79"/>
    <w:rsid w:val="449000D0"/>
    <w:rsid w:val="449D459A"/>
    <w:rsid w:val="44AD5B3A"/>
    <w:rsid w:val="44BA15F0"/>
    <w:rsid w:val="44BC6155"/>
    <w:rsid w:val="44C61D43"/>
    <w:rsid w:val="44DC3315"/>
    <w:rsid w:val="44DE6309"/>
    <w:rsid w:val="44DF4BB3"/>
    <w:rsid w:val="44E64193"/>
    <w:rsid w:val="44ED5F6E"/>
    <w:rsid w:val="44EF65A4"/>
    <w:rsid w:val="44FA379B"/>
    <w:rsid w:val="45097E82"/>
    <w:rsid w:val="450B3BFA"/>
    <w:rsid w:val="451E1BAD"/>
    <w:rsid w:val="45225AF9"/>
    <w:rsid w:val="452438BF"/>
    <w:rsid w:val="452A22D2"/>
    <w:rsid w:val="452D591E"/>
    <w:rsid w:val="45321187"/>
    <w:rsid w:val="453B44DF"/>
    <w:rsid w:val="454113CA"/>
    <w:rsid w:val="454724B5"/>
    <w:rsid w:val="454B049A"/>
    <w:rsid w:val="454B2248"/>
    <w:rsid w:val="45575091"/>
    <w:rsid w:val="455E1F7C"/>
    <w:rsid w:val="455E3D2A"/>
    <w:rsid w:val="455F7B5C"/>
    <w:rsid w:val="456A4DC4"/>
    <w:rsid w:val="456B4699"/>
    <w:rsid w:val="456B6447"/>
    <w:rsid w:val="45702958"/>
    <w:rsid w:val="4574354D"/>
    <w:rsid w:val="457C4F0E"/>
    <w:rsid w:val="457C68A6"/>
    <w:rsid w:val="457E617A"/>
    <w:rsid w:val="45863281"/>
    <w:rsid w:val="458B7D93"/>
    <w:rsid w:val="459260C9"/>
    <w:rsid w:val="459E681C"/>
    <w:rsid w:val="45A55DFD"/>
    <w:rsid w:val="45B21B65"/>
    <w:rsid w:val="45CC15DB"/>
    <w:rsid w:val="45F4468E"/>
    <w:rsid w:val="45FD79E7"/>
    <w:rsid w:val="46020B59"/>
    <w:rsid w:val="460743C1"/>
    <w:rsid w:val="460F14C8"/>
    <w:rsid w:val="46190610"/>
    <w:rsid w:val="46236D21"/>
    <w:rsid w:val="462907DC"/>
    <w:rsid w:val="462D72B0"/>
    <w:rsid w:val="464E3D9E"/>
    <w:rsid w:val="46560EA5"/>
    <w:rsid w:val="465810C1"/>
    <w:rsid w:val="465D0485"/>
    <w:rsid w:val="465D66D7"/>
    <w:rsid w:val="46603AD2"/>
    <w:rsid w:val="466E4440"/>
    <w:rsid w:val="466F101E"/>
    <w:rsid w:val="46761547"/>
    <w:rsid w:val="467E591A"/>
    <w:rsid w:val="467F21AA"/>
    <w:rsid w:val="46830F96"/>
    <w:rsid w:val="46860C43"/>
    <w:rsid w:val="468B50CB"/>
    <w:rsid w:val="46A165C4"/>
    <w:rsid w:val="46A37E92"/>
    <w:rsid w:val="46AC6D17"/>
    <w:rsid w:val="46B8390E"/>
    <w:rsid w:val="46BF6A4A"/>
    <w:rsid w:val="46C277A4"/>
    <w:rsid w:val="46CE1038"/>
    <w:rsid w:val="46D467C4"/>
    <w:rsid w:val="46D87B0C"/>
    <w:rsid w:val="46DF70EC"/>
    <w:rsid w:val="46EE10DD"/>
    <w:rsid w:val="46F10BCE"/>
    <w:rsid w:val="46F87C7E"/>
    <w:rsid w:val="47022DDB"/>
    <w:rsid w:val="471E7EBD"/>
    <w:rsid w:val="4723522B"/>
    <w:rsid w:val="47354F5E"/>
    <w:rsid w:val="47503B46"/>
    <w:rsid w:val="475E44B5"/>
    <w:rsid w:val="47627C1A"/>
    <w:rsid w:val="4770243A"/>
    <w:rsid w:val="47723ABC"/>
    <w:rsid w:val="477B4F66"/>
    <w:rsid w:val="477C2B8D"/>
    <w:rsid w:val="4782435E"/>
    <w:rsid w:val="47857C94"/>
    <w:rsid w:val="478B1022"/>
    <w:rsid w:val="478F466E"/>
    <w:rsid w:val="479003E6"/>
    <w:rsid w:val="4793207A"/>
    <w:rsid w:val="47981329"/>
    <w:rsid w:val="479E0D55"/>
    <w:rsid w:val="479F1710"/>
    <w:rsid w:val="47A53E92"/>
    <w:rsid w:val="47AA594C"/>
    <w:rsid w:val="47B16CDB"/>
    <w:rsid w:val="47B63534"/>
    <w:rsid w:val="47BE6D02"/>
    <w:rsid w:val="47C443E5"/>
    <w:rsid w:val="47D14C87"/>
    <w:rsid w:val="47D77DC3"/>
    <w:rsid w:val="47D93B3C"/>
    <w:rsid w:val="47D97FDF"/>
    <w:rsid w:val="47E50732"/>
    <w:rsid w:val="47E67906"/>
    <w:rsid w:val="47EB386F"/>
    <w:rsid w:val="47ED75E7"/>
    <w:rsid w:val="47FF4D5E"/>
    <w:rsid w:val="48004C2D"/>
    <w:rsid w:val="480A0199"/>
    <w:rsid w:val="480A63EB"/>
    <w:rsid w:val="480E2158"/>
    <w:rsid w:val="481A57D7"/>
    <w:rsid w:val="481D2783"/>
    <w:rsid w:val="48254EA1"/>
    <w:rsid w:val="4832149E"/>
    <w:rsid w:val="48425B85"/>
    <w:rsid w:val="484511D1"/>
    <w:rsid w:val="4847319B"/>
    <w:rsid w:val="485A1120"/>
    <w:rsid w:val="486755EB"/>
    <w:rsid w:val="48691363"/>
    <w:rsid w:val="486A0C38"/>
    <w:rsid w:val="487E54FB"/>
    <w:rsid w:val="4880045B"/>
    <w:rsid w:val="48820B19"/>
    <w:rsid w:val="488F069E"/>
    <w:rsid w:val="489B7043"/>
    <w:rsid w:val="48A00AFD"/>
    <w:rsid w:val="48A73C3A"/>
    <w:rsid w:val="48BA1BBF"/>
    <w:rsid w:val="48C22822"/>
    <w:rsid w:val="48C77E38"/>
    <w:rsid w:val="48D2515B"/>
    <w:rsid w:val="48D507A7"/>
    <w:rsid w:val="48D6451F"/>
    <w:rsid w:val="48E42798"/>
    <w:rsid w:val="48E52A4E"/>
    <w:rsid w:val="48E57C5B"/>
    <w:rsid w:val="48F21359"/>
    <w:rsid w:val="48F350D1"/>
    <w:rsid w:val="48F50E49"/>
    <w:rsid w:val="48F549A5"/>
    <w:rsid w:val="48FA645F"/>
    <w:rsid w:val="48FB0A94"/>
    <w:rsid w:val="49064E04"/>
    <w:rsid w:val="490966A2"/>
    <w:rsid w:val="490C1CEF"/>
    <w:rsid w:val="491164F6"/>
    <w:rsid w:val="491F7C74"/>
    <w:rsid w:val="492163FC"/>
    <w:rsid w:val="49247038"/>
    <w:rsid w:val="493C06FE"/>
    <w:rsid w:val="493C4382"/>
    <w:rsid w:val="494574C2"/>
    <w:rsid w:val="49470F79"/>
    <w:rsid w:val="49474C41"/>
    <w:rsid w:val="495D4B69"/>
    <w:rsid w:val="495F460D"/>
    <w:rsid w:val="49641B2B"/>
    <w:rsid w:val="497E0E3E"/>
    <w:rsid w:val="4984282A"/>
    <w:rsid w:val="498737AF"/>
    <w:rsid w:val="498C7FB7"/>
    <w:rsid w:val="499046CE"/>
    <w:rsid w:val="49A14B2D"/>
    <w:rsid w:val="49A563CB"/>
    <w:rsid w:val="49AB775A"/>
    <w:rsid w:val="49BA174B"/>
    <w:rsid w:val="49BE170B"/>
    <w:rsid w:val="49C10D2B"/>
    <w:rsid w:val="49C5081B"/>
    <w:rsid w:val="49C8030C"/>
    <w:rsid w:val="49CD1AD5"/>
    <w:rsid w:val="49D547D7"/>
    <w:rsid w:val="49DB1DED"/>
    <w:rsid w:val="49DC2AEC"/>
    <w:rsid w:val="49EC224C"/>
    <w:rsid w:val="49F17862"/>
    <w:rsid w:val="49F20EE5"/>
    <w:rsid w:val="49F25388"/>
    <w:rsid w:val="49F65AEC"/>
    <w:rsid w:val="49F9138B"/>
    <w:rsid w:val="4A031344"/>
    <w:rsid w:val="4A080708"/>
    <w:rsid w:val="4A0E0CC7"/>
    <w:rsid w:val="4A111CB3"/>
    <w:rsid w:val="4A123335"/>
    <w:rsid w:val="4A140E14"/>
    <w:rsid w:val="4A2F038B"/>
    <w:rsid w:val="4A331C29"/>
    <w:rsid w:val="4A45370A"/>
    <w:rsid w:val="4A527BD5"/>
    <w:rsid w:val="4A590F64"/>
    <w:rsid w:val="4A64791A"/>
    <w:rsid w:val="4A653DAC"/>
    <w:rsid w:val="4A673681"/>
    <w:rsid w:val="4A6873F9"/>
    <w:rsid w:val="4A6F4C2B"/>
    <w:rsid w:val="4A722025"/>
    <w:rsid w:val="4A7E6C1C"/>
    <w:rsid w:val="4A8204BA"/>
    <w:rsid w:val="4A884657"/>
    <w:rsid w:val="4A8920D8"/>
    <w:rsid w:val="4A8F4985"/>
    <w:rsid w:val="4A9E066B"/>
    <w:rsid w:val="4AAF6DD6"/>
    <w:rsid w:val="4AB1581B"/>
    <w:rsid w:val="4AB34B18"/>
    <w:rsid w:val="4AC05487"/>
    <w:rsid w:val="4ADD1B95"/>
    <w:rsid w:val="4AE16838"/>
    <w:rsid w:val="4AE178D7"/>
    <w:rsid w:val="4AE41175"/>
    <w:rsid w:val="4AE45C6A"/>
    <w:rsid w:val="4AE50A49"/>
    <w:rsid w:val="4AED63CC"/>
    <w:rsid w:val="4AEE5B50"/>
    <w:rsid w:val="4AF22A01"/>
    <w:rsid w:val="4B0B6702"/>
    <w:rsid w:val="4B0C5FD6"/>
    <w:rsid w:val="4B1331CA"/>
    <w:rsid w:val="4B201A81"/>
    <w:rsid w:val="4B2B0B52"/>
    <w:rsid w:val="4B2C6678"/>
    <w:rsid w:val="4B3774F7"/>
    <w:rsid w:val="4B3B68BB"/>
    <w:rsid w:val="4B434D8A"/>
    <w:rsid w:val="4B4E2A92"/>
    <w:rsid w:val="4B5D6832"/>
    <w:rsid w:val="4B5F25AA"/>
    <w:rsid w:val="4B647BC0"/>
    <w:rsid w:val="4B65373A"/>
    <w:rsid w:val="4B666755"/>
    <w:rsid w:val="4B6D2777"/>
    <w:rsid w:val="4B6D2F19"/>
    <w:rsid w:val="4B751DCD"/>
    <w:rsid w:val="4B7818BD"/>
    <w:rsid w:val="4B78366B"/>
    <w:rsid w:val="4B784695"/>
    <w:rsid w:val="4B7D0C82"/>
    <w:rsid w:val="4B842010"/>
    <w:rsid w:val="4B9422CC"/>
    <w:rsid w:val="4BAE7058"/>
    <w:rsid w:val="4BC15012"/>
    <w:rsid w:val="4BCD0988"/>
    <w:rsid w:val="4BCE14DD"/>
    <w:rsid w:val="4BD04C5F"/>
    <w:rsid w:val="4BDC3BFA"/>
    <w:rsid w:val="4BE72014"/>
    <w:rsid w:val="4BED22AB"/>
    <w:rsid w:val="4BF03B4A"/>
    <w:rsid w:val="4BF947AC"/>
    <w:rsid w:val="4C327140"/>
    <w:rsid w:val="4C341C88"/>
    <w:rsid w:val="4C457E30"/>
    <w:rsid w:val="4C485734"/>
    <w:rsid w:val="4C490540"/>
    <w:rsid w:val="4C514CFA"/>
    <w:rsid w:val="4C537C37"/>
    <w:rsid w:val="4C544BC7"/>
    <w:rsid w:val="4C547C35"/>
    <w:rsid w:val="4C6267F5"/>
    <w:rsid w:val="4C63431C"/>
    <w:rsid w:val="4C746529"/>
    <w:rsid w:val="4C765DFD"/>
    <w:rsid w:val="4C791583"/>
    <w:rsid w:val="4C7C2508"/>
    <w:rsid w:val="4C8524E4"/>
    <w:rsid w:val="4C9347AE"/>
    <w:rsid w:val="4C950EB3"/>
    <w:rsid w:val="4C983FC5"/>
    <w:rsid w:val="4C9B1D07"/>
    <w:rsid w:val="4C9E7102"/>
    <w:rsid w:val="4CA26BF2"/>
    <w:rsid w:val="4CA3296A"/>
    <w:rsid w:val="4CA5660E"/>
    <w:rsid w:val="4CA74208"/>
    <w:rsid w:val="4CB15087"/>
    <w:rsid w:val="4CB44B77"/>
    <w:rsid w:val="4CC0176E"/>
    <w:rsid w:val="4CC0240E"/>
    <w:rsid w:val="4CC06A81"/>
    <w:rsid w:val="4CC86E8C"/>
    <w:rsid w:val="4CCE5C39"/>
    <w:rsid w:val="4CDE39A2"/>
    <w:rsid w:val="4CE511D4"/>
    <w:rsid w:val="4CF5766A"/>
    <w:rsid w:val="4D00163A"/>
    <w:rsid w:val="4D0E24D9"/>
    <w:rsid w:val="4D0E7878"/>
    <w:rsid w:val="4D137AF0"/>
    <w:rsid w:val="4D2A3925"/>
    <w:rsid w:val="4D381304"/>
    <w:rsid w:val="4D465454"/>
    <w:rsid w:val="4D4C3002"/>
    <w:rsid w:val="4D510618"/>
    <w:rsid w:val="4D537EEC"/>
    <w:rsid w:val="4D553C64"/>
    <w:rsid w:val="4D5E08FC"/>
    <w:rsid w:val="4D714816"/>
    <w:rsid w:val="4D8465BE"/>
    <w:rsid w:val="4D875DE8"/>
    <w:rsid w:val="4D945EF0"/>
    <w:rsid w:val="4D950505"/>
    <w:rsid w:val="4D956757"/>
    <w:rsid w:val="4D9724CF"/>
    <w:rsid w:val="4D9C3C64"/>
    <w:rsid w:val="4DA90454"/>
    <w:rsid w:val="4DAB09FB"/>
    <w:rsid w:val="4DB76A0C"/>
    <w:rsid w:val="4DBF250C"/>
    <w:rsid w:val="4DD23507"/>
    <w:rsid w:val="4DD3727F"/>
    <w:rsid w:val="4DDA685F"/>
    <w:rsid w:val="4DE51EC7"/>
    <w:rsid w:val="4DEA3890"/>
    <w:rsid w:val="4DF542F3"/>
    <w:rsid w:val="4DF711BF"/>
    <w:rsid w:val="4DFA0CB0"/>
    <w:rsid w:val="4DFF1E22"/>
    <w:rsid w:val="4E0C779B"/>
    <w:rsid w:val="4E0F02B7"/>
    <w:rsid w:val="4E121B55"/>
    <w:rsid w:val="4E1753BE"/>
    <w:rsid w:val="4E1924EF"/>
    <w:rsid w:val="4E1C29D4"/>
    <w:rsid w:val="4E353A96"/>
    <w:rsid w:val="4E361CE8"/>
    <w:rsid w:val="4E4862FB"/>
    <w:rsid w:val="4E4A12EF"/>
    <w:rsid w:val="4E5263F6"/>
    <w:rsid w:val="4E5959D6"/>
    <w:rsid w:val="4E5B751A"/>
    <w:rsid w:val="4E6A373F"/>
    <w:rsid w:val="4E6F1BA8"/>
    <w:rsid w:val="4E730444"/>
    <w:rsid w:val="4E740A62"/>
    <w:rsid w:val="4E7520E4"/>
    <w:rsid w:val="4E791BD4"/>
    <w:rsid w:val="4E7F4257"/>
    <w:rsid w:val="4E827542"/>
    <w:rsid w:val="4E8A47E6"/>
    <w:rsid w:val="4E9B7D9D"/>
    <w:rsid w:val="4EA76741"/>
    <w:rsid w:val="4EB96475"/>
    <w:rsid w:val="4EC372F3"/>
    <w:rsid w:val="4EC56BC8"/>
    <w:rsid w:val="4EC97B4E"/>
    <w:rsid w:val="4ECD1F20"/>
    <w:rsid w:val="4ED125AE"/>
    <w:rsid w:val="4ED80FF1"/>
    <w:rsid w:val="4EDD03B5"/>
    <w:rsid w:val="4EE02FF7"/>
    <w:rsid w:val="4EE51018"/>
    <w:rsid w:val="4EE554BC"/>
    <w:rsid w:val="4EEA0D24"/>
    <w:rsid w:val="4EEA4880"/>
    <w:rsid w:val="4EEC05F8"/>
    <w:rsid w:val="4EF120B3"/>
    <w:rsid w:val="4EF456FF"/>
    <w:rsid w:val="4EF4741A"/>
    <w:rsid w:val="4F021BCA"/>
    <w:rsid w:val="4F0D34D6"/>
    <w:rsid w:val="4F0F5BE3"/>
    <w:rsid w:val="4F13254C"/>
    <w:rsid w:val="4F1756CF"/>
    <w:rsid w:val="4F1E452A"/>
    <w:rsid w:val="4F2F2D76"/>
    <w:rsid w:val="4F302BDB"/>
    <w:rsid w:val="4F336227"/>
    <w:rsid w:val="4F3A5808"/>
    <w:rsid w:val="4F3D70A6"/>
    <w:rsid w:val="4F495A4B"/>
    <w:rsid w:val="4F5B577E"/>
    <w:rsid w:val="4F697E9B"/>
    <w:rsid w:val="4F6A776F"/>
    <w:rsid w:val="4F6F4D85"/>
    <w:rsid w:val="4F7D3946"/>
    <w:rsid w:val="4F935598"/>
    <w:rsid w:val="4F950C90"/>
    <w:rsid w:val="4F9A44F8"/>
    <w:rsid w:val="4F9C11AB"/>
    <w:rsid w:val="4F9F566B"/>
    <w:rsid w:val="4FA252B3"/>
    <w:rsid w:val="4FAC7D88"/>
    <w:rsid w:val="4FAD422B"/>
    <w:rsid w:val="4FB05ACA"/>
    <w:rsid w:val="4FB82BD0"/>
    <w:rsid w:val="4FBF5D0D"/>
    <w:rsid w:val="4FC357E8"/>
    <w:rsid w:val="4FC43323"/>
    <w:rsid w:val="4FC7696F"/>
    <w:rsid w:val="4FCB6460"/>
    <w:rsid w:val="4FD712A8"/>
    <w:rsid w:val="4FE85264"/>
    <w:rsid w:val="4FEC63D6"/>
    <w:rsid w:val="4FFA0AF3"/>
    <w:rsid w:val="50055E16"/>
    <w:rsid w:val="50081424"/>
    <w:rsid w:val="501C315F"/>
    <w:rsid w:val="502838B2"/>
    <w:rsid w:val="502F4C40"/>
    <w:rsid w:val="50377F99"/>
    <w:rsid w:val="50406436"/>
    <w:rsid w:val="50446212"/>
    <w:rsid w:val="504B57F2"/>
    <w:rsid w:val="504D0FCF"/>
    <w:rsid w:val="50597F0F"/>
    <w:rsid w:val="505A2863"/>
    <w:rsid w:val="506643DA"/>
    <w:rsid w:val="5069016F"/>
    <w:rsid w:val="506A2AFE"/>
    <w:rsid w:val="506F14E1"/>
    <w:rsid w:val="507765E7"/>
    <w:rsid w:val="50795EBC"/>
    <w:rsid w:val="508053C6"/>
    <w:rsid w:val="508605D9"/>
    <w:rsid w:val="508D5E0B"/>
    <w:rsid w:val="50A078EC"/>
    <w:rsid w:val="50B30973"/>
    <w:rsid w:val="50BB2978"/>
    <w:rsid w:val="50C14C3A"/>
    <w:rsid w:val="50C35389"/>
    <w:rsid w:val="50CA6717"/>
    <w:rsid w:val="50CD151D"/>
    <w:rsid w:val="50DC644B"/>
    <w:rsid w:val="50E67EC9"/>
    <w:rsid w:val="50EA68CF"/>
    <w:rsid w:val="50F11EF6"/>
    <w:rsid w:val="50F3395B"/>
    <w:rsid w:val="50FA14AF"/>
    <w:rsid w:val="50FD6AED"/>
    <w:rsid w:val="51002139"/>
    <w:rsid w:val="51051E45"/>
    <w:rsid w:val="511B3417"/>
    <w:rsid w:val="511B6F73"/>
    <w:rsid w:val="51275918"/>
    <w:rsid w:val="512A0E12"/>
    <w:rsid w:val="512D283B"/>
    <w:rsid w:val="51380BCD"/>
    <w:rsid w:val="51405FD9"/>
    <w:rsid w:val="515257D5"/>
    <w:rsid w:val="5156444F"/>
    <w:rsid w:val="51583680"/>
    <w:rsid w:val="515A6B83"/>
    <w:rsid w:val="515D758B"/>
    <w:rsid w:val="51627865"/>
    <w:rsid w:val="5164091A"/>
    <w:rsid w:val="516E3AE8"/>
    <w:rsid w:val="51785239"/>
    <w:rsid w:val="517D3DBA"/>
    <w:rsid w:val="518C1C1F"/>
    <w:rsid w:val="51905BB3"/>
    <w:rsid w:val="519C53A6"/>
    <w:rsid w:val="519F1876"/>
    <w:rsid w:val="51A11B6E"/>
    <w:rsid w:val="51A4340C"/>
    <w:rsid w:val="51A451BA"/>
    <w:rsid w:val="51A5377F"/>
    <w:rsid w:val="51A72EFC"/>
    <w:rsid w:val="51AC698D"/>
    <w:rsid w:val="51CA3A0F"/>
    <w:rsid w:val="51CE0489"/>
    <w:rsid w:val="51E67A6C"/>
    <w:rsid w:val="51EB103B"/>
    <w:rsid w:val="51F872B4"/>
    <w:rsid w:val="51FB670C"/>
    <w:rsid w:val="51FF6C0E"/>
    <w:rsid w:val="5201085F"/>
    <w:rsid w:val="5201260D"/>
    <w:rsid w:val="520774F7"/>
    <w:rsid w:val="5212481A"/>
    <w:rsid w:val="521265C8"/>
    <w:rsid w:val="52133DB3"/>
    <w:rsid w:val="521560B8"/>
    <w:rsid w:val="52167421"/>
    <w:rsid w:val="521F2A93"/>
    <w:rsid w:val="521F6F37"/>
    <w:rsid w:val="5224454D"/>
    <w:rsid w:val="523E73BD"/>
    <w:rsid w:val="52422029"/>
    <w:rsid w:val="524D5852"/>
    <w:rsid w:val="525E032E"/>
    <w:rsid w:val="525E35BB"/>
    <w:rsid w:val="5268268C"/>
    <w:rsid w:val="526B217C"/>
    <w:rsid w:val="526B5CD8"/>
    <w:rsid w:val="526E7576"/>
    <w:rsid w:val="52707792"/>
    <w:rsid w:val="5272350A"/>
    <w:rsid w:val="52750905"/>
    <w:rsid w:val="527C6137"/>
    <w:rsid w:val="528154FB"/>
    <w:rsid w:val="528172AA"/>
    <w:rsid w:val="528662F0"/>
    <w:rsid w:val="529945F3"/>
    <w:rsid w:val="529A5E82"/>
    <w:rsid w:val="529E1C09"/>
    <w:rsid w:val="529E7E5B"/>
    <w:rsid w:val="529F5982"/>
    <w:rsid w:val="52AB4326"/>
    <w:rsid w:val="52BC6534"/>
    <w:rsid w:val="52C04276"/>
    <w:rsid w:val="52D67374"/>
    <w:rsid w:val="52D715BF"/>
    <w:rsid w:val="52D902F9"/>
    <w:rsid w:val="52DB3A0B"/>
    <w:rsid w:val="52E77A54"/>
    <w:rsid w:val="52EC506B"/>
    <w:rsid w:val="52F12681"/>
    <w:rsid w:val="52FB3500"/>
    <w:rsid w:val="52FD1026"/>
    <w:rsid w:val="530C74BB"/>
    <w:rsid w:val="530D5B0B"/>
    <w:rsid w:val="53113EC7"/>
    <w:rsid w:val="531243A6"/>
    <w:rsid w:val="53165C44"/>
    <w:rsid w:val="53217977"/>
    <w:rsid w:val="532E5683"/>
    <w:rsid w:val="53591FD4"/>
    <w:rsid w:val="53642E53"/>
    <w:rsid w:val="536A2433"/>
    <w:rsid w:val="536F35A6"/>
    <w:rsid w:val="537F5EDF"/>
    <w:rsid w:val="5382777D"/>
    <w:rsid w:val="53940A2C"/>
    <w:rsid w:val="53982CB5"/>
    <w:rsid w:val="539F032F"/>
    <w:rsid w:val="53A71C4B"/>
    <w:rsid w:val="53AC65A8"/>
    <w:rsid w:val="53B4545D"/>
    <w:rsid w:val="53C75190"/>
    <w:rsid w:val="53D14261"/>
    <w:rsid w:val="53D1600F"/>
    <w:rsid w:val="53D53D51"/>
    <w:rsid w:val="53DB0C3B"/>
    <w:rsid w:val="53F32429"/>
    <w:rsid w:val="53FA7313"/>
    <w:rsid w:val="53FC2233"/>
    <w:rsid w:val="540217B7"/>
    <w:rsid w:val="54113E27"/>
    <w:rsid w:val="541F2B8E"/>
    <w:rsid w:val="541F4FCC"/>
    <w:rsid w:val="542B3971"/>
    <w:rsid w:val="542C0846"/>
    <w:rsid w:val="54324CFF"/>
    <w:rsid w:val="543C792C"/>
    <w:rsid w:val="544256CC"/>
    <w:rsid w:val="544278CB"/>
    <w:rsid w:val="544B5DC1"/>
    <w:rsid w:val="544B78E9"/>
    <w:rsid w:val="544D5C5C"/>
    <w:rsid w:val="544F115F"/>
    <w:rsid w:val="5452714F"/>
    <w:rsid w:val="54532EC8"/>
    <w:rsid w:val="545455E7"/>
    <w:rsid w:val="545729B8"/>
    <w:rsid w:val="5463310B"/>
    <w:rsid w:val="54646E83"/>
    <w:rsid w:val="54660E4D"/>
    <w:rsid w:val="54696247"/>
    <w:rsid w:val="54703A7A"/>
    <w:rsid w:val="548B5741"/>
    <w:rsid w:val="54905ECA"/>
    <w:rsid w:val="54AF247D"/>
    <w:rsid w:val="54B020C8"/>
    <w:rsid w:val="54BC6CBF"/>
    <w:rsid w:val="54C55B73"/>
    <w:rsid w:val="54D45DB6"/>
    <w:rsid w:val="54D538DD"/>
    <w:rsid w:val="54D73AF9"/>
    <w:rsid w:val="54E16725"/>
    <w:rsid w:val="54F14BBA"/>
    <w:rsid w:val="54F226E1"/>
    <w:rsid w:val="55040901"/>
    <w:rsid w:val="55061CE8"/>
    <w:rsid w:val="55142657"/>
    <w:rsid w:val="551D5F9C"/>
    <w:rsid w:val="551D6334"/>
    <w:rsid w:val="55284354"/>
    <w:rsid w:val="55344AA7"/>
    <w:rsid w:val="55360087"/>
    <w:rsid w:val="553E76D4"/>
    <w:rsid w:val="55472A2C"/>
    <w:rsid w:val="554D7917"/>
    <w:rsid w:val="555B64D8"/>
    <w:rsid w:val="55760C1C"/>
    <w:rsid w:val="557667D8"/>
    <w:rsid w:val="557B4484"/>
    <w:rsid w:val="55913CA7"/>
    <w:rsid w:val="559B0682"/>
    <w:rsid w:val="55A21A11"/>
    <w:rsid w:val="55A80497"/>
    <w:rsid w:val="55A84A71"/>
    <w:rsid w:val="55AC6D33"/>
    <w:rsid w:val="55B300C2"/>
    <w:rsid w:val="55BB2AD2"/>
    <w:rsid w:val="55C027DF"/>
    <w:rsid w:val="55C37BD9"/>
    <w:rsid w:val="55C45E2B"/>
    <w:rsid w:val="55CE2806"/>
    <w:rsid w:val="55D212DB"/>
    <w:rsid w:val="55D818D6"/>
    <w:rsid w:val="55E517F1"/>
    <w:rsid w:val="55E71B19"/>
    <w:rsid w:val="55EE5388"/>
    <w:rsid w:val="55FB7373"/>
    <w:rsid w:val="55FD133D"/>
    <w:rsid w:val="56006927"/>
    <w:rsid w:val="56031AAA"/>
    <w:rsid w:val="56035EC4"/>
    <w:rsid w:val="56073D33"/>
    <w:rsid w:val="56097CE2"/>
    <w:rsid w:val="560B1CAC"/>
    <w:rsid w:val="561346BC"/>
    <w:rsid w:val="56187F25"/>
    <w:rsid w:val="5621327D"/>
    <w:rsid w:val="56245862"/>
    <w:rsid w:val="562543F0"/>
    <w:rsid w:val="56384123"/>
    <w:rsid w:val="563E173F"/>
    <w:rsid w:val="563F54B2"/>
    <w:rsid w:val="56440C2C"/>
    <w:rsid w:val="564927D4"/>
    <w:rsid w:val="56535401"/>
    <w:rsid w:val="56551179"/>
    <w:rsid w:val="565518B4"/>
    <w:rsid w:val="56554CD5"/>
    <w:rsid w:val="56642AFA"/>
    <w:rsid w:val="56694C24"/>
    <w:rsid w:val="566D64C3"/>
    <w:rsid w:val="56715961"/>
    <w:rsid w:val="567A72D5"/>
    <w:rsid w:val="567C046F"/>
    <w:rsid w:val="567E3972"/>
    <w:rsid w:val="568432FD"/>
    <w:rsid w:val="569021B1"/>
    <w:rsid w:val="569A28B6"/>
    <w:rsid w:val="569F51AC"/>
    <w:rsid w:val="56AE2637"/>
    <w:rsid w:val="56C854A7"/>
    <w:rsid w:val="56D368FF"/>
    <w:rsid w:val="56D93B58"/>
    <w:rsid w:val="56DE4CCA"/>
    <w:rsid w:val="56DF05DE"/>
    <w:rsid w:val="56E66275"/>
    <w:rsid w:val="56E968A5"/>
    <w:rsid w:val="56ED7603"/>
    <w:rsid w:val="56F73FDE"/>
    <w:rsid w:val="56FF0A48"/>
    <w:rsid w:val="57034731"/>
    <w:rsid w:val="570404A9"/>
    <w:rsid w:val="571526B6"/>
    <w:rsid w:val="57152BEC"/>
    <w:rsid w:val="57174680"/>
    <w:rsid w:val="571873F4"/>
    <w:rsid w:val="571C1C97"/>
    <w:rsid w:val="57284198"/>
    <w:rsid w:val="572D17AE"/>
    <w:rsid w:val="57325016"/>
    <w:rsid w:val="57374425"/>
    <w:rsid w:val="573C5E95"/>
    <w:rsid w:val="573E5FAE"/>
    <w:rsid w:val="57541431"/>
    <w:rsid w:val="57557530"/>
    <w:rsid w:val="57600B70"/>
    <w:rsid w:val="57664DCE"/>
    <w:rsid w:val="57671164"/>
    <w:rsid w:val="576C677A"/>
    <w:rsid w:val="57770C7B"/>
    <w:rsid w:val="57783371"/>
    <w:rsid w:val="577E025B"/>
    <w:rsid w:val="57825F9E"/>
    <w:rsid w:val="57874BC1"/>
    <w:rsid w:val="57882F2B"/>
    <w:rsid w:val="57A16053"/>
    <w:rsid w:val="57A54A59"/>
    <w:rsid w:val="57B54CF4"/>
    <w:rsid w:val="57B62775"/>
    <w:rsid w:val="57BD2906"/>
    <w:rsid w:val="57BF2D4E"/>
    <w:rsid w:val="57C87729"/>
    <w:rsid w:val="57CA16F3"/>
    <w:rsid w:val="57CE2F91"/>
    <w:rsid w:val="57EE2B5B"/>
    <w:rsid w:val="57F27B38"/>
    <w:rsid w:val="57FC6189"/>
    <w:rsid w:val="5801390C"/>
    <w:rsid w:val="580C3AB9"/>
    <w:rsid w:val="580F5357"/>
    <w:rsid w:val="580F7106"/>
    <w:rsid w:val="58134E48"/>
    <w:rsid w:val="583077A8"/>
    <w:rsid w:val="583628E4"/>
    <w:rsid w:val="583B7EFB"/>
    <w:rsid w:val="584D65AC"/>
    <w:rsid w:val="585039A6"/>
    <w:rsid w:val="58633B93"/>
    <w:rsid w:val="58712EA8"/>
    <w:rsid w:val="587578B0"/>
    <w:rsid w:val="5889510A"/>
    <w:rsid w:val="589A2E73"/>
    <w:rsid w:val="589C6BEB"/>
    <w:rsid w:val="58A81A34"/>
    <w:rsid w:val="58A957AC"/>
    <w:rsid w:val="58B57CAD"/>
    <w:rsid w:val="58B8089A"/>
    <w:rsid w:val="58C779E0"/>
    <w:rsid w:val="58D740C7"/>
    <w:rsid w:val="58DD0FB2"/>
    <w:rsid w:val="58E00503"/>
    <w:rsid w:val="58E467E4"/>
    <w:rsid w:val="58EA72EF"/>
    <w:rsid w:val="58EF7663"/>
    <w:rsid w:val="58F5454D"/>
    <w:rsid w:val="58FD3402"/>
    <w:rsid w:val="59034EBC"/>
    <w:rsid w:val="591744C4"/>
    <w:rsid w:val="591C7D2C"/>
    <w:rsid w:val="5934151A"/>
    <w:rsid w:val="594159E5"/>
    <w:rsid w:val="59471C07"/>
    <w:rsid w:val="594A2AEB"/>
    <w:rsid w:val="59575208"/>
    <w:rsid w:val="595C281E"/>
    <w:rsid w:val="59633BAD"/>
    <w:rsid w:val="5967213C"/>
    <w:rsid w:val="596C0CB3"/>
    <w:rsid w:val="597162CE"/>
    <w:rsid w:val="597436C4"/>
    <w:rsid w:val="5975743C"/>
    <w:rsid w:val="59814033"/>
    <w:rsid w:val="59822285"/>
    <w:rsid w:val="598A738C"/>
    <w:rsid w:val="598C1076"/>
    <w:rsid w:val="599124C8"/>
    <w:rsid w:val="59937EA9"/>
    <w:rsid w:val="599B3347"/>
    <w:rsid w:val="59A57A22"/>
    <w:rsid w:val="59AA0627"/>
    <w:rsid w:val="59AC5554"/>
    <w:rsid w:val="59AC7302"/>
    <w:rsid w:val="59B461B6"/>
    <w:rsid w:val="59BA08C1"/>
    <w:rsid w:val="59BD150F"/>
    <w:rsid w:val="59BD32BD"/>
    <w:rsid w:val="59C60694"/>
    <w:rsid w:val="59CB39BD"/>
    <w:rsid w:val="59CC52AE"/>
    <w:rsid w:val="59DF5DD6"/>
    <w:rsid w:val="59E06FAB"/>
    <w:rsid w:val="59E24AD2"/>
    <w:rsid w:val="59F62CA4"/>
    <w:rsid w:val="59F73DF0"/>
    <w:rsid w:val="59F760A3"/>
    <w:rsid w:val="59F93C29"/>
    <w:rsid w:val="5A026F22"/>
    <w:rsid w:val="5A0345E8"/>
    <w:rsid w:val="5A084A8E"/>
    <w:rsid w:val="5A094754"/>
    <w:rsid w:val="5A0C1B4F"/>
    <w:rsid w:val="5A0C7DA1"/>
    <w:rsid w:val="5A0D7420"/>
    <w:rsid w:val="5A0F163F"/>
    <w:rsid w:val="5A1A070F"/>
    <w:rsid w:val="5A1F5D26"/>
    <w:rsid w:val="5A1F7AD4"/>
    <w:rsid w:val="5A2055FA"/>
    <w:rsid w:val="5A252C10"/>
    <w:rsid w:val="5A2F1CE1"/>
    <w:rsid w:val="5A2F3A8F"/>
    <w:rsid w:val="5A3317D1"/>
    <w:rsid w:val="5A3F1F24"/>
    <w:rsid w:val="5A44578C"/>
    <w:rsid w:val="5A517EA9"/>
    <w:rsid w:val="5A584D94"/>
    <w:rsid w:val="5A5A530B"/>
    <w:rsid w:val="5A655703"/>
    <w:rsid w:val="5A677AE0"/>
    <w:rsid w:val="5A6B0F6B"/>
    <w:rsid w:val="5A71018A"/>
    <w:rsid w:val="5A737E20"/>
    <w:rsid w:val="5A76387F"/>
    <w:rsid w:val="5A777D7A"/>
    <w:rsid w:val="5A7C097F"/>
    <w:rsid w:val="5A7D2A4C"/>
    <w:rsid w:val="5A7D47FA"/>
    <w:rsid w:val="5A8E07B6"/>
    <w:rsid w:val="5A8E4C59"/>
    <w:rsid w:val="5A985AD8"/>
    <w:rsid w:val="5AA1673B"/>
    <w:rsid w:val="5AAE70AA"/>
    <w:rsid w:val="5AB126F6"/>
    <w:rsid w:val="5AB53F94"/>
    <w:rsid w:val="5AB55CB8"/>
    <w:rsid w:val="5AB7558E"/>
    <w:rsid w:val="5ABD121A"/>
    <w:rsid w:val="5AC16DDD"/>
    <w:rsid w:val="5AC210F3"/>
    <w:rsid w:val="5AC32B55"/>
    <w:rsid w:val="5AC661A1"/>
    <w:rsid w:val="5AD07020"/>
    <w:rsid w:val="5AD22D98"/>
    <w:rsid w:val="5AD54636"/>
    <w:rsid w:val="5AD7215D"/>
    <w:rsid w:val="5ADA1C4D"/>
    <w:rsid w:val="5ADA39FB"/>
    <w:rsid w:val="5AE26D53"/>
    <w:rsid w:val="5AED4AE3"/>
    <w:rsid w:val="5AF42BC7"/>
    <w:rsid w:val="5AF70A51"/>
    <w:rsid w:val="5B084A0C"/>
    <w:rsid w:val="5B0950EB"/>
    <w:rsid w:val="5B1769FD"/>
    <w:rsid w:val="5B1B0888"/>
    <w:rsid w:val="5B1F3B03"/>
    <w:rsid w:val="5B3A7AB8"/>
    <w:rsid w:val="5B4D241F"/>
    <w:rsid w:val="5B501F0F"/>
    <w:rsid w:val="5B5E287E"/>
    <w:rsid w:val="5B6360E6"/>
    <w:rsid w:val="5B64176C"/>
    <w:rsid w:val="5B6D486F"/>
    <w:rsid w:val="5B77791D"/>
    <w:rsid w:val="5B7A6F8C"/>
    <w:rsid w:val="5B7E082A"/>
    <w:rsid w:val="5B8C73EB"/>
    <w:rsid w:val="5B9067AF"/>
    <w:rsid w:val="5B915EEE"/>
    <w:rsid w:val="5B9205D4"/>
    <w:rsid w:val="5B977B3E"/>
    <w:rsid w:val="5B9C20DB"/>
    <w:rsid w:val="5BA32ED4"/>
    <w:rsid w:val="5BAB5397"/>
    <w:rsid w:val="5BB22BCA"/>
    <w:rsid w:val="5BC16969"/>
    <w:rsid w:val="5BC85F49"/>
    <w:rsid w:val="5BC93EA4"/>
    <w:rsid w:val="5BCD17B1"/>
    <w:rsid w:val="5BDA1BC0"/>
    <w:rsid w:val="5BDB5C7C"/>
    <w:rsid w:val="5BE20470"/>
    <w:rsid w:val="5BEC60DC"/>
    <w:rsid w:val="5BED59B0"/>
    <w:rsid w:val="5BF62AB6"/>
    <w:rsid w:val="5BFB42F8"/>
    <w:rsid w:val="5BFB59E7"/>
    <w:rsid w:val="5BFD0E7B"/>
    <w:rsid w:val="5C007491"/>
    <w:rsid w:val="5C14118E"/>
    <w:rsid w:val="5C1B076F"/>
    <w:rsid w:val="5C2018E1"/>
    <w:rsid w:val="5C221AFD"/>
    <w:rsid w:val="5C2238AB"/>
    <w:rsid w:val="5C3B671B"/>
    <w:rsid w:val="5C3E620B"/>
    <w:rsid w:val="5C45126F"/>
    <w:rsid w:val="5C462EAF"/>
    <w:rsid w:val="5C50666A"/>
    <w:rsid w:val="5C5A3793"/>
    <w:rsid w:val="5C5F173A"/>
    <w:rsid w:val="5C600C41"/>
    <w:rsid w:val="5C657420"/>
    <w:rsid w:val="5C71038F"/>
    <w:rsid w:val="5C7A6246"/>
    <w:rsid w:val="5C7B120D"/>
    <w:rsid w:val="5C7D31D8"/>
    <w:rsid w:val="5C8C51C9"/>
    <w:rsid w:val="5C9D71DA"/>
    <w:rsid w:val="5CAC586B"/>
    <w:rsid w:val="5CAE3391"/>
    <w:rsid w:val="5CB169DD"/>
    <w:rsid w:val="5CBA122E"/>
    <w:rsid w:val="5CBC4731"/>
    <w:rsid w:val="5CD268D5"/>
    <w:rsid w:val="5CD4565B"/>
    <w:rsid w:val="5CDB4FE6"/>
    <w:rsid w:val="5CDC7EFE"/>
    <w:rsid w:val="5CE2303B"/>
    <w:rsid w:val="5CE84AF5"/>
    <w:rsid w:val="5CF214D0"/>
    <w:rsid w:val="5CF4729D"/>
    <w:rsid w:val="5CF54B1C"/>
    <w:rsid w:val="5D0631CD"/>
    <w:rsid w:val="5D0D6ABA"/>
    <w:rsid w:val="5D192F00"/>
    <w:rsid w:val="5D215911"/>
    <w:rsid w:val="5D2673CB"/>
    <w:rsid w:val="5D2D69AC"/>
    <w:rsid w:val="5D2E6FEF"/>
    <w:rsid w:val="5D370EBC"/>
    <w:rsid w:val="5D3E3A06"/>
    <w:rsid w:val="5D470374"/>
    <w:rsid w:val="5D530128"/>
    <w:rsid w:val="5D5850AB"/>
    <w:rsid w:val="5D5E6B65"/>
    <w:rsid w:val="5D775E79"/>
    <w:rsid w:val="5D852344"/>
    <w:rsid w:val="5D8E02C3"/>
    <w:rsid w:val="5D9C143B"/>
    <w:rsid w:val="5D9E6F62"/>
    <w:rsid w:val="5DA622BA"/>
    <w:rsid w:val="5DB239C4"/>
    <w:rsid w:val="5DBA7B13"/>
    <w:rsid w:val="5DBB5D65"/>
    <w:rsid w:val="5DBC388C"/>
    <w:rsid w:val="5DC8746B"/>
    <w:rsid w:val="5DCA4203"/>
    <w:rsid w:val="5DEA37ED"/>
    <w:rsid w:val="5DFB7E08"/>
    <w:rsid w:val="5E016FC7"/>
    <w:rsid w:val="5E047F4B"/>
    <w:rsid w:val="5E057EB1"/>
    <w:rsid w:val="5E115985"/>
    <w:rsid w:val="5E1216FE"/>
    <w:rsid w:val="5E1611EE"/>
    <w:rsid w:val="5E196F30"/>
    <w:rsid w:val="5E1E4546"/>
    <w:rsid w:val="5E231B5D"/>
    <w:rsid w:val="5E421FE3"/>
    <w:rsid w:val="5E4E70C6"/>
    <w:rsid w:val="5E5A37D0"/>
    <w:rsid w:val="5E6315EA"/>
    <w:rsid w:val="5E653F23"/>
    <w:rsid w:val="5E67476D"/>
    <w:rsid w:val="5E760CC6"/>
    <w:rsid w:val="5E8C7702"/>
    <w:rsid w:val="5E8E0B78"/>
    <w:rsid w:val="5E9510CF"/>
    <w:rsid w:val="5EA42C9D"/>
    <w:rsid w:val="5EA44A4C"/>
    <w:rsid w:val="5EB21D38"/>
    <w:rsid w:val="5EB6477F"/>
    <w:rsid w:val="5EBF1885"/>
    <w:rsid w:val="5EC21376"/>
    <w:rsid w:val="5EC75BAB"/>
    <w:rsid w:val="5ED05841"/>
    <w:rsid w:val="5ED74E21"/>
    <w:rsid w:val="5EE96902"/>
    <w:rsid w:val="5EF35656"/>
    <w:rsid w:val="5EFB03E4"/>
    <w:rsid w:val="5F073306"/>
    <w:rsid w:val="5F225970"/>
    <w:rsid w:val="5F243C26"/>
    <w:rsid w:val="5F24793A"/>
    <w:rsid w:val="5F251C1C"/>
    <w:rsid w:val="5F36141C"/>
    <w:rsid w:val="5F3F396F"/>
    <w:rsid w:val="5F434264"/>
    <w:rsid w:val="5F577D10"/>
    <w:rsid w:val="5F5875E4"/>
    <w:rsid w:val="5F5C70D4"/>
    <w:rsid w:val="5F5F73B9"/>
    <w:rsid w:val="5F6076DB"/>
    <w:rsid w:val="5F6D308F"/>
    <w:rsid w:val="5F73441E"/>
    <w:rsid w:val="5F750196"/>
    <w:rsid w:val="5F797C86"/>
    <w:rsid w:val="5F7D704B"/>
    <w:rsid w:val="5F7F7267"/>
    <w:rsid w:val="5F816B3B"/>
    <w:rsid w:val="5F8B79B9"/>
    <w:rsid w:val="5F8F3CA2"/>
    <w:rsid w:val="5F950838"/>
    <w:rsid w:val="5F9B4B6A"/>
    <w:rsid w:val="5F9D43EE"/>
    <w:rsid w:val="5FA55479"/>
    <w:rsid w:val="5FAB005C"/>
    <w:rsid w:val="5FAD7930"/>
    <w:rsid w:val="5FB46F10"/>
    <w:rsid w:val="5FB7255D"/>
    <w:rsid w:val="5FB76A00"/>
    <w:rsid w:val="5FB9411A"/>
    <w:rsid w:val="5FC058B5"/>
    <w:rsid w:val="5FC52ECB"/>
    <w:rsid w:val="5FDA20D0"/>
    <w:rsid w:val="5FDF3861"/>
    <w:rsid w:val="5FE1048F"/>
    <w:rsid w:val="5FEB4D16"/>
    <w:rsid w:val="5FED5F7E"/>
    <w:rsid w:val="5FED63F6"/>
    <w:rsid w:val="5FF13CC0"/>
    <w:rsid w:val="5FF92B75"/>
    <w:rsid w:val="60045493"/>
    <w:rsid w:val="600D4872"/>
    <w:rsid w:val="601C4AB5"/>
    <w:rsid w:val="601C6864"/>
    <w:rsid w:val="6028345A"/>
    <w:rsid w:val="60343BAD"/>
    <w:rsid w:val="60395667"/>
    <w:rsid w:val="60480506"/>
    <w:rsid w:val="604E7158"/>
    <w:rsid w:val="60597AB8"/>
    <w:rsid w:val="60634492"/>
    <w:rsid w:val="6065645C"/>
    <w:rsid w:val="60673F83"/>
    <w:rsid w:val="60687CFB"/>
    <w:rsid w:val="606C3347"/>
    <w:rsid w:val="6071159A"/>
    <w:rsid w:val="60765F74"/>
    <w:rsid w:val="60830691"/>
    <w:rsid w:val="6089214B"/>
    <w:rsid w:val="60A056E7"/>
    <w:rsid w:val="60A31B19"/>
    <w:rsid w:val="60A46F85"/>
    <w:rsid w:val="60A710C0"/>
    <w:rsid w:val="60AC7BE7"/>
    <w:rsid w:val="60B371C8"/>
    <w:rsid w:val="60CA62C0"/>
    <w:rsid w:val="60CE3C62"/>
    <w:rsid w:val="60D3786A"/>
    <w:rsid w:val="60D55390"/>
    <w:rsid w:val="60E23609"/>
    <w:rsid w:val="60EA0710"/>
    <w:rsid w:val="60EB4BB4"/>
    <w:rsid w:val="60F0507E"/>
    <w:rsid w:val="60F5158E"/>
    <w:rsid w:val="60F8107F"/>
    <w:rsid w:val="60FD0443"/>
    <w:rsid w:val="61077514"/>
    <w:rsid w:val="610C0686"/>
    <w:rsid w:val="61120392"/>
    <w:rsid w:val="611539DF"/>
    <w:rsid w:val="6115578D"/>
    <w:rsid w:val="611A0140"/>
    <w:rsid w:val="611A0FF5"/>
    <w:rsid w:val="611A7247"/>
    <w:rsid w:val="612620F2"/>
    <w:rsid w:val="612754C0"/>
    <w:rsid w:val="61312681"/>
    <w:rsid w:val="61333E65"/>
    <w:rsid w:val="61382B6E"/>
    <w:rsid w:val="61393311"/>
    <w:rsid w:val="61442516"/>
    <w:rsid w:val="61451322"/>
    <w:rsid w:val="614C0CAD"/>
    <w:rsid w:val="615C785F"/>
    <w:rsid w:val="616C6FE3"/>
    <w:rsid w:val="617526CF"/>
    <w:rsid w:val="61791C70"/>
    <w:rsid w:val="617D1584"/>
    <w:rsid w:val="617D4CFF"/>
    <w:rsid w:val="618172C6"/>
    <w:rsid w:val="618446C0"/>
    <w:rsid w:val="61867B8D"/>
    <w:rsid w:val="618E309E"/>
    <w:rsid w:val="619C1A0A"/>
    <w:rsid w:val="619F14FA"/>
    <w:rsid w:val="61A134C4"/>
    <w:rsid w:val="61A62889"/>
    <w:rsid w:val="61AB7E9F"/>
    <w:rsid w:val="61B41449"/>
    <w:rsid w:val="61B617A7"/>
    <w:rsid w:val="61BC489F"/>
    <w:rsid w:val="61C3168D"/>
    <w:rsid w:val="61C40F61"/>
    <w:rsid w:val="61D03DA9"/>
    <w:rsid w:val="61D119BC"/>
    <w:rsid w:val="61D70C94"/>
    <w:rsid w:val="61E47F27"/>
    <w:rsid w:val="61EB2991"/>
    <w:rsid w:val="61F636C4"/>
    <w:rsid w:val="61FB33CF"/>
    <w:rsid w:val="620852F1"/>
    <w:rsid w:val="6213286B"/>
    <w:rsid w:val="621C5B02"/>
    <w:rsid w:val="621E68C3"/>
    <w:rsid w:val="6223037D"/>
    <w:rsid w:val="62261C1B"/>
    <w:rsid w:val="6239194F"/>
    <w:rsid w:val="62483394"/>
    <w:rsid w:val="6260512D"/>
    <w:rsid w:val="62612C54"/>
    <w:rsid w:val="62650996"/>
    <w:rsid w:val="626562A0"/>
    <w:rsid w:val="626A1B08"/>
    <w:rsid w:val="626B1104"/>
    <w:rsid w:val="627110E9"/>
    <w:rsid w:val="62740BD9"/>
    <w:rsid w:val="62747816"/>
    <w:rsid w:val="62775FD3"/>
    <w:rsid w:val="627E3805"/>
    <w:rsid w:val="6283706E"/>
    <w:rsid w:val="628F68E9"/>
    <w:rsid w:val="628F77C1"/>
    <w:rsid w:val="629848C7"/>
    <w:rsid w:val="62AA63A9"/>
    <w:rsid w:val="62B17737"/>
    <w:rsid w:val="62BA1897"/>
    <w:rsid w:val="62CA25A7"/>
    <w:rsid w:val="62CE11A9"/>
    <w:rsid w:val="62D11B87"/>
    <w:rsid w:val="62D21DAE"/>
    <w:rsid w:val="62D653F0"/>
    <w:rsid w:val="62E47B0C"/>
    <w:rsid w:val="62F12229"/>
    <w:rsid w:val="62FD6475"/>
    <w:rsid w:val="63163A3E"/>
    <w:rsid w:val="631A52DC"/>
    <w:rsid w:val="631B12A8"/>
    <w:rsid w:val="631F0B45"/>
    <w:rsid w:val="6320666B"/>
    <w:rsid w:val="63293771"/>
    <w:rsid w:val="632C3261"/>
    <w:rsid w:val="632E0D88"/>
    <w:rsid w:val="633B5F5A"/>
    <w:rsid w:val="633F4D43"/>
    <w:rsid w:val="635A0D1C"/>
    <w:rsid w:val="635A392B"/>
    <w:rsid w:val="636B3D8A"/>
    <w:rsid w:val="63750765"/>
    <w:rsid w:val="637A221F"/>
    <w:rsid w:val="638766EA"/>
    <w:rsid w:val="638F6A62"/>
    <w:rsid w:val="63901267"/>
    <w:rsid w:val="639130C5"/>
    <w:rsid w:val="6393508F"/>
    <w:rsid w:val="63950E07"/>
    <w:rsid w:val="63A92B04"/>
    <w:rsid w:val="63B05C41"/>
    <w:rsid w:val="63BA086D"/>
    <w:rsid w:val="63C35974"/>
    <w:rsid w:val="63D538F9"/>
    <w:rsid w:val="63D95197"/>
    <w:rsid w:val="63DF02D4"/>
    <w:rsid w:val="63E279EC"/>
    <w:rsid w:val="63E31B72"/>
    <w:rsid w:val="63EB0A27"/>
    <w:rsid w:val="63F47FE4"/>
    <w:rsid w:val="63F773CC"/>
    <w:rsid w:val="63FD6018"/>
    <w:rsid w:val="6401024A"/>
    <w:rsid w:val="640B731B"/>
    <w:rsid w:val="640D6BEF"/>
    <w:rsid w:val="640E1B35"/>
    <w:rsid w:val="6410048D"/>
    <w:rsid w:val="642503DD"/>
    <w:rsid w:val="642B176B"/>
    <w:rsid w:val="643248A8"/>
    <w:rsid w:val="6439475A"/>
    <w:rsid w:val="643C1282"/>
    <w:rsid w:val="643E3180"/>
    <w:rsid w:val="64430863"/>
    <w:rsid w:val="644840CB"/>
    <w:rsid w:val="64590086"/>
    <w:rsid w:val="645E744B"/>
    <w:rsid w:val="6463123F"/>
    <w:rsid w:val="64632CB3"/>
    <w:rsid w:val="6465428E"/>
    <w:rsid w:val="64721148"/>
    <w:rsid w:val="64734D3E"/>
    <w:rsid w:val="647414DA"/>
    <w:rsid w:val="648669A1"/>
    <w:rsid w:val="64942E6C"/>
    <w:rsid w:val="64947310"/>
    <w:rsid w:val="64A66831"/>
    <w:rsid w:val="64A70DF2"/>
    <w:rsid w:val="64BE0654"/>
    <w:rsid w:val="64D616D7"/>
    <w:rsid w:val="64D836A1"/>
    <w:rsid w:val="64E02555"/>
    <w:rsid w:val="64E0408C"/>
    <w:rsid w:val="64E5191A"/>
    <w:rsid w:val="64F41B5D"/>
    <w:rsid w:val="64F61D79"/>
    <w:rsid w:val="64F71AB3"/>
    <w:rsid w:val="65031149"/>
    <w:rsid w:val="65037FF2"/>
    <w:rsid w:val="65075D34"/>
    <w:rsid w:val="65077E41"/>
    <w:rsid w:val="650C334B"/>
    <w:rsid w:val="650D2C1F"/>
    <w:rsid w:val="65110961"/>
    <w:rsid w:val="65150451"/>
    <w:rsid w:val="652135B9"/>
    <w:rsid w:val="65292BE2"/>
    <w:rsid w:val="652C7549"/>
    <w:rsid w:val="65384140"/>
    <w:rsid w:val="654B373B"/>
    <w:rsid w:val="654E3963"/>
    <w:rsid w:val="65515201"/>
    <w:rsid w:val="6554084E"/>
    <w:rsid w:val="655E275C"/>
    <w:rsid w:val="65640A91"/>
    <w:rsid w:val="65654809"/>
    <w:rsid w:val="656B1A72"/>
    <w:rsid w:val="656B62C3"/>
    <w:rsid w:val="65705687"/>
    <w:rsid w:val="65757142"/>
    <w:rsid w:val="65864EAB"/>
    <w:rsid w:val="658E1FB1"/>
    <w:rsid w:val="65A608BC"/>
    <w:rsid w:val="65B136B2"/>
    <w:rsid w:val="65B512EC"/>
    <w:rsid w:val="65BA6903"/>
    <w:rsid w:val="65C71020"/>
    <w:rsid w:val="65CC6636"/>
    <w:rsid w:val="65D07B0C"/>
    <w:rsid w:val="65D132FB"/>
    <w:rsid w:val="65D335CC"/>
    <w:rsid w:val="65D66F23"/>
    <w:rsid w:val="65DC2D1D"/>
    <w:rsid w:val="65DE53F6"/>
    <w:rsid w:val="65E63B9C"/>
    <w:rsid w:val="65ED4F2A"/>
    <w:rsid w:val="65F067C8"/>
    <w:rsid w:val="65F52031"/>
    <w:rsid w:val="660202AA"/>
    <w:rsid w:val="66025468"/>
    <w:rsid w:val="660414F9"/>
    <w:rsid w:val="660718F0"/>
    <w:rsid w:val="66074953"/>
    <w:rsid w:val="660B02F6"/>
    <w:rsid w:val="66154481"/>
    <w:rsid w:val="66214BD4"/>
    <w:rsid w:val="662B5A52"/>
    <w:rsid w:val="6632293D"/>
    <w:rsid w:val="66373AC9"/>
    <w:rsid w:val="663D7BCC"/>
    <w:rsid w:val="664457FD"/>
    <w:rsid w:val="66456209"/>
    <w:rsid w:val="664A237C"/>
    <w:rsid w:val="664B7760"/>
    <w:rsid w:val="66552ACF"/>
    <w:rsid w:val="665B6338"/>
    <w:rsid w:val="66613283"/>
    <w:rsid w:val="66630D48"/>
    <w:rsid w:val="66652D12"/>
    <w:rsid w:val="66682803"/>
    <w:rsid w:val="666C2F5C"/>
    <w:rsid w:val="666F1DE3"/>
    <w:rsid w:val="66723681"/>
    <w:rsid w:val="667A42E4"/>
    <w:rsid w:val="66976C44"/>
    <w:rsid w:val="669B2BD8"/>
    <w:rsid w:val="66A01E6F"/>
    <w:rsid w:val="66A01F9C"/>
    <w:rsid w:val="66A03D4A"/>
    <w:rsid w:val="66A7157D"/>
    <w:rsid w:val="66AA4BC9"/>
    <w:rsid w:val="66AB0941"/>
    <w:rsid w:val="66C814F3"/>
    <w:rsid w:val="66CA0DC7"/>
    <w:rsid w:val="66D02156"/>
    <w:rsid w:val="66D460EA"/>
    <w:rsid w:val="66DA2F4D"/>
    <w:rsid w:val="66DF4C41"/>
    <w:rsid w:val="66F44096"/>
    <w:rsid w:val="66F75934"/>
    <w:rsid w:val="66F83B86"/>
    <w:rsid w:val="66FD6985"/>
    <w:rsid w:val="67112E9A"/>
    <w:rsid w:val="6715402C"/>
    <w:rsid w:val="6716225F"/>
    <w:rsid w:val="67185FD7"/>
    <w:rsid w:val="671D539B"/>
    <w:rsid w:val="673335DC"/>
    <w:rsid w:val="673F7A07"/>
    <w:rsid w:val="67472418"/>
    <w:rsid w:val="674B0C82"/>
    <w:rsid w:val="67566AFF"/>
    <w:rsid w:val="675744C0"/>
    <w:rsid w:val="67582877"/>
    <w:rsid w:val="67584625"/>
    <w:rsid w:val="675B2367"/>
    <w:rsid w:val="675B5EC3"/>
    <w:rsid w:val="675D3A4F"/>
    <w:rsid w:val="67662B31"/>
    <w:rsid w:val="67676E89"/>
    <w:rsid w:val="67694A84"/>
    <w:rsid w:val="676E37C1"/>
    <w:rsid w:val="67712053"/>
    <w:rsid w:val="67786A75"/>
    <w:rsid w:val="677D408C"/>
    <w:rsid w:val="67817BD3"/>
    <w:rsid w:val="67825B46"/>
    <w:rsid w:val="679715F1"/>
    <w:rsid w:val="679F04A6"/>
    <w:rsid w:val="67A34B94"/>
    <w:rsid w:val="67AA7DA2"/>
    <w:rsid w:val="67AC2BC3"/>
    <w:rsid w:val="67B1772D"/>
    <w:rsid w:val="67BD6B7E"/>
    <w:rsid w:val="67BF615D"/>
    <w:rsid w:val="67C717AB"/>
    <w:rsid w:val="67D0240D"/>
    <w:rsid w:val="67D30150"/>
    <w:rsid w:val="67DA08F2"/>
    <w:rsid w:val="67EA5092"/>
    <w:rsid w:val="67F02AB0"/>
    <w:rsid w:val="67F95923"/>
    <w:rsid w:val="67FB68A8"/>
    <w:rsid w:val="67FF2CF3"/>
    <w:rsid w:val="680B1697"/>
    <w:rsid w:val="680D3662"/>
    <w:rsid w:val="680E0513"/>
    <w:rsid w:val="6817628E"/>
    <w:rsid w:val="68183DB4"/>
    <w:rsid w:val="681C6DDC"/>
    <w:rsid w:val="68290671"/>
    <w:rsid w:val="682B3AE8"/>
    <w:rsid w:val="6838144E"/>
    <w:rsid w:val="683C7AA3"/>
    <w:rsid w:val="68464DC5"/>
    <w:rsid w:val="684C543F"/>
    <w:rsid w:val="685968A7"/>
    <w:rsid w:val="685A05F3"/>
    <w:rsid w:val="685C1EF3"/>
    <w:rsid w:val="685D7846"/>
    <w:rsid w:val="686139AD"/>
    <w:rsid w:val="68617509"/>
    <w:rsid w:val="68684D3C"/>
    <w:rsid w:val="68784853"/>
    <w:rsid w:val="687C4343"/>
    <w:rsid w:val="68863414"/>
    <w:rsid w:val="688C0519"/>
    <w:rsid w:val="688D02FE"/>
    <w:rsid w:val="688F22C8"/>
    <w:rsid w:val="689618A9"/>
    <w:rsid w:val="68A33FC6"/>
    <w:rsid w:val="68AA7398"/>
    <w:rsid w:val="68AF296B"/>
    <w:rsid w:val="68B03FED"/>
    <w:rsid w:val="68B23E78"/>
    <w:rsid w:val="68BA274F"/>
    <w:rsid w:val="68CC52CB"/>
    <w:rsid w:val="68EA5751"/>
    <w:rsid w:val="690031C6"/>
    <w:rsid w:val="69036813"/>
    <w:rsid w:val="690802CD"/>
    <w:rsid w:val="691B3B5C"/>
    <w:rsid w:val="69295A12"/>
    <w:rsid w:val="692E469B"/>
    <w:rsid w:val="693E784B"/>
    <w:rsid w:val="696A6FE9"/>
    <w:rsid w:val="6976016E"/>
    <w:rsid w:val="697E40EB"/>
    <w:rsid w:val="69825989"/>
    <w:rsid w:val="69894F6A"/>
    <w:rsid w:val="698F00A6"/>
    <w:rsid w:val="69937B96"/>
    <w:rsid w:val="69973F02"/>
    <w:rsid w:val="699A724E"/>
    <w:rsid w:val="699B4C9D"/>
    <w:rsid w:val="699E14D7"/>
    <w:rsid w:val="699E5C54"/>
    <w:rsid w:val="69A41DA4"/>
    <w:rsid w:val="69A55B1C"/>
    <w:rsid w:val="69C67F6C"/>
    <w:rsid w:val="69CA10DE"/>
    <w:rsid w:val="69DF4B8A"/>
    <w:rsid w:val="69E06B54"/>
    <w:rsid w:val="69E179C2"/>
    <w:rsid w:val="69E2467A"/>
    <w:rsid w:val="69EC54F9"/>
    <w:rsid w:val="6A0C16F7"/>
    <w:rsid w:val="6A162576"/>
    <w:rsid w:val="6A1862EE"/>
    <w:rsid w:val="6A1A02B8"/>
    <w:rsid w:val="6A274783"/>
    <w:rsid w:val="6A2922A9"/>
    <w:rsid w:val="6A301889"/>
    <w:rsid w:val="6A3D3FA6"/>
    <w:rsid w:val="6A492459"/>
    <w:rsid w:val="6A4D41E9"/>
    <w:rsid w:val="6A535578"/>
    <w:rsid w:val="6A5D6751"/>
    <w:rsid w:val="6A6B466F"/>
    <w:rsid w:val="6A70612A"/>
    <w:rsid w:val="6A723C50"/>
    <w:rsid w:val="6A7A6FA8"/>
    <w:rsid w:val="6A7C4ACE"/>
    <w:rsid w:val="6A7F20EE"/>
    <w:rsid w:val="6A955B90"/>
    <w:rsid w:val="6A9E2C97"/>
    <w:rsid w:val="6AA06A0F"/>
    <w:rsid w:val="6AA858C3"/>
    <w:rsid w:val="6AD246EE"/>
    <w:rsid w:val="6AD2649C"/>
    <w:rsid w:val="6AD92158"/>
    <w:rsid w:val="6AEB3A02"/>
    <w:rsid w:val="6AF12F2B"/>
    <w:rsid w:val="6AF503DD"/>
    <w:rsid w:val="6AF97ECD"/>
    <w:rsid w:val="6B056872"/>
    <w:rsid w:val="6B080441"/>
    <w:rsid w:val="6B0B19AE"/>
    <w:rsid w:val="6B0D4C86"/>
    <w:rsid w:val="6B0F76F1"/>
    <w:rsid w:val="6B256F14"/>
    <w:rsid w:val="6B2A62D8"/>
    <w:rsid w:val="6B321631"/>
    <w:rsid w:val="6B391278"/>
    <w:rsid w:val="6B476E8A"/>
    <w:rsid w:val="6B494D1D"/>
    <w:rsid w:val="6B59096C"/>
    <w:rsid w:val="6B5C045C"/>
    <w:rsid w:val="6B686544"/>
    <w:rsid w:val="6B817D5D"/>
    <w:rsid w:val="6B8C2AEF"/>
    <w:rsid w:val="6B8C3281"/>
    <w:rsid w:val="6B8D6867"/>
    <w:rsid w:val="6B901C87"/>
    <w:rsid w:val="6B9145AA"/>
    <w:rsid w:val="6B9876E6"/>
    <w:rsid w:val="6B9B71D6"/>
    <w:rsid w:val="6BBB054D"/>
    <w:rsid w:val="6BCC55E2"/>
    <w:rsid w:val="6BCF0C2E"/>
    <w:rsid w:val="6BD526E8"/>
    <w:rsid w:val="6BE20961"/>
    <w:rsid w:val="6BE446D9"/>
    <w:rsid w:val="6BEC17E0"/>
    <w:rsid w:val="6BF012D0"/>
    <w:rsid w:val="6BF80185"/>
    <w:rsid w:val="6C057FF2"/>
    <w:rsid w:val="6C0E1756"/>
    <w:rsid w:val="6C134FBF"/>
    <w:rsid w:val="6C164AAF"/>
    <w:rsid w:val="6C25217A"/>
    <w:rsid w:val="6C264CF2"/>
    <w:rsid w:val="6C3C0EA7"/>
    <w:rsid w:val="6C450EF0"/>
    <w:rsid w:val="6C4909E0"/>
    <w:rsid w:val="6C496C32"/>
    <w:rsid w:val="6C5E57D7"/>
    <w:rsid w:val="6C6E48EB"/>
    <w:rsid w:val="6C6E7FF0"/>
    <w:rsid w:val="6C841A18"/>
    <w:rsid w:val="6C844C00"/>
    <w:rsid w:val="6C8E2897"/>
    <w:rsid w:val="6CA125CA"/>
    <w:rsid w:val="6CA4030D"/>
    <w:rsid w:val="6CB13A16"/>
    <w:rsid w:val="6CB41B16"/>
    <w:rsid w:val="6CB542C8"/>
    <w:rsid w:val="6CB57E24"/>
    <w:rsid w:val="6CC369E5"/>
    <w:rsid w:val="6CC54282"/>
    <w:rsid w:val="6CCD1611"/>
    <w:rsid w:val="6CD9769F"/>
    <w:rsid w:val="6CDA788A"/>
    <w:rsid w:val="6CEB5F3B"/>
    <w:rsid w:val="6CF51FA2"/>
    <w:rsid w:val="6D0448B3"/>
    <w:rsid w:val="6D08089B"/>
    <w:rsid w:val="6D116900"/>
    <w:rsid w:val="6D140FEE"/>
    <w:rsid w:val="6D142D9C"/>
    <w:rsid w:val="6D1F7993"/>
    <w:rsid w:val="6D203E37"/>
    <w:rsid w:val="6D237483"/>
    <w:rsid w:val="6D2E4BAB"/>
    <w:rsid w:val="6D2F00AE"/>
    <w:rsid w:val="6D301BA0"/>
    <w:rsid w:val="6D396CA7"/>
    <w:rsid w:val="6D3B2A1F"/>
    <w:rsid w:val="6D4A2C62"/>
    <w:rsid w:val="6D567859"/>
    <w:rsid w:val="6D592EA5"/>
    <w:rsid w:val="6D6B4986"/>
    <w:rsid w:val="6D716441"/>
    <w:rsid w:val="6D761CA9"/>
    <w:rsid w:val="6D785A21"/>
    <w:rsid w:val="6D91263F"/>
    <w:rsid w:val="6D935ECE"/>
    <w:rsid w:val="6D9767D9"/>
    <w:rsid w:val="6DA72DE1"/>
    <w:rsid w:val="6DB222F9"/>
    <w:rsid w:val="6DB620A5"/>
    <w:rsid w:val="6DBE0F5A"/>
    <w:rsid w:val="6DCE5641"/>
    <w:rsid w:val="6DD15131"/>
    <w:rsid w:val="6DD30EA9"/>
    <w:rsid w:val="6DDD7632"/>
    <w:rsid w:val="6DDE33AA"/>
    <w:rsid w:val="6E01724F"/>
    <w:rsid w:val="6E070B53"/>
    <w:rsid w:val="6E17270A"/>
    <w:rsid w:val="6E1B015A"/>
    <w:rsid w:val="6E1F5E9D"/>
    <w:rsid w:val="6E3F02ED"/>
    <w:rsid w:val="6E407BC1"/>
    <w:rsid w:val="6E5C0E9F"/>
    <w:rsid w:val="6E6C09B6"/>
    <w:rsid w:val="6E763C49"/>
    <w:rsid w:val="6E804461"/>
    <w:rsid w:val="6E8757F0"/>
    <w:rsid w:val="6E91041D"/>
    <w:rsid w:val="6E9817AB"/>
    <w:rsid w:val="6E9C573F"/>
    <w:rsid w:val="6EAB6FA9"/>
    <w:rsid w:val="6EC95E08"/>
    <w:rsid w:val="6ED177DA"/>
    <w:rsid w:val="6ED77165"/>
    <w:rsid w:val="6EDB1CF6"/>
    <w:rsid w:val="6EDC1FE0"/>
    <w:rsid w:val="6EDC35ED"/>
    <w:rsid w:val="6EDC5B3C"/>
    <w:rsid w:val="6EDF73DA"/>
    <w:rsid w:val="6EF15B11"/>
    <w:rsid w:val="6EFB71CA"/>
    <w:rsid w:val="6EFC61DE"/>
    <w:rsid w:val="6F034B31"/>
    <w:rsid w:val="6F085736"/>
    <w:rsid w:val="6F086931"/>
    <w:rsid w:val="6F0F0944"/>
    <w:rsid w:val="6F1057E5"/>
    <w:rsid w:val="6F1D56DB"/>
    <w:rsid w:val="6F1F1ECC"/>
    <w:rsid w:val="6F26325B"/>
    <w:rsid w:val="6F2914EE"/>
    <w:rsid w:val="6F307C36"/>
    <w:rsid w:val="6F333FFC"/>
    <w:rsid w:val="6F345978"/>
    <w:rsid w:val="6F380267"/>
    <w:rsid w:val="6F410095"/>
    <w:rsid w:val="6F547DB4"/>
    <w:rsid w:val="6F6325CC"/>
    <w:rsid w:val="6F686A54"/>
    <w:rsid w:val="6F6F63DF"/>
    <w:rsid w:val="6F7A7103"/>
    <w:rsid w:val="6F881507"/>
    <w:rsid w:val="6F9401C4"/>
    <w:rsid w:val="6FA25934"/>
    <w:rsid w:val="6FA66085"/>
    <w:rsid w:val="6FA81EC2"/>
    <w:rsid w:val="6FB3610E"/>
    <w:rsid w:val="6FC14D32"/>
    <w:rsid w:val="6FCE7B7A"/>
    <w:rsid w:val="6FCF38F2"/>
    <w:rsid w:val="6FD20682"/>
    <w:rsid w:val="6FD66A2F"/>
    <w:rsid w:val="6FDB3510"/>
    <w:rsid w:val="6FDD7DBD"/>
    <w:rsid w:val="6FDE1F16"/>
    <w:rsid w:val="700A0487"/>
    <w:rsid w:val="700E441B"/>
    <w:rsid w:val="7015387B"/>
    <w:rsid w:val="701B6B38"/>
    <w:rsid w:val="701D28B0"/>
    <w:rsid w:val="70221C74"/>
    <w:rsid w:val="702B09E5"/>
    <w:rsid w:val="703219A0"/>
    <w:rsid w:val="7036571F"/>
    <w:rsid w:val="70384FF4"/>
    <w:rsid w:val="703A1840"/>
    <w:rsid w:val="703B0F88"/>
    <w:rsid w:val="704D6CAF"/>
    <w:rsid w:val="705160B5"/>
    <w:rsid w:val="705362D1"/>
    <w:rsid w:val="705B72E1"/>
    <w:rsid w:val="70616C6C"/>
    <w:rsid w:val="707D334E"/>
    <w:rsid w:val="70853FB1"/>
    <w:rsid w:val="70862203"/>
    <w:rsid w:val="70877D29"/>
    <w:rsid w:val="70893AA1"/>
    <w:rsid w:val="708C3591"/>
    <w:rsid w:val="709661BE"/>
    <w:rsid w:val="70977146"/>
    <w:rsid w:val="70980188"/>
    <w:rsid w:val="709B37D5"/>
    <w:rsid w:val="709B5583"/>
    <w:rsid w:val="70AA7C2E"/>
    <w:rsid w:val="70BD7BEF"/>
    <w:rsid w:val="70C04FE9"/>
    <w:rsid w:val="70CA3E8B"/>
    <w:rsid w:val="70CB2853"/>
    <w:rsid w:val="70D171F6"/>
    <w:rsid w:val="70D6480D"/>
    <w:rsid w:val="70D93433"/>
    <w:rsid w:val="70DC0B34"/>
    <w:rsid w:val="70E417C4"/>
    <w:rsid w:val="70E84C6C"/>
    <w:rsid w:val="70E909E4"/>
    <w:rsid w:val="70F80C27"/>
    <w:rsid w:val="70FD016F"/>
    <w:rsid w:val="710812D5"/>
    <w:rsid w:val="710B44B6"/>
    <w:rsid w:val="711315BD"/>
    <w:rsid w:val="71347EB1"/>
    <w:rsid w:val="7137174F"/>
    <w:rsid w:val="713F6856"/>
    <w:rsid w:val="71400858"/>
    <w:rsid w:val="714275DF"/>
    <w:rsid w:val="71463740"/>
    <w:rsid w:val="71467BE4"/>
    <w:rsid w:val="7148570A"/>
    <w:rsid w:val="71520244"/>
    <w:rsid w:val="71520337"/>
    <w:rsid w:val="71632544"/>
    <w:rsid w:val="716562BC"/>
    <w:rsid w:val="71662034"/>
    <w:rsid w:val="71692C8E"/>
    <w:rsid w:val="716D33C3"/>
    <w:rsid w:val="716F713B"/>
    <w:rsid w:val="717A163C"/>
    <w:rsid w:val="71817E25"/>
    <w:rsid w:val="718C1A9B"/>
    <w:rsid w:val="71926986"/>
    <w:rsid w:val="719A3A8C"/>
    <w:rsid w:val="719C7804"/>
    <w:rsid w:val="71A52B5D"/>
    <w:rsid w:val="71A62431"/>
    <w:rsid w:val="71BA3C77"/>
    <w:rsid w:val="71BE59CD"/>
    <w:rsid w:val="71C01745"/>
    <w:rsid w:val="71C736AA"/>
    <w:rsid w:val="71C8684B"/>
    <w:rsid w:val="71CB1E97"/>
    <w:rsid w:val="71CD298B"/>
    <w:rsid w:val="71D21478"/>
    <w:rsid w:val="71D451F0"/>
    <w:rsid w:val="71DC5E53"/>
    <w:rsid w:val="71E2790D"/>
    <w:rsid w:val="71E44BEA"/>
    <w:rsid w:val="71E60A7F"/>
    <w:rsid w:val="71EC253A"/>
    <w:rsid w:val="71F15DA2"/>
    <w:rsid w:val="71F413EE"/>
    <w:rsid w:val="72000C97"/>
    <w:rsid w:val="72031631"/>
    <w:rsid w:val="721B1B84"/>
    <w:rsid w:val="72312642"/>
    <w:rsid w:val="723839D1"/>
    <w:rsid w:val="72473C14"/>
    <w:rsid w:val="72477770"/>
    <w:rsid w:val="724B2010"/>
    <w:rsid w:val="724D3886"/>
    <w:rsid w:val="724E6D50"/>
    <w:rsid w:val="72516841"/>
    <w:rsid w:val="72524823"/>
    <w:rsid w:val="72563E57"/>
    <w:rsid w:val="726227FC"/>
    <w:rsid w:val="726B668A"/>
    <w:rsid w:val="727D3192"/>
    <w:rsid w:val="727F0ABA"/>
    <w:rsid w:val="729A01E8"/>
    <w:rsid w:val="729F135A"/>
    <w:rsid w:val="72AC1CC9"/>
    <w:rsid w:val="72B44948"/>
    <w:rsid w:val="72B55021"/>
    <w:rsid w:val="72C10EE4"/>
    <w:rsid w:val="72C139C6"/>
    <w:rsid w:val="72D51220"/>
    <w:rsid w:val="72E01922"/>
    <w:rsid w:val="72F1592E"/>
    <w:rsid w:val="72F86CBC"/>
    <w:rsid w:val="73037F0B"/>
    <w:rsid w:val="730833A3"/>
    <w:rsid w:val="730E64E0"/>
    <w:rsid w:val="731D6723"/>
    <w:rsid w:val="731E2BC7"/>
    <w:rsid w:val="731F249B"/>
    <w:rsid w:val="73216213"/>
    <w:rsid w:val="732C3097"/>
    <w:rsid w:val="732E26DE"/>
    <w:rsid w:val="733046A8"/>
    <w:rsid w:val="73334198"/>
    <w:rsid w:val="733A5527"/>
    <w:rsid w:val="734F0FD2"/>
    <w:rsid w:val="73522870"/>
    <w:rsid w:val="7389655B"/>
    <w:rsid w:val="739C1D3D"/>
    <w:rsid w:val="73A53748"/>
    <w:rsid w:val="73A66718"/>
    <w:rsid w:val="73B250BD"/>
    <w:rsid w:val="73B40E35"/>
    <w:rsid w:val="73CA3785"/>
    <w:rsid w:val="73CD1667"/>
    <w:rsid w:val="73D67598"/>
    <w:rsid w:val="73D749AB"/>
    <w:rsid w:val="73EF4563"/>
    <w:rsid w:val="73F751C6"/>
    <w:rsid w:val="74035919"/>
    <w:rsid w:val="74221C16"/>
    <w:rsid w:val="74251D33"/>
    <w:rsid w:val="7428537F"/>
    <w:rsid w:val="742C597A"/>
    <w:rsid w:val="742F670E"/>
    <w:rsid w:val="74393A30"/>
    <w:rsid w:val="7440091B"/>
    <w:rsid w:val="7443040B"/>
    <w:rsid w:val="744E17E0"/>
    <w:rsid w:val="74570DEB"/>
    <w:rsid w:val="74582108"/>
    <w:rsid w:val="745B7503"/>
    <w:rsid w:val="745C5273"/>
    <w:rsid w:val="745D0776"/>
    <w:rsid w:val="745F3497"/>
    <w:rsid w:val="746074FC"/>
    <w:rsid w:val="74663604"/>
    <w:rsid w:val="74681C20"/>
    <w:rsid w:val="74714F78"/>
    <w:rsid w:val="747C4B95"/>
    <w:rsid w:val="748527D2"/>
    <w:rsid w:val="74890514"/>
    <w:rsid w:val="748C170D"/>
    <w:rsid w:val="748C3B60"/>
    <w:rsid w:val="7499002B"/>
    <w:rsid w:val="749B1FF5"/>
    <w:rsid w:val="74A0585D"/>
    <w:rsid w:val="74B10200"/>
    <w:rsid w:val="74C27582"/>
    <w:rsid w:val="74C303AA"/>
    <w:rsid w:val="74C4154C"/>
    <w:rsid w:val="74C50E20"/>
    <w:rsid w:val="74D23FB8"/>
    <w:rsid w:val="74D6302D"/>
    <w:rsid w:val="74D774D1"/>
    <w:rsid w:val="74DA48CB"/>
    <w:rsid w:val="74DD616A"/>
    <w:rsid w:val="74DF1EE2"/>
    <w:rsid w:val="74F55BA9"/>
    <w:rsid w:val="74FA31C0"/>
    <w:rsid w:val="750202C6"/>
    <w:rsid w:val="75032ADF"/>
    <w:rsid w:val="75063912"/>
    <w:rsid w:val="751C3136"/>
    <w:rsid w:val="75241F9B"/>
    <w:rsid w:val="75241FEA"/>
    <w:rsid w:val="75265D63"/>
    <w:rsid w:val="75295853"/>
    <w:rsid w:val="752B077B"/>
    <w:rsid w:val="752E10BB"/>
    <w:rsid w:val="75306550"/>
    <w:rsid w:val="75322959"/>
    <w:rsid w:val="753366D1"/>
    <w:rsid w:val="75371D1E"/>
    <w:rsid w:val="75410DEE"/>
    <w:rsid w:val="75466405"/>
    <w:rsid w:val="754F533B"/>
    <w:rsid w:val="75512308"/>
    <w:rsid w:val="7557416E"/>
    <w:rsid w:val="75644542"/>
    <w:rsid w:val="757271FA"/>
    <w:rsid w:val="757F403F"/>
    <w:rsid w:val="75840CDB"/>
    <w:rsid w:val="759365F4"/>
    <w:rsid w:val="75970A0E"/>
    <w:rsid w:val="75994786"/>
    <w:rsid w:val="75A31161"/>
    <w:rsid w:val="75B0387E"/>
    <w:rsid w:val="75B23626"/>
    <w:rsid w:val="75B46B29"/>
    <w:rsid w:val="75C537CD"/>
    <w:rsid w:val="75C630A2"/>
    <w:rsid w:val="75CD4430"/>
    <w:rsid w:val="75CF01A8"/>
    <w:rsid w:val="75DA08FB"/>
    <w:rsid w:val="75E63744"/>
    <w:rsid w:val="75F00F0C"/>
    <w:rsid w:val="75F23E97"/>
    <w:rsid w:val="75F37912"/>
    <w:rsid w:val="75F83D9A"/>
    <w:rsid w:val="75FC2F67"/>
    <w:rsid w:val="75FE5C9B"/>
    <w:rsid w:val="75FF7EA2"/>
    <w:rsid w:val="760342F6"/>
    <w:rsid w:val="76037E52"/>
    <w:rsid w:val="760A5684"/>
    <w:rsid w:val="762027B2"/>
    <w:rsid w:val="76257DC8"/>
    <w:rsid w:val="762D3121"/>
    <w:rsid w:val="763613CC"/>
    <w:rsid w:val="763C3364"/>
    <w:rsid w:val="765267AB"/>
    <w:rsid w:val="76592B3A"/>
    <w:rsid w:val="765C57B4"/>
    <w:rsid w:val="76654669"/>
    <w:rsid w:val="766C59F7"/>
    <w:rsid w:val="766D194C"/>
    <w:rsid w:val="766F3739"/>
    <w:rsid w:val="76764AC8"/>
    <w:rsid w:val="76796366"/>
    <w:rsid w:val="767B797D"/>
    <w:rsid w:val="76870EAD"/>
    <w:rsid w:val="76876CD5"/>
    <w:rsid w:val="768D4D1F"/>
    <w:rsid w:val="769B008A"/>
    <w:rsid w:val="76A07D97"/>
    <w:rsid w:val="76A35191"/>
    <w:rsid w:val="76A809F9"/>
    <w:rsid w:val="76AC2297"/>
    <w:rsid w:val="76B07CC5"/>
    <w:rsid w:val="76B41F4F"/>
    <w:rsid w:val="76B850E0"/>
    <w:rsid w:val="76BD6FDB"/>
    <w:rsid w:val="76CA0970"/>
    <w:rsid w:val="76CA6BC2"/>
    <w:rsid w:val="76D25C7C"/>
    <w:rsid w:val="76D35A76"/>
    <w:rsid w:val="76E00193"/>
    <w:rsid w:val="76E91124"/>
    <w:rsid w:val="76F123A0"/>
    <w:rsid w:val="76F2356F"/>
    <w:rsid w:val="76F81981"/>
    <w:rsid w:val="76FB0145"/>
    <w:rsid w:val="770025E3"/>
    <w:rsid w:val="77057BFA"/>
    <w:rsid w:val="77091498"/>
    <w:rsid w:val="770E6AAE"/>
    <w:rsid w:val="77277B70"/>
    <w:rsid w:val="77373422"/>
    <w:rsid w:val="773A7224"/>
    <w:rsid w:val="773C7083"/>
    <w:rsid w:val="773D7394"/>
    <w:rsid w:val="77416E84"/>
    <w:rsid w:val="77446974"/>
    <w:rsid w:val="77493F8A"/>
    <w:rsid w:val="774B7D02"/>
    <w:rsid w:val="77521CC0"/>
    <w:rsid w:val="77534E09"/>
    <w:rsid w:val="77626DFA"/>
    <w:rsid w:val="776C7C79"/>
    <w:rsid w:val="776D5ECB"/>
    <w:rsid w:val="77701517"/>
    <w:rsid w:val="77770AF7"/>
    <w:rsid w:val="777D1E86"/>
    <w:rsid w:val="777F79AC"/>
    <w:rsid w:val="77843214"/>
    <w:rsid w:val="77854826"/>
    <w:rsid w:val="77894387"/>
    <w:rsid w:val="778C10EB"/>
    <w:rsid w:val="779E40CB"/>
    <w:rsid w:val="77A075CE"/>
    <w:rsid w:val="77A13DC6"/>
    <w:rsid w:val="77A94A29"/>
    <w:rsid w:val="77AB69F3"/>
    <w:rsid w:val="77BC475C"/>
    <w:rsid w:val="77C16C09"/>
    <w:rsid w:val="77C27899"/>
    <w:rsid w:val="77C35AEB"/>
    <w:rsid w:val="77CB499F"/>
    <w:rsid w:val="77E45A61"/>
    <w:rsid w:val="77EA751B"/>
    <w:rsid w:val="77EB3293"/>
    <w:rsid w:val="77EC54CF"/>
    <w:rsid w:val="77ED76CD"/>
    <w:rsid w:val="77EF2BD0"/>
    <w:rsid w:val="780E2ADE"/>
    <w:rsid w:val="78126A72"/>
    <w:rsid w:val="781C169F"/>
    <w:rsid w:val="781E71C5"/>
    <w:rsid w:val="783C3AEF"/>
    <w:rsid w:val="783C589D"/>
    <w:rsid w:val="7840713B"/>
    <w:rsid w:val="78436C2C"/>
    <w:rsid w:val="7847671C"/>
    <w:rsid w:val="785030F6"/>
    <w:rsid w:val="785173F2"/>
    <w:rsid w:val="78520C1D"/>
    <w:rsid w:val="785B3F75"/>
    <w:rsid w:val="785B5495"/>
    <w:rsid w:val="78615304"/>
    <w:rsid w:val="786A065C"/>
    <w:rsid w:val="787B4617"/>
    <w:rsid w:val="78807F3E"/>
    <w:rsid w:val="78880AE2"/>
    <w:rsid w:val="789456D9"/>
    <w:rsid w:val="789B0816"/>
    <w:rsid w:val="78A029F4"/>
    <w:rsid w:val="78BE62B2"/>
    <w:rsid w:val="78DF4BA6"/>
    <w:rsid w:val="78E55F35"/>
    <w:rsid w:val="78EA354B"/>
    <w:rsid w:val="78F14D7D"/>
    <w:rsid w:val="78FA7C0B"/>
    <w:rsid w:val="78FB12B4"/>
    <w:rsid w:val="78FB1E09"/>
    <w:rsid w:val="79030169"/>
    <w:rsid w:val="790C526F"/>
    <w:rsid w:val="790E2D96"/>
    <w:rsid w:val="79144124"/>
    <w:rsid w:val="79197BA1"/>
    <w:rsid w:val="791B54B2"/>
    <w:rsid w:val="791E4FA3"/>
    <w:rsid w:val="79294ED6"/>
    <w:rsid w:val="792C76C0"/>
    <w:rsid w:val="79382508"/>
    <w:rsid w:val="7940316B"/>
    <w:rsid w:val="79473C49"/>
    <w:rsid w:val="794E5888"/>
    <w:rsid w:val="795E2CD5"/>
    <w:rsid w:val="797177C8"/>
    <w:rsid w:val="798017B9"/>
    <w:rsid w:val="798553D8"/>
    <w:rsid w:val="79892D64"/>
    <w:rsid w:val="79907C4E"/>
    <w:rsid w:val="79990A0D"/>
    <w:rsid w:val="79A11E5C"/>
    <w:rsid w:val="79A951B4"/>
    <w:rsid w:val="79AB4A88"/>
    <w:rsid w:val="79AC25AE"/>
    <w:rsid w:val="79B31B8F"/>
    <w:rsid w:val="79B576B5"/>
    <w:rsid w:val="79CA0EFF"/>
    <w:rsid w:val="79D264B9"/>
    <w:rsid w:val="79D42883"/>
    <w:rsid w:val="79D7762B"/>
    <w:rsid w:val="79D917F7"/>
    <w:rsid w:val="79E34305"/>
    <w:rsid w:val="79E93C90"/>
    <w:rsid w:val="79E955B1"/>
    <w:rsid w:val="79F458A4"/>
    <w:rsid w:val="79F91C98"/>
    <w:rsid w:val="7A20416A"/>
    <w:rsid w:val="7A236D15"/>
    <w:rsid w:val="7A3525A4"/>
    <w:rsid w:val="7A3902E6"/>
    <w:rsid w:val="7A396538"/>
    <w:rsid w:val="7A3A405E"/>
    <w:rsid w:val="7A480529"/>
    <w:rsid w:val="7A4B0019"/>
    <w:rsid w:val="7A516828"/>
    <w:rsid w:val="7A6C67E7"/>
    <w:rsid w:val="7A771C84"/>
    <w:rsid w:val="7A990D85"/>
    <w:rsid w:val="7A992B33"/>
    <w:rsid w:val="7A9E639B"/>
    <w:rsid w:val="7AA634A2"/>
    <w:rsid w:val="7AAD65DE"/>
    <w:rsid w:val="7AB12572"/>
    <w:rsid w:val="7ABB519F"/>
    <w:rsid w:val="7ACF29F8"/>
    <w:rsid w:val="7ADE49EA"/>
    <w:rsid w:val="7AF1471D"/>
    <w:rsid w:val="7AF95CC7"/>
    <w:rsid w:val="7AFA7350"/>
    <w:rsid w:val="7B024B7C"/>
    <w:rsid w:val="7B0E1773"/>
    <w:rsid w:val="7B1228E5"/>
    <w:rsid w:val="7B1511FF"/>
    <w:rsid w:val="7B152B01"/>
    <w:rsid w:val="7B256ABC"/>
    <w:rsid w:val="7B2A7E9F"/>
    <w:rsid w:val="7B2C0E24"/>
    <w:rsid w:val="7B2E5971"/>
    <w:rsid w:val="7B3A4316"/>
    <w:rsid w:val="7B4056A4"/>
    <w:rsid w:val="7B430CF1"/>
    <w:rsid w:val="7B5A5E7E"/>
    <w:rsid w:val="7B5A6470"/>
    <w:rsid w:val="7B5D1DB2"/>
    <w:rsid w:val="7B69553D"/>
    <w:rsid w:val="7B707D38"/>
    <w:rsid w:val="7B7315D6"/>
    <w:rsid w:val="7B80502B"/>
    <w:rsid w:val="7B892BA7"/>
    <w:rsid w:val="7B954FD0"/>
    <w:rsid w:val="7B9B0B2D"/>
    <w:rsid w:val="7B9F205C"/>
    <w:rsid w:val="7BA577E9"/>
    <w:rsid w:val="7BA9149B"/>
    <w:rsid w:val="7BB340C8"/>
    <w:rsid w:val="7BBB4D2B"/>
    <w:rsid w:val="7BC4009E"/>
    <w:rsid w:val="7BC6204D"/>
    <w:rsid w:val="7BC71922"/>
    <w:rsid w:val="7BCB7A29"/>
    <w:rsid w:val="7BCC0CE6"/>
    <w:rsid w:val="7BD52290"/>
    <w:rsid w:val="7BD86D3E"/>
    <w:rsid w:val="7BDF310F"/>
    <w:rsid w:val="7BEB46DA"/>
    <w:rsid w:val="7BEE5100"/>
    <w:rsid w:val="7BEE6EAE"/>
    <w:rsid w:val="7BF00B62"/>
    <w:rsid w:val="7BF11E66"/>
    <w:rsid w:val="7BF56674"/>
    <w:rsid w:val="7C0B180E"/>
    <w:rsid w:val="7C0B7A60"/>
    <w:rsid w:val="7C120DEF"/>
    <w:rsid w:val="7C122B9D"/>
    <w:rsid w:val="7C224DAA"/>
    <w:rsid w:val="7C2823C0"/>
    <w:rsid w:val="7C2F7BF3"/>
    <w:rsid w:val="7C39281F"/>
    <w:rsid w:val="7C4A4A2C"/>
    <w:rsid w:val="7C551376"/>
    <w:rsid w:val="7C56760C"/>
    <w:rsid w:val="7C5B09E8"/>
    <w:rsid w:val="7C635AEE"/>
    <w:rsid w:val="7C66738C"/>
    <w:rsid w:val="7C765821"/>
    <w:rsid w:val="7C776EA4"/>
    <w:rsid w:val="7C80044E"/>
    <w:rsid w:val="7C841B13"/>
    <w:rsid w:val="7C965F62"/>
    <w:rsid w:val="7C977546"/>
    <w:rsid w:val="7C9F5482"/>
    <w:rsid w:val="7CBB68FF"/>
    <w:rsid w:val="7CCD2F68"/>
    <w:rsid w:val="7CD50193"/>
    <w:rsid w:val="7CD662C0"/>
    <w:rsid w:val="7CDF7EE6"/>
    <w:rsid w:val="7CEE6886"/>
    <w:rsid w:val="7CF5040F"/>
    <w:rsid w:val="7CF61714"/>
    <w:rsid w:val="7D006E99"/>
    <w:rsid w:val="7D0C3A90"/>
    <w:rsid w:val="7D142945"/>
    <w:rsid w:val="7D1666BD"/>
    <w:rsid w:val="7D380D29"/>
    <w:rsid w:val="7D3D1E9B"/>
    <w:rsid w:val="7D3E5C13"/>
    <w:rsid w:val="7D474AC8"/>
    <w:rsid w:val="7D495510"/>
    <w:rsid w:val="7D511DEB"/>
    <w:rsid w:val="7D5947FB"/>
    <w:rsid w:val="7D5B4A17"/>
    <w:rsid w:val="7D5E45BC"/>
    <w:rsid w:val="7D6E474B"/>
    <w:rsid w:val="7D861EFD"/>
    <w:rsid w:val="7D910439"/>
    <w:rsid w:val="7D9341B1"/>
    <w:rsid w:val="7D9615AC"/>
    <w:rsid w:val="7D99109C"/>
    <w:rsid w:val="7D9B4E14"/>
    <w:rsid w:val="7DB3215D"/>
    <w:rsid w:val="7DC00DDD"/>
    <w:rsid w:val="7DDC354F"/>
    <w:rsid w:val="7DE20400"/>
    <w:rsid w:val="7DE844FD"/>
    <w:rsid w:val="7DF033B2"/>
    <w:rsid w:val="7DF53835"/>
    <w:rsid w:val="7E062BD5"/>
    <w:rsid w:val="7E12157A"/>
    <w:rsid w:val="7E134122"/>
    <w:rsid w:val="7E1A3F8B"/>
    <w:rsid w:val="7E1C7D03"/>
    <w:rsid w:val="7E215319"/>
    <w:rsid w:val="7E244E09"/>
    <w:rsid w:val="7E4313B6"/>
    <w:rsid w:val="7E486D4A"/>
    <w:rsid w:val="7E4F1946"/>
    <w:rsid w:val="7E53749D"/>
    <w:rsid w:val="7E5A4CCF"/>
    <w:rsid w:val="7E6416AA"/>
    <w:rsid w:val="7E66156B"/>
    <w:rsid w:val="7E6D67B0"/>
    <w:rsid w:val="7E6F4ECB"/>
    <w:rsid w:val="7E75623E"/>
    <w:rsid w:val="7E81225C"/>
    <w:rsid w:val="7E857F9E"/>
    <w:rsid w:val="7E957AB5"/>
    <w:rsid w:val="7EA87DD3"/>
    <w:rsid w:val="7EB937A4"/>
    <w:rsid w:val="7EC62364"/>
    <w:rsid w:val="7ED4682F"/>
    <w:rsid w:val="7EE03426"/>
    <w:rsid w:val="7EE8052D"/>
    <w:rsid w:val="7EF16F50"/>
    <w:rsid w:val="7EF42A2E"/>
    <w:rsid w:val="7F032C71"/>
    <w:rsid w:val="7F101A04"/>
    <w:rsid w:val="7F107902"/>
    <w:rsid w:val="7F2351A1"/>
    <w:rsid w:val="7F2826D7"/>
    <w:rsid w:val="7F2E7865"/>
    <w:rsid w:val="7F2F22B8"/>
    <w:rsid w:val="7F301CB5"/>
    <w:rsid w:val="7F35093E"/>
    <w:rsid w:val="7F390D88"/>
    <w:rsid w:val="7F392BC8"/>
    <w:rsid w:val="7F413799"/>
    <w:rsid w:val="7F4B6D8D"/>
    <w:rsid w:val="7F5A2B9E"/>
    <w:rsid w:val="7F5C05D3"/>
    <w:rsid w:val="7F5E7584"/>
    <w:rsid w:val="7F604567"/>
    <w:rsid w:val="7F62208D"/>
    <w:rsid w:val="7F656F0F"/>
    <w:rsid w:val="7F7927BD"/>
    <w:rsid w:val="7F867444"/>
    <w:rsid w:val="7F954211"/>
    <w:rsid w:val="7F9E2999"/>
    <w:rsid w:val="7F9F6E3D"/>
    <w:rsid w:val="7FA02BB5"/>
    <w:rsid w:val="7FA2248A"/>
    <w:rsid w:val="7FAA7590"/>
    <w:rsid w:val="7FBE4DEA"/>
    <w:rsid w:val="7FC317DF"/>
    <w:rsid w:val="7FCC7507"/>
    <w:rsid w:val="7FD34D39"/>
    <w:rsid w:val="7FDB3BED"/>
    <w:rsid w:val="7FDD34C2"/>
    <w:rsid w:val="7FE9455C"/>
    <w:rsid w:val="7FF4079D"/>
    <w:rsid w:val="7FF54CAF"/>
    <w:rsid w:val="7FF96C3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18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18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190"/>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19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19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19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19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19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unhideWhenUsed/>
    <w:qFormat/>
    <w:uiPriority w:val="1"/>
  </w:style>
  <w:style w:type="table" w:default="1" w:styleId="4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link w:val="189"/>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196"/>
    <w:qFormat/>
    <w:uiPriority w:val="0"/>
    <w:pPr>
      <w:shd w:val="clear" w:color="auto" w:fill="000080"/>
    </w:pPr>
  </w:style>
  <w:style w:type="paragraph" w:styleId="15">
    <w:name w:val="annotation text"/>
    <w:basedOn w:val="1"/>
    <w:link w:val="197"/>
    <w:qFormat/>
    <w:uiPriority w:val="99"/>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1"/>
      <w:lang w:val="en-US" w:eastAsia="zh-CN" w:bidi="ar"/>
    </w:rPr>
  </w:style>
  <w:style w:type="paragraph" w:styleId="16">
    <w:name w:val="Body Text 3"/>
    <w:basedOn w:val="1"/>
    <w:link w:val="198"/>
    <w:qFormat/>
    <w:uiPriority w:val="0"/>
    <w:pPr>
      <w:spacing w:after="120"/>
    </w:pPr>
    <w:rPr>
      <w:sz w:val="16"/>
      <w:szCs w:val="16"/>
    </w:rPr>
  </w:style>
  <w:style w:type="paragraph" w:styleId="17">
    <w:name w:val="Body Text"/>
    <w:basedOn w:val="1"/>
    <w:next w:val="18"/>
    <w:link w:val="199"/>
    <w:qFormat/>
    <w:uiPriority w:val="0"/>
    <w:pPr>
      <w:tabs>
        <w:tab w:val="left" w:pos="567"/>
      </w:tabs>
      <w:spacing w:before="120" w:line="22" w:lineRule="atLeast"/>
    </w:pPr>
    <w:rPr>
      <w:rFonts w:ascii="宋体" w:hAnsi="宋体"/>
      <w:sz w:val="24"/>
    </w:rPr>
  </w:style>
  <w:style w:type="paragraph" w:styleId="18">
    <w:name w:val="Body Text 2"/>
    <w:basedOn w:val="1"/>
    <w:qFormat/>
    <w:uiPriority w:val="0"/>
    <w:pPr>
      <w:spacing w:line="360" w:lineRule="auto"/>
    </w:pPr>
    <w:rPr>
      <w:sz w:val="28"/>
    </w:rPr>
  </w:style>
  <w:style w:type="paragraph" w:styleId="19">
    <w:name w:val="Body Text Indent"/>
    <w:basedOn w:val="1"/>
    <w:link w:val="200"/>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1"/>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02"/>
    <w:qFormat/>
    <w:uiPriority w:val="0"/>
    <w:pPr>
      <w:ind w:left="100" w:leftChars="2500"/>
    </w:pPr>
    <w:rPr>
      <w:rFonts w:ascii="仿宋_GB2312" w:hAnsi="宋体" w:eastAsia="仿宋_GB2312"/>
      <w:color w:val="000000"/>
      <w:sz w:val="24"/>
    </w:rPr>
  </w:style>
  <w:style w:type="paragraph" w:styleId="27">
    <w:name w:val="Body Text Indent 2"/>
    <w:basedOn w:val="1"/>
    <w:link w:val="203"/>
    <w:qFormat/>
    <w:uiPriority w:val="0"/>
    <w:pPr>
      <w:ind w:firstLine="480" w:firstLineChars="200"/>
    </w:pPr>
    <w:rPr>
      <w:rFonts w:ascii="仿宋_GB2312" w:eastAsia="仿宋_GB2312"/>
      <w:sz w:val="24"/>
    </w:rPr>
  </w:style>
  <w:style w:type="paragraph" w:styleId="28">
    <w:name w:val="Balloon Text"/>
    <w:basedOn w:val="1"/>
    <w:link w:val="204"/>
    <w:qFormat/>
    <w:uiPriority w:val="0"/>
    <w:rPr>
      <w:sz w:val="18"/>
      <w:szCs w:val="18"/>
    </w:rPr>
  </w:style>
  <w:style w:type="paragraph" w:styleId="29">
    <w:name w:val="footer"/>
    <w:basedOn w:val="1"/>
    <w:link w:val="20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206"/>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0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0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209"/>
    <w:qFormat/>
    <w:uiPriority w:val="0"/>
    <w:pPr>
      <w:jc w:val="center"/>
      <w:outlineLvl w:val="0"/>
    </w:pPr>
    <w:rPr>
      <w:b/>
      <w:sz w:val="32"/>
      <w:szCs w:val="20"/>
    </w:rPr>
  </w:style>
  <w:style w:type="paragraph" w:styleId="41">
    <w:name w:val="annotation subject"/>
    <w:basedOn w:val="15"/>
    <w:next w:val="15"/>
    <w:link w:val="210"/>
    <w:qFormat/>
    <w:uiPriority w:val="0"/>
    <w:rPr>
      <w:b/>
      <w:bCs/>
    </w:rPr>
  </w:style>
  <w:style w:type="paragraph" w:styleId="42">
    <w:name w:val="Body Text First Indent"/>
    <w:basedOn w:val="17"/>
    <w:next w:val="43"/>
    <w:qFormat/>
    <w:uiPriority w:val="0"/>
    <w:pPr>
      <w:ind w:firstLine="560" w:firstLineChars="200"/>
    </w:pPr>
    <w:rPr>
      <w:rFonts w:hint="eastAsia" w:ascii="仿宋_GB2312" w:hAnsi="宋体" w:eastAsia="仿宋_GB2312"/>
      <w:sz w:val="28"/>
      <w:szCs w:val="20"/>
    </w:rPr>
  </w:style>
  <w:style w:type="paragraph" w:styleId="43">
    <w:name w:val="Body Text First Indent 2"/>
    <w:basedOn w:val="19"/>
    <w:link w:val="211"/>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paragraph" w:customStyle="1" w:styleId="55">
    <w:name w:val="样式1"/>
    <w:basedOn w:val="1"/>
    <w:qFormat/>
    <w:uiPriority w:val="0"/>
    <w:pPr>
      <w:widowControl/>
      <w:spacing w:line="240" w:lineRule="auto"/>
      <w:ind w:firstLine="0" w:firstLineChars="0"/>
      <w:jc w:val="center"/>
    </w:pPr>
    <w:rPr>
      <w:rFonts w:ascii="Times New Roman" w:hAnsi="Times New Roman" w:eastAsia="宋体"/>
      <w:kern w:val="0"/>
      <w:sz w:val="21"/>
      <w:szCs w:val="21"/>
    </w:rPr>
  </w:style>
  <w:style w:type="paragraph" w:customStyle="1" w:styleId="56">
    <w:name w:val="注释"/>
    <w:basedOn w:val="1"/>
    <w:link w:val="215"/>
    <w:qFormat/>
    <w:uiPriority w:val="0"/>
    <w:pPr>
      <w:adjustRightInd w:val="0"/>
      <w:snapToGrid w:val="0"/>
      <w:ind w:left="420" w:hanging="420" w:hangingChars="200"/>
      <w:jc w:val="left"/>
    </w:pPr>
    <w:rPr>
      <w:rFonts w:ascii="宋体" w:hAnsi="宋体"/>
      <w:szCs w:val="21"/>
    </w:rPr>
  </w:style>
  <w:style w:type="paragraph" w:customStyle="1" w:styleId="57">
    <w:name w:val="正文文本缩进1"/>
    <w:basedOn w:val="1"/>
    <w:link w:val="221"/>
    <w:qFormat/>
    <w:uiPriority w:val="0"/>
    <w:pPr>
      <w:spacing w:line="480" w:lineRule="exact"/>
      <w:ind w:firstLine="480" w:firstLineChars="200"/>
    </w:pPr>
    <w:rPr>
      <w:rFonts w:ascii="宋体" w:hAnsi="宋体"/>
      <w:kern w:val="0"/>
      <w:sz w:val="24"/>
    </w:rPr>
  </w:style>
  <w:style w:type="paragraph" w:customStyle="1" w:styleId="58">
    <w:name w:val="正文大标题"/>
    <w:basedOn w:val="59"/>
    <w:next w:val="5"/>
    <w:link w:val="224"/>
    <w:qFormat/>
    <w:uiPriority w:val="0"/>
    <w:pPr>
      <w:jc w:val="center"/>
    </w:pPr>
    <w:rPr>
      <w:i w:val="0"/>
      <w:color w:val="000000"/>
      <w:sz w:val="28"/>
      <w:szCs w:val="21"/>
    </w:rPr>
  </w:style>
  <w:style w:type="paragraph" w:customStyle="1" w:styleId="59">
    <w:name w:val="正文小标题"/>
    <w:basedOn w:val="1"/>
    <w:next w:val="5"/>
    <w:link w:val="22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paragraph" w:styleId="60">
    <w:name w:val="List Paragraph"/>
    <w:basedOn w:val="1"/>
    <w:link w:val="227"/>
    <w:qFormat/>
    <w:uiPriority w:val="34"/>
    <w:pPr>
      <w:ind w:firstLine="420" w:firstLineChars="200"/>
    </w:pPr>
    <w:rPr>
      <w:rFonts w:ascii="Calibri" w:hAnsi="Calibri"/>
      <w:szCs w:val="22"/>
    </w:rPr>
  </w:style>
  <w:style w:type="paragraph" w:customStyle="1" w:styleId="61">
    <w:name w:val="正文格式"/>
    <w:basedOn w:val="1"/>
    <w:link w:val="228"/>
    <w:qFormat/>
    <w:uiPriority w:val="0"/>
    <w:pPr>
      <w:spacing w:beforeLines="50" w:line="360" w:lineRule="auto"/>
      <w:ind w:firstLine="480" w:firstLineChars="200"/>
    </w:pPr>
    <w:rPr>
      <w:rFonts w:ascii="宋体" w:hAnsi="宋体"/>
      <w:kern w:val="0"/>
      <w:sz w:val="24"/>
      <w:lang w:val="en-GB"/>
    </w:rPr>
  </w:style>
  <w:style w:type="paragraph" w:customStyle="1" w:styleId="62">
    <w:name w:val="正文缩进1"/>
    <w:basedOn w:val="1"/>
    <w:link w:val="236"/>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63">
    <w:name w:val="正文表格"/>
    <w:basedOn w:val="1"/>
    <w:link w:val="239"/>
    <w:qFormat/>
    <w:uiPriority w:val="0"/>
    <w:pPr>
      <w:adjustRightInd w:val="0"/>
      <w:snapToGrid w:val="0"/>
      <w:jc w:val="left"/>
    </w:pPr>
    <w:rPr>
      <w:rFonts w:ascii="宋体" w:hAnsi="宋体"/>
      <w:color w:val="000000"/>
      <w:szCs w:val="21"/>
    </w:rPr>
  </w:style>
  <w:style w:type="paragraph" w:customStyle="1" w:styleId="64">
    <w:name w:val="正文重点"/>
    <w:basedOn w:val="1"/>
    <w:link w:val="240"/>
    <w:qFormat/>
    <w:uiPriority w:val="0"/>
    <w:pPr>
      <w:adjustRightInd w:val="0"/>
      <w:spacing w:line="360" w:lineRule="auto"/>
      <w:ind w:firstLine="482" w:firstLineChars="200"/>
      <w:jc w:val="left"/>
      <w:textAlignment w:val="baseline"/>
    </w:pPr>
    <w:rPr>
      <w:b/>
      <w:kern w:val="0"/>
      <w:sz w:val="24"/>
      <w:szCs w:val="20"/>
    </w:rPr>
  </w:style>
  <w:style w:type="paragraph" w:customStyle="1" w:styleId="65">
    <w:name w:val="1"/>
    <w:link w:val="252"/>
    <w:qFormat/>
    <w:uiPriority w:val="0"/>
    <w:rPr>
      <w:rFonts w:ascii="Times New Roman" w:hAnsi="Times New Roman" w:eastAsia="宋体" w:cs="Times New Roman"/>
      <w:kern w:val="2"/>
      <w:sz w:val="21"/>
      <w:szCs w:val="24"/>
      <w:lang w:val="zh-CN" w:eastAsia="zh-CN" w:bidi="ar-SA"/>
    </w:rPr>
  </w:style>
  <w:style w:type="paragraph" w:customStyle="1" w:styleId="66">
    <w:name w:val="Char Char Char1"/>
    <w:basedOn w:val="1"/>
    <w:qFormat/>
    <w:uiPriority w:val="0"/>
    <w:rPr>
      <w:rFonts w:ascii="Tahoma" w:hAnsi="Tahoma"/>
      <w:sz w:val="24"/>
      <w:szCs w:val="20"/>
    </w:rPr>
  </w:style>
  <w:style w:type="paragraph" w:customStyle="1" w:styleId="67">
    <w:name w:val="Char3 Char Char Char"/>
    <w:basedOn w:val="1"/>
    <w:qFormat/>
    <w:uiPriority w:val="0"/>
    <w:rPr>
      <w:rFonts w:ascii="Tahoma" w:hAnsi="Tahoma"/>
      <w:sz w:val="24"/>
      <w:szCs w:val="20"/>
    </w:rPr>
  </w:style>
  <w:style w:type="paragraph" w:customStyle="1" w:styleId="68">
    <w:name w:val="一级条标题"/>
    <w:basedOn w:val="69"/>
    <w:next w:val="1"/>
    <w:qFormat/>
    <w:uiPriority w:val="0"/>
    <w:pPr>
      <w:numPr>
        <w:ilvl w:val="1"/>
      </w:numPr>
      <w:tabs>
        <w:tab w:val="left" w:pos="360"/>
        <w:tab w:val="left" w:pos="840"/>
      </w:tabs>
      <w:ind w:left="0" w:hanging="840"/>
      <w:outlineLvl w:val="1"/>
    </w:pPr>
  </w:style>
  <w:style w:type="paragraph" w:customStyle="1" w:styleId="69">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7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72">
    <w:name w:val="默认段落字体 Para Char Char Char Char"/>
    <w:basedOn w:val="1"/>
    <w:qFormat/>
    <w:uiPriority w:val="0"/>
    <w:rPr>
      <w:rFonts w:ascii="Arial" w:hAnsi="Arial" w:cs="Arial"/>
      <w:szCs w:val="21"/>
    </w:rPr>
  </w:style>
  <w:style w:type="paragraph" w:customStyle="1" w:styleId="73">
    <w:name w:val="二级条标题"/>
    <w:basedOn w:val="68"/>
    <w:next w:val="1"/>
    <w:qFormat/>
    <w:uiPriority w:val="0"/>
    <w:pPr>
      <w:numPr>
        <w:ilvl w:val="0"/>
        <w:numId w:val="0"/>
      </w:numPr>
      <w:ind w:hanging="840"/>
      <w:outlineLvl w:val="2"/>
    </w:pPr>
    <w:rPr>
      <w:rFonts w:ascii="宋体" w:eastAsia="宋体"/>
      <w:b w:val="0"/>
    </w:rPr>
  </w:style>
  <w:style w:type="paragraph" w:customStyle="1" w:styleId="7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75">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7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77">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78">
    <w:name w:val="缺省文本"/>
    <w:basedOn w:val="1"/>
    <w:qFormat/>
    <w:uiPriority w:val="0"/>
    <w:pPr>
      <w:autoSpaceDE w:val="0"/>
      <w:autoSpaceDN w:val="0"/>
      <w:adjustRightInd w:val="0"/>
      <w:jc w:val="left"/>
    </w:pPr>
    <w:rPr>
      <w:kern w:val="0"/>
      <w:sz w:val="24"/>
    </w:rPr>
  </w:style>
  <w:style w:type="paragraph" w:customStyle="1" w:styleId="79">
    <w:name w:val="项目编号2"/>
    <w:basedOn w:val="75"/>
    <w:qFormat/>
    <w:uiPriority w:val="0"/>
    <w:pPr>
      <w:numPr>
        <w:numId w:val="3"/>
      </w:numPr>
    </w:pPr>
  </w:style>
  <w:style w:type="paragraph" w:customStyle="1" w:styleId="8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81">
    <w:name w:val="字元 字元"/>
    <w:basedOn w:val="1"/>
    <w:qFormat/>
    <w:uiPriority w:val="0"/>
    <w:rPr>
      <w:rFonts w:ascii="Tahoma" w:hAnsi="Tahoma"/>
      <w:sz w:val="24"/>
      <w:szCs w:val="20"/>
    </w:rPr>
  </w:style>
  <w:style w:type="paragraph" w:customStyle="1" w:styleId="8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83">
    <w:name w:val="图中文字"/>
    <w:basedOn w:val="1"/>
    <w:qFormat/>
    <w:uiPriority w:val="0"/>
    <w:pPr>
      <w:adjustRightInd w:val="0"/>
      <w:snapToGrid w:val="0"/>
      <w:spacing w:line="0" w:lineRule="atLeast"/>
      <w:jc w:val="center"/>
    </w:pPr>
    <w:rPr>
      <w:sz w:val="24"/>
      <w:szCs w:val="20"/>
    </w:rPr>
  </w:style>
  <w:style w:type="paragraph" w:customStyle="1" w:styleId="84">
    <w:name w:val="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四级条标题"/>
    <w:basedOn w:val="87"/>
    <w:next w:val="1"/>
    <w:qFormat/>
    <w:uiPriority w:val="0"/>
    <w:pPr>
      <w:numPr>
        <w:ilvl w:val="4"/>
      </w:numPr>
      <w:tabs>
        <w:tab w:val="left" w:pos="360"/>
        <w:tab w:val="left" w:pos="840"/>
      </w:tabs>
      <w:ind w:left="0" w:hanging="840"/>
      <w:outlineLvl w:val="4"/>
    </w:pPr>
  </w:style>
  <w:style w:type="paragraph" w:customStyle="1" w:styleId="87">
    <w:name w:val="三级条标题"/>
    <w:basedOn w:val="73"/>
    <w:next w:val="1"/>
    <w:qFormat/>
    <w:uiPriority w:val="0"/>
    <w:pPr>
      <w:numPr>
        <w:ilvl w:val="3"/>
        <w:numId w:val="1"/>
      </w:numPr>
      <w:ind w:left="0" w:hanging="840"/>
      <w:outlineLvl w:val="3"/>
    </w:pPr>
  </w:style>
  <w:style w:type="paragraph" w:customStyle="1" w:styleId="88">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样式2"/>
    <w:basedOn w:val="39"/>
    <w:qFormat/>
    <w:uiPriority w:val="0"/>
    <w:pPr>
      <w:spacing w:line="360" w:lineRule="auto"/>
      <w:jc w:val="center"/>
    </w:pPr>
    <w:rPr>
      <w:sz w:val="24"/>
    </w:rPr>
  </w:style>
  <w:style w:type="paragraph" w:customStyle="1" w:styleId="9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五级条标题"/>
    <w:basedOn w:val="86"/>
    <w:next w:val="1"/>
    <w:qFormat/>
    <w:uiPriority w:val="0"/>
    <w:pPr>
      <w:numPr>
        <w:ilvl w:val="5"/>
      </w:numPr>
      <w:ind w:left="0" w:hanging="840"/>
      <w:outlineLvl w:val="5"/>
    </w:pPr>
  </w:style>
  <w:style w:type="paragraph" w:customStyle="1" w:styleId="9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项目符号1"/>
    <w:basedOn w:val="100"/>
    <w:qFormat/>
    <w:uiPriority w:val="0"/>
    <w:pPr>
      <w:ind w:left="-25" w:firstLine="0"/>
    </w:pPr>
  </w:style>
  <w:style w:type="paragraph" w:customStyle="1" w:styleId="100">
    <w:name w:val="正文文本样式"/>
    <w:basedOn w:val="1"/>
    <w:qFormat/>
    <w:uiPriority w:val="0"/>
    <w:pPr>
      <w:spacing w:line="360" w:lineRule="auto"/>
      <w:ind w:firstLine="482"/>
    </w:pPr>
    <w:rPr>
      <w:rFonts w:cs="宋体"/>
      <w:sz w:val="24"/>
      <w:szCs w:val="20"/>
    </w:rPr>
  </w:style>
  <w:style w:type="paragraph" w:customStyle="1" w:styleId="10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0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08">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0">
    <w:name w:val="1名"/>
    <w:basedOn w:val="1"/>
    <w:qFormat/>
    <w:uiPriority w:val="0"/>
    <w:pPr>
      <w:numPr>
        <w:ilvl w:val="0"/>
        <w:numId w:val="4"/>
      </w:numPr>
      <w:spacing w:before="120"/>
    </w:pPr>
    <w:rPr>
      <w:rFonts w:ascii="宋体"/>
      <w:sz w:val="28"/>
      <w:szCs w:val="20"/>
    </w:rPr>
  </w:style>
  <w:style w:type="paragraph" w:customStyle="1" w:styleId="11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13">
    <w:name w:val="font8"/>
    <w:basedOn w:val="1"/>
    <w:qFormat/>
    <w:uiPriority w:val="0"/>
    <w:pPr>
      <w:widowControl/>
      <w:spacing w:before="100" w:beforeAutospacing="1" w:after="100" w:afterAutospacing="1"/>
      <w:jc w:val="left"/>
    </w:pPr>
    <w:rPr>
      <w:kern w:val="0"/>
      <w:sz w:val="36"/>
      <w:szCs w:val="36"/>
    </w:rPr>
  </w:style>
  <w:style w:type="paragraph" w:customStyle="1" w:styleId="114">
    <w:name w:val="Char Char Char Char Char Char Char Char Char Char"/>
    <w:basedOn w:val="1"/>
    <w:qFormat/>
    <w:uiPriority w:val="0"/>
  </w:style>
  <w:style w:type="paragraph" w:customStyle="1" w:styleId="115">
    <w:name w:val="Char"/>
    <w:basedOn w:val="1"/>
    <w:qFormat/>
    <w:uiPriority w:val="0"/>
    <w:pPr>
      <w:tabs>
        <w:tab w:val="left" w:pos="360"/>
      </w:tabs>
    </w:pPr>
    <w:rPr>
      <w:sz w:val="24"/>
    </w:rPr>
  </w:style>
  <w:style w:type="paragraph" w:customStyle="1" w:styleId="116">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8">
    <w:name w:val="Char Char1"/>
    <w:basedOn w:val="14"/>
    <w:qFormat/>
    <w:uiPriority w:val="0"/>
    <w:rPr>
      <w:rFonts w:ascii="Tahoma" w:hAnsi="Tahoma"/>
      <w:sz w:val="24"/>
    </w:rPr>
  </w:style>
  <w:style w:type="paragraph" w:customStyle="1" w:styleId="11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0">
    <w:name w:val="Char1 Char Char Char1"/>
    <w:basedOn w:val="1"/>
    <w:qFormat/>
    <w:uiPriority w:val="0"/>
    <w:rPr>
      <w:rFonts w:ascii="Tahoma" w:hAnsi="Tahoma" w:cs="仿宋_GB2312"/>
      <w:sz w:val="24"/>
      <w:szCs w:val="28"/>
    </w:rPr>
  </w:style>
  <w:style w:type="paragraph" w:customStyle="1" w:styleId="121">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22">
    <w:name w:val="样式 标题 2 + 宋体 五号 行距: 单倍行距"/>
    <w:basedOn w:val="3"/>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2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24">
    <w:name w:val="List Paragraph1"/>
    <w:basedOn w:val="1"/>
    <w:qFormat/>
    <w:uiPriority w:val="0"/>
    <w:pPr>
      <w:ind w:firstLine="420" w:firstLineChars="200"/>
    </w:pPr>
    <w:rPr>
      <w:rFonts w:ascii="Calibri" w:hAnsi="Calibri"/>
      <w:szCs w:val="22"/>
    </w:rPr>
  </w:style>
  <w:style w:type="paragraph" w:customStyle="1" w:styleId="12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Char Char Char1 Char1"/>
    <w:basedOn w:val="1"/>
    <w:qFormat/>
    <w:uiPriority w:val="0"/>
    <w:rPr>
      <w:rFonts w:ascii="Tahoma" w:hAnsi="Tahoma"/>
      <w:sz w:val="24"/>
      <w:szCs w:val="20"/>
    </w:rPr>
  </w:style>
  <w:style w:type="paragraph" w:customStyle="1" w:styleId="132">
    <w:name w:val="Char1"/>
    <w:basedOn w:val="1"/>
    <w:qFormat/>
    <w:uiPriority w:val="0"/>
    <w:pPr>
      <w:tabs>
        <w:tab w:val="left" w:pos="360"/>
      </w:tabs>
    </w:pPr>
    <w:rPr>
      <w:sz w:val="24"/>
    </w:rPr>
  </w:style>
  <w:style w:type="paragraph" w:customStyle="1" w:styleId="133">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5">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3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3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4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1">
    <w:name w:val="正文 + 楷体_GB2312"/>
    <w:basedOn w:val="1"/>
    <w:qFormat/>
    <w:uiPriority w:val="0"/>
    <w:pPr>
      <w:widowControl/>
      <w:jc w:val="left"/>
    </w:pPr>
    <w:rPr>
      <w:rFonts w:ascii="楷体_GB2312" w:eastAsia="楷体_GB2312" w:cs="Arial"/>
      <w:kern w:val="0"/>
      <w:sz w:val="24"/>
    </w:rPr>
  </w:style>
  <w:style w:type="paragraph" w:customStyle="1" w:styleId="14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43">
    <w:name w:val="1 Char Char Char Char"/>
    <w:basedOn w:val="1"/>
    <w:qFormat/>
    <w:uiPriority w:val="0"/>
    <w:rPr>
      <w:rFonts w:ascii="Tahoma" w:hAnsi="Tahoma"/>
      <w:sz w:val="24"/>
      <w:szCs w:val="20"/>
    </w:rPr>
  </w:style>
  <w:style w:type="paragraph" w:customStyle="1" w:styleId="144">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4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46">
    <w:name w:val="列出段落1"/>
    <w:basedOn w:val="1"/>
    <w:qFormat/>
    <w:uiPriority w:val="0"/>
    <w:pPr>
      <w:ind w:firstLine="420" w:firstLineChars="200"/>
    </w:pPr>
    <w:rPr>
      <w:rFonts w:ascii="Calibri" w:hAnsi="Calibri"/>
      <w:szCs w:val="22"/>
    </w:rPr>
  </w:style>
  <w:style w:type="paragraph" w:customStyle="1" w:styleId="147">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8">
    <w:name w:val="字元 字元1"/>
    <w:basedOn w:val="1"/>
    <w:qFormat/>
    <w:uiPriority w:val="0"/>
    <w:rPr>
      <w:rFonts w:ascii="Tahoma" w:hAnsi="Tahoma"/>
      <w:sz w:val="24"/>
      <w:szCs w:val="20"/>
    </w:rPr>
  </w:style>
  <w:style w:type="paragraph" w:customStyle="1" w:styleId="149">
    <w:name w:val="_Style 160"/>
    <w:qFormat/>
    <w:uiPriority w:val="0"/>
    <w:rPr>
      <w:rFonts w:ascii="Times New Roman" w:hAnsi="Times New Roman" w:eastAsia="宋体" w:cs="Times New Roman"/>
      <w:kern w:val="2"/>
      <w:sz w:val="21"/>
      <w:szCs w:val="24"/>
      <w:lang w:val="en-US" w:eastAsia="zh-CN" w:bidi="ar-SA"/>
    </w:rPr>
  </w:style>
  <w:style w:type="paragraph" w:customStyle="1" w:styleId="150">
    <w:name w:val="项目编号3"/>
    <w:basedOn w:val="100"/>
    <w:qFormat/>
    <w:uiPriority w:val="0"/>
    <w:pPr>
      <w:numPr>
        <w:ilvl w:val="0"/>
        <w:numId w:val="6"/>
      </w:numPr>
    </w:pPr>
  </w:style>
  <w:style w:type="paragraph" w:customStyle="1" w:styleId="151">
    <w:name w:val="Char21"/>
    <w:basedOn w:val="1"/>
    <w:qFormat/>
    <w:uiPriority w:val="0"/>
    <w:rPr>
      <w:rFonts w:ascii="Tahoma" w:hAnsi="Tahoma"/>
      <w:sz w:val="24"/>
      <w:szCs w:val="20"/>
    </w:rPr>
  </w:style>
  <w:style w:type="paragraph" w:customStyle="1" w:styleId="152">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153">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54">
    <w:name w:val="Char Char Char Char Char Char Char Char Char Char1"/>
    <w:basedOn w:val="1"/>
    <w:qFormat/>
    <w:uiPriority w:val="0"/>
    <w:rPr>
      <w:rFonts w:ascii="宋体" w:hAnsi="宋体" w:cs="Courier New"/>
      <w:sz w:val="32"/>
      <w:szCs w:val="32"/>
    </w:rPr>
  </w:style>
  <w:style w:type="paragraph" w:customStyle="1" w:styleId="155">
    <w:name w:val="正文文本样式 加粗"/>
    <w:basedOn w:val="100"/>
    <w:qFormat/>
    <w:uiPriority w:val="0"/>
    <w:rPr>
      <w:b/>
    </w:rPr>
  </w:style>
  <w:style w:type="paragraph" w:customStyle="1" w:styleId="15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7">
    <w:name w:val="Char2 Char Char Char Char Char Char"/>
    <w:basedOn w:val="1"/>
    <w:qFormat/>
    <w:uiPriority w:val="0"/>
    <w:pPr>
      <w:widowControl/>
      <w:spacing w:line="400" w:lineRule="exact"/>
      <w:jc w:val="center"/>
    </w:pPr>
  </w:style>
  <w:style w:type="paragraph" w:customStyle="1" w:styleId="158">
    <w:name w:val="Char Char4"/>
    <w:basedOn w:val="1"/>
    <w:qFormat/>
    <w:uiPriority w:val="0"/>
    <w:pPr>
      <w:widowControl/>
      <w:spacing w:line="400" w:lineRule="exact"/>
      <w:jc w:val="center"/>
    </w:pPr>
  </w:style>
  <w:style w:type="paragraph" w:customStyle="1" w:styleId="159">
    <w:name w:val="Char3 Char Char Char1"/>
    <w:basedOn w:val="1"/>
    <w:qFormat/>
    <w:uiPriority w:val="0"/>
    <w:rPr>
      <w:rFonts w:ascii="Tahoma" w:hAnsi="Tahoma"/>
      <w:sz w:val="24"/>
      <w:szCs w:val="20"/>
    </w:rPr>
  </w:style>
  <w:style w:type="paragraph" w:styleId="16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62">
    <w:name w:val="图例"/>
    <w:basedOn w:val="1"/>
    <w:qFormat/>
    <w:uiPriority w:val="0"/>
    <w:pPr>
      <w:spacing w:before="120" w:after="120" w:line="360" w:lineRule="auto"/>
      <w:jc w:val="center"/>
    </w:pPr>
    <w:rPr>
      <w:rFonts w:eastAsia="仿宋_GB2312"/>
      <w:b/>
      <w:sz w:val="24"/>
      <w:szCs w:val="20"/>
    </w:rPr>
  </w:style>
  <w:style w:type="paragraph" w:customStyle="1" w:styleId="163">
    <w:name w:val="图文"/>
    <w:basedOn w:val="1"/>
    <w:qFormat/>
    <w:uiPriority w:val="0"/>
    <w:pPr>
      <w:adjustRightInd w:val="0"/>
      <w:snapToGrid w:val="0"/>
      <w:spacing w:after="50" w:line="360" w:lineRule="auto"/>
    </w:pPr>
    <w:rPr>
      <w:sz w:val="24"/>
    </w:rPr>
  </w:style>
  <w:style w:type="paragraph" w:customStyle="1" w:styleId="164">
    <w:name w:val="Char22"/>
    <w:basedOn w:val="1"/>
    <w:qFormat/>
    <w:uiPriority w:val="0"/>
    <w:rPr>
      <w:rFonts w:ascii="Tahoma" w:hAnsi="Tahoma"/>
      <w:sz w:val="24"/>
      <w:szCs w:val="20"/>
    </w:rPr>
  </w:style>
  <w:style w:type="paragraph" w:customStyle="1" w:styleId="16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66">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167">
    <w:name w:val="标题1-附件"/>
    <w:basedOn w:val="2"/>
    <w:qFormat/>
    <w:uiPriority w:val="0"/>
    <w:pPr>
      <w:jc w:val="left"/>
    </w:pPr>
    <w:rPr>
      <w:sz w:val="24"/>
      <w:szCs w:val="24"/>
    </w:rPr>
  </w:style>
  <w:style w:type="paragraph" w:customStyle="1" w:styleId="168">
    <w:name w:val="Char3"/>
    <w:basedOn w:val="1"/>
    <w:qFormat/>
    <w:uiPriority w:val="0"/>
    <w:pPr>
      <w:tabs>
        <w:tab w:val="left" w:pos="360"/>
      </w:tabs>
    </w:pPr>
    <w:rPr>
      <w:sz w:val="24"/>
    </w:rPr>
  </w:style>
  <w:style w:type="paragraph" w:customStyle="1" w:styleId="169">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70">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71">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paragraph" w:customStyle="1" w:styleId="172">
    <w:name w:val="表格1"/>
    <w:basedOn w:val="1"/>
    <w:qFormat/>
    <w:uiPriority w:val="0"/>
    <w:pPr>
      <w:ind w:firstLine="480" w:firstLineChars="200"/>
      <w:jc w:val="center"/>
    </w:pPr>
    <w:rPr>
      <w:sz w:val="24"/>
      <w:szCs w:val="20"/>
    </w:rPr>
  </w:style>
  <w:style w:type="paragraph" w:customStyle="1" w:styleId="173">
    <w:name w:val="字元 字元2"/>
    <w:basedOn w:val="1"/>
    <w:qFormat/>
    <w:uiPriority w:val="0"/>
    <w:rPr>
      <w:rFonts w:ascii="Tahoma" w:hAnsi="Tahoma"/>
      <w:sz w:val="24"/>
      <w:szCs w:val="20"/>
    </w:rPr>
  </w:style>
  <w:style w:type="paragraph" w:customStyle="1" w:styleId="174">
    <w:name w:val="Char3 Char Char Char2"/>
    <w:basedOn w:val="1"/>
    <w:qFormat/>
    <w:uiPriority w:val="0"/>
    <w:rPr>
      <w:rFonts w:ascii="Tahoma" w:hAnsi="Tahoma"/>
      <w:sz w:val="24"/>
      <w:szCs w:val="20"/>
    </w:rPr>
  </w:style>
  <w:style w:type="paragraph" w:customStyle="1" w:styleId="17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76">
    <w:name w:val="列出段落2"/>
    <w:basedOn w:val="1"/>
    <w:qFormat/>
    <w:uiPriority w:val="0"/>
    <w:pPr>
      <w:ind w:firstLine="420" w:firstLineChars="200"/>
    </w:pPr>
    <w:rPr>
      <w:rFonts w:ascii="Calibri" w:hAnsi="Calibri"/>
      <w:szCs w:val="22"/>
    </w:rPr>
  </w:style>
  <w:style w:type="paragraph" w:customStyle="1" w:styleId="177">
    <w:name w:val="Char Char Char1 Char2"/>
    <w:basedOn w:val="1"/>
    <w:qFormat/>
    <w:uiPriority w:val="0"/>
    <w:rPr>
      <w:rFonts w:ascii="Tahoma" w:hAnsi="Tahoma"/>
      <w:sz w:val="24"/>
      <w:szCs w:val="20"/>
    </w:rPr>
  </w:style>
  <w:style w:type="paragraph" w:customStyle="1" w:styleId="178">
    <w:name w:val="Char Char Char2"/>
    <w:basedOn w:val="1"/>
    <w:qFormat/>
    <w:uiPriority w:val="0"/>
    <w:rPr>
      <w:rFonts w:ascii="Tahoma" w:hAnsi="Tahoma"/>
      <w:sz w:val="24"/>
      <w:szCs w:val="20"/>
    </w:rPr>
  </w:style>
  <w:style w:type="paragraph" w:customStyle="1" w:styleId="17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8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181">
    <w:name w:val="Revision"/>
    <w:qFormat/>
    <w:uiPriority w:val="0"/>
    <w:rPr>
      <w:rFonts w:ascii="Times New Roman" w:hAnsi="Times New Roman" w:eastAsia="宋体" w:cs="Times New Roman"/>
      <w:kern w:val="2"/>
      <w:sz w:val="21"/>
      <w:szCs w:val="24"/>
      <w:lang w:val="en-US" w:eastAsia="zh-CN" w:bidi="ar-SA"/>
    </w:rPr>
  </w:style>
  <w:style w:type="paragraph" w:customStyle="1" w:styleId="182">
    <w:name w:val="Char Char Char Char Char Char Char Char Char Char2"/>
    <w:basedOn w:val="1"/>
    <w:qFormat/>
    <w:uiPriority w:val="0"/>
    <w:rPr>
      <w:rFonts w:ascii="宋体" w:hAnsi="宋体" w:cs="Courier New"/>
      <w:sz w:val="32"/>
      <w:szCs w:val="32"/>
    </w:rPr>
  </w:style>
  <w:style w:type="paragraph" w:customStyle="1" w:styleId="183">
    <w:name w:val="Char2 Char Char Char Char Char Char1"/>
    <w:basedOn w:val="1"/>
    <w:qFormat/>
    <w:uiPriority w:val="0"/>
    <w:pPr>
      <w:widowControl/>
      <w:spacing w:line="400" w:lineRule="exact"/>
      <w:jc w:val="center"/>
    </w:pPr>
  </w:style>
  <w:style w:type="paragraph" w:customStyle="1" w:styleId="184">
    <w:name w:val="Char Char41"/>
    <w:basedOn w:val="1"/>
    <w:qFormat/>
    <w:uiPriority w:val="0"/>
    <w:pPr>
      <w:widowControl/>
      <w:spacing w:line="400" w:lineRule="exact"/>
      <w:jc w:val="center"/>
    </w:pPr>
  </w:style>
  <w:style w:type="paragraph" w:customStyle="1" w:styleId="185">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86">
    <w:name w:val="标题 1 Char"/>
    <w:link w:val="2"/>
    <w:qFormat/>
    <w:uiPriority w:val="0"/>
    <w:rPr>
      <w:rFonts w:ascii="宋体"/>
      <w:b/>
      <w:kern w:val="44"/>
      <w:sz w:val="32"/>
    </w:rPr>
  </w:style>
  <w:style w:type="character" w:customStyle="1" w:styleId="187">
    <w:name w:val="标题 2 Char1"/>
    <w:link w:val="3"/>
    <w:qFormat/>
    <w:uiPriority w:val="0"/>
    <w:rPr>
      <w:rFonts w:ascii="Arial" w:hAnsi="Arial" w:eastAsia="黑体"/>
      <w:b/>
      <w:sz w:val="30"/>
      <w:lang w:val="en-US" w:eastAsia="zh-CN" w:bidi="ar-SA"/>
    </w:rPr>
  </w:style>
  <w:style w:type="character" w:customStyle="1" w:styleId="188">
    <w:name w:val="标题 3 Char1"/>
    <w:link w:val="4"/>
    <w:qFormat/>
    <w:uiPriority w:val="0"/>
    <w:rPr>
      <w:rFonts w:ascii="宋体" w:eastAsia="宋体"/>
      <w:b/>
      <w:sz w:val="24"/>
      <w:u w:val="single"/>
      <w:lang w:val="en-US" w:eastAsia="zh-CN" w:bidi="ar-SA"/>
    </w:rPr>
  </w:style>
  <w:style w:type="character" w:customStyle="1" w:styleId="189">
    <w:name w:val="正文缩进 Char1"/>
    <w:link w:val="5"/>
    <w:qFormat/>
    <w:uiPriority w:val="0"/>
    <w:rPr>
      <w:rFonts w:ascii="宋体" w:eastAsia="宋体"/>
      <w:kern w:val="2"/>
      <w:sz w:val="24"/>
      <w:szCs w:val="24"/>
      <w:lang w:val="en-US" w:eastAsia="zh-CN" w:bidi="ar-SA"/>
    </w:rPr>
  </w:style>
  <w:style w:type="character" w:customStyle="1" w:styleId="190">
    <w:name w:val="标题 4 Char"/>
    <w:link w:val="6"/>
    <w:qFormat/>
    <w:uiPriority w:val="0"/>
    <w:rPr>
      <w:sz w:val="24"/>
    </w:rPr>
  </w:style>
  <w:style w:type="character" w:customStyle="1" w:styleId="191">
    <w:name w:val="标题 5 Char"/>
    <w:link w:val="7"/>
    <w:qFormat/>
    <w:uiPriority w:val="0"/>
    <w:rPr>
      <w:b/>
      <w:sz w:val="28"/>
    </w:rPr>
  </w:style>
  <w:style w:type="character" w:customStyle="1" w:styleId="192">
    <w:name w:val="标题 6 Char"/>
    <w:link w:val="8"/>
    <w:qFormat/>
    <w:uiPriority w:val="0"/>
    <w:rPr>
      <w:rFonts w:ascii="Arial" w:hAnsi="Arial" w:eastAsia="黑体"/>
      <w:b/>
      <w:sz w:val="24"/>
    </w:rPr>
  </w:style>
  <w:style w:type="character" w:customStyle="1" w:styleId="193">
    <w:name w:val="标题 7 Char"/>
    <w:link w:val="9"/>
    <w:qFormat/>
    <w:uiPriority w:val="0"/>
    <w:rPr>
      <w:b/>
      <w:sz w:val="24"/>
    </w:rPr>
  </w:style>
  <w:style w:type="character" w:customStyle="1" w:styleId="194">
    <w:name w:val="标题 8 Char"/>
    <w:link w:val="10"/>
    <w:qFormat/>
    <w:uiPriority w:val="0"/>
    <w:rPr>
      <w:rFonts w:ascii="Arial" w:hAnsi="Arial" w:eastAsia="黑体"/>
      <w:sz w:val="24"/>
    </w:rPr>
  </w:style>
  <w:style w:type="character" w:customStyle="1" w:styleId="195">
    <w:name w:val="标题 9 Char"/>
    <w:link w:val="11"/>
    <w:qFormat/>
    <w:uiPriority w:val="0"/>
    <w:rPr>
      <w:rFonts w:ascii="Arial" w:hAnsi="Arial" w:eastAsia="黑体"/>
      <w:sz w:val="21"/>
    </w:rPr>
  </w:style>
  <w:style w:type="character" w:customStyle="1" w:styleId="196">
    <w:name w:val="文档结构图 Char"/>
    <w:link w:val="14"/>
    <w:qFormat/>
    <w:uiPriority w:val="0"/>
    <w:rPr>
      <w:kern w:val="2"/>
      <w:sz w:val="21"/>
      <w:szCs w:val="24"/>
      <w:shd w:val="clear" w:color="auto" w:fill="000080"/>
    </w:rPr>
  </w:style>
  <w:style w:type="character" w:customStyle="1" w:styleId="197">
    <w:name w:val="批注文字 Char1"/>
    <w:link w:val="15"/>
    <w:qFormat/>
    <w:uiPriority w:val="99"/>
    <w:rPr>
      <w:kern w:val="2"/>
      <w:sz w:val="21"/>
      <w:szCs w:val="24"/>
    </w:rPr>
  </w:style>
  <w:style w:type="character" w:customStyle="1" w:styleId="198">
    <w:name w:val="正文文本 3 Char"/>
    <w:link w:val="16"/>
    <w:qFormat/>
    <w:uiPriority w:val="0"/>
    <w:rPr>
      <w:kern w:val="2"/>
      <w:sz w:val="16"/>
      <w:szCs w:val="16"/>
    </w:rPr>
  </w:style>
  <w:style w:type="character" w:customStyle="1" w:styleId="199">
    <w:name w:val="正文文本 Char"/>
    <w:link w:val="17"/>
    <w:qFormat/>
    <w:uiPriority w:val="0"/>
    <w:rPr>
      <w:rFonts w:ascii="宋体" w:hAnsi="宋体"/>
      <w:kern w:val="2"/>
      <w:sz w:val="24"/>
      <w:szCs w:val="24"/>
    </w:rPr>
  </w:style>
  <w:style w:type="character" w:customStyle="1" w:styleId="200">
    <w:name w:val="正文文本缩进 Char2"/>
    <w:link w:val="19"/>
    <w:qFormat/>
    <w:uiPriority w:val="0"/>
    <w:rPr>
      <w:rFonts w:eastAsia="宋体"/>
      <w:kern w:val="2"/>
      <w:sz w:val="24"/>
      <w:szCs w:val="24"/>
      <w:lang w:val="en-US" w:eastAsia="zh-CN" w:bidi="ar-SA"/>
    </w:rPr>
  </w:style>
  <w:style w:type="character" w:customStyle="1" w:styleId="201">
    <w:name w:val="纯文本 Char"/>
    <w:link w:val="24"/>
    <w:qFormat/>
    <w:uiPriority w:val="0"/>
    <w:rPr>
      <w:rFonts w:hint="eastAsia" w:ascii="宋体" w:hAnsi="Courier New" w:eastAsia="宋体" w:cs="宋体"/>
      <w:kern w:val="2"/>
      <w:sz w:val="21"/>
    </w:rPr>
  </w:style>
  <w:style w:type="character" w:customStyle="1" w:styleId="202">
    <w:name w:val="日期 Char"/>
    <w:link w:val="26"/>
    <w:qFormat/>
    <w:uiPriority w:val="0"/>
    <w:rPr>
      <w:rFonts w:ascii="仿宋_GB2312" w:hAnsi="宋体" w:eastAsia="仿宋_GB2312"/>
      <w:color w:val="000000"/>
      <w:kern w:val="2"/>
      <w:sz w:val="24"/>
      <w:szCs w:val="24"/>
    </w:rPr>
  </w:style>
  <w:style w:type="character" w:customStyle="1" w:styleId="203">
    <w:name w:val="正文文本缩进 2 Char"/>
    <w:link w:val="27"/>
    <w:qFormat/>
    <w:uiPriority w:val="0"/>
    <w:rPr>
      <w:rFonts w:ascii="仿宋_GB2312" w:eastAsia="仿宋_GB2312"/>
      <w:kern w:val="2"/>
      <w:sz w:val="24"/>
      <w:szCs w:val="24"/>
    </w:rPr>
  </w:style>
  <w:style w:type="character" w:customStyle="1" w:styleId="204">
    <w:name w:val="批注框文本 Char"/>
    <w:link w:val="28"/>
    <w:qFormat/>
    <w:uiPriority w:val="0"/>
    <w:rPr>
      <w:kern w:val="2"/>
      <w:sz w:val="18"/>
      <w:szCs w:val="18"/>
    </w:rPr>
  </w:style>
  <w:style w:type="character" w:customStyle="1" w:styleId="205">
    <w:name w:val="页脚 Char1"/>
    <w:link w:val="29"/>
    <w:qFormat/>
    <w:uiPriority w:val="99"/>
    <w:rPr>
      <w:rFonts w:ascii="宋体" w:eastAsia="宋体"/>
      <w:sz w:val="18"/>
      <w:lang w:val="en-US" w:eastAsia="zh-CN" w:bidi="ar-SA"/>
    </w:rPr>
  </w:style>
  <w:style w:type="character" w:customStyle="1" w:styleId="206">
    <w:name w:val="页眉 Char1"/>
    <w:link w:val="30"/>
    <w:qFormat/>
    <w:uiPriority w:val="0"/>
    <w:rPr>
      <w:rFonts w:eastAsia="宋体"/>
      <w:kern w:val="2"/>
      <w:sz w:val="18"/>
      <w:szCs w:val="18"/>
      <w:lang w:val="en-US" w:eastAsia="zh-CN" w:bidi="ar-SA"/>
    </w:rPr>
  </w:style>
  <w:style w:type="character" w:customStyle="1" w:styleId="207">
    <w:name w:val="正文文本缩进 3 Char"/>
    <w:link w:val="34"/>
    <w:qFormat/>
    <w:uiPriority w:val="0"/>
    <w:rPr>
      <w:rFonts w:ascii="宋体"/>
      <w:sz w:val="24"/>
    </w:rPr>
  </w:style>
  <w:style w:type="character" w:customStyle="1" w:styleId="208">
    <w:name w:val="HTML 预设格式 Char"/>
    <w:link w:val="37"/>
    <w:qFormat/>
    <w:uiPriority w:val="0"/>
    <w:rPr>
      <w:rFonts w:ascii="宋体" w:hAnsi="宋体" w:cs="宋体"/>
      <w:sz w:val="24"/>
      <w:szCs w:val="24"/>
    </w:rPr>
  </w:style>
  <w:style w:type="character" w:customStyle="1" w:styleId="209">
    <w:name w:val="标题 Char1"/>
    <w:link w:val="40"/>
    <w:qFormat/>
    <w:uiPriority w:val="0"/>
    <w:rPr>
      <w:b/>
      <w:kern w:val="2"/>
      <w:sz w:val="32"/>
    </w:rPr>
  </w:style>
  <w:style w:type="character" w:customStyle="1" w:styleId="210">
    <w:name w:val="批注主题 Char"/>
    <w:link w:val="41"/>
    <w:qFormat/>
    <w:uiPriority w:val="0"/>
    <w:rPr>
      <w:rFonts w:ascii="Times New Roman" w:hAnsi="Times New Roman" w:eastAsia="宋体" w:cs="Times New Roman"/>
      <w:b/>
      <w:bCs/>
      <w:kern w:val="2"/>
      <w:sz w:val="21"/>
      <w:szCs w:val="24"/>
      <w:lang w:val="en-US" w:eastAsia="zh-CN" w:bidi="ar-SA"/>
    </w:rPr>
  </w:style>
  <w:style w:type="character" w:customStyle="1" w:styleId="211">
    <w:name w:val="正文首行缩进 2 Char"/>
    <w:link w:val="43"/>
    <w:qFormat/>
    <w:uiPriority w:val="0"/>
    <w:rPr>
      <w:rFonts w:eastAsia="宋体"/>
      <w:kern w:val="2"/>
      <w:sz w:val="24"/>
      <w:szCs w:val="24"/>
      <w:lang w:val="en-US" w:eastAsia="zh-CN" w:bidi="ar-SA"/>
    </w:rPr>
  </w:style>
  <w:style w:type="character" w:customStyle="1" w:styleId="212">
    <w:name w:val="c21"/>
    <w:qFormat/>
    <w:uiPriority w:val="0"/>
    <w:rPr>
      <w:rFonts w:hint="default" w:ascii="ˎ̥" w:hAnsi="ˎ̥"/>
      <w:color w:val="000000"/>
      <w:sz w:val="20"/>
      <w:szCs w:val="20"/>
      <w:u w:val="none"/>
    </w:rPr>
  </w:style>
  <w:style w:type="character" w:customStyle="1" w:styleId="213">
    <w:name w:val="批注文字 Char"/>
    <w:qFormat/>
    <w:uiPriority w:val="99"/>
    <w:rPr>
      <w:kern w:val="2"/>
      <w:sz w:val="21"/>
      <w:szCs w:val="24"/>
    </w:rPr>
  </w:style>
  <w:style w:type="character" w:customStyle="1" w:styleId="214">
    <w:name w:val="页眉 Char"/>
    <w:qFormat/>
    <w:uiPriority w:val="0"/>
    <w:rPr>
      <w:rFonts w:eastAsia="宋体"/>
      <w:kern w:val="2"/>
      <w:sz w:val="18"/>
      <w:szCs w:val="18"/>
      <w:lang w:val="en-US" w:eastAsia="zh-CN" w:bidi="ar-SA"/>
    </w:rPr>
  </w:style>
  <w:style w:type="character" w:customStyle="1" w:styleId="215">
    <w:name w:val="注释 Char"/>
    <w:link w:val="56"/>
    <w:qFormat/>
    <w:uiPriority w:val="0"/>
    <w:rPr>
      <w:rFonts w:ascii="宋体" w:hAnsi="宋体"/>
      <w:kern w:val="2"/>
      <w:sz w:val="21"/>
      <w:szCs w:val="21"/>
    </w:rPr>
  </w:style>
  <w:style w:type="character" w:customStyle="1" w:styleId="216">
    <w:name w:val="cf01"/>
    <w:qFormat/>
    <w:uiPriority w:val="0"/>
    <w:rPr>
      <w:rFonts w:hint="eastAsia" w:ascii="Microsoft YaHei UI" w:hAnsi="Microsoft YaHei UI" w:eastAsia="Microsoft YaHei UI"/>
      <w:sz w:val="18"/>
      <w:szCs w:val="18"/>
    </w:rPr>
  </w:style>
  <w:style w:type="character" w:customStyle="1" w:styleId="217">
    <w:name w:val="批注文字 字符"/>
    <w:qFormat/>
    <w:uiPriority w:val="99"/>
    <w:rPr>
      <w:rFonts w:ascii="Times New Roman" w:hAnsi="Times New Roman" w:eastAsia="宋体" w:cs="Times New Roman"/>
      <w:sz w:val="24"/>
      <w:lang w:val="en-US" w:eastAsia="zh-CN" w:bidi="ar-SA"/>
    </w:rPr>
  </w:style>
  <w:style w:type="character" w:customStyle="1" w:styleId="218">
    <w:name w:val="标题 2 Char Char"/>
    <w:qFormat/>
    <w:uiPriority w:val="0"/>
    <w:rPr>
      <w:rFonts w:ascii="Arial" w:hAnsi="Arial" w:eastAsia="黑体"/>
      <w:b/>
      <w:bCs/>
      <w:kern w:val="2"/>
      <w:sz w:val="32"/>
      <w:szCs w:val="32"/>
      <w:lang w:val="en-US" w:eastAsia="zh-CN" w:bidi="ar-SA"/>
    </w:rPr>
  </w:style>
  <w:style w:type="character" w:customStyle="1" w:styleId="219">
    <w:name w:val="chanpin1"/>
    <w:qFormat/>
    <w:uiPriority w:val="0"/>
    <w:rPr>
      <w:rFonts w:hint="default" w:ascii="ˎ̥" w:hAnsi="ˎ̥"/>
      <w:color w:val="000000"/>
      <w:sz w:val="20"/>
      <w:szCs w:val="20"/>
      <w:u w:val="none"/>
    </w:rPr>
  </w:style>
  <w:style w:type="character" w:customStyle="1" w:styleId="220">
    <w:name w:val="txt"/>
    <w:qFormat/>
    <w:uiPriority w:val="0"/>
  </w:style>
  <w:style w:type="character" w:customStyle="1" w:styleId="221">
    <w:name w:val="正文文本缩进 Char1"/>
    <w:link w:val="57"/>
    <w:qFormat/>
    <w:uiPriority w:val="0"/>
    <w:rPr>
      <w:rFonts w:ascii="宋体" w:hAnsi="宋体" w:eastAsia="宋体"/>
      <w:sz w:val="24"/>
      <w:szCs w:val="24"/>
      <w:lang w:bidi="ar-SA"/>
    </w:rPr>
  </w:style>
  <w:style w:type="character" w:customStyle="1" w:styleId="222">
    <w:name w:val="普通文字1 Char1"/>
    <w:qFormat/>
    <w:uiPriority w:val="0"/>
    <w:rPr>
      <w:rFonts w:ascii="宋体" w:hAnsi="Courier New" w:eastAsia="宋体"/>
      <w:kern w:val="2"/>
      <w:sz w:val="21"/>
      <w:lang w:val="en-US" w:eastAsia="zh-CN" w:bidi="ar-SA"/>
    </w:rPr>
  </w:style>
  <w:style w:type="character" w:customStyle="1" w:styleId="223">
    <w:name w:val="Char Char111"/>
    <w:qFormat/>
    <w:uiPriority w:val="0"/>
    <w:rPr>
      <w:rFonts w:ascii="宋体" w:eastAsia="宋体"/>
      <w:b/>
      <w:sz w:val="24"/>
      <w:u w:val="single"/>
      <w:lang w:val="en-US" w:eastAsia="zh-CN" w:bidi="ar-SA"/>
    </w:rPr>
  </w:style>
  <w:style w:type="character" w:customStyle="1" w:styleId="224">
    <w:name w:val="正文大标题 Char"/>
    <w:link w:val="58"/>
    <w:qFormat/>
    <w:uiPriority w:val="0"/>
    <w:rPr>
      <w:rFonts w:ascii="宋体" w:hAnsi="宋体"/>
      <w:b/>
      <w:color w:val="000000"/>
      <w:kern w:val="2"/>
      <w:sz w:val="28"/>
      <w:szCs w:val="21"/>
    </w:rPr>
  </w:style>
  <w:style w:type="character" w:customStyle="1" w:styleId="225">
    <w:name w:val="正文小标题 Char"/>
    <w:link w:val="59"/>
    <w:qFormat/>
    <w:uiPriority w:val="0"/>
    <w:rPr>
      <w:rFonts w:ascii="宋体" w:hAnsi="宋体"/>
      <w:b/>
      <w:i/>
      <w:color w:val="FF0000"/>
      <w:kern w:val="2"/>
      <w:sz w:val="24"/>
    </w:rPr>
  </w:style>
  <w:style w:type="character" w:customStyle="1" w:styleId="226">
    <w:name w:val="纯文本 Char1"/>
    <w:qFormat/>
    <w:uiPriority w:val="0"/>
    <w:rPr>
      <w:rFonts w:ascii="宋体" w:hAnsi="Courier New" w:eastAsia="宋体"/>
      <w:kern w:val="2"/>
      <w:sz w:val="21"/>
      <w:lang w:val="en-US" w:eastAsia="zh-CN" w:bidi="ar-SA"/>
    </w:rPr>
  </w:style>
  <w:style w:type="character" w:customStyle="1" w:styleId="227">
    <w:name w:val="列出段落 Char1"/>
    <w:link w:val="60"/>
    <w:qFormat/>
    <w:uiPriority w:val="34"/>
    <w:rPr>
      <w:rFonts w:ascii="Calibri" w:hAnsi="Calibri" w:eastAsia="宋体"/>
      <w:kern w:val="2"/>
      <w:sz w:val="21"/>
      <w:szCs w:val="22"/>
      <w:lang w:val="en-US" w:eastAsia="zh-CN" w:bidi="ar-SA"/>
    </w:rPr>
  </w:style>
  <w:style w:type="character" w:customStyle="1" w:styleId="228">
    <w:name w:val="正文格式 Char"/>
    <w:link w:val="61"/>
    <w:qFormat/>
    <w:locked/>
    <w:uiPriority w:val="0"/>
    <w:rPr>
      <w:rFonts w:ascii="宋体" w:hAnsi="宋体"/>
      <w:sz w:val="24"/>
      <w:szCs w:val="24"/>
      <w:lang w:val="en-GB"/>
    </w:rPr>
  </w:style>
  <w:style w:type="character" w:customStyle="1" w:styleId="229">
    <w:name w:val="纯文本 字符1"/>
    <w:qFormat/>
    <w:uiPriority w:val="0"/>
    <w:rPr>
      <w:rFonts w:ascii="宋体" w:hAnsi="Courier New"/>
    </w:rPr>
  </w:style>
  <w:style w:type="character" w:customStyle="1" w:styleId="230">
    <w:name w:val="bjh-p"/>
    <w:qFormat/>
    <w:uiPriority w:val="0"/>
  </w:style>
  <w:style w:type="character" w:customStyle="1" w:styleId="231">
    <w:name w:val="正文缩进 Char"/>
    <w:qFormat/>
    <w:uiPriority w:val="0"/>
    <w:rPr>
      <w:rFonts w:ascii="宋体" w:eastAsia="宋体"/>
      <w:kern w:val="2"/>
      <w:sz w:val="24"/>
      <w:szCs w:val="24"/>
      <w:lang w:val="en-US" w:eastAsia="zh-CN" w:bidi="ar-SA"/>
    </w:rPr>
  </w:style>
  <w:style w:type="character" w:customStyle="1" w:styleId="232">
    <w:name w:val="正文文本缩进 Char"/>
    <w:qFormat/>
    <w:uiPriority w:val="0"/>
    <w:rPr>
      <w:rFonts w:eastAsia="宋体"/>
      <w:kern w:val="2"/>
      <w:sz w:val="24"/>
      <w:szCs w:val="24"/>
      <w:lang w:val="en-US" w:eastAsia="zh-CN" w:bidi="ar-SA"/>
    </w:rPr>
  </w:style>
  <w:style w:type="character" w:customStyle="1" w:styleId="233">
    <w:name w:val="页脚 Char"/>
    <w:qFormat/>
    <w:uiPriority w:val="0"/>
    <w:rPr>
      <w:rFonts w:ascii="宋体" w:eastAsia="宋体"/>
      <w:sz w:val="18"/>
      <w:lang w:val="en-US" w:eastAsia="zh-CN" w:bidi="ar-SA"/>
    </w:rPr>
  </w:style>
  <w:style w:type="character" w:customStyle="1" w:styleId="234">
    <w:name w:val="cf21"/>
    <w:qFormat/>
    <w:uiPriority w:val="0"/>
    <w:rPr>
      <w:rFonts w:hint="eastAsia" w:ascii="Microsoft YaHei UI" w:hAnsi="Microsoft YaHei UI" w:eastAsia="Microsoft YaHei UI"/>
      <w:sz w:val="18"/>
      <w:szCs w:val="18"/>
      <w:shd w:val="clear" w:color="auto" w:fill="FFFFFF"/>
    </w:rPr>
  </w:style>
  <w:style w:type="character" w:customStyle="1" w:styleId="235">
    <w:name w:val="street-address"/>
    <w:qFormat/>
    <w:uiPriority w:val="0"/>
  </w:style>
  <w:style w:type="character" w:customStyle="1" w:styleId="236">
    <w:name w:val="正文缩进 Char Char"/>
    <w:link w:val="62"/>
    <w:qFormat/>
    <w:uiPriority w:val="0"/>
    <w:rPr>
      <w:rFonts w:ascii="宋体" w:eastAsia="宋体"/>
      <w:snapToGrid w:val="0"/>
      <w:color w:val="000000"/>
      <w:kern w:val="28"/>
      <w:sz w:val="28"/>
      <w:lang w:bidi="ar-SA"/>
    </w:rPr>
  </w:style>
  <w:style w:type="character" w:customStyle="1" w:styleId="237">
    <w:name w:val="Char Char11"/>
    <w:qFormat/>
    <w:uiPriority w:val="0"/>
    <w:rPr>
      <w:rFonts w:ascii="宋体" w:eastAsia="宋体"/>
      <w:b/>
      <w:sz w:val="24"/>
      <w:u w:val="single"/>
      <w:lang w:val="en-US" w:eastAsia="zh-CN" w:bidi="ar-SA"/>
    </w:rPr>
  </w:style>
  <w:style w:type="character" w:customStyle="1" w:styleId="238">
    <w:name w:val="title4"/>
    <w:qFormat/>
    <w:uiPriority w:val="0"/>
    <w:rPr>
      <w:b/>
      <w:bCs/>
      <w:color w:val="1D87B3"/>
      <w:sz w:val="15"/>
      <w:szCs w:val="15"/>
    </w:rPr>
  </w:style>
  <w:style w:type="character" w:customStyle="1" w:styleId="239">
    <w:name w:val="正文表格 Char"/>
    <w:link w:val="63"/>
    <w:qFormat/>
    <w:uiPriority w:val="0"/>
    <w:rPr>
      <w:rFonts w:ascii="宋体" w:hAnsi="宋体"/>
      <w:color w:val="000000"/>
      <w:kern w:val="2"/>
      <w:sz w:val="21"/>
      <w:szCs w:val="21"/>
    </w:rPr>
  </w:style>
  <w:style w:type="character" w:customStyle="1" w:styleId="240">
    <w:name w:val="正文重点 Char"/>
    <w:link w:val="64"/>
    <w:qFormat/>
    <w:uiPriority w:val="0"/>
    <w:rPr>
      <w:b/>
      <w:sz w:val="24"/>
    </w:rPr>
  </w:style>
  <w:style w:type="character" w:customStyle="1" w:styleId="241">
    <w:name w:val="标题 2 Char"/>
    <w:qFormat/>
    <w:uiPriority w:val="0"/>
    <w:rPr>
      <w:rFonts w:ascii="Arial" w:hAnsi="Arial" w:eastAsia="黑体"/>
      <w:b/>
      <w:sz w:val="30"/>
      <w:lang w:val="en-US" w:eastAsia="zh-CN" w:bidi="ar-SA"/>
    </w:rPr>
  </w:style>
  <w:style w:type="character" w:customStyle="1" w:styleId="242">
    <w:name w:val="标题 3 Char"/>
    <w:qFormat/>
    <w:uiPriority w:val="0"/>
    <w:rPr>
      <w:rFonts w:ascii="宋体" w:eastAsia="宋体"/>
      <w:b/>
      <w:sz w:val="24"/>
      <w:u w:val="single"/>
      <w:lang w:val="en-US" w:eastAsia="zh-CN" w:bidi="ar-SA"/>
    </w:rPr>
  </w:style>
  <w:style w:type="character" w:customStyle="1" w:styleId="243">
    <w:name w:val="纯文本 字符"/>
    <w:qFormat/>
    <w:uiPriority w:val="99"/>
    <w:rPr>
      <w:rFonts w:ascii="宋体" w:hAnsi="Courier New" w:eastAsia="宋体" w:cs="Times New Roman"/>
      <w:kern w:val="2"/>
      <w:sz w:val="21"/>
      <w:szCs w:val="21"/>
      <w:lang w:val="en-US" w:eastAsia="zh-CN" w:bidi="ar-SA"/>
    </w:rPr>
  </w:style>
  <w:style w:type="character" w:customStyle="1" w:styleId="244">
    <w:name w:val="列出段落 Char"/>
    <w:qFormat/>
    <w:uiPriority w:val="0"/>
    <w:rPr>
      <w:rFonts w:ascii="Calibri" w:hAnsi="Calibri" w:eastAsia="宋体"/>
      <w:kern w:val="2"/>
      <w:sz w:val="21"/>
      <w:szCs w:val="22"/>
      <w:lang w:val="en-US" w:eastAsia="zh-CN" w:bidi="ar-SA"/>
    </w:rPr>
  </w:style>
  <w:style w:type="character" w:customStyle="1" w:styleId="245">
    <w:name w:val="cf11"/>
    <w:qFormat/>
    <w:uiPriority w:val="0"/>
    <w:rPr>
      <w:rFonts w:hint="eastAsia" w:ascii="Microsoft YaHei UI" w:hAnsi="Microsoft YaHei UI" w:eastAsia="Microsoft YaHei UI"/>
      <w:sz w:val="18"/>
      <w:szCs w:val="18"/>
    </w:rPr>
  </w:style>
  <w:style w:type="character" w:customStyle="1" w:styleId="246">
    <w:name w:val="black1"/>
    <w:qFormat/>
    <w:uiPriority w:val="0"/>
    <w:rPr>
      <w:color w:val="000000"/>
    </w:rPr>
  </w:style>
  <w:style w:type="character" w:customStyle="1" w:styleId="247">
    <w:name w:val="locality"/>
    <w:qFormat/>
    <w:uiPriority w:val="0"/>
  </w:style>
  <w:style w:type="character" w:customStyle="1" w:styleId="248">
    <w:name w:val="标题 3 Char Char"/>
    <w:qFormat/>
    <w:uiPriority w:val="0"/>
    <w:rPr>
      <w:rFonts w:eastAsia="宋体"/>
      <w:b/>
      <w:bCs/>
      <w:kern w:val="2"/>
      <w:sz w:val="32"/>
      <w:szCs w:val="32"/>
      <w:lang w:val="en-US" w:eastAsia="zh-CN" w:bidi="ar-SA"/>
    </w:rPr>
  </w:style>
  <w:style w:type="character" w:customStyle="1" w:styleId="249">
    <w:name w:val="段1 Char"/>
    <w:qFormat/>
    <w:uiPriority w:val="0"/>
    <w:rPr>
      <w:rFonts w:ascii="宋体" w:eastAsia="宋体"/>
      <w:sz w:val="24"/>
      <w:lang w:val="en-US" w:eastAsia="zh-CN" w:bidi="ar-SA"/>
    </w:rPr>
  </w:style>
  <w:style w:type="character" w:customStyle="1" w:styleId="250">
    <w:name w:val="chanpin拷贝"/>
    <w:qFormat/>
    <w:uiPriority w:val="0"/>
  </w:style>
  <w:style w:type="character" w:customStyle="1" w:styleId="251">
    <w:name w:val="apple-style-span"/>
    <w:qFormat/>
    <w:uiPriority w:val="0"/>
    <w:rPr>
      <w:rFonts w:cs="Times New Roman"/>
    </w:rPr>
  </w:style>
  <w:style w:type="character" w:customStyle="1" w:styleId="252">
    <w:name w:val="中等深浅网格 1 - 强调文字颜色 2 Char"/>
    <w:link w:val="65"/>
    <w:qFormat/>
    <w:uiPriority w:val="0"/>
    <w:rPr>
      <w:kern w:val="2"/>
      <w:sz w:val="21"/>
      <w:szCs w:val="24"/>
      <w:lang w:val="zh-CN" w:eastAsia="zh-CN"/>
    </w:rPr>
  </w:style>
  <w:style w:type="character" w:customStyle="1" w:styleId="253">
    <w:name w:val="标题 Char"/>
    <w:qFormat/>
    <w:uiPriority w:val="0"/>
    <w:rPr>
      <w:b/>
      <w:kern w:val="2"/>
      <w:sz w:val="32"/>
    </w:rPr>
  </w:style>
  <w:style w:type="table" w:customStyle="1" w:styleId="254">
    <w:name w:val="Table Normal"/>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255">
    <w:name w:val="正文首行缩进（绿盟科技）"/>
    <w:basedOn w:val="1"/>
    <w:qFormat/>
    <w:uiPriority w:val="0"/>
    <w:pPr>
      <w:widowControl/>
      <w:spacing w:after="50" w:line="300" w:lineRule="auto"/>
      <w:ind w:firstLine="200" w:firstLineChars="200"/>
      <w:jc w:val="left"/>
    </w:pPr>
    <w:rPr>
      <w:rFonts w:ascii="Arial" w:hAnsi="Arial"/>
      <w:kern w:val="0"/>
      <w:szCs w:val="21"/>
    </w:rPr>
  </w:style>
  <w:style w:type="paragraph" w:customStyle="1" w:styleId="256">
    <w:name w:val="首行缩进"/>
    <w:basedOn w:val="1"/>
    <w:qFormat/>
    <w:uiPriority w:val="0"/>
    <w:pPr>
      <w:spacing w:line="360" w:lineRule="auto"/>
      <w:ind w:firstLine="480" w:firstLineChars="200"/>
    </w:pPr>
    <w:rPr>
      <w:rFonts w:ascii="Calibri" w:hAnsi="Calibri"/>
      <w:szCs w:val="22"/>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14831</Words>
  <Characters>15581</Characters>
  <Lines>252</Lines>
  <Paragraphs>71</Paragraphs>
  <TotalTime>7</TotalTime>
  <ScaleCrop>false</ScaleCrop>
  <LinksUpToDate>false</LinksUpToDate>
  <CharactersWithSpaces>15716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2024-06-04T09:36:00Z</dcterms:created>
  <dc:creator>Yin Hao</dc:creator>
  <cp:lastModifiedBy>user</cp:lastModifiedBy>
  <cp:lastPrinted>2026-04-22T03:13:00Z</cp:lastPrinted>
  <dcterms:modified xsi:type="dcterms:W3CDTF">2026-04-23T07:55:17Z</dcterms:modified>
  <dc:title>政府采购示范文本（2023）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AC49EEBEE88C49499A6E7D3A9ABBA93D_13</vt:lpwstr>
  </property>
  <property fmtid="{D5CDD505-2E9C-101B-9397-08002B2CF9AE}" pid="4" name="KSOTemplateDocerSaveRecord">
    <vt:lpwstr>eyJoZGlkIjoiZDY2ZGE0NTNjMjczYjk4NjU0NDRhYjBhMjQwOTk3ZjUiLCJ1c2VySWQiOiI1ODk3MTQzNjQifQ==</vt:lpwstr>
  </property>
</Properties>
</file>