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outlineLvl w:val="0"/>
        <w:rPr>
          <w:b/>
          <w:sz w:val="36"/>
          <w:szCs w:val="36"/>
        </w:rPr>
      </w:pPr>
      <w:bookmarkStart w:id="0" w:name="_Toc99301424"/>
      <w:bookmarkStart w:id="1" w:name="_Toc195842920"/>
      <w:bookmarkStart w:id="2" w:name="_Toc226337251"/>
      <w:bookmarkStart w:id="3" w:name="_Toc127151555"/>
      <w:bookmarkStart w:id="4" w:name="_Toc142311057"/>
      <w:bookmarkStart w:id="5" w:name="_Toc264969245"/>
      <w:bookmarkStart w:id="6" w:name="_Toc353825545"/>
      <w:bookmarkStart w:id="7" w:name="_Toc305158897"/>
      <w:bookmarkStart w:id="8" w:name="_Toc150480793"/>
      <w:bookmarkStart w:id="9" w:name="_Toc226965828"/>
      <w:bookmarkStart w:id="10" w:name="_Toc305158823"/>
      <w:bookmarkStart w:id="11" w:name="_Toc150774760"/>
      <w:bookmarkStart w:id="12" w:name="_Toc353873665"/>
      <w:bookmarkStart w:id="13" w:name="_Toc353873935"/>
      <w:bookmarkStart w:id="14" w:name="_Toc265228393"/>
      <w:r>
        <w:rPr>
          <w:b/>
          <w:sz w:val="36"/>
          <w:szCs w:val="36"/>
        </w:rPr>
        <w:t>第五章   采购需求</w:t>
      </w:r>
      <w:bookmarkEnd w:id="0"/>
    </w:p>
    <w:p>
      <w:pPr>
        <w:pStyle w:val="59"/>
        <w:spacing w:line="440" w:lineRule="exact"/>
        <w:ind w:firstLine="0" w:firstLineChars="0"/>
        <w:contextualSpacing/>
        <w:outlineLvl w:val="0"/>
        <w:rPr>
          <w:rFonts w:ascii="宋体" w:hAnsi="宋体" w:cs="宋体"/>
          <w:b/>
          <w:sz w:val="24"/>
          <w:szCs w:val="24"/>
        </w:rPr>
      </w:pPr>
      <w:r>
        <w:rPr>
          <w:rFonts w:hint="eastAsia" w:ascii="宋体" w:hAnsi="宋体" w:cs="宋体"/>
          <w:b/>
          <w:sz w:val="24"/>
          <w:szCs w:val="24"/>
        </w:rPr>
        <w:t>一、采购标的</w:t>
      </w:r>
    </w:p>
    <w:p>
      <w:pPr>
        <w:spacing w:line="440" w:lineRule="exact"/>
        <w:ind w:firstLine="482" w:firstLineChars="200"/>
        <w:contextualSpacing/>
        <w:outlineLvl w:val="1"/>
        <w:rPr>
          <w:rFonts w:ascii="宋体" w:hAnsi="宋体" w:cs="宋体"/>
          <w:b/>
          <w:sz w:val="24"/>
        </w:rPr>
      </w:pPr>
      <w:r>
        <w:rPr>
          <w:rFonts w:hint="eastAsia" w:ascii="宋体" w:hAnsi="宋体" w:cs="宋体"/>
          <w:b/>
          <w:sz w:val="24"/>
        </w:rPr>
        <w:t>1</w:t>
      </w:r>
      <w:r>
        <w:rPr>
          <w:rFonts w:ascii="宋体" w:hAnsi="宋体" w:cs="宋体"/>
          <w:b/>
          <w:sz w:val="24"/>
        </w:rPr>
        <w:t xml:space="preserve">. </w:t>
      </w:r>
      <w:r>
        <w:rPr>
          <w:rFonts w:hint="eastAsia" w:ascii="宋体" w:hAnsi="宋体" w:cs="宋体"/>
          <w:b/>
          <w:sz w:val="24"/>
        </w:rPr>
        <w:t>采购标的（货物需求一览表或简要服务内容及数量）</w:t>
      </w:r>
    </w:p>
    <w:tbl>
      <w:tblPr>
        <w:tblStyle w:val="44"/>
        <w:tblW w:w="821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2379"/>
        <w:gridCol w:w="1275"/>
        <w:gridCol w:w="1560"/>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spacing w:line="440" w:lineRule="exact"/>
              <w:rPr>
                <w:rFonts w:ascii="宋体" w:hAnsi="宋体" w:cs="宋体"/>
                <w:b/>
                <w:sz w:val="24"/>
              </w:rPr>
            </w:pPr>
            <w:r>
              <w:rPr>
                <w:rFonts w:hint="eastAsia" w:ascii="宋体" w:hAnsi="宋体" w:cs="宋体"/>
                <w:b/>
                <w:sz w:val="24"/>
              </w:rPr>
              <w:t>序号</w:t>
            </w:r>
          </w:p>
        </w:tc>
        <w:tc>
          <w:tcPr>
            <w:tcW w:w="2379" w:type="dxa"/>
            <w:vAlign w:val="center"/>
          </w:tcPr>
          <w:p>
            <w:pPr>
              <w:spacing w:line="440" w:lineRule="exact"/>
              <w:ind w:firstLine="482" w:firstLineChars="200"/>
              <w:jc w:val="center"/>
              <w:rPr>
                <w:rFonts w:ascii="宋体" w:hAnsi="宋体" w:cs="宋体"/>
                <w:b/>
                <w:sz w:val="24"/>
              </w:rPr>
            </w:pPr>
            <w:r>
              <w:rPr>
                <w:rFonts w:hint="eastAsia" w:ascii="宋体" w:hAnsi="宋体" w:cs="宋体"/>
                <w:b/>
                <w:sz w:val="24"/>
              </w:rPr>
              <w:t>货物或服务名称</w:t>
            </w:r>
          </w:p>
        </w:tc>
        <w:tc>
          <w:tcPr>
            <w:tcW w:w="1275" w:type="dxa"/>
            <w:vAlign w:val="center"/>
          </w:tcPr>
          <w:p>
            <w:pPr>
              <w:spacing w:line="440" w:lineRule="exact"/>
              <w:jc w:val="center"/>
              <w:rPr>
                <w:rFonts w:ascii="宋体" w:hAnsi="宋体" w:cs="宋体"/>
                <w:b/>
                <w:sz w:val="24"/>
              </w:rPr>
            </w:pPr>
            <w:r>
              <w:rPr>
                <w:rFonts w:hint="eastAsia" w:ascii="宋体" w:hAnsi="宋体" w:cs="宋体"/>
                <w:b/>
                <w:sz w:val="24"/>
              </w:rPr>
              <w:t>数量</w:t>
            </w:r>
          </w:p>
        </w:tc>
        <w:tc>
          <w:tcPr>
            <w:tcW w:w="1560" w:type="dxa"/>
            <w:vAlign w:val="center"/>
          </w:tcPr>
          <w:p>
            <w:pPr>
              <w:spacing w:line="440" w:lineRule="exact"/>
              <w:jc w:val="center"/>
              <w:rPr>
                <w:rFonts w:ascii="宋体" w:hAnsi="宋体" w:cs="宋体"/>
                <w:b/>
                <w:sz w:val="24"/>
              </w:rPr>
            </w:pPr>
            <w:r>
              <w:rPr>
                <w:rFonts w:hint="eastAsia" w:ascii="宋体" w:hAnsi="宋体" w:cs="宋体"/>
                <w:b/>
                <w:sz w:val="24"/>
              </w:rPr>
              <w:t>单位</w:t>
            </w:r>
          </w:p>
        </w:tc>
        <w:tc>
          <w:tcPr>
            <w:tcW w:w="2126" w:type="dxa"/>
            <w:vAlign w:val="center"/>
          </w:tcPr>
          <w:p>
            <w:pPr>
              <w:spacing w:line="440" w:lineRule="exact"/>
              <w:jc w:val="center"/>
              <w:rPr>
                <w:rFonts w:ascii="宋体" w:hAnsi="宋体" w:cs="宋体"/>
                <w:b/>
                <w:sz w:val="24"/>
              </w:rPr>
            </w:pPr>
            <w:r>
              <w:rPr>
                <w:rFonts w:hint="eastAsia" w:ascii="宋体" w:hAnsi="宋体" w:cs="宋体"/>
                <w:b/>
                <w:sz w:val="24"/>
              </w:rPr>
              <w:t>备注（核心产品）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7" w:type="dxa"/>
            <w:vAlign w:val="center"/>
          </w:tcPr>
          <w:p>
            <w:pPr>
              <w:spacing w:line="440" w:lineRule="exact"/>
              <w:jc w:val="center"/>
              <w:rPr>
                <w:rFonts w:ascii="宋体" w:hAnsi="宋体" w:cs="宋体"/>
                <w:sz w:val="24"/>
              </w:rPr>
            </w:pPr>
            <w:r>
              <w:rPr>
                <w:rFonts w:hint="eastAsia" w:ascii="宋体" w:hAnsi="宋体" w:cs="宋体"/>
                <w:sz w:val="24"/>
              </w:rPr>
              <w:t>1</w:t>
            </w:r>
          </w:p>
        </w:tc>
        <w:tc>
          <w:tcPr>
            <w:tcW w:w="2379" w:type="dxa"/>
          </w:tcPr>
          <w:p>
            <w:pPr>
              <w:spacing w:line="440" w:lineRule="exact"/>
              <w:rPr>
                <w:rFonts w:ascii="宋体" w:hAnsi="宋体" w:cs="宋体"/>
                <w:sz w:val="24"/>
              </w:rPr>
            </w:pPr>
            <w:r>
              <w:rPr>
                <w:rFonts w:hint="eastAsia" w:ascii="宋体" w:hAnsi="宋体" w:cs="宋体"/>
                <w:sz w:val="24"/>
                <w:highlight w:val="yellow"/>
              </w:rPr>
              <w:t>市农业农村局2026年信息系统政务云租赁--基础服务</w:t>
            </w:r>
          </w:p>
        </w:tc>
        <w:tc>
          <w:tcPr>
            <w:tcW w:w="1275" w:type="dxa"/>
          </w:tcPr>
          <w:p>
            <w:pPr>
              <w:spacing w:line="440" w:lineRule="exact"/>
              <w:jc w:val="center"/>
              <w:rPr>
                <w:rFonts w:ascii="宋体" w:hAnsi="宋体" w:cs="宋体"/>
                <w:sz w:val="24"/>
              </w:rPr>
            </w:pPr>
            <w:r>
              <w:rPr>
                <w:rFonts w:hint="eastAsia" w:ascii="宋体" w:hAnsi="宋体" w:cs="宋体"/>
                <w:sz w:val="24"/>
              </w:rPr>
              <w:t>1</w:t>
            </w:r>
          </w:p>
        </w:tc>
        <w:tc>
          <w:tcPr>
            <w:tcW w:w="1560" w:type="dxa"/>
          </w:tcPr>
          <w:p>
            <w:pPr>
              <w:spacing w:line="440" w:lineRule="exact"/>
              <w:jc w:val="center"/>
              <w:rPr>
                <w:rFonts w:ascii="宋体" w:hAnsi="宋体" w:cs="宋体"/>
                <w:sz w:val="24"/>
              </w:rPr>
            </w:pPr>
            <w:r>
              <w:rPr>
                <w:rFonts w:hint="eastAsia" w:ascii="宋体" w:hAnsi="宋体" w:cs="宋体"/>
                <w:sz w:val="24"/>
              </w:rPr>
              <w:t>项</w:t>
            </w:r>
          </w:p>
        </w:tc>
        <w:tc>
          <w:tcPr>
            <w:tcW w:w="2126" w:type="dxa"/>
          </w:tcPr>
          <w:p>
            <w:pPr>
              <w:spacing w:line="440" w:lineRule="exact"/>
              <w:ind w:firstLine="480" w:firstLineChars="200"/>
              <w:jc w:val="center"/>
              <w:rPr>
                <w:rFonts w:ascii="宋体" w:hAnsi="宋体" w:cs="宋体"/>
                <w:sz w:val="24"/>
              </w:rPr>
            </w:pPr>
          </w:p>
        </w:tc>
      </w:tr>
    </w:tbl>
    <w:p>
      <w:pPr>
        <w:numPr>
          <w:ilvl w:val="0"/>
          <w:numId w:val="8"/>
        </w:numPr>
        <w:spacing w:line="440" w:lineRule="exact"/>
        <w:ind w:firstLine="482" w:firstLineChars="200"/>
        <w:contextualSpacing/>
        <w:outlineLvl w:val="1"/>
        <w:rPr>
          <w:rFonts w:ascii="宋体" w:hAnsi="宋体" w:cs="宋体"/>
          <w:b/>
          <w:sz w:val="24"/>
        </w:rPr>
      </w:pPr>
      <w:r>
        <w:rPr>
          <w:rFonts w:hint="eastAsia" w:ascii="宋体" w:hAnsi="宋体" w:cs="宋体"/>
          <w:b/>
          <w:sz w:val="24"/>
        </w:rPr>
        <w:t>项目背景</w:t>
      </w:r>
    </w:p>
    <w:p>
      <w:pPr>
        <w:spacing w:line="440" w:lineRule="exact"/>
        <w:ind w:firstLine="480" w:firstLineChars="200"/>
        <w:contextualSpacing/>
        <w:rPr>
          <w:rFonts w:ascii="宋体" w:hAnsi="宋体" w:cs="宋体"/>
          <w:sz w:val="24"/>
        </w:rPr>
      </w:pPr>
      <w:bookmarkStart w:id="15" w:name="_Hlk47344905"/>
      <w:r>
        <w:rPr>
          <w:rFonts w:hint="eastAsia" w:ascii="宋体" w:hAnsi="宋体" w:cs="宋体"/>
          <w:sz w:val="24"/>
        </w:rPr>
        <w:t>根据《北京市市级政务云管理办法》等文件要求，按照“入云为常态，不入云为例外”的原则，市农业农村局各信息系统已完成迁入市级政务云，依托全市共性基础设施支撑实现稳定运行。本项目是对已入云信息系统的延续性政务云服务租赁，租用计算、存储、互联网链路和远程接入等基础服务内容</w:t>
      </w:r>
      <w:bookmarkEnd w:id="15"/>
      <w:r>
        <w:rPr>
          <w:rFonts w:hint="eastAsia" w:ascii="宋体" w:hAnsi="宋体" w:cs="宋体"/>
          <w:sz w:val="24"/>
        </w:rPr>
        <w:t>，确保各系统稳定可靠运行。</w:t>
      </w:r>
    </w:p>
    <w:p>
      <w:pPr>
        <w:pStyle w:val="59"/>
        <w:spacing w:line="440" w:lineRule="exact"/>
        <w:ind w:firstLine="0" w:firstLineChars="0"/>
        <w:contextualSpacing/>
        <w:outlineLvl w:val="0"/>
        <w:rPr>
          <w:rFonts w:ascii="宋体" w:hAnsi="宋体" w:cs="宋体"/>
          <w:b/>
          <w:sz w:val="24"/>
          <w:szCs w:val="24"/>
        </w:rPr>
      </w:pPr>
      <w:r>
        <w:rPr>
          <w:rFonts w:hint="eastAsia" w:ascii="宋体" w:hAnsi="宋体" w:cs="宋体"/>
          <w:b/>
          <w:sz w:val="24"/>
          <w:szCs w:val="24"/>
        </w:rPr>
        <w:t>二、商务要求</w:t>
      </w:r>
    </w:p>
    <w:p>
      <w:pPr>
        <w:spacing w:line="440" w:lineRule="exact"/>
        <w:ind w:firstLine="482" w:firstLineChars="200"/>
        <w:contextualSpacing/>
        <w:outlineLvl w:val="1"/>
        <w:rPr>
          <w:rFonts w:ascii="宋体" w:hAnsi="宋体" w:cs="宋体"/>
          <w:b/>
          <w:bCs/>
          <w:i/>
          <w:sz w:val="24"/>
        </w:rPr>
      </w:pPr>
      <w:r>
        <w:rPr>
          <w:rFonts w:hint="eastAsia" w:ascii="宋体" w:hAnsi="宋体" w:cs="宋体"/>
          <w:b/>
          <w:bCs/>
          <w:sz w:val="24"/>
        </w:rPr>
        <w:t>1</w:t>
      </w:r>
      <w:r>
        <w:rPr>
          <w:rFonts w:ascii="宋体" w:hAnsi="宋体" w:cs="宋体"/>
          <w:b/>
          <w:bCs/>
          <w:sz w:val="24"/>
        </w:rPr>
        <w:t xml:space="preserve">. </w:t>
      </w:r>
      <w:r>
        <w:rPr>
          <w:rFonts w:hint="eastAsia" w:ascii="宋体" w:hAnsi="宋体" w:cs="宋体"/>
          <w:b/>
          <w:bCs/>
          <w:sz w:val="24"/>
        </w:rPr>
        <w:t>服务期限和地点</w:t>
      </w:r>
    </w:p>
    <w:p>
      <w:pPr>
        <w:spacing w:line="440" w:lineRule="exact"/>
        <w:ind w:firstLine="480" w:firstLineChars="200"/>
        <w:contextualSpacing/>
        <w:rPr>
          <w:rFonts w:hint="default" w:ascii="宋体" w:hAnsi="宋体" w:eastAsia="宋体" w:cs="宋体"/>
          <w:bCs/>
          <w:sz w:val="24"/>
          <w:highlight w:val="none"/>
          <w:lang w:val="en-US" w:eastAsia="zh-CN"/>
        </w:rPr>
      </w:pPr>
      <w:r>
        <w:rPr>
          <w:rFonts w:hint="eastAsia" w:ascii="宋体" w:hAnsi="宋体" w:cs="宋体"/>
          <w:bCs/>
          <w:sz w:val="24"/>
        </w:rPr>
        <w:t>服务期限：</w:t>
      </w:r>
      <w:r>
        <w:rPr>
          <w:rFonts w:hint="eastAsia" w:ascii="宋体" w:hAnsi="宋体" w:cs="宋体"/>
          <w:bCs/>
          <w:sz w:val="24"/>
          <w:lang w:eastAsia="zh-CN"/>
        </w:rPr>
        <w:t>自</w:t>
      </w:r>
      <w:r>
        <w:rPr>
          <w:rFonts w:hint="eastAsia" w:ascii="宋体" w:hAnsi="宋体" w:cs="宋体"/>
          <w:bCs/>
          <w:sz w:val="24"/>
          <w:highlight w:val="none"/>
          <w:lang w:val="en-US" w:eastAsia="zh-CN"/>
        </w:rPr>
        <w:t>2026年5月29日至2027年5月28日。</w:t>
      </w:r>
    </w:p>
    <w:p>
      <w:pPr>
        <w:spacing w:line="440" w:lineRule="exact"/>
        <w:ind w:firstLine="480" w:firstLineChars="200"/>
        <w:contextualSpacing/>
        <w:rPr>
          <w:rFonts w:ascii="宋体" w:hAnsi="宋体" w:cs="宋体"/>
          <w:sz w:val="24"/>
        </w:rPr>
      </w:pPr>
      <w:r>
        <w:rPr>
          <w:rFonts w:hint="eastAsia" w:ascii="宋体" w:hAnsi="宋体" w:cs="宋体"/>
          <w:bCs/>
          <w:sz w:val="24"/>
        </w:rPr>
        <w:t>服务地点：北京市市级政务云机房。</w:t>
      </w:r>
    </w:p>
    <w:p>
      <w:pPr>
        <w:spacing w:line="440" w:lineRule="exact"/>
        <w:ind w:firstLine="482" w:firstLineChars="200"/>
        <w:contextualSpacing/>
        <w:outlineLvl w:val="1"/>
        <w:rPr>
          <w:rFonts w:ascii="宋体" w:hAnsi="宋体" w:cs="宋体"/>
          <w:b/>
          <w:bCs/>
          <w:sz w:val="24"/>
        </w:rPr>
      </w:pPr>
      <w:r>
        <w:rPr>
          <w:rFonts w:hint="eastAsia" w:ascii="宋体" w:hAnsi="宋体" w:cs="宋体"/>
          <w:b/>
          <w:bCs/>
          <w:sz w:val="24"/>
        </w:rPr>
        <w:t>2. 付款进度和方式</w:t>
      </w:r>
    </w:p>
    <w:p>
      <w:pPr>
        <w:spacing w:line="440" w:lineRule="exact"/>
        <w:ind w:firstLine="480" w:firstLineChars="200"/>
        <w:contextualSpacing/>
        <w:rPr>
          <w:rFonts w:ascii="宋体" w:hAnsi="宋体" w:cs="宋体"/>
          <w:bCs/>
          <w:sz w:val="24"/>
        </w:rPr>
      </w:pPr>
      <w:r>
        <w:rPr>
          <w:rFonts w:hint="eastAsia" w:ascii="宋体" w:hAnsi="宋体" w:cs="宋体"/>
          <w:bCs/>
          <w:sz w:val="24"/>
        </w:rPr>
        <w:t>首付款：自合同签署后，</w:t>
      </w:r>
      <w:r>
        <w:rPr>
          <w:rFonts w:hint="eastAsia" w:ascii="宋体" w:hAnsi="宋体" w:cs="宋体"/>
          <w:bCs/>
          <w:sz w:val="24"/>
          <w:lang w:val="en-US" w:eastAsia="zh-CN"/>
        </w:rPr>
        <w:t>采购人</w:t>
      </w:r>
      <w:r>
        <w:rPr>
          <w:rFonts w:hint="eastAsia" w:ascii="宋体" w:hAnsi="宋体" w:cs="宋体"/>
          <w:bCs/>
          <w:sz w:val="24"/>
        </w:rPr>
        <w:t>向</w:t>
      </w:r>
      <w:r>
        <w:rPr>
          <w:rFonts w:hint="eastAsia" w:ascii="宋体" w:hAnsi="宋体" w:cs="宋体"/>
          <w:bCs/>
          <w:sz w:val="24"/>
          <w:lang w:val="en-US" w:eastAsia="zh-CN"/>
        </w:rPr>
        <w:t>中标人</w:t>
      </w:r>
      <w:r>
        <w:rPr>
          <w:rFonts w:hint="eastAsia" w:ascii="宋体" w:hAnsi="宋体" w:cs="宋体"/>
          <w:bCs/>
          <w:sz w:val="24"/>
        </w:rPr>
        <w:t>支付合同款的</w:t>
      </w:r>
      <w:r>
        <w:rPr>
          <w:rFonts w:hint="eastAsia" w:ascii="宋体" w:hAnsi="宋体" w:cs="宋体"/>
          <w:bCs/>
          <w:sz w:val="24"/>
          <w:lang w:val="en-US" w:eastAsia="zh-CN"/>
        </w:rPr>
        <w:t>50</w:t>
      </w:r>
      <w:r>
        <w:rPr>
          <w:rFonts w:hint="eastAsia" w:ascii="宋体" w:hAnsi="宋体" w:cs="宋体"/>
          <w:bCs/>
          <w:sz w:val="24"/>
        </w:rPr>
        <w:t>%。</w:t>
      </w:r>
    </w:p>
    <w:p>
      <w:pPr>
        <w:spacing w:line="440" w:lineRule="exact"/>
        <w:ind w:firstLine="480" w:firstLineChars="200"/>
        <w:contextualSpacing/>
        <w:rPr>
          <w:rFonts w:ascii="宋体" w:hAnsi="宋体" w:cs="宋体"/>
          <w:bCs/>
          <w:sz w:val="24"/>
        </w:rPr>
      </w:pPr>
      <w:r>
        <w:rPr>
          <w:rFonts w:hint="eastAsia" w:ascii="宋体" w:hAnsi="宋体" w:cs="宋体"/>
          <w:bCs/>
          <w:sz w:val="24"/>
        </w:rPr>
        <w:t>第二次付款：项目中期验收后，</w:t>
      </w:r>
      <w:r>
        <w:rPr>
          <w:rFonts w:hint="eastAsia" w:ascii="宋体" w:hAnsi="宋体" w:cs="宋体"/>
          <w:bCs/>
          <w:sz w:val="24"/>
          <w:lang w:val="en-US" w:eastAsia="zh-CN"/>
        </w:rPr>
        <w:t>采购人</w:t>
      </w:r>
      <w:r>
        <w:rPr>
          <w:rFonts w:hint="eastAsia" w:ascii="宋体" w:hAnsi="宋体" w:cs="宋体"/>
          <w:bCs/>
          <w:sz w:val="24"/>
        </w:rPr>
        <w:t>向</w:t>
      </w:r>
      <w:r>
        <w:rPr>
          <w:rFonts w:hint="eastAsia" w:ascii="宋体" w:hAnsi="宋体" w:cs="宋体"/>
          <w:bCs/>
          <w:sz w:val="24"/>
          <w:lang w:val="en-US" w:eastAsia="zh-CN"/>
        </w:rPr>
        <w:t>中标人</w:t>
      </w:r>
      <w:r>
        <w:rPr>
          <w:rFonts w:hint="eastAsia" w:ascii="宋体" w:hAnsi="宋体" w:cs="宋体"/>
          <w:bCs/>
          <w:sz w:val="24"/>
        </w:rPr>
        <w:t>支付合同款的</w:t>
      </w:r>
      <w:r>
        <w:rPr>
          <w:rFonts w:hint="eastAsia" w:ascii="宋体" w:hAnsi="宋体" w:cs="宋体"/>
          <w:bCs/>
          <w:sz w:val="24"/>
          <w:lang w:val="en-US" w:eastAsia="zh-CN"/>
        </w:rPr>
        <w:t>4</w:t>
      </w:r>
      <w:r>
        <w:rPr>
          <w:rFonts w:hint="eastAsia" w:ascii="宋体" w:hAnsi="宋体" w:cs="宋体"/>
          <w:bCs/>
          <w:sz w:val="24"/>
        </w:rPr>
        <w:t>0%。</w:t>
      </w:r>
    </w:p>
    <w:p>
      <w:pPr>
        <w:spacing w:line="440" w:lineRule="exact"/>
        <w:ind w:firstLine="480" w:firstLineChars="200"/>
        <w:contextualSpacing/>
        <w:rPr>
          <w:rFonts w:ascii="宋体" w:hAnsi="宋体" w:cs="宋体"/>
          <w:sz w:val="24"/>
        </w:rPr>
      </w:pPr>
      <w:r>
        <w:rPr>
          <w:rFonts w:hint="eastAsia" w:ascii="宋体" w:hAnsi="宋体" w:cs="宋体"/>
          <w:bCs/>
          <w:sz w:val="24"/>
        </w:rPr>
        <w:t>第三次付款：项目</w:t>
      </w:r>
      <w:r>
        <w:rPr>
          <w:rFonts w:hint="eastAsia" w:ascii="宋体" w:hAnsi="宋体" w:cs="宋体"/>
          <w:bCs/>
          <w:sz w:val="24"/>
          <w:lang w:eastAsia="zh-CN"/>
        </w:rPr>
        <w:t>最终</w:t>
      </w:r>
      <w:r>
        <w:rPr>
          <w:rFonts w:hint="eastAsia" w:ascii="宋体" w:hAnsi="宋体" w:cs="宋体"/>
          <w:bCs/>
          <w:sz w:val="24"/>
        </w:rPr>
        <w:t>验收后，</w:t>
      </w:r>
      <w:r>
        <w:rPr>
          <w:rFonts w:hint="eastAsia" w:ascii="宋体" w:hAnsi="宋体" w:cs="宋体"/>
          <w:bCs/>
          <w:sz w:val="24"/>
          <w:lang w:val="en-US" w:eastAsia="zh-CN"/>
        </w:rPr>
        <w:t>采购人</w:t>
      </w:r>
      <w:r>
        <w:rPr>
          <w:rFonts w:hint="eastAsia" w:ascii="宋体" w:hAnsi="宋体" w:cs="宋体"/>
          <w:bCs/>
          <w:sz w:val="24"/>
        </w:rPr>
        <w:t>向</w:t>
      </w:r>
      <w:r>
        <w:rPr>
          <w:rFonts w:hint="eastAsia" w:ascii="宋体" w:hAnsi="宋体" w:cs="宋体"/>
          <w:bCs/>
          <w:sz w:val="24"/>
          <w:lang w:val="en-US" w:eastAsia="zh-CN"/>
        </w:rPr>
        <w:t>中标人</w:t>
      </w:r>
      <w:r>
        <w:rPr>
          <w:rFonts w:hint="eastAsia" w:ascii="宋体" w:hAnsi="宋体" w:cs="宋体"/>
          <w:bCs/>
          <w:sz w:val="24"/>
        </w:rPr>
        <w:t>支付合同款的10%。</w:t>
      </w:r>
    </w:p>
    <w:p>
      <w:pPr>
        <w:pStyle w:val="59"/>
        <w:spacing w:line="440" w:lineRule="exact"/>
        <w:ind w:firstLine="0" w:firstLineChars="0"/>
        <w:contextualSpacing/>
        <w:outlineLvl w:val="0"/>
        <w:rPr>
          <w:rFonts w:ascii="宋体" w:hAnsi="宋体" w:cs="宋体"/>
          <w:b/>
          <w:sz w:val="24"/>
          <w:szCs w:val="24"/>
        </w:rPr>
      </w:pPr>
      <w:r>
        <w:rPr>
          <w:rFonts w:hint="eastAsia" w:ascii="宋体" w:hAnsi="宋体" w:cs="宋体"/>
          <w:b/>
          <w:sz w:val="24"/>
          <w:szCs w:val="24"/>
        </w:rPr>
        <w:t>三、技术要求</w:t>
      </w:r>
    </w:p>
    <w:p>
      <w:pPr>
        <w:spacing w:line="440" w:lineRule="exact"/>
        <w:ind w:firstLine="482" w:firstLineChars="200"/>
        <w:contextualSpacing/>
        <w:outlineLvl w:val="1"/>
        <w:rPr>
          <w:rFonts w:ascii="宋体" w:hAnsi="宋体" w:cs="宋体"/>
          <w:b/>
          <w:bCs/>
          <w:sz w:val="24"/>
        </w:rPr>
      </w:pPr>
      <w:r>
        <w:rPr>
          <w:rFonts w:hint="eastAsia" w:ascii="宋体" w:hAnsi="宋体" w:cs="宋体"/>
          <w:b/>
          <w:bCs/>
          <w:sz w:val="24"/>
        </w:rPr>
        <w:t>1</w:t>
      </w:r>
      <w:r>
        <w:rPr>
          <w:rFonts w:ascii="宋体" w:hAnsi="宋体" w:cs="宋体"/>
          <w:b/>
          <w:bCs/>
          <w:sz w:val="24"/>
        </w:rPr>
        <w:t xml:space="preserve">. </w:t>
      </w:r>
      <w:r>
        <w:rPr>
          <w:rFonts w:hint="eastAsia" w:ascii="宋体" w:hAnsi="宋体" w:cs="宋体"/>
          <w:b/>
          <w:bCs/>
          <w:sz w:val="24"/>
        </w:rPr>
        <w:t>基本要求</w:t>
      </w:r>
    </w:p>
    <w:p>
      <w:pPr>
        <w:spacing w:line="440" w:lineRule="exact"/>
        <w:ind w:firstLine="480" w:firstLineChars="200"/>
        <w:rPr>
          <w:sz w:val="24"/>
        </w:rPr>
      </w:pPr>
      <w:r>
        <w:rPr>
          <w:rFonts w:hint="eastAsia" w:ascii="宋体" w:hAnsi="宋体" w:cs="宋体"/>
          <w:sz w:val="24"/>
        </w:rPr>
        <w:t>为</w:t>
      </w:r>
      <w:r>
        <w:rPr>
          <w:rFonts w:hint="eastAsia" w:ascii="宋体" w:hAnsi="宋体" w:cs="宋体"/>
          <w:sz w:val="24"/>
          <w:lang w:eastAsia="zh-CN"/>
        </w:rPr>
        <w:t>北京市</w:t>
      </w:r>
      <w:r>
        <w:rPr>
          <w:rFonts w:hint="eastAsia" w:ascii="宋体" w:hAnsi="宋体" w:cs="宋体"/>
          <w:sz w:val="24"/>
        </w:rPr>
        <w:t>乡村振兴大数据平台、北京市农业农村综合管理平台等</w:t>
      </w:r>
      <w:r>
        <w:rPr>
          <w:rFonts w:hint="eastAsia" w:ascii="宋体" w:hAnsi="宋体" w:cs="宋体"/>
          <w:sz w:val="24"/>
          <w:lang w:val="en-US" w:eastAsia="zh-CN"/>
        </w:rPr>
        <w:t>7</w:t>
      </w:r>
      <w:r>
        <w:rPr>
          <w:rFonts w:hint="eastAsia" w:ascii="宋体" w:hAnsi="宋体" w:cs="宋体"/>
          <w:sz w:val="24"/>
        </w:rPr>
        <w:t>个信息系统提供政务云基础服务，并提供7×24小时运维保障服务，确保各信息系统政务云环境可靠稳定运行。</w:t>
      </w:r>
    </w:p>
    <w:p>
      <w:pPr>
        <w:spacing w:line="440" w:lineRule="exact"/>
        <w:ind w:left="420" w:leftChars="200"/>
        <w:contextualSpacing/>
        <w:outlineLvl w:val="1"/>
        <w:rPr>
          <w:rFonts w:ascii="宋体" w:hAnsi="宋体" w:cs="宋体"/>
          <w:b/>
          <w:bCs/>
          <w:sz w:val="24"/>
        </w:rPr>
      </w:pPr>
      <w:r>
        <w:rPr>
          <w:rFonts w:ascii="宋体" w:hAnsi="宋体" w:cs="宋体"/>
          <w:b/>
          <w:bCs/>
          <w:sz w:val="24"/>
        </w:rPr>
        <w:t>2. 服务内容及要求</w:t>
      </w:r>
    </w:p>
    <w:p>
      <w:pPr>
        <w:widowControl/>
        <w:spacing w:line="440" w:lineRule="exact"/>
        <w:ind w:firstLine="482" w:firstLineChars="200"/>
        <w:contextualSpacing/>
        <w:outlineLvl w:val="2"/>
        <w:rPr>
          <w:rFonts w:ascii="宋体" w:hAnsi="宋体" w:cs="宋体"/>
          <w:b/>
          <w:bCs/>
          <w:sz w:val="24"/>
        </w:rPr>
      </w:pPr>
      <w:r>
        <w:rPr>
          <w:rFonts w:hint="eastAsia" w:ascii="宋体" w:hAnsi="宋体" w:cs="宋体"/>
          <w:b/>
          <w:bCs/>
          <w:sz w:val="24"/>
        </w:rPr>
        <w:t>2.1服务内容需求</w:t>
      </w:r>
    </w:p>
    <w:p>
      <w:pPr>
        <w:spacing w:line="440" w:lineRule="exact"/>
        <w:ind w:firstLine="480" w:firstLineChars="200"/>
        <w:rPr>
          <w:rFonts w:hint="eastAsia" w:ascii="宋体" w:hAnsi="宋体" w:cs="宋体"/>
          <w:color w:val="000000"/>
          <w:sz w:val="24"/>
          <w:highlight w:val="none"/>
        </w:rPr>
      </w:pPr>
      <w:r>
        <w:rPr>
          <w:rFonts w:hint="eastAsia" w:ascii="宋体" w:hAnsi="宋体" w:cs="宋体"/>
          <w:color w:val="000000"/>
          <w:sz w:val="24"/>
        </w:rPr>
        <w:t>投标人按照采购人的有关规定及要求，提供对北京市农业农村局入云业务系统</w:t>
      </w:r>
      <w:r>
        <w:rPr>
          <w:rFonts w:hint="eastAsia" w:ascii="宋体" w:hAnsi="宋体" w:cs="宋体"/>
          <w:color w:val="000000"/>
          <w:sz w:val="24"/>
          <w:lang w:eastAsia="zh-CN"/>
        </w:rPr>
        <w:t>（包括但不限于：</w:t>
      </w:r>
      <w:r>
        <w:rPr>
          <w:rFonts w:hint="eastAsia" w:ascii="宋体" w:hAnsi="宋体" w:cs="宋体"/>
          <w:color w:val="000000"/>
          <w:sz w:val="24"/>
        </w:rPr>
        <w:t>市农业农村局乡村振兴大数据平台</w:t>
      </w:r>
      <w:r>
        <w:rPr>
          <w:rFonts w:hint="eastAsia" w:ascii="宋体" w:hAnsi="宋体" w:cs="宋体"/>
          <w:color w:val="000000"/>
          <w:sz w:val="24"/>
          <w:lang w:eastAsia="zh-CN"/>
        </w:rPr>
        <w:t>、</w:t>
      </w:r>
      <w:r>
        <w:rPr>
          <w:rFonts w:hint="eastAsia" w:ascii="宋体" w:hAnsi="宋体" w:cs="宋体"/>
          <w:color w:val="000000"/>
          <w:sz w:val="24"/>
        </w:rPr>
        <w:t>北京市农业农村综合管理平台</w:t>
      </w:r>
      <w:r>
        <w:rPr>
          <w:rFonts w:hint="eastAsia" w:ascii="宋体" w:hAnsi="宋体" w:cs="宋体"/>
          <w:color w:val="000000"/>
          <w:sz w:val="24"/>
          <w:lang w:eastAsia="zh-CN"/>
        </w:rPr>
        <w:t>、</w:t>
      </w:r>
      <w:r>
        <w:rPr>
          <w:rFonts w:hint="eastAsia" w:ascii="宋体" w:hAnsi="宋体" w:cs="宋体"/>
          <w:color w:val="000000"/>
          <w:sz w:val="24"/>
        </w:rPr>
        <w:t>北京市农业农村局内网门户及OA系统</w:t>
      </w:r>
      <w:r>
        <w:rPr>
          <w:rFonts w:hint="eastAsia" w:ascii="宋体" w:hAnsi="宋体" w:cs="宋体"/>
          <w:color w:val="000000"/>
          <w:sz w:val="24"/>
          <w:lang w:eastAsia="zh-CN"/>
        </w:rPr>
        <w:t>、</w:t>
      </w:r>
      <w:r>
        <w:rPr>
          <w:rFonts w:hint="eastAsia" w:ascii="宋体" w:hAnsi="宋体" w:cs="宋体"/>
          <w:color w:val="000000"/>
          <w:sz w:val="24"/>
        </w:rPr>
        <w:t>北京市农村金融与风险管理信息平台</w:t>
      </w:r>
      <w:r>
        <w:rPr>
          <w:rFonts w:hint="eastAsia" w:ascii="宋体" w:hAnsi="宋体" w:cs="宋体"/>
          <w:color w:val="000000"/>
          <w:sz w:val="24"/>
          <w:lang w:eastAsia="zh-CN"/>
        </w:rPr>
        <w:t>、</w:t>
      </w:r>
      <w:r>
        <w:rPr>
          <w:rFonts w:hint="eastAsia" w:ascii="宋体" w:hAnsi="宋体" w:cs="宋体"/>
          <w:color w:val="000000"/>
          <w:sz w:val="24"/>
        </w:rPr>
        <w:t>北京市农村土地承包经营权信息应用平台</w:t>
      </w:r>
      <w:r>
        <w:rPr>
          <w:rFonts w:hint="eastAsia" w:ascii="宋体" w:hAnsi="宋体" w:cs="宋体"/>
          <w:color w:val="000000"/>
          <w:sz w:val="24"/>
          <w:lang w:eastAsia="zh-CN"/>
        </w:rPr>
        <w:t>、</w:t>
      </w:r>
      <w:r>
        <w:rPr>
          <w:rFonts w:hint="eastAsia" w:ascii="宋体" w:hAnsi="宋体" w:cs="宋体"/>
          <w:color w:val="000000"/>
          <w:sz w:val="24"/>
        </w:rPr>
        <w:t>财务集中核算网上报销系统</w:t>
      </w:r>
      <w:r>
        <w:rPr>
          <w:rFonts w:hint="eastAsia" w:ascii="宋体" w:hAnsi="宋体" w:cs="宋体"/>
          <w:color w:val="000000"/>
          <w:sz w:val="24"/>
          <w:lang w:eastAsia="zh-CN"/>
        </w:rPr>
        <w:t>、</w:t>
      </w:r>
      <w:r>
        <w:rPr>
          <w:rFonts w:hint="eastAsia" w:ascii="宋体" w:hAnsi="宋体" w:cs="宋体"/>
          <w:color w:val="000000"/>
          <w:sz w:val="24"/>
        </w:rPr>
        <w:t>北京玉米品种试验数据管理平台</w:t>
      </w:r>
      <w:r>
        <w:rPr>
          <w:rFonts w:hint="eastAsia" w:ascii="宋体" w:hAnsi="宋体" w:cs="宋体"/>
          <w:color w:val="000000"/>
          <w:sz w:val="24"/>
          <w:lang w:eastAsia="zh-CN"/>
        </w:rPr>
        <w:t>）</w:t>
      </w:r>
      <w:r>
        <w:rPr>
          <w:rFonts w:hint="eastAsia" w:ascii="宋体" w:hAnsi="宋体" w:cs="宋体"/>
          <w:color w:val="000000"/>
          <w:sz w:val="24"/>
        </w:rPr>
        <w:t>的计算、存储、互联网链路和远程接入等政务云租赁基础服</w:t>
      </w:r>
      <w:r>
        <w:rPr>
          <w:rFonts w:hint="eastAsia" w:ascii="宋体" w:hAnsi="宋体" w:cs="宋体"/>
          <w:color w:val="000000"/>
          <w:sz w:val="24"/>
          <w:highlight w:val="none"/>
        </w:rPr>
        <w:t>务。政务云基础服务具体服务资源采购需求如下：</w:t>
      </w:r>
    </w:p>
    <w:tbl>
      <w:tblPr>
        <w:tblStyle w:val="44"/>
        <w:tblW w:w="9243" w:type="dxa"/>
        <w:tblInd w:w="-95" w:type="dxa"/>
        <w:tblLayout w:type="fixed"/>
        <w:tblCellMar>
          <w:top w:w="0" w:type="dxa"/>
          <w:left w:w="108" w:type="dxa"/>
          <w:bottom w:w="0" w:type="dxa"/>
          <w:right w:w="108" w:type="dxa"/>
        </w:tblCellMar>
      </w:tblPr>
      <w:tblGrid>
        <w:gridCol w:w="1199"/>
        <w:gridCol w:w="1651"/>
        <w:gridCol w:w="3285"/>
        <w:gridCol w:w="1773"/>
        <w:gridCol w:w="1335"/>
      </w:tblGrid>
      <w:tr>
        <w:tblPrEx>
          <w:tblLayout w:type="fixed"/>
          <w:tblCellMar>
            <w:top w:w="0" w:type="dxa"/>
            <w:left w:w="108" w:type="dxa"/>
            <w:bottom w:w="0" w:type="dxa"/>
            <w:right w:w="108" w:type="dxa"/>
          </w:tblCellMar>
        </w:tblPrEx>
        <w:trPr>
          <w:trHeight w:val="300" w:hRule="atLeast"/>
        </w:trPr>
        <w:tc>
          <w:tcPr>
            <w:tcW w:w="1199"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服务类别</w:t>
            </w:r>
          </w:p>
        </w:tc>
        <w:tc>
          <w:tcPr>
            <w:tcW w:w="165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服务项</w:t>
            </w:r>
          </w:p>
        </w:tc>
        <w:tc>
          <w:tcPr>
            <w:tcW w:w="32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描述</w:t>
            </w:r>
          </w:p>
        </w:tc>
        <w:tc>
          <w:tcPr>
            <w:tcW w:w="1773"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lang w:eastAsia="zh-CN"/>
              </w:rPr>
              <w:t>报价</w:t>
            </w:r>
            <w:r>
              <w:rPr>
                <w:rFonts w:hint="eastAsia" w:ascii="宋体" w:hAnsi="宋体" w:cs="宋体"/>
                <w:b/>
                <w:color w:val="000000"/>
                <w:kern w:val="0"/>
                <w:sz w:val="24"/>
                <w:highlight w:val="none"/>
              </w:rPr>
              <w:t>单位</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ascii="宋体" w:hAnsi="宋体" w:cs="宋体"/>
                <w:b/>
                <w:color w:val="000000"/>
                <w:sz w:val="24"/>
                <w:highlight w:val="none"/>
              </w:rPr>
            </w:pPr>
            <w:r>
              <w:rPr>
                <w:rFonts w:hint="eastAsia" w:ascii="宋体" w:hAnsi="宋体" w:cs="宋体"/>
                <w:b/>
                <w:color w:val="000000"/>
                <w:kern w:val="0"/>
                <w:sz w:val="24"/>
                <w:highlight w:val="none"/>
              </w:rPr>
              <w:t>数量</w:t>
            </w:r>
          </w:p>
        </w:tc>
      </w:tr>
      <w:tr>
        <w:tblPrEx>
          <w:tblLayout w:type="fixed"/>
          <w:tblCellMar>
            <w:top w:w="0" w:type="dxa"/>
            <w:left w:w="108" w:type="dxa"/>
            <w:bottom w:w="0" w:type="dxa"/>
            <w:right w:w="108" w:type="dxa"/>
          </w:tblCellMar>
        </w:tblPrEx>
        <w:trPr>
          <w:trHeight w:val="540" w:hRule="atLeast"/>
        </w:trPr>
        <w:tc>
          <w:tcPr>
            <w:tcW w:w="119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both"/>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计算服务</w:t>
            </w:r>
          </w:p>
        </w:tc>
        <w:tc>
          <w:tcPr>
            <w:tcW w:w="1651" w:type="dxa"/>
            <w:tcBorders>
              <w:top w:val="single" w:color="000000" w:sz="4" w:space="0"/>
              <w:left w:val="single" w:color="000000" w:sz="4" w:space="0"/>
              <w:bottom w:val="single" w:color="auto"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平台云主机服务（包含X86、ARM、C86）-vCPU</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X86平台云主机服务-vCPU（vCPU ARM架构主频不低于2.4GHz，C86和x86主频不低于2.2GHz，平均虚拟化率，即物理CPU/虚拟CPU≥1/4，虚拟CPU利用率不低于物理CPU的25%）</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元/CPU·月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1800</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宋体" w:hAnsi="宋体" w:eastAsia="宋体" w:cs="宋体"/>
                <w:b/>
                <w:i w:val="0"/>
                <w:color w:val="000000"/>
                <w:kern w:val="0"/>
                <w:sz w:val="24"/>
                <w:szCs w:val="24"/>
                <w:u w:val="none"/>
                <w:lang w:val="en-US" w:eastAsia="zh-CN" w:bidi="ar"/>
              </w:rPr>
            </w:pPr>
          </w:p>
        </w:tc>
        <w:tc>
          <w:tcPr>
            <w:tcW w:w="1651" w:type="dxa"/>
            <w:tcBorders>
              <w:top w:val="single" w:color="auto"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平台云主机服务（包含X86、ARM、C86）-内存</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X86平台云主机服务（包含X86、ARM、C86）-内存</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元/GB·月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5592</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物理服务器租用服务（包含X86、ARM、C86）-配置1</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x86物理服务器配置1: 双路每CPU核数≥32核，主频≥2.0GHz，128G内存，2块600GSAS硕盘，2个HBA卡，2个万兆端口</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元/台·月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8</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物理服务器租用服务（包含X86、ARM、C86）-内存</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32GB内存</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元/条·月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40</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物理服务器租用服务（包含X86、ARM、C86）-硬盘配置1</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硬盘配置1-480GB SSD</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元/块·月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10</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物理服务器租用服务（包含X86、ARM、C86）-硬盘配置3</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硬盘配置3-4TB SATA</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元/块·月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30</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both"/>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GPU卡算力服务（适配X86、ARM、C86）</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GPU显存不低于16GB，最大单精度浮点计算能力不低于10TFLOPS。</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元/块·月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12</w:t>
            </w:r>
          </w:p>
        </w:tc>
      </w:tr>
      <w:tr>
        <w:tblPrEx>
          <w:tblLayout w:type="fixed"/>
          <w:tblCellMar>
            <w:top w:w="0" w:type="dxa"/>
            <w:left w:w="108" w:type="dxa"/>
            <w:bottom w:w="0" w:type="dxa"/>
            <w:right w:w="108" w:type="dxa"/>
          </w:tblCellMar>
        </w:tblPrEx>
        <w:trPr>
          <w:trHeight w:val="90" w:hRule="atLeast"/>
        </w:trPr>
        <w:tc>
          <w:tcPr>
            <w:tcW w:w="119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存储服务</w:t>
            </w: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普通性能存储</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普通存储（单盘技术指标: 单盘IOPS 2000-5000）</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元/100GB·月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877.41</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高性能存储</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 xml:space="preserve">高性能存储（单盘技术指标：单盘IOPS </w:t>
            </w:r>
            <w:r>
              <w:rPr>
                <w:rFonts w:hint="eastAsia" w:ascii="宋体" w:hAnsi="宋体" w:cs="宋体"/>
                <w:i w:val="0"/>
                <w:color w:val="000000"/>
                <w:kern w:val="0"/>
                <w:sz w:val="24"/>
                <w:szCs w:val="24"/>
                <w:u w:val="none"/>
                <w:lang w:val="en-US" w:eastAsia="zh-CN" w:bidi="ar"/>
              </w:rPr>
              <w:t>10</w:t>
            </w:r>
            <w:r>
              <w:rPr>
                <w:rFonts w:hint="eastAsia" w:ascii="宋体" w:hAnsi="宋体" w:eastAsia="宋体" w:cs="宋体"/>
                <w:i w:val="0"/>
                <w:color w:val="000000"/>
                <w:kern w:val="0"/>
                <w:sz w:val="24"/>
                <w:szCs w:val="24"/>
                <w:u w:val="none"/>
                <w:lang w:val="en-US" w:eastAsia="zh-CN" w:bidi="ar"/>
              </w:rPr>
              <w:t>000-2</w:t>
            </w:r>
            <w:r>
              <w:rPr>
                <w:rFonts w:hint="eastAsia" w:ascii="宋体" w:hAnsi="宋体" w:cs="宋体"/>
                <w:i w:val="0"/>
                <w:color w:val="000000"/>
                <w:kern w:val="0"/>
                <w:sz w:val="24"/>
                <w:szCs w:val="24"/>
                <w:u w:val="none"/>
                <w:lang w:val="en-US" w:eastAsia="zh-CN" w:bidi="ar"/>
              </w:rPr>
              <w:t>5</w:t>
            </w:r>
            <w:r>
              <w:rPr>
                <w:rFonts w:hint="eastAsia" w:ascii="宋体" w:hAnsi="宋体" w:eastAsia="宋体" w:cs="宋体"/>
                <w:i w:val="0"/>
                <w:color w:val="000000"/>
                <w:kern w:val="0"/>
                <w:sz w:val="24"/>
                <w:szCs w:val="24"/>
                <w:u w:val="none"/>
                <w:lang w:val="en-US" w:eastAsia="zh-CN" w:bidi="ar"/>
              </w:rPr>
              <w:t>000）</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元/100GB·月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1929.76</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本地备份服务</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通过备份策略实现文件、操作系统、数据库的本地备份</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元/100GB·月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1768.74</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left"/>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静态存储</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大容量、高可靠的数据存储服务，具备PB级线性扩展能力</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元/TB·月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172.73</w:t>
            </w:r>
          </w:p>
        </w:tc>
      </w:tr>
      <w:tr>
        <w:tblPrEx>
          <w:tblLayout w:type="fixed"/>
          <w:tblCellMar>
            <w:top w:w="0" w:type="dxa"/>
            <w:left w:w="108" w:type="dxa"/>
            <w:bottom w:w="0" w:type="dxa"/>
            <w:right w:w="108" w:type="dxa"/>
          </w:tblCellMar>
        </w:tblPrEx>
        <w:trPr>
          <w:trHeight w:val="540" w:hRule="atLeast"/>
        </w:trPr>
        <w:tc>
          <w:tcPr>
            <w:tcW w:w="1199"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网络服务</w:t>
            </w: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互联网链路服务1</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互联网链路带宽</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元/Mb·月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320</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互联网链路服务2</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互联网IP地址租用服务、并提供备案服务</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元/IP·月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60</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主机负载均衡服务</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主机负载均衡服务</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元/IP·月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36</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远程接入服务</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远程接入运维，每个账号结合身份验证，通过VPN远程接入堡垒机进行维护</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元/账号·月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51</w:t>
            </w:r>
          </w:p>
        </w:tc>
      </w:tr>
      <w:tr>
        <w:tblPrEx>
          <w:tblLayout w:type="fixed"/>
          <w:tblCellMar>
            <w:top w:w="0" w:type="dxa"/>
            <w:left w:w="108" w:type="dxa"/>
            <w:bottom w:w="0" w:type="dxa"/>
            <w:right w:w="108" w:type="dxa"/>
          </w:tblCellMar>
        </w:tblPrEx>
        <w:trPr>
          <w:trHeight w:val="723"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WAF防护</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web应用防火墙服务</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元/IP·月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60</w:t>
            </w:r>
          </w:p>
        </w:tc>
      </w:tr>
      <w:tr>
        <w:tblPrEx>
          <w:tblLayout w:type="fixed"/>
          <w:tblCellMar>
            <w:top w:w="0" w:type="dxa"/>
            <w:left w:w="108" w:type="dxa"/>
            <w:bottom w:w="0" w:type="dxa"/>
            <w:right w:w="108" w:type="dxa"/>
          </w:tblCellMar>
        </w:tblPrEx>
        <w:trPr>
          <w:trHeight w:val="540" w:hRule="atLeast"/>
        </w:trPr>
        <w:tc>
          <w:tcPr>
            <w:tcW w:w="1199"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tLeast"/>
              <w:jc w:val="center"/>
              <w:rPr>
                <w:rFonts w:hint="eastAsia" w:ascii="宋体" w:hAnsi="宋体" w:eastAsia="宋体" w:cs="宋体"/>
                <w:b/>
                <w:i w:val="0"/>
                <w:color w:val="000000"/>
                <w:kern w:val="0"/>
                <w:sz w:val="24"/>
                <w:szCs w:val="24"/>
                <w:u w:val="none"/>
                <w:lang w:val="en-US" w:eastAsia="zh-CN" w:bidi="ar"/>
              </w:rPr>
            </w:pPr>
          </w:p>
        </w:tc>
        <w:tc>
          <w:tcPr>
            <w:tcW w:w="165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SSL VPN接入</w:t>
            </w:r>
          </w:p>
        </w:tc>
        <w:tc>
          <w:tcPr>
            <w:tcW w:w="328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atLeast"/>
              <w:jc w:val="left"/>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i w:val="0"/>
                <w:color w:val="000000"/>
                <w:kern w:val="0"/>
                <w:sz w:val="24"/>
                <w:szCs w:val="24"/>
                <w:u w:val="none"/>
                <w:lang w:val="en-US" w:eastAsia="zh-CN" w:bidi="ar"/>
              </w:rPr>
              <w:t>用户通过SSL VPN访问业务系统。每套支持10个并发用户。</w:t>
            </w:r>
          </w:p>
        </w:tc>
        <w:tc>
          <w:tcPr>
            <w:tcW w:w="177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元/套·月</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spacing w:line="360" w:lineRule="exact"/>
              <w:jc w:val="center"/>
              <w:textAlignment w:val="center"/>
              <w:rPr>
                <w:rFonts w:hint="eastAsia" w:ascii="宋体" w:hAnsi="宋体" w:eastAsia="宋体" w:cs="宋体"/>
                <w:color w:val="000000"/>
                <w:kern w:val="0"/>
                <w:sz w:val="24"/>
                <w:highlight w:val="none"/>
                <w:lang w:val="en-US" w:eastAsia="zh-CN"/>
              </w:rPr>
            </w:pPr>
            <w:r>
              <w:rPr>
                <w:rFonts w:hint="eastAsia" w:ascii="宋体" w:hAnsi="宋体" w:eastAsia="宋体" w:cs="宋体"/>
                <w:color w:val="000000"/>
                <w:kern w:val="0"/>
                <w:sz w:val="24"/>
                <w:highlight w:val="none"/>
                <w:lang w:val="en-US" w:eastAsia="zh-CN"/>
              </w:rPr>
              <w:t>1</w:t>
            </w:r>
          </w:p>
        </w:tc>
      </w:tr>
    </w:tbl>
    <w:p>
      <w:pPr>
        <w:spacing w:line="440" w:lineRule="exact"/>
        <w:contextualSpacing/>
        <w:rPr>
          <w:rFonts w:ascii="宋体" w:hAnsi="宋体" w:cs="宋体"/>
          <w:sz w:val="24"/>
        </w:rPr>
      </w:pPr>
    </w:p>
    <w:p>
      <w:pPr>
        <w:widowControl/>
        <w:spacing w:line="440" w:lineRule="exact"/>
        <w:ind w:firstLine="482" w:firstLineChars="200"/>
        <w:contextualSpacing/>
        <w:outlineLvl w:val="2"/>
        <w:rPr>
          <w:rFonts w:hint="eastAsia" w:ascii="宋体" w:hAnsi="宋体" w:cs="宋体"/>
          <w:b/>
          <w:bCs/>
          <w:sz w:val="24"/>
          <w:szCs w:val="24"/>
        </w:rPr>
      </w:pPr>
      <w:r>
        <w:rPr>
          <w:rFonts w:hint="eastAsia" w:ascii="宋体" w:hAnsi="宋体" w:cs="宋体"/>
          <w:b/>
          <w:bCs/>
          <w:sz w:val="24"/>
          <w:szCs w:val="24"/>
        </w:rPr>
        <w:t>2.2 服务技术要求</w:t>
      </w:r>
    </w:p>
    <w:p>
      <w:pPr>
        <w:pStyle w:val="7"/>
        <w:keepNext/>
        <w:keepLines/>
        <w:pageBreakBefore w:val="0"/>
        <w:widowControl w:val="0"/>
        <w:numPr>
          <w:ilvl w:val="3"/>
          <w:numId w:val="0"/>
        </w:numPr>
        <w:tabs>
          <w:tab w:val="left" w:pos="0"/>
        </w:tabs>
        <w:kinsoku/>
        <w:wordWrap/>
        <w:overflowPunct/>
        <w:topLinePunct w:val="0"/>
        <w:autoSpaceDE w:val="0"/>
        <w:autoSpaceDN w:val="0"/>
        <w:bidi w:val="0"/>
        <w:adjustRightInd w:val="0"/>
        <w:snapToGrid/>
        <w:spacing w:before="0" w:after="0" w:line="400" w:lineRule="exact"/>
        <w:ind w:firstLine="480" w:firstLineChars="200"/>
        <w:textAlignment w:val="auto"/>
        <w:outlineLvl w:val="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1）计算服务</w:t>
      </w:r>
    </w:p>
    <w:p>
      <w:pPr>
        <w:spacing w:line="400" w:lineRule="exact"/>
        <w:ind w:firstLine="480" w:firstLineChars="200"/>
        <w:rPr>
          <w:rFonts w:ascii="宋体" w:hAnsi="宋体"/>
          <w:sz w:val="24"/>
          <w:szCs w:val="24"/>
        </w:rPr>
      </w:pPr>
      <w:r>
        <w:rPr>
          <w:rFonts w:hint="eastAsia" w:ascii="宋体" w:hAnsi="宋体"/>
          <w:sz w:val="24"/>
          <w:szCs w:val="24"/>
          <w:lang w:eastAsia="zh-CN"/>
        </w:rPr>
        <w:t>按照采购人的具体需求，提供云主机服务，包括云主机服务和物理服务器租用服务，按需求对 CPU 及内存进行动态调整，实现合理的计算资源配置。</w:t>
      </w:r>
      <w:r>
        <w:rPr>
          <w:rFonts w:hint="eastAsia" w:ascii="宋体" w:hAnsi="宋体"/>
          <w:sz w:val="24"/>
          <w:szCs w:val="24"/>
        </w:rPr>
        <w:t>按需提供鲲鹏、飞腾、海光等各技术路线的计算资源。</w:t>
      </w:r>
      <w:r>
        <w:rPr>
          <w:rFonts w:hint="eastAsia" w:ascii="宋体" w:hAnsi="宋体"/>
          <w:sz w:val="24"/>
          <w:szCs w:val="24"/>
          <w:lang w:eastAsia="zh-CN"/>
        </w:rPr>
        <w:t>在提供政务云主机的服务过程中做好与采购人和</w:t>
      </w:r>
      <w:r>
        <w:rPr>
          <w:rFonts w:hint="eastAsia" w:ascii="宋体" w:hAnsi="宋体"/>
          <w:sz w:val="24"/>
          <w:szCs w:val="24"/>
          <w:lang w:val="en-US" w:eastAsia="zh-CN"/>
        </w:rPr>
        <w:t>各业务系统开发运维</w:t>
      </w:r>
      <w:r>
        <w:rPr>
          <w:rFonts w:hint="eastAsia" w:ascii="宋体" w:hAnsi="宋体"/>
          <w:sz w:val="24"/>
          <w:szCs w:val="24"/>
          <w:lang w:eastAsia="zh-CN"/>
        </w:rPr>
        <w:t>厂商的协调沟通工作。</w:t>
      </w:r>
    </w:p>
    <w:tbl>
      <w:tblPr>
        <w:tblStyle w:val="4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line="400" w:lineRule="exact"/>
              <w:ind w:firstLine="0" w:firstLineChars="0"/>
              <w:jc w:val="center"/>
              <w:textAlignment w:val="auto"/>
              <w:rPr>
                <w:rFonts w:ascii="宋体" w:hAnsi="宋体"/>
                <w:b/>
                <w:sz w:val="24"/>
                <w:szCs w:val="24"/>
              </w:rPr>
            </w:pPr>
            <w:r>
              <w:rPr>
                <w:rFonts w:hint="eastAsia" w:ascii="宋体" w:hAnsi="宋体"/>
                <w:b/>
                <w:sz w:val="24"/>
                <w:szCs w:val="24"/>
              </w:rPr>
              <w:t>指标项</w:t>
            </w:r>
          </w:p>
        </w:tc>
        <w:tc>
          <w:tcPr>
            <w:tcW w:w="6601" w:type="dxa"/>
            <w:tcBorders>
              <w:top w:val="single" w:color="000000" w:sz="4" w:space="0"/>
              <w:left w:val="single" w:color="000000" w:sz="4" w:space="0"/>
              <w:bottom w:val="single" w:color="000000" w:sz="4" w:space="0"/>
              <w:right w:val="single" w:color="000000" w:sz="4" w:space="0"/>
            </w:tcBorders>
          </w:tcPr>
          <w:p>
            <w:pPr>
              <w:pageBreakBefore w:val="0"/>
              <w:kinsoku/>
              <w:wordWrap/>
              <w:overflowPunct/>
              <w:topLinePunct w:val="0"/>
              <w:bidi w:val="0"/>
              <w:snapToGrid/>
              <w:spacing w:line="400" w:lineRule="exact"/>
              <w:ind w:firstLine="0" w:firstLineChars="0"/>
              <w:jc w:val="center"/>
              <w:textAlignment w:val="auto"/>
              <w:rPr>
                <w:rFonts w:ascii="宋体" w:hAnsi="宋体"/>
                <w:b/>
                <w:sz w:val="24"/>
                <w:szCs w:val="24"/>
              </w:rPr>
            </w:pPr>
            <w:r>
              <w:rPr>
                <w:rFonts w:hint="eastAsia" w:ascii="宋体" w:hAnsi="宋体"/>
                <w:b/>
                <w:sz w:val="24"/>
                <w:szCs w:val="24"/>
                <w:lang w:eastAsia="zh-CN"/>
              </w:rPr>
              <w:t>技术</w:t>
            </w:r>
            <w:r>
              <w:rPr>
                <w:rFonts w:hint="eastAsia" w:ascii="宋体" w:hAnsi="宋体"/>
                <w:b/>
                <w:sz w:val="24"/>
                <w:szCs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int="eastAsia" w:hAnsi="宋体" w:eastAsia="宋体"/>
                <w:sz w:val="24"/>
                <w:szCs w:val="24"/>
                <w:lang w:eastAsia="zh-CN"/>
              </w:rPr>
            </w:pPr>
            <w:r>
              <w:rPr>
                <w:rFonts w:hint="eastAsia" w:hAnsi="宋体"/>
                <w:sz w:val="24"/>
                <w:szCs w:val="24"/>
              </w:rPr>
              <w:t>性能</w:t>
            </w:r>
            <w:r>
              <w:rPr>
                <w:rFonts w:hint="eastAsia" w:hAnsi="宋体"/>
                <w:sz w:val="24"/>
                <w:szCs w:val="24"/>
                <w:lang w:eastAsia="zh-CN"/>
              </w:rPr>
              <w:t>要求</w:t>
            </w:r>
          </w:p>
        </w:tc>
        <w:tc>
          <w:tcPr>
            <w:tcW w:w="6601" w:type="dxa"/>
            <w:tcBorders>
              <w:top w:val="single" w:color="000000" w:sz="4" w:space="0"/>
              <w:left w:val="single" w:color="000000" w:sz="4" w:space="0"/>
              <w:bottom w:val="single" w:color="000000" w:sz="4" w:space="0"/>
              <w:right w:val="single" w:color="000000" w:sz="4" w:space="0"/>
            </w:tcBorders>
          </w:tcPr>
          <w:p>
            <w:pPr>
              <w:pStyle w:val="6"/>
              <w:pageBreakBefore w:val="0"/>
              <w:kinsoku/>
              <w:wordWrap/>
              <w:overflowPunct/>
              <w:topLinePunct w:val="0"/>
              <w:bidi w:val="0"/>
              <w:snapToGrid/>
              <w:spacing w:line="400" w:lineRule="exact"/>
              <w:ind w:firstLine="0" w:firstLineChars="0"/>
              <w:textAlignment w:val="auto"/>
              <w:rPr>
                <w:rFonts w:hAnsi="宋体"/>
                <w:sz w:val="24"/>
                <w:szCs w:val="24"/>
              </w:rPr>
            </w:pPr>
            <w:r>
              <w:rPr>
                <w:rFonts w:hint="eastAsia" w:hAnsi="宋体"/>
                <w:sz w:val="24"/>
                <w:szCs w:val="24"/>
              </w:rPr>
              <w:t>ARM架构CPU主频≥2.4GHz，C86和</w:t>
            </w:r>
            <w:r>
              <w:rPr>
                <w:rFonts w:hint="eastAsia" w:hAnsi="宋体"/>
                <w:sz w:val="24"/>
                <w:szCs w:val="24"/>
                <w:lang w:val="en-US" w:eastAsia="zh-CN"/>
              </w:rPr>
              <w:t>X</w:t>
            </w:r>
            <w:r>
              <w:rPr>
                <w:rFonts w:hint="eastAsia" w:hAnsi="宋体"/>
                <w:sz w:val="24"/>
                <w:szCs w:val="24"/>
              </w:rPr>
              <w:t>86架构CPU主频≥2.2GHz</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Ansi="宋体"/>
                <w:sz w:val="24"/>
                <w:szCs w:val="24"/>
              </w:rPr>
            </w:pPr>
            <w:r>
              <w:rPr>
                <w:rFonts w:hint="eastAsia" w:hAnsi="宋体"/>
                <w:sz w:val="24"/>
                <w:szCs w:val="24"/>
              </w:rPr>
              <w:t>兼容性</w:t>
            </w:r>
          </w:p>
        </w:tc>
        <w:tc>
          <w:tcPr>
            <w:tcW w:w="6601" w:type="dxa"/>
            <w:tcBorders>
              <w:top w:val="single" w:color="000000" w:sz="4" w:space="0"/>
              <w:left w:val="single" w:color="000000" w:sz="4" w:space="0"/>
              <w:bottom w:val="single" w:color="000000" w:sz="4" w:space="0"/>
              <w:right w:val="single" w:color="000000" w:sz="4" w:space="0"/>
            </w:tcBorders>
          </w:tcPr>
          <w:p>
            <w:pPr>
              <w:pStyle w:val="6"/>
              <w:pageBreakBefore w:val="0"/>
              <w:kinsoku/>
              <w:wordWrap/>
              <w:overflowPunct/>
              <w:topLinePunct w:val="0"/>
              <w:bidi w:val="0"/>
              <w:snapToGrid/>
              <w:spacing w:line="400" w:lineRule="exact"/>
              <w:ind w:firstLine="0" w:firstLineChars="0"/>
              <w:textAlignment w:val="auto"/>
              <w:rPr>
                <w:rFonts w:hint="eastAsia" w:hAnsi="宋体" w:eastAsia="宋体"/>
                <w:sz w:val="24"/>
                <w:szCs w:val="24"/>
                <w:lang w:eastAsia="zh-CN"/>
              </w:rPr>
            </w:pPr>
            <w:r>
              <w:rPr>
                <w:rFonts w:hint="eastAsia" w:hAnsi="宋体"/>
                <w:sz w:val="24"/>
                <w:szCs w:val="24"/>
                <w:lang w:eastAsia="zh-CN"/>
              </w:rPr>
              <w:t>兼容</w:t>
            </w:r>
            <w:r>
              <w:rPr>
                <w:rFonts w:hint="eastAsia" w:hAnsi="宋体"/>
                <w:sz w:val="24"/>
                <w:szCs w:val="24"/>
              </w:rPr>
              <w:t>ARM</w:t>
            </w:r>
            <w:r>
              <w:rPr>
                <w:rFonts w:hint="eastAsia" w:hAnsi="宋体"/>
                <w:sz w:val="24"/>
                <w:szCs w:val="24"/>
                <w:lang w:eastAsia="zh-CN"/>
              </w:rPr>
              <w:t>、</w:t>
            </w:r>
            <w:r>
              <w:rPr>
                <w:rFonts w:hint="eastAsia" w:hAnsi="宋体"/>
                <w:sz w:val="24"/>
                <w:szCs w:val="24"/>
              </w:rPr>
              <w:t>C86</w:t>
            </w:r>
            <w:r>
              <w:rPr>
                <w:rFonts w:hint="eastAsia" w:hAnsi="宋体"/>
                <w:sz w:val="24"/>
                <w:szCs w:val="24"/>
                <w:lang w:eastAsia="zh-CN"/>
              </w:rPr>
              <w:t>、</w:t>
            </w:r>
            <w:r>
              <w:rPr>
                <w:rFonts w:hint="eastAsia" w:hAnsi="宋体"/>
                <w:sz w:val="24"/>
                <w:szCs w:val="24"/>
                <w:lang w:val="en-US" w:eastAsia="zh-CN"/>
              </w:rPr>
              <w:t>X</w:t>
            </w:r>
            <w:r>
              <w:rPr>
                <w:rFonts w:hint="eastAsia" w:hAnsi="宋体"/>
                <w:sz w:val="24"/>
                <w:szCs w:val="24"/>
              </w:rPr>
              <w:t>86</w:t>
            </w:r>
            <w:r>
              <w:rPr>
                <w:rFonts w:hint="eastAsia" w:hAnsi="宋体"/>
                <w:sz w:val="24"/>
                <w:szCs w:val="24"/>
                <w:lang w:eastAsia="zh-CN"/>
              </w:rPr>
              <w:t>架构，</w:t>
            </w:r>
            <w:r>
              <w:rPr>
                <w:rFonts w:hint="eastAsia" w:hAnsi="宋体"/>
                <w:sz w:val="24"/>
                <w:szCs w:val="24"/>
              </w:rPr>
              <w:t>支持</w:t>
            </w:r>
            <w:r>
              <w:rPr>
                <w:rFonts w:hint="eastAsia" w:hAnsi="宋体"/>
                <w:sz w:val="24"/>
                <w:szCs w:val="24"/>
                <w:lang w:eastAsia="zh-CN"/>
              </w:rPr>
              <w:t>国内外</w:t>
            </w:r>
            <w:r>
              <w:rPr>
                <w:rFonts w:hint="eastAsia" w:hAnsi="宋体"/>
                <w:sz w:val="24"/>
                <w:szCs w:val="24"/>
              </w:rPr>
              <w:t>主流操作系统，如windows server系列、Linux发行版、国产Linux等</w:t>
            </w:r>
            <w:r>
              <w:rPr>
                <w:rFonts w:hint="eastAsia" w:hAnsi="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921" w:type="dxa"/>
            <w:tcBorders>
              <w:top w:val="single" w:color="000000" w:sz="4" w:space="0"/>
              <w:left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Ansi="宋体"/>
                <w:sz w:val="24"/>
                <w:szCs w:val="24"/>
              </w:rPr>
            </w:pPr>
            <w:r>
              <w:rPr>
                <w:rFonts w:hint="eastAsia" w:hAnsi="宋体"/>
                <w:sz w:val="24"/>
                <w:szCs w:val="24"/>
              </w:rPr>
              <w:t>扩展性</w:t>
            </w:r>
          </w:p>
        </w:tc>
        <w:tc>
          <w:tcPr>
            <w:tcW w:w="6601" w:type="dxa"/>
            <w:tcBorders>
              <w:top w:val="single" w:color="000000" w:sz="4" w:space="0"/>
              <w:left w:val="single" w:color="000000" w:sz="4" w:space="0"/>
              <w:bottom w:val="single" w:color="000000" w:sz="4" w:space="0"/>
              <w:right w:val="single" w:color="000000" w:sz="4" w:space="0"/>
            </w:tcBorders>
          </w:tcPr>
          <w:p>
            <w:pPr>
              <w:pStyle w:val="6"/>
              <w:pageBreakBefore w:val="0"/>
              <w:kinsoku/>
              <w:wordWrap/>
              <w:overflowPunct/>
              <w:topLinePunct w:val="0"/>
              <w:bidi w:val="0"/>
              <w:snapToGrid/>
              <w:spacing w:line="400" w:lineRule="exact"/>
              <w:ind w:firstLine="0" w:firstLineChars="0"/>
              <w:textAlignment w:val="auto"/>
              <w:rPr>
                <w:rFonts w:hint="default" w:hAnsi="宋体"/>
                <w:sz w:val="24"/>
                <w:szCs w:val="24"/>
                <w:lang w:val="en-US" w:eastAsia="zh-CN"/>
              </w:rPr>
            </w:pPr>
            <w:r>
              <w:rPr>
                <w:rFonts w:hint="eastAsia" w:hAnsi="宋体"/>
                <w:sz w:val="24"/>
                <w:szCs w:val="24"/>
                <w:lang w:eastAsia="zh-CN"/>
              </w:rPr>
              <w:t>支持资源的动态调整，根据业务的负载情况实现业务系统虚拟机的动态扩展和回收，支持手动和自动方式，自动方式可基于主机的CPU、内存、磁盘IO、网络流量等性能参数阈值进行动态调度；</w:t>
            </w:r>
            <w:r>
              <w:rPr>
                <w:rFonts w:hint="default" w:hAnsi="宋体"/>
                <w:sz w:val="24"/>
                <w:szCs w:val="24"/>
                <w:lang w:val="en-US" w:eastAsia="zh-CN"/>
              </w:rPr>
              <w:t>云主机</w:t>
            </w:r>
            <w:r>
              <w:rPr>
                <w:rFonts w:hint="eastAsia" w:hAnsi="宋体"/>
                <w:sz w:val="24"/>
                <w:szCs w:val="24"/>
                <w:lang w:val="en-US" w:eastAsia="zh-CN"/>
              </w:rPr>
              <w:t>、物理服务器支持</w:t>
            </w:r>
            <w:r>
              <w:rPr>
                <w:rFonts w:hint="default" w:hAnsi="宋体"/>
                <w:sz w:val="24"/>
                <w:szCs w:val="24"/>
                <w:lang w:val="en-US" w:eastAsia="zh-CN"/>
              </w:rPr>
              <w:t>提供</w:t>
            </w:r>
            <w:r>
              <w:rPr>
                <w:rFonts w:hint="eastAsia" w:hAnsi="宋体"/>
                <w:sz w:val="24"/>
                <w:szCs w:val="24"/>
                <w:lang w:val="en-US" w:eastAsia="zh-CN"/>
              </w:rPr>
              <w:t>可扩展的</w:t>
            </w:r>
            <w:r>
              <w:rPr>
                <w:rFonts w:hint="default" w:hAnsi="宋体"/>
                <w:sz w:val="24"/>
                <w:szCs w:val="24"/>
                <w:lang w:val="en-US" w:eastAsia="zh-CN"/>
              </w:rPr>
              <w:t>GPU计算服务</w:t>
            </w:r>
            <w:r>
              <w:rPr>
                <w:rFonts w:hint="eastAsia" w:hAnsi="宋体"/>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21" w:type="dxa"/>
            <w:tcBorders>
              <w:top w:val="single" w:color="000000" w:sz="4" w:space="0"/>
              <w:left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int="eastAsia" w:hAnsi="宋体"/>
                <w:sz w:val="24"/>
                <w:szCs w:val="24"/>
              </w:rPr>
            </w:pPr>
            <w:r>
              <w:rPr>
                <w:rFonts w:hint="eastAsia" w:hAnsi="宋体"/>
                <w:sz w:val="24"/>
                <w:szCs w:val="24"/>
              </w:rPr>
              <w:t>高可用性</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6"/>
              <w:pageBreakBefore w:val="0"/>
              <w:kinsoku/>
              <w:wordWrap/>
              <w:overflowPunct/>
              <w:topLinePunct w:val="0"/>
              <w:bidi w:val="0"/>
              <w:snapToGrid/>
              <w:spacing w:line="400" w:lineRule="exact"/>
              <w:ind w:firstLine="0" w:firstLineChars="0"/>
              <w:textAlignment w:val="auto"/>
              <w:rPr>
                <w:rFonts w:hint="eastAsia" w:hAnsi="宋体"/>
                <w:sz w:val="24"/>
                <w:szCs w:val="24"/>
                <w:lang w:eastAsia="zh-CN"/>
              </w:rPr>
            </w:pPr>
            <w:r>
              <w:rPr>
                <w:rFonts w:hint="eastAsia" w:hAnsi="宋体"/>
                <w:sz w:val="24"/>
                <w:szCs w:val="24"/>
              </w:rPr>
              <w:t>虚拟化管理节点支持双机热备</w:t>
            </w:r>
            <w:r>
              <w:rPr>
                <w:rFonts w:hint="eastAsia" w:hAnsi="宋体"/>
                <w:sz w:val="24"/>
                <w:szCs w:val="24"/>
                <w:lang w:eastAsia="zh-CN"/>
              </w:rPr>
              <w:t>，</w:t>
            </w:r>
            <w:r>
              <w:rPr>
                <w:rFonts w:hint="eastAsia" w:hAnsi="宋体"/>
                <w:sz w:val="24"/>
                <w:szCs w:val="24"/>
              </w:rPr>
              <w:t>虚拟化管理系统支持虚拟机的</w:t>
            </w:r>
            <w:r>
              <w:rPr>
                <w:rFonts w:hAnsi="宋体"/>
                <w:sz w:val="24"/>
                <w:szCs w:val="24"/>
              </w:rPr>
              <w:t>HA功能</w:t>
            </w:r>
            <w:r>
              <w:rPr>
                <w:rFonts w:hint="eastAsia" w:hAnsi="宋体"/>
                <w:sz w:val="24"/>
                <w:szCs w:val="24"/>
                <w:lang w:eastAsia="zh-CN"/>
              </w:rPr>
              <w:t>。</w:t>
            </w:r>
            <w:r>
              <w:rPr>
                <w:rFonts w:hint="eastAsia" w:hAnsi="宋体"/>
                <w:sz w:val="24"/>
                <w:szCs w:val="24"/>
              </w:rPr>
              <w:t>云主机</w:t>
            </w:r>
            <w:r>
              <w:rPr>
                <w:rFonts w:hint="eastAsia" w:hAnsi="宋体"/>
                <w:sz w:val="24"/>
                <w:szCs w:val="24"/>
                <w:lang w:eastAsia="zh-CN"/>
              </w:rPr>
              <w:t>或硬件设备</w:t>
            </w:r>
            <w:r>
              <w:rPr>
                <w:rFonts w:hint="eastAsia" w:hAnsi="宋体"/>
                <w:sz w:val="24"/>
                <w:szCs w:val="24"/>
              </w:rPr>
              <w:t>出现故障时，支持自动重启或者</w:t>
            </w:r>
            <w:r>
              <w:rPr>
                <w:rFonts w:hint="eastAsia" w:hAnsi="宋体"/>
                <w:sz w:val="24"/>
                <w:szCs w:val="24"/>
                <w:lang w:eastAsia="zh-CN"/>
              </w:rPr>
              <w:t>切换</w:t>
            </w:r>
            <w:r>
              <w:rPr>
                <w:rFonts w:hint="eastAsia" w:hAnsi="宋体"/>
                <w:sz w:val="24"/>
                <w:szCs w:val="24"/>
              </w:rPr>
              <w:t>迁移，保障业务连续性</w:t>
            </w:r>
            <w:r>
              <w:rPr>
                <w:rFonts w:hint="eastAsia" w:hAnsi="宋体"/>
                <w:sz w:val="24"/>
                <w:szCs w:val="24"/>
                <w:lang w:eastAsia="zh-CN"/>
              </w:rPr>
              <w:t>，</w:t>
            </w:r>
            <w:r>
              <w:rPr>
                <w:rFonts w:hint="eastAsia" w:hAnsi="宋体"/>
                <w:sz w:val="24"/>
                <w:szCs w:val="24"/>
              </w:rPr>
              <w:t>平均可用性不低于99.99%；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1" w:hRule="atLeast"/>
          <w:jc w:val="center"/>
        </w:trPr>
        <w:tc>
          <w:tcPr>
            <w:tcW w:w="1921" w:type="dxa"/>
            <w:tcBorders>
              <w:top w:val="single" w:color="000000" w:sz="4" w:space="0"/>
              <w:left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int="eastAsia" w:hAnsi="宋体"/>
                <w:sz w:val="24"/>
                <w:szCs w:val="24"/>
              </w:rPr>
            </w:pPr>
            <w:r>
              <w:rPr>
                <w:rFonts w:hint="eastAsia" w:hAnsi="宋体"/>
                <w:sz w:val="24"/>
                <w:szCs w:val="24"/>
                <w:lang w:eastAsia="zh-CN"/>
              </w:rPr>
              <w:t>高可靠性</w:t>
            </w:r>
          </w:p>
        </w:tc>
        <w:tc>
          <w:tcPr>
            <w:tcW w:w="6601" w:type="dxa"/>
            <w:tcBorders>
              <w:top w:val="single" w:color="000000" w:sz="4" w:space="0"/>
              <w:left w:val="single" w:color="000000" w:sz="4" w:space="0"/>
              <w:bottom w:val="single" w:color="000000" w:sz="4" w:space="0"/>
              <w:right w:val="single" w:color="000000" w:sz="4" w:space="0"/>
            </w:tcBorders>
            <w:vAlign w:val="top"/>
          </w:tcPr>
          <w:p>
            <w:pPr>
              <w:pStyle w:val="6"/>
              <w:pageBreakBefore w:val="0"/>
              <w:kinsoku/>
              <w:wordWrap/>
              <w:overflowPunct/>
              <w:topLinePunct w:val="0"/>
              <w:bidi w:val="0"/>
              <w:snapToGrid/>
              <w:spacing w:line="400" w:lineRule="exact"/>
              <w:ind w:firstLine="0" w:firstLineChars="0"/>
              <w:textAlignment w:val="auto"/>
              <w:rPr>
                <w:rFonts w:hint="eastAsia" w:hAnsi="宋体"/>
                <w:sz w:val="24"/>
                <w:szCs w:val="24"/>
              </w:rPr>
            </w:pPr>
            <w:r>
              <w:rPr>
                <w:rFonts w:hint="eastAsia" w:hAnsi="宋体"/>
                <w:sz w:val="24"/>
                <w:szCs w:val="24"/>
              </w:rPr>
              <w:t>虚拟主机底层采用分布式块存储，每个虚拟主机的镜像存储达到多副本可靠性，数据可靠性不低于99.9999%；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92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Ansi="宋体"/>
                <w:sz w:val="24"/>
                <w:szCs w:val="24"/>
              </w:rPr>
            </w:pPr>
            <w:r>
              <w:rPr>
                <w:rFonts w:hint="eastAsia" w:hAnsi="宋体"/>
                <w:sz w:val="24"/>
                <w:szCs w:val="24"/>
              </w:rPr>
              <w:t>云主机隔离</w:t>
            </w:r>
          </w:p>
        </w:tc>
        <w:tc>
          <w:tcPr>
            <w:tcW w:w="6601" w:type="dxa"/>
            <w:tcBorders>
              <w:top w:val="single" w:color="000000" w:sz="4" w:space="0"/>
              <w:left w:val="single" w:color="000000" w:sz="4" w:space="0"/>
              <w:bottom w:val="single" w:color="000000" w:sz="4" w:space="0"/>
              <w:right w:val="single" w:color="000000" w:sz="4" w:space="0"/>
            </w:tcBorders>
          </w:tcPr>
          <w:p>
            <w:pPr>
              <w:pStyle w:val="6"/>
              <w:pageBreakBefore w:val="0"/>
              <w:kinsoku/>
              <w:wordWrap/>
              <w:overflowPunct/>
              <w:topLinePunct w:val="0"/>
              <w:bidi w:val="0"/>
              <w:snapToGrid/>
              <w:spacing w:line="400" w:lineRule="exact"/>
              <w:ind w:firstLine="0" w:firstLineChars="0"/>
              <w:textAlignment w:val="auto"/>
              <w:rPr>
                <w:rFonts w:hAnsi="宋体"/>
                <w:sz w:val="24"/>
                <w:szCs w:val="24"/>
              </w:rPr>
            </w:pPr>
            <w:r>
              <w:rPr>
                <w:rFonts w:hint="eastAsia" w:hAnsi="宋体"/>
                <w:sz w:val="24"/>
                <w:szCs w:val="24"/>
              </w:rPr>
              <w:t>对不同用户的</w:t>
            </w:r>
            <w:r>
              <w:rPr>
                <w:rFonts w:hint="eastAsia" w:hAnsi="宋体"/>
                <w:sz w:val="24"/>
                <w:szCs w:val="24"/>
                <w:lang w:eastAsia="zh-CN"/>
              </w:rPr>
              <w:t>云</w:t>
            </w:r>
            <w:r>
              <w:rPr>
                <w:rFonts w:hint="eastAsia" w:hAnsi="宋体"/>
                <w:sz w:val="24"/>
                <w:szCs w:val="24"/>
              </w:rPr>
              <w:t>主机提供安全组和VLAN级别的隔离，确保不同用户之间数据互不可见；云主机之间可以做到隔离保护，其中每一个云主机发生故障都不会影响同一个物理机上的其它云主机运行，每个云主机上的用户权限只限于本云主机之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Ansi="宋体"/>
                <w:sz w:val="24"/>
                <w:szCs w:val="24"/>
              </w:rPr>
            </w:pPr>
            <w:r>
              <w:rPr>
                <w:rFonts w:hint="eastAsia" w:hAnsi="宋体"/>
                <w:sz w:val="24"/>
                <w:szCs w:val="24"/>
              </w:rPr>
              <w:t>备份</w:t>
            </w:r>
            <w:r>
              <w:rPr>
                <w:rFonts w:hAnsi="宋体"/>
                <w:sz w:val="24"/>
                <w:szCs w:val="24"/>
              </w:rPr>
              <w:t>功能</w:t>
            </w:r>
          </w:p>
        </w:tc>
        <w:tc>
          <w:tcPr>
            <w:tcW w:w="6601" w:type="dxa"/>
            <w:tcBorders>
              <w:top w:val="single" w:color="000000" w:sz="4" w:space="0"/>
              <w:left w:val="single" w:color="000000" w:sz="4" w:space="0"/>
              <w:bottom w:val="single" w:color="000000" w:sz="4" w:space="0"/>
              <w:right w:val="single" w:color="000000" w:sz="4" w:space="0"/>
            </w:tcBorders>
          </w:tcPr>
          <w:p>
            <w:pPr>
              <w:pStyle w:val="6"/>
              <w:pageBreakBefore w:val="0"/>
              <w:kinsoku/>
              <w:wordWrap/>
              <w:overflowPunct/>
              <w:topLinePunct w:val="0"/>
              <w:bidi w:val="0"/>
              <w:snapToGrid/>
              <w:spacing w:line="400" w:lineRule="exact"/>
              <w:ind w:firstLine="0" w:firstLineChars="0"/>
              <w:textAlignment w:val="auto"/>
              <w:rPr>
                <w:rFonts w:hAnsi="宋体"/>
                <w:sz w:val="24"/>
                <w:szCs w:val="24"/>
              </w:rPr>
            </w:pPr>
            <w:r>
              <w:rPr>
                <w:rFonts w:hint="eastAsia" w:hAnsi="宋体"/>
                <w:sz w:val="24"/>
                <w:szCs w:val="24"/>
              </w:rPr>
              <w:t>支持</w:t>
            </w:r>
            <w:r>
              <w:rPr>
                <w:rFonts w:hAnsi="宋体"/>
                <w:sz w:val="24"/>
                <w:szCs w:val="24"/>
              </w:rPr>
              <w:t>云主机备份功能</w:t>
            </w:r>
            <w:r>
              <w:rPr>
                <w:rFonts w:hint="eastAsia" w:hAnsi="宋体"/>
                <w:sz w:val="24"/>
                <w:szCs w:val="24"/>
              </w:rPr>
              <w:t>，</w:t>
            </w:r>
            <w:r>
              <w:rPr>
                <w:rFonts w:hAnsi="宋体"/>
                <w:sz w:val="24"/>
                <w:szCs w:val="24"/>
              </w:rPr>
              <w:t>可以实现云主机的全量备份、增量备份，</w:t>
            </w:r>
            <w:r>
              <w:rPr>
                <w:rFonts w:hint="eastAsia" w:hAnsi="宋体"/>
                <w:sz w:val="24"/>
                <w:szCs w:val="24"/>
              </w:rPr>
              <w:t>支持</w:t>
            </w:r>
            <w:r>
              <w:rPr>
                <w:rFonts w:hAnsi="宋体"/>
                <w:sz w:val="24"/>
                <w:szCs w:val="24"/>
              </w:rPr>
              <w:t>备份</w:t>
            </w:r>
            <w:r>
              <w:rPr>
                <w:rFonts w:hint="eastAsia" w:hAnsi="宋体"/>
                <w:sz w:val="24"/>
                <w:szCs w:val="24"/>
              </w:rPr>
              <w:t>周期</w:t>
            </w:r>
            <w:r>
              <w:rPr>
                <w:rFonts w:hAnsi="宋体"/>
                <w:sz w:val="24"/>
                <w:szCs w:val="24"/>
              </w:rPr>
              <w:t>、备份</w:t>
            </w:r>
            <w:r>
              <w:rPr>
                <w:rFonts w:hint="eastAsia" w:hAnsi="宋体"/>
                <w:sz w:val="24"/>
                <w:szCs w:val="24"/>
              </w:rPr>
              <w:t>策略的</w:t>
            </w:r>
            <w:r>
              <w:rPr>
                <w:rFonts w:hAnsi="宋体"/>
                <w:sz w:val="24"/>
                <w:szCs w:val="24"/>
              </w:rPr>
              <w:t>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65" w:hRule="atLeast"/>
          <w:jc w:val="center"/>
        </w:trPr>
        <w:tc>
          <w:tcPr>
            <w:tcW w:w="1921" w:type="dxa"/>
            <w:tcBorders>
              <w:left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int="eastAsia" w:hAnsi="宋体" w:eastAsia="宋体"/>
                <w:sz w:val="24"/>
                <w:szCs w:val="24"/>
                <w:lang w:eastAsia="zh-CN"/>
              </w:rPr>
            </w:pPr>
            <w:r>
              <w:rPr>
                <w:rFonts w:hint="eastAsia" w:hAnsi="宋体"/>
                <w:sz w:val="24"/>
                <w:szCs w:val="24"/>
                <w:lang w:eastAsia="zh-CN"/>
              </w:rPr>
              <w:t>可迁移</w:t>
            </w:r>
          </w:p>
        </w:tc>
        <w:tc>
          <w:tcPr>
            <w:tcW w:w="6601" w:type="dxa"/>
            <w:tcBorders>
              <w:top w:val="single" w:color="000000" w:sz="4" w:space="0"/>
              <w:left w:val="single" w:color="000000" w:sz="4" w:space="0"/>
              <w:bottom w:val="single" w:color="000000" w:sz="4" w:space="0"/>
              <w:right w:val="single" w:color="000000" w:sz="4" w:space="0"/>
            </w:tcBorders>
          </w:tcPr>
          <w:p>
            <w:pPr>
              <w:pStyle w:val="6"/>
              <w:pageBreakBefore w:val="0"/>
              <w:kinsoku/>
              <w:wordWrap/>
              <w:overflowPunct/>
              <w:topLinePunct w:val="0"/>
              <w:bidi w:val="0"/>
              <w:snapToGrid/>
              <w:spacing w:line="400" w:lineRule="exact"/>
              <w:ind w:firstLine="0" w:firstLineChars="0"/>
              <w:textAlignment w:val="auto"/>
              <w:rPr>
                <w:rFonts w:hint="eastAsia" w:hAnsi="宋体" w:eastAsia="宋体"/>
                <w:sz w:val="24"/>
                <w:szCs w:val="24"/>
                <w:lang w:eastAsia="zh-CN"/>
              </w:rPr>
            </w:pPr>
            <w:r>
              <w:rPr>
                <w:rFonts w:hint="eastAsia" w:hAnsi="宋体"/>
                <w:sz w:val="24"/>
                <w:szCs w:val="24"/>
              </w:rPr>
              <w:t>支持虚拟机热迁移，可在不同代CPU资源池中进行虚拟机热迁移</w:t>
            </w:r>
            <w:r>
              <w:rPr>
                <w:rFonts w:hint="eastAsia" w:hAnsi="宋体"/>
                <w:sz w:val="24"/>
                <w:szCs w:val="24"/>
                <w:lang w:eastAsia="zh-CN"/>
              </w:rPr>
              <w:t>。</w:t>
            </w:r>
          </w:p>
        </w:tc>
      </w:tr>
    </w:tbl>
    <w:p>
      <w:pPr>
        <w:pStyle w:val="7"/>
        <w:keepNext/>
        <w:keepLines/>
        <w:pageBreakBefore w:val="0"/>
        <w:widowControl w:val="0"/>
        <w:numPr>
          <w:ilvl w:val="3"/>
          <w:numId w:val="0"/>
        </w:numPr>
        <w:tabs>
          <w:tab w:val="left" w:pos="0"/>
        </w:tabs>
        <w:kinsoku/>
        <w:wordWrap/>
        <w:overflowPunct/>
        <w:topLinePunct w:val="0"/>
        <w:autoSpaceDE w:val="0"/>
        <w:autoSpaceDN w:val="0"/>
        <w:bidi w:val="0"/>
        <w:adjustRightInd w:val="0"/>
        <w:snapToGrid/>
        <w:spacing w:before="0" w:after="0" w:line="400" w:lineRule="exact"/>
        <w:ind w:firstLine="482" w:firstLineChars="200"/>
        <w:textAlignment w:val="auto"/>
        <w:outlineLvl w:val="3"/>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2）存储服务</w:t>
      </w:r>
    </w:p>
    <w:p>
      <w:pPr>
        <w:spacing w:line="4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按照采购人的具体需求，提供存储服务，包括：普通性能存储、高性能存储、 静态存储和本地备份服务，实现合理的存储资源配置。在提供政务云存储的服务过程中需做好采购人和各业务系统开发运维厂商的协调沟通工作。</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015"/>
        <w:gridCol w:w="6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pPr>
              <w:pageBreakBefore w:val="0"/>
              <w:kinsoku/>
              <w:wordWrap/>
              <w:overflowPunct/>
              <w:topLinePunct w:val="0"/>
              <w:bidi w:val="0"/>
              <w:snapToGrid/>
              <w:spacing w:line="240" w:lineRule="auto"/>
              <w:ind w:firstLine="0" w:firstLineChars="0"/>
              <w:jc w:val="center"/>
              <w:textAlignment w:val="auto"/>
              <w:rPr>
                <w:rFonts w:ascii="宋体" w:hAnsi="宋体" w:cs="宋体"/>
                <w:b/>
                <w:bCs/>
                <w:sz w:val="24"/>
                <w:szCs w:val="24"/>
              </w:rPr>
            </w:pPr>
            <w:r>
              <w:rPr>
                <w:rFonts w:hint="eastAsia" w:ascii="宋体" w:hAnsi="宋体"/>
                <w:b/>
                <w:bCs/>
                <w:sz w:val="24"/>
                <w:szCs w:val="24"/>
              </w:rPr>
              <w:t>指标项</w:t>
            </w:r>
          </w:p>
        </w:tc>
        <w:tc>
          <w:tcPr>
            <w:tcW w:w="6507" w:type="dxa"/>
            <w:tcMar>
              <w:top w:w="0" w:type="dxa"/>
              <w:left w:w="108" w:type="dxa"/>
              <w:bottom w:w="0" w:type="dxa"/>
              <w:right w:w="108" w:type="dxa"/>
            </w:tcMar>
          </w:tcPr>
          <w:p>
            <w:pPr>
              <w:pageBreakBefore w:val="0"/>
              <w:kinsoku/>
              <w:wordWrap/>
              <w:overflowPunct/>
              <w:topLinePunct w:val="0"/>
              <w:bidi w:val="0"/>
              <w:snapToGrid/>
              <w:spacing w:line="240" w:lineRule="auto"/>
              <w:ind w:firstLine="0" w:firstLineChars="0"/>
              <w:jc w:val="center"/>
              <w:textAlignment w:val="auto"/>
              <w:rPr>
                <w:rFonts w:ascii="宋体" w:hAnsi="宋体" w:cs="宋体"/>
                <w:b/>
                <w:bCs/>
                <w:sz w:val="24"/>
                <w:szCs w:val="24"/>
              </w:rPr>
            </w:pPr>
            <w:r>
              <w:rPr>
                <w:rFonts w:hint="eastAsia" w:ascii="宋体" w:hAnsi="宋体"/>
                <w:b/>
                <w:sz w:val="24"/>
                <w:szCs w:val="24"/>
                <w:lang w:eastAsia="zh-CN"/>
              </w:rPr>
              <w:t>技术</w:t>
            </w:r>
            <w:r>
              <w:rPr>
                <w:rFonts w:hint="eastAsia" w:ascii="宋体" w:hAnsi="宋体"/>
                <w:b/>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pPr>
              <w:pStyle w:val="6"/>
              <w:pageBreakBefore w:val="0"/>
              <w:kinsoku/>
              <w:wordWrap/>
              <w:overflowPunct/>
              <w:topLinePunct w:val="0"/>
              <w:bidi w:val="0"/>
              <w:snapToGrid/>
              <w:ind w:firstLine="0" w:firstLineChars="0"/>
              <w:jc w:val="center"/>
              <w:textAlignment w:val="auto"/>
              <w:rPr>
                <w:rFonts w:hAnsi="宋体"/>
                <w:sz w:val="24"/>
                <w:szCs w:val="24"/>
              </w:rPr>
            </w:pPr>
            <w:r>
              <w:rPr>
                <w:rFonts w:hint="eastAsia" w:hAnsi="宋体"/>
                <w:sz w:val="24"/>
                <w:szCs w:val="24"/>
              </w:rPr>
              <w:t>性能要求</w:t>
            </w:r>
          </w:p>
        </w:tc>
        <w:tc>
          <w:tcPr>
            <w:tcW w:w="6507" w:type="dxa"/>
            <w:tcMar>
              <w:top w:w="0" w:type="dxa"/>
              <w:left w:w="108" w:type="dxa"/>
              <w:bottom w:w="0" w:type="dxa"/>
              <w:right w:w="108" w:type="dxa"/>
            </w:tcMar>
            <w:vAlign w:val="top"/>
          </w:tcPr>
          <w:p>
            <w:pPr>
              <w:pStyle w:val="6"/>
              <w:pageBreakBefore w:val="0"/>
              <w:kinsoku/>
              <w:wordWrap/>
              <w:overflowPunct/>
              <w:topLinePunct w:val="0"/>
              <w:bidi w:val="0"/>
              <w:snapToGrid/>
              <w:spacing w:line="400" w:lineRule="exact"/>
              <w:ind w:firstLine="0" w:firstLineChars="0"/>
              <w:textAlignment w:val="auto"/>
              <w:rPr>
                <w:rFonts w:hint="eastAsia" w:hAnsi="宋体"/>
                <w:sz w:val="24"/>
                <w:szCs w:val="24"/>
                <w:lang w:eastAsia="zh-CN"/>
              </w:rPr>
            </w:pPr>
            <w:r>
              <w:rPr>
                <w:rFonts w:hint="eastAsia" w:hAnsi="宋体"/>
                <w:sz w:val="24"/>
                <w:szCs w:val="24"/>
                <w:lang w:eastAsia="zh-CN"/>
              </w:rPr>
              <w:t>普通存储单盘技术指标：IOPS 大于等于 2000，高性能存储单盘技术指标：IOPS 大于等于 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pPr>
              <w:pStyle w:val="6"/>
              <w:pageBreakBefore w:val="0"/>
              <w:kinsoku/>
              <w:wordWrap/>
              <w:overflowPunct/>
              <w:topLinePunct w:val="0"/>
              <w:bidi w:val="0"/>
              <w:snapToGrid/>
              <w:ind w:firstLine="0" w:firstLineChars="0"/>
              <w:jc w:val="center"/>
              <w:textAlignment w:val="auto"/>
              <w:rPr>
                <w:rFonts w:hAnsi="宋体"/>
                <w:sz w:val="24"/>
                <w:szCs w:val="24"/>
              </w:rPr>
            </w:pPr>
            <w:r>
              <w:rPr>
                <w:rFonts w:hint="eastAsia" w:hAnsi="宋体"/>
                <w:sz w:val="24"/>
                <w:szCs w:val="24"/>
                <w:lang w:eastAsia="zh-CN"/>
              </w:rPr>
              <w:t>兼容性</w:t>
            </w:r>
          </w:p>
        </w:tc>
        <w:tc>
          <w:tcPr>
            <w:tcW w:w="6507" w:type="dxa"/>
            <w:tcMar>
              <w:top w:w="0" w:type="dxa"/>
              <w:left w:w="108" w:type="dxa"/>
              <w:bottom w:w="0" w:type="dxa"/>
              <w:right w:w="108" w:type="dxa"/>
            </w:tcMar>
            <w:vAlign w:val="top"/>
          </w:tcPr>
          <w:p>
            <w:pPr>
              <w:pStyle w:val="6"/>
              <w:pageBreakBefore w:val="0"/>
              <w:kinsoku/>
              <w:wordWrap/>
              <w:overflowPunct/>
              <w:topLinePunct w:val="0"/>
              <w:bidi w:val="0"/>
              <w:snapToGrid/>
              <w:spacing w:line="400" w:lineRule="exact"/>
              <w:ind w:firstLine="0" w:firstLineChars="0"/>
              <w:textAlignment w:val="auto"/>
              <w:rPr>
                <w:rFonts w:hint="eastAsia" w:hAnsi="宋体"/>
                <w:sz w:val="24"/>
                <w:szCs w:val="24"/>
                <w:lang w:eastAsia="zh-CN"/>
              </w:rPr>
            </w:pPr>
            <w:r>
              <w:rPr>
                <w:rFonts w:hint="eastAsia" w:hAnsi="宋体"/>
                <w:sz w:val="24"/>
                <w:szCs w:val="24"/>
                <w:lang w:eastAsia="zh-CN"/>
              </w:rPr>
              <w:t>支持块存储、对象存储、文件存储等多种存储方法，满足数据备份、视频存储等不同应用场景使用要求。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pPr>
              <w:pStyle w:val="6"/>
              <w:pageBreakBefore w:val="0"/>
              <w:kinsoku/>
              <w:wordWrap/>
              <w:overflowPunct/>
              <w:topLinePunct w:val="0"/>
              <w:bidi w:val="0"/>
              <w:snapToGrid/>
              <w:ind w:firstLine="0" w:firstLineChars="0"/>
              <w:jc w:val="center"/>
              <w:textAlignment w:val="auto"/>
              <w:rPr>
                <w:rFonts w:hAnsi="宋体"/>
                <w:sz w:val="24"/>
                <w:szCs w:val="24"/>
              </w:rPr>
            </w:pPr>
            <w:r>
              <w:rPr>
                <w:rFonts w:hint="eastAsia" w:hAnsi="宋体"/>
                <w:sz w:val="24"/>
                <w:szCs w:val="24"/>
              </w:rPr>
              <w:t>可靠性</w:t>
            </w:r>
          </w:p>
        </w:tc>
        <w:tc>
          <w:tcPr>
            <w:tcW w:w="6507" w:type="dxa"/>
            <w:tcMar>
              <w:top w:w="0" w:type="dxa"/>
              <w:left w:w="108" w:type="dxa"/>
              <w:bottom w:w="0" w:type="dxa"/>
              <w:right w:w="108" w:type="dxa"/>
            </w:tcMar>
            <w:vAlign w:val="top"/>
          </w:tcPr>
          <w:p>
            <w:pPr>
              <w:pStyle w:val="6"/>
              <w:pageBreakBefore w:val="0"/>
              <w:kinsoku/>
              <w:wordWrap/>
              <w:overflowPunct/>
              <w:topLinePunct w:val="0"/>
              <w:bidi w:val="0"/>
              <w:snapToGrid/>
              <w:spacing w:line="400" w:lineRule="exact"/>
              <w:ind w:firstLine="0" w:firstLineChars="0"/>
              <w:textAlignment w:val="auto"/>
              <w:rPr>
                <w:rFonts w:hint="eastAsia" w:hAnsi="宋体"/>
                <w:sz w:val="24"/>
                <w:szCs w:val="24"/>
                <w:lang w:eastAsia="zh-CN"/>
              </w:rPr>
            </w:pPr>
            <w:r>
              <w:rPr>
                <w:rFonts w:hint="eastAsia" w:hAnsi="宋体"/>
                <w:sz w:val="24"/>
                <w:szCs w:val="24"/>
                <w:lang w:eastAsia="zh-CN"/>
              </w:rPr>
              <w:t>要求稳定可靠，不会因单一部件故障、单一路径故障等原因导致业务停用、数据丢失，数据可靠性不低于99.9999%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pPr>
              <w:pStyle w:val="6"/>
              <w:pageBreakBefore w:val="0"/>
              <w:kinsoku/>
              <w:wordWrap/>
              <w:overflowPunct/>
              <w:topLinePunct w:val="0"/>
              <w:bidi w:val="0"/>
              <w:snapToGrid/>
              <w:ind w:firstLine="0" w:firstLineChars="0"/>
              <w:jc w:val="center"/>
              <w:textAlignment w:val="auto"/>
              <w:rPr>
                <w:rFonts w:hint="eastAsia" w:hAnsi="宋体" w:eastAsia="宋体"/>
                <w:sz w:val="24"/>
                <w:szCs w:val="24"/>
                <w:lang w:eastAsia="zh-CN"/>
              </w:rPr>
            </w:pPr>
            <w:r>
              <w:rPr>
                <w:rFonts w:hint="eastAsia" w:hAnsi="宋体"/>
                <w:sz w:val="24"/>
                <w:szCs w:val="24"/>
                <w:lang w:eastAsia="zh-CN"/>
              </w:rPr>
              <w:t>扩展性</w:t>
            </w:r>
          </w:p>
        </w:tc>
        <w:tc>
          <w:tcPr>
            <w:tcW w:w="6507" w:type="dxa"/>
            <w:tcMar>
              <w:top w:w="0" w:type="dxa"/>
              <w:left w:w="108" w:type="dxa"/>
              <w:bottom w:w="0" w:type="dxa"/>
              <w:right w:w="108" w:type="dxa"/>
            </w:tcMar>
            <w:vAlign w:val="top"/>
          </w:tcPr>
          <w:p>
            <w:pPr>
              <w:pStyle w:val="6"/>
              <w:pageBreakBefore w:val="0"/>
              <w:kinsoku/>
              <w:wordWrap/>
              <w:overflowPunct/>
              <w:topLinePunct w:val="0"/>
              <w:bidi w:val="0"/>
              <w:snapToGrid/>
              <w:spacing w:line="400" w:lineRule="exact"/>
              <w:ind w:firstLine="0" w:firstLineChars="0"/>
              <w:textAlignment w:val="auto"/>
              <w:rPr>
                <w:rFonts w:hint="eastAsia" w:hAnsi="宋体"/>
                <w:sz w:val="24"/>
                <w:szCs w:val="24"/>
                <w:lang w:eastAsia="zh-CN"/>
              </w:rPr>
            </w:pPr>
            <w:r>
              <w:rPr>
                <w:rFonts w:hint="eastAsia" w:hAnsi="宋体"/>
                <w:sz w:val="24"/>
                <w:szCs w:val="24"/>
                <w:lang w:eastAsia="zh-CN"/>
              </w:rPr>
              <w:t>采用分布式部署架构，整体架构无单点故障。静态存储具备PB级以上容量扩展能力，支持存储容量和性能的线性扩展，可根据需求迅速完成空间扩展。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pPr>
              <w:pStyle w:val="6"/>
              <w:pageBreakBefore w:val="0"/>
              <w:kinsoku/>
              <w:wordWrap/>
              <w:overflowPunct/>
              <w:topLinePunct w:val="0"/>
              <w:bidi w:val="0"/>
              <w:snapToGrid/>
              <w:ind w:firstLine="0" w:firstLineChars="0"/>
              <w:jc w:val="center"/>
              <w:textAlignment w:val="auto"/>
              <w:rPr>
                <w:rFonts w:hint="eastAsia" w:hAnsi="宋体"/>
                <w:sz w:val="24"/>
                <w:szCs w:val="24"/>
              </w:rPr>
            </w:pPr>
            <w:r>
              <w:rPr>
                <w:rFonts w:hint="eastAsia" w:hAnsi="宋体"/>
                <w:sz w:val="24"/>
                <w:szCs w:val="24"/>
              </w:rPr>
              <w:t>磁盘容错</w:t>
            </w:r>
          </w:p>
        </w:tc>
        <w:tc>
          <w:tcPr>
            <w:tcW w:w="6507" w:type="dxa"/>
            <w:tcMar>
              <w:top w:w="0" w:type="dxa"/>
              <w:left w:w="108" w:type="dxa"/>
              <w:bottom w:w="0" w:type="dxa"/>
              <w:right w:w="108" w:type="dxa"/>
            </w:tcMar>
          </w:tcPr>
          <w:p>
            <w:pPr>
              <w:pStyle w:val="6"/>
              <w:pageBreakBefore w:val="0"/>
              <w:kinsoku/>
              <w:wordWrap/>
              <w:overflowPunct/>
              <w:topLinePunct w:val="0"/>
              <w:bidi w:val="0"/>
              <w:snapToGrid/>
              <w:spacing w:line="400" w:lineRule="exact"/>
              <w:ind w:firstLine="0" w:firstLineChars="0"/>
              <w:textAlignment w:val="auto"/>
              <w:rPr>
                <w:rFonts w:hint="eastAsia" w:hAnsi="宋体"/>
                <w:sz w:val="24"/>
                <w:szCs w:val="24"/>
                <w:lang w:eastAsia="zh-CN"/>
              </w:rPr>
            </w:pPr>
            <w:r>
              <w:rPr>
                <w:rFonts w:hint="eastAsia" w:hAnsi="宋体"/>
                <w:sz w:val="24"/>
                <w:szCs w:val="24"/>
                <w:lang w:eastAsia="zh-CN"/>
              </w:rPr>
              <w:t>支持磁盘容错技术，如磁盘故障后节点的自动平衡和重构、硬盘故障检测和处理、集群节点出现单盘故障时不影响业务运行等。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pPr>
              <w:pStyle w:val="6"/>
              <w:pageBreakBefore w:val="0"/>
              <w:kinsoku/>
              <w:wordWrap/>
              <w:overflowPunct/>
              <w:topLinePunct w:val="0"/>
              <w:bidi w:val="0"/>
              <w:snapToGrid/>
              <w:ind w:firstLine="0" w:firstLineChars="0"/>
              <w:jc w:val="center"/>
              <w:textAlignment w:val="auto"/>
              <w:rPr>
                <w:rFonts w:hint="eastAsia" w:hAnsi="宋体" w:eastAsia="宋体"/>
                <w:sz w:val="24"/>
                <w:szCs w:val="24"/>
                <w:lang w:eastAsia="zh-CN"/>
              </w:rPr>
            </w:pPr>
            <w:r>
              <w:rPr>
                <w:rFonts w:hint="eastAsia" w:hAnsi="宋体"/>
                <w:sz w:val="24"/>
                <w:szCs w:val="24"/>
                <w:lang w:eastAsia="zh-CN"/>
              </w:rPr>
              <w:t>备份服务</w:t>
            </w:r>
          </w:p>
        </w:tc>
        <w:tc>
          <w:tcPr>
            <w:tcW w:w="6507" w:type="dxa"/>
            <w:tcMar>
              <w:top w:w="0" w:type="dxa"/>
              <w:left w:w="108" w:type="dxa"/>
              <w:bottom w:w="0" w:type="dxa"/>
              <w:right w:w="108" w:type="dxa"/>
            </w:tcMar>
          </w:tcPr>
          <w:p>
            <w:pPr>
              <w:pageBreakBefore w:val="0"/>
              <w:kinsoku/>
              <w:wordWrap/>
              <w:overflowPunct/>
              <w:topLinePunct w:val="0"/>
              <w:bidi w:val="0"/>
              <w:snapToGrid/>
              <w:spacing w:line="400" w:lineRule="exact"/>
              <w:ind w:firstLine="0" w:firstLineChars="0"/>
              <w:jc w:val="both"/>
              <w:textAlignment w:val="auto"/>
              <w:rPr>
                <w:rFonts w:hint="eastAsia" w:ascii="宋体" w:hAnsi="宋体" w:eastAsia="宋体"/>
                <w:sz w:val="24"/>
                <w:szCs w:val="24"/>
                <w:lang w:eastAsia="zh-CN"/>
              </w:rPr>
            </w:pPr>
            <w:r>
              <w:rPr>
                <w:rFonts w:hint="eastAsia" w:ascii="宋体" w:hAnsi="宋体"/>
                <w:sz w:val="24"/>
                <w:szCs w:val="24"/>
                <w:lang w:eastAsia="zh-CN"/>
              </w:rPr>
              <w:t>支持</w:t>
            </w:r>
            <w:r>
              <w:rPr>
                <w:rFonts w:hint="eastAsia" w:ascii="宋体" w:hAnsi="宋体"/>
                <w:sz w:val="24"/>
                <w:szCs w:val="24"/>
              </w:rPr>
              <w:t>通过备份策略实现对</w:t>
            </w:r>
            <w:r>
              <w:rPr>
                <w:rFonts w:ascii="宋体" w:hAnsi="宋体"/>
                <w:sz w:val="24"/>
                <w:szCs w:val="24"/>
              </w:rPr>
              <w:t>用户数据（</w:t>
            </w:r>
            <w:r>
              <w:rPr>
                <w:rFonts w:hint="eastAsia" w:ascii="宋体" w:hAnsi="宋体"/>
                <w:sz w:val="24"/>
                <w:szCs w:val="24"/>
              </w:rPr>
              <w:t>文件、操作系统、数据库）的本地备份，备份服务</w:t>
            </w:r>
            <w:r>
              <w:rPr>
                <w:rFonts w:ascii="宋体" w:hAnsi="宋体"/>
                <w:sz w:val="24"/>
                <w:szCs w:val="24"/>
              </w:rPr>
              <w:t>应</w:t>
            </w:r>
            <w:r>
              <w:rPr>
                <w:rFonts w:hint="eastAsia" w:ascii="宋体" w:hAnsi="宋体"/>
                <w:sz w:val="24"/>
                <w:szCs w:val="24"/>
              </w:rPr>
              <w:t>满足</w:t>
            </w:r>
            <w:r>
              <w:rPr>
                <w:rFonts w:ascii="宋体" w:hAnsi="宋体"/>
                <w:sz w:val="24"/>
                <w:szCs w:val="24"/>
              </w:rPr>
              <w:t>如下要求</w:t>
            </w:r>
            <w:r>
              <w:rPr>
                <w:rFonts w:hint="eastAsia" w:ascii="宋体" w:hAnsi="宋体"/>
                <w:sz w:val="24"/>
                <w:szCs w:val="24"/>
                <w:lang w:eastAsia="zh-CN"/>
              </w:rPr>
              <w:t>：</w:t>
            </w:r>
          </w:p>
          <w:p>
            <w:pPr>
              <w:pageBreakBefore w:val="0"/>
              <w:kinsoku/>
              <w:wordWrap/>
              <w:overflowPunct/>
              <w:topLinePunct w:val="0"/>
              <w:bidi w:val="0"/>
              <w:snapToGrid/>
              <w:spacing w:line="400" w:lineRule="exact"/>
              <w:ind w:firstLine="0" w:firstLineChars="0"/>
              <w:textAlignment w:val="auto"/>
              <w:rPr>
                <w:rFonts w:ascii="宋体" w:hAnsi="宋体"/>
                <w:sz w:val="24"/>
                <w:szCs w:val="24"/>
              </w:rPr>
            </w:pPr>
            <w:r>
              <w:rPr>
                <w:rFonts w:hint="eastAsia" w:ascii="宋体" w:hAnsi="宋体"/>
                <w:sz w:val="24"/>
                <w:szCs w:val="24"/>
              </w:rPr>
              <w:t>（1）备份介质本身具备高可用性和冗余性。</w:t>
            </w:r>
          </w:p>
          <w:p>
            <w:pPr>
              <w:pageBreakBefore w:val="0"/>
              <w:kinsoku/>
              <w:wordWrap/>
              <w:overflowPunct/>
              <w:topLinePunct w:val="0"/>
              <w:bidi w:val="0"/>
              <w:snapToGrid/>
              <w:spacing w:line="400" w:lineRule="exact"/>
              <w:ind w:firstLine="0" w:firstLineChars="0"/>
              <w:textAlignment w:val="auto"/>
              <w:rPr>
                <w:rFonts w:ascii="宋体" w:hAnsi="宋体"/>
                <w:sz w:val="24"/>
                <w:szCs w:val="24"/>
              </w:rPr>
            </w:pPr>
            <w:r>
              <w:rPr>
                <w:rFonts w:hint="eastAsia" w:ascii="宋体" w:hAnsi="宋体"/>
                <w:sz w:val="24"/>
                <w:szCs w:val="24"/>
              </w:rPr>
              <w:t>（2）备份方式包括完整备份、差异备份和增量备份。</w:t>
            </w:r>
          </w:p>
          <w:p>
            <w:pPr>
              <w:pageBreakBefore w:val="0"/>
              <w:kinsoku/>
              <w:wordWrap/>
              <w:overflowPunct/>
              <w:topLinePunct w:val="0"/>
              <w:bidi w:val="0"/>
              <w:snapToGrid/>
              <w:spacing w:line="400" w:lineRule="exact"/>
              <w:ind w:firstLine="0" w:firstLineChars="0"/>
              <w:textAlignment w:val="auto"/>
              <w:rPr>
                <w:rFonts w:ascii="宋体" w:hAnsi="宋体"/>
                <w:sz w:val="24"/>
                <w:szCs w:val="24"/>
              </w:rPr>
            </w:pPr>
            <w:r>
              <w:rPr>
                <w:rFonts w:hint="eastAsia" w:ascii="宋体" w:hAnsi="宋体"/>
                <w:sz w:val="24"/>
                <w:szCs w:val="24"/>
              </w:rPr>
              <w:t>（3）支持Windows系列操作系统、Linux主流系统操作系统、主流数据库软件、主流中间件软件、结构化数据以及非结构化数据等备份对象。</w:t>
            </w:r>
          </w:p>
          <w:p>
            <w:pPr>
              <w:pageBreakBefore w:val="0"/>
              <w:kinsoku/>
              <w:wordWrap/>
              <w:overflowPunct/>
              <w:topLinePunct w:val="0"/>
              <w:bidi w:val="0"/>
              <w:snapToGrid/>
              <w:spacing w:line="400" w:lineRule="exact"/>
              <w:ind w:firstLine="0" w:firstLineChars="0"/>
              <w:textAlignment w:val="auto"/>
              <w:rPr>
                <w:rFonts w:hint="eastAsia" w:hAnsi="宋体"/>
                <w:sz w:val="24"/>
                <w:szCs w:val="24"/>
                <w:lang w:eastAsia="zh-CN"/>
              </w:rPr>
            </w:pPr>
            <w:r>
              <w:rPr>
                <w:rFonts w:hint="eastAsia" w:ascii="宋体" w:hAnsi="宋体"/>
                <w:sz w:val="24"/>
                <w:szCs w:val="24"/>
              </w:rPr>
              <w:t>（4）应对备份过程状态、备份结果提供运维监控保障服务，确保备份任务执行成功以及备份的数据完整性。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tcMar>
              <w:top w:w="0" w:type="dxa"/>
              <w:left w:w="108" w:type="dxa"/>
              <w:bottom w:w="0" w:type="dxa"/>
              <w:right w:w="108" w:type="dxa"/>
            </w:tcMar>
            <w:vAlign w:val="center"/>
          </w:tcPr>
          <w:p>
            <w:pPr>
              <w:pStyle w:val="6"/>
              <w:pageBreakBefore w:val="0"/>
              <w:kinsoku/>
              <w:wordWrap/>
              <w:overflowPunct/>
              <w:topLinePunct w:val="0"/>
              <w:bidi w:val="0"/>
              <w:snapToGrid/>
              <w:ind w:firstLine="0" w:firstLineChars="0"/>
              <w:jc w:val="center"/>
              <w:textAlignment w:val="auto"/>
              <w:rPr>
                <w:rFonts w:hint="eastAsia" w:hAnsi="宋体"/>
                <w:sz w:val="24"/>
                <w:szCs w:val="24"/>
              </w:rPr>
            </w:pPr>
            <w:r>
              <w:rPr>
                <w:rFonts w:hint="eastAsia" w:hAnsi="宋体"/>
                <w:sz w:val="24"/>
                <w:szCs w:val="24"/>
              </w:rPr>
              <w:t>加密存储</w:t>
            </w:r>
          </w:p>
        </w:tc>
        <w:tc>
          <w:tcPr>
            <w:tcW w:w="6507" w:type="dxa"/>
            <w:tcMar>
              <w:top w:w="0" w:type="dxa"/>
              <w:left w:w="108" w:type="dxa"/>
              <w:bottom w:w="0" w:type="dxa"/>
              <w:right w:w="108" w:type="dxa"/>
            </w:tcMar>
          </w:tcPr>
          <w:p>
            <w:pPr>
              <w:pStyle w:val="6"/>
              <w:pageBreakBefore w:val="0"/>
              <w:kinsoku/>
              <w:wordWrap/>
              <w:overflowPunct/>
              <w:topLinePunct w:val="0"/>
              <w:bidi w:val="0"/>
              <w:snapToGrid/>
              <w:spacing w:line="400" w:lineRule="exact"/>
              <w:ind w:firstLine="0" w:firstLineChars="0"/>
              <w:textAlignment w:val="auto"/>
              <w:rPr>
                <w:rFonts w:hint="eastAsia" w:hAnsi="宋体"/>
                <w:sz w:val="24"/>
                <w:szCs w:val="24"/>
                <w:lang w:eastAsia="zh-CN"/>
              </w:rPr>
            </w:pPr>
            <w:r>
              <w:rPr>
                <w:rFonts w:hint="eastAsia" w:hAnsi="宋体"/>
                <w:sz w:val="24"/>
                <w:szCs w:val="24"/>
                <w:lang w:eastAsia="zh-CN"/>
              </w:rPr>
              <w:t>支持加密存储，使用的密码算法应符合法律、法规的规定和密码相关国家标准、行业标准的有关要求。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3" w:hRule="atLeast"/>
          <w:jc w:val="center"/>
        </w:trPr>
        <w:tc>
          <w:tcPr>
            <w:tcW w:w="2015" w:type="dxa"/>
            <w:vMerge w:val="restart"/>
            <w:tcMar>
              <w:top w:w="0" w:type="dxa"/>
              <w:left w:w="108" w:type="dxa"/>
              <w:bottom w:w="0" w:type="dxa"/>
              <w:right w:w="108" w:type="dxa"/>
            </w:tcMar>
            <w:vAlign w:val="center"/>
          </w:tcPr>
          <w:p>
            <w:pPr>
              <w:pStyle w:val="6"/>
              <w:pageBreakBefore w:val="0"/>
              <w:kinsoku/>
              <w:wordWrap/>
              <w:overflowPunct/>
              <w:topLinePunct w:val="0"/>
              <w:bidi w:val="0"/>
              <w:snapToGrid/>
              <w:ind w:firstLine="0" w:firstLineChars="0"/>
              <w:jc w:val="center"/>
              <w:textAlignment w:val="auto"/>
              <w:rPr>
                <w:rFonts w:hint="eastAsia" w:hAnsi="宋体" w:eastAsia="宋体"/>
                <w:sz w:val="24"/>
                <w:szCs w:val="24"/>
                <w:lang w:eastAsia="zh-CN"/>
              </w:rPr>
            </w:pPr>
            <w:r>
              <w:rPr>
                <w:rFonts w:hint="eastAsia" w:hAnsi="宋体"/>
                <w:sz w:val="24"/>
                <w:szCs w:val="24"/>
                <w:lang w:eastAsia="zh-CN"/>
              </w:rPr>
              <w:t>服务能力</w:t>
            </w:r>
          </w:p>
        </w:tc>
        <w:tc>
          <w:tcPr>
            <w:tcW w:w="6507" w:type="dxa"/>
            <w:tcMar>
              <w:top w:w="0" w:type="dxa"/>
              <w:left w:w="108" w:type="dxa"/>
              <w:bottom w:w="0" w:type="dxa"/>
              <w:right w:w="108" w:type="dxa"/>
            </w:tcMar>
          </w:tcPr>
          <w:p>
            <w:pPr>
              <w:pStyle w:val="6"/>
              <w:pageBreakBefore w:val="0"/>
              <w:kinsoku/>
              <w:wordWrap/>
              <w:overflowPunct/>
              <w:topLinePunct w:val="0"/>
              <w:bidi w:val="0"/>
              <w:snapToGrid/>
              <w:spacing w:line="400" w:lineRule="exact"/>
              <w:ind w:firstLine="0" w:firstLineChars="0"/>
              <w:textAlignment w:val="auto"/>
              <w:rPr>
                <w:rFonts w:hint="eastAsia" w:hAnsi="宋体"/>
                <w:sz w:val="24"/>
                <w:szCs w:val="24"/>
                <w:lang w:eastAsia="zh-CN"/>
              </w:rPr>
            </w:pPr>
            <w:r>
              <w:rPr>
                <w:rFonts w:hint="eastAsia" w:hAnsi="宋体"/>
                <w:sz w:val="24"/>
                <w:szCs w:val="24"/>
                <w:lang w:eastAsia="zh-CN"/>
              </w:rPr>
              <w:t># 块存储服务符合《云计算服务协议参考框架》（YDB 144-2014）要求的数据存储的持久性、数据可销毁性、数据可迁移性数据私密性、数据知情权、服务可审查性、服务功能、服务可用性、服务资源调配能力、故障恢复能力、网络接入性能、服务计量准确性（提供相关证明材料复印件，证明材料持有人与投标人必须完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015" w:type="dxa"/>
            <w:vMerge w:val="continue"/>
            <w:tcMar>
              <w:top w:w="0" w:type="dxa"/>
              <w:left w:w="108" w:type="dxa"/>
              <w:bottom w:w="0" w:type="dxa"/>
              <w:right w:w="108" w:type="dxa"/>
            </w:tcMar>
            <w:vAlign w:val="center"/>
          </w:tcPr>
          <w:p>
            <w:pPr>
              <w:pStyle w:val="6"/>
              <w:pageBreakBefore w:val="0"/>
              <w:kinsoku/>
              <w:wordWrap/>
              <w:overflowPunct/>
              <w:topLinePunct w:val="0"/>
              <w:bidi w:val="0"/>
              <w:snapToGrid/>
              <w:ind w:firstLine="0" w:firstLineChars="0"/>
              <w:jc w:val="center"/>
              <w:textAlignment w:val="auto"/>
              <w:rPr>
                <w:rFonts w:hint="eastAsia" w:hAnsi="宋体"/>
                <w:sz w:val="24"/>
                <w:szCs w:val="24"/>
              </w:rPr>
            </w:pPr>
          </w:p>
        </w:tc>
        <w:tc>
          <w:tcPr>
            <w:tcW w:w="6507" w:type="dxa"/>
            <w:tcMar>
              <w:top w:w="0" w:type="dxa"/>
              <w:left w:w="108" w:type="dxa"/>
              <w:bottom w:w="0" w:type="dxa"/>
              <w:right w:w="108" w:type="dxa"/>
            </w:tcMar>
          </w:tcPr>
          <w:p>
            <w:pPr>
              <w:pStyle w:val="6"/>
              <w:pageBreakBefore w:val="0"/>
              <w:kinsoku/>
              <w:wordWrap/>
              <w:overflowPunct/>
              <w:topLinePunct w:val="0"/>
              <w:bidi w:val="0"/>
              <w:snapToGrid/>
              <w:spacing w:line="400" w:lineRule="exact"/>
              <w:ind w:firstLine="0" w:firstLineChars="0"/>
              <w:textAlignment w:val="auto"/>
              <w:rPr>
                <w:rFonts w:hint="eastAsia" w:hAnsi="宋体"/>
                <w:sz w:val="24"/>
                <w:szCs w:val="24"/>
                <w:lang w:eastAsia="zh-CN"/>
              </w:rPr>
            </w:pPr>
            <w:r>
              <w:rPr>
                <w:rFonts w:hint="eastAsia" w:hAnsi="宋体"/>
                <w:sz w:val="24"/>
                <w:szCs w:val="24"/>
                <w:lang w:eastAsia="zh-CN"/>
              </w:rPr>
              <w:t>#对象存储服务符合《云计算服务协议参考框架》（YDB 144-2014）要求（提供相关证明材料复印件并加盖证明材料持有人公章，证明材料持有人与投标人必须完全一致。）</w:t>
            </w:r>
          </w:p>
        </w:tc>
      </w:tr>
    </w:tbl>
    <w:p>
      <w:pPr>
        <w:pStyle w:val="7"/>
        <w:keepNext/>
        <w:keepLines/>
        <w:pageBreakBefore w:val="0"/>
        <w:widowControl w:val="0"/>
        <w:numPr>
          <w:ilvl w:val="3"/>
          <w:numId w:val="0"/>
        </w:numPr>
        <w:tabs>
          <w:tab w:val="left" w:pos="0"/>
        </w:tabs>
        <w:kinsoku/>
        <w:wordWrap/>
        <w:overflowPunct/>
        <w:topLinePunct w:val="0"/>
        <w:autoSpaceDE w:val="0"/>
        <w:autoSpaceDN w:val="0"/>
        <w:bidi w:val="0"/>
        <w:adjustRightInd w:val="0"/>
        <w:snapToGrid/>
        <w:spacing w:before="0" w:after="0" w:line="400" w:lineRule="exact"/>
        <w:ind w:firstLine="482" w:firstLineChars="200"/>
        <w:textAlignment w:val="auto"/>
        <w:outlineLvl w:val="3"/>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3）网络服务</w:t>
      </w:r>
    </w:p>
    <w:p>
      <w:pPr>
        <w:spacing w:line="40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按照采购人的具体需求，提供网络服务，包括：提供互联网链路带宽服务、互联网IP地址租用服务，并提供相应的网络域名备案服务，配合应用开发厂商提供网络策略配置服务；提供主机负载均衡服务，通过云管理平台实现按需自动分配负载均衡服务的能力；提供互联网远程接入服务，每个账号结合身份验证接入堡垒机维护应用系统；提供SSL VPN接入服务；提供互联网WAF防护服务，保证用户对已知安全隐患进行防护，实时升级漏洞补丁，配置防护策略，起到前端防护作用。</w:t>
      </w:r>
    </w:p>
    <w:tbl>
      <w:tblPr>
        <w:tblStyle w:val="4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31"/>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1" w:type="dxa"/>
          </w:tcPr>
          <w:p>
            <w:pPr>
              <w:pageBreakBefore w:val="0"/>
              <w:tabs>
                <w:tab w:val="left" w:pos="1418"/>
              </w:tabs>
              <w:kinsoku/>
              <w:wordWrap/>
              <w:overflowPunct/>
              <w:topLinePunct w:val="0"/>
              <w:bidi w:val="0"/>
              <w:snapToGrid/>
              <w:spacing w:line="400" w:lineRule="exact"/>
              <w:ind w:firstLine="0" w:firstLineChars="0"/>
              <w:jc w:val="center"/>
              <w:textAlignment w:val="auto"/>
              <w:rPr>
                <w:rFonts w:ascii="宋体" w:hAnsi="宋体"/>
                <w:b/>
                <w:sz w:val="24"/>
                <w:szCs w:val="24"/>
              </w:rPr>
            </w:pPr>
            <w:r>
              <w:rPr>
                <w:rFonts w:hint="eastAsia" w:ascii="宋体" w:hAnsi="宋体"/>
                <w:b/>
                <w:sz w:val="24"/>
                <w:szCs w:val="24"/>
              </w:rPr>
              <w:t>指标项</w:t>
            </w:r>
          </w:p>
        </w:tc>
        <w:tc>
          <w:tcPr>
            <w:tcW w:w="6191" w:type="dxa"/>
          </w:tcPr>
          <w:p>
            <w:pPr>
              <w:pageBreakBefore w:val="0"/>
              <w:tabs>
                <w:tab w:val="left" w:pos="1418"/>
              </w:tabs>
              <w:kinsoku/>
              <w:wordWrap/>
              <w:overflowPunct/>
              <w:topLinePunct w:val="0"/>
              <w:bidi w:val="0"/>
              <w:snapToGrid/>
              <w:spacing w:line="400" w:lineRule="exact"/>
              <w:ind w:firstLine="0" w:firstLineChars="0"/>
              <w:jc w:val="center"/>
              <w:textAlignment w:val="auto"/>
              <w:rPr>
                <w:rFonts w:ascii="宋体" w:hAnsi="宋体"/>
                <w:b/>
                <w:sz w:val="24"/>
                <w:szCs w:val="24"/>
              </w:rPr>
            </w:pPr>
            <w:r>
              <w:rPr>
                <w:rFonts w:hint="eastAsia" w:ascii="宋体" w:hAnsi="宋体"/>
                <w:b/>
                <w:sz w:val="24"/>
                <w:szCs w:val="24"/>
                <w:lang w:eastAsia="zh-CN"/>
              </w:rPr>
              <w:t>技术</w:t>
            </w:r>
            <w:r>
              <w:rPr>
                <w:rFonts w:hint="eastAsia" w:ascii="宋体" w:hAnsi="宋体"/>
                <w:b/>
                <w:sz w:val="24"/>
                <w:szCs w:val="24"/>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331" w:type="dxa"/>
            <w:vAlign w:val="center"/>
          </w:tcPr>
          <w:p>
            <w:pPr>
              <w:pageBreakBefore w:val="0"/>
              <w:kinsoku/>
              <w:wordWrap/>
              <w:overflowPunct/>
              <w:topLinePunct w:val="0"/>
              <w:bidi w:val="0"/>
              <w:snapToGrid/>
              <w:spacing w:line="400" w:lineRule="exact"/>
              <w:ind w:firstLine="0" w:firstLineChars="0"/>
              <w:jc w:val="center"/>
              <w:textAlignment w:val="auto"/>
              <w:rPr>
                <w:rFonts w:hint="eastAsia" w:ascii="宋体" w:hAnsi="宋体" w:eastAsia="宋体"/>
                <w:sz w:val="24"/>
                <w:szCs w:val="24"/>
                <w:lang w:eastAsia="zh-CN"/>
              </w:rPr>
            </w:pPr>
            <w:r>
              <w:rPr>
                <w:rFonts w:hint="eastAsia" w:ascii="宋体" w:hAnsi="宋体"/>
                <w:sz w:val="24"/>
                <w:szCs w:val="24"/>
                <w:lang w:eastAsia="zh-CN"/>
              </w:rPr>
              <w:t>网络接入</w:t>
            </w:r>
          </w:p>
        </w:tc>
        <w:tc>
          <w:tcPr>
            <w:tcW w:w="6191" w:type="dxa"/>
            <w:vAlign w:val="center"/>
          </w:tcPr>
          <w:p>
            <w:pPr>
              <w:pageBreakBefore w:val="0"/>
              <w:kinsoku/>
              <w:wordWrap/>
              <w:overflowPunct/>
              <w:topLinePunct w:val="0"/>
              <w:bidi w:val="0"/>
              <w:snapToGrid/>
              <w:spacing w:line="400" w:lineRule="exact"/>
              <w:ind w:firstLine="0" w:firstLineChars="0"/>
              <w:jc w:val="left"/>
              <w:textAlignment w:val="auto"/>
              <w:rPr>
                <w:rFonts w:hint="eastAsia" w:ascii="宋体" w:hAnsi="宋体" w:eastAsia="宋体"/>
                <w:sz w:val="24"/>
                <w:szCs w:val="24"/>
                <w:lang w:eastAsia="zh-CN"/>
              </w:rPr>
            </w:pPr>
            <w:r>
              <w:rPr>
                <w:rFonts w:hint="eastAsia" w:ascii="宋体" w:hAnsi="宋体"/>
                <w:sz w:val="24"/>
                <w:szCs w:val="24"/>
              </w:rPr>
              <w:t>带宽提供方应为一级运营商</w:t>
            </w:r>
            <w:r>
              <w:rPr>
                <w:rFonts w:hint="eastAsia" w:ascii="宋体" w:hAnsi="宋体"/>
                <w:sz w:val="24"/>
                <w:szCs w:val="24"/>
                <w:lang w:eastAsia="zh-CN"/>
              </w:rPr>
              <w:t>。</w:t>
            </w:r>
            <w:r>
              <w:rPr>
                <w:rFonts w:hint="eastAsia" w:ascii="宋体" w:hAnsi="宋体"/>
                <w:sz w:val="24"/>
                <w:szCs w:val="24"/>
                <w:lang w:val="en-US" w:eastAsia="zh-CN"/>
              </w:rPr>
              <w:t>具备多运营商网络接入服务的能力。应实现自动化动态网络资源调配和隔离，支持与互联网、电子政务外网及行业部门专网的连接。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331" w:type="dxa"/>
            <w:vAlign w:val="center"/>
          </w:tcPr>
          <w:p>
            <w:pPr>
              <w:pStyle w:val="6"/>
              <w:pageBreakBefore w:val="0"/>
              <w:kinsoku/>
              <w:wordWrap/>
              <w:overflowPunct/>
              <w:topLinePunct w:val="0"/>
              <w:bidi w:val="0"/>
              <w:snapToGrid/>
              <w:spacing w:line="400" w:lineRule="exact"/>
              <w:ind w:firstLine="0" w:firstLineChars="0"/>
              <w:jc w:val="center"/>
              <w:textAlignment w:val="auto"/>
              <w:rPr>
                <w:rFonts w:ascii="宋体" w:hAnsi="宋体"/>
                <w:sz w:val="24"/>
                <w:szCs w:val="24"/>
              </w:rPr>
            </w:pPr>
            <w:r>
              <w:rPr>
                <w:rFonts w:hint="eastAsia" w:hAnsi="宋体"/>
                <w:b w:val="0"/>
                <w:bCs/>
                <w:sz w:val="24"/>
                <w:szCs w:val="24"/>
              </w:rPr>
              <w:t>性能要求</w:t>
            </w:r>
          </w:p>
        </w:tc>
        <w:tc>
          <w:tcPr>
            <w:tcW w:w="6191" w:type="dxa"/>
            <w:vAlign w:val="center"/>
          </w:tcPr>
          <w:p>
            <w:pPr>
              <w:pStyle w:val="6"/>
              <w:pageBreakBefore w:val="0"/>
              <w:kinsoku/>
              <w:wordWrap/>
              <w:overflowPunct/>
              <w:topLinePunct w:val="0"/>
              <w:bidi w:val="0"/>
              <w:snapToGrid/>
              <w:spacing w:line="400" w:lineRule="exact"/>
              <w:ind w:firstLine="0" w:firstLineChars="0"/>
              <w:jc w:val="left"/>
              <w:textAlignment w:val="auto"/>
              <w:rPr>
                <w:rFonts w:hint="eastAsia" w:ascii="宋体" w:hAnsi="宋体"/>
                <w:sz w:val="24"/>
                <w:szCs w:val="24"/>
                <w:lang w:val="en-US" w:eastAsia="zh-CN"/>
              </w:rPr>
            </w:pPr>
            <w:r>
              <w:rPr>
                <w:rFonts w:hint="eastAsia" w:ascii="宋体" w:hAnsi="宋体"/>
                <w:sz w:val="24"/>
                <w:szCs w:val="24"/>
                <w:lang w:val="en-US" w:eastAsia="zh-CN"/>
              </w:rPr>
              <w:t>服务器业务带宽不低于10Gb/s；</w:t>
            </w:r>
          </w:p>
          <w:p>
            <w:pPr>
              <w:pStyle w:val="6"/>
              <w:pageBreakBefore w:val="0"/>
              <w:kinsoku/>
              <w:wordWrap/>
              <w:overflowPunct/>
              <w:topLinePunct w:val="0"/>
              <w:bidi w:val="0"/>
              <w:snapToGrid/>
              <w:spacing w:line="400" w:lineRule="exact"/>
              <w:ind w:firstLine="0" w:firstLineChars="0"/>
              <w:jc w:val="left"/>
              <w:textAlignment w:val="auto"/>
              <w:rPr>
                <w:rFonts w:ascii="宋体" w:hAnsi="宋体"/>
                <w:sz w:val="24"/>
                <w:szCs w:val="24"/>
              </w:rPr>
            </w:pPr>
            <w:r>
              <w:rPr>
                <w:rFonts w:hint="eastAsia" w:ascii="宋体" w:hAnsi="宋体"/>
                <w:sz w:val="24"/>
                <w:szCs w:val="24"/>
                <w:lang w:val="en-US" w:eastAsia="zh-CN"/>
              </w:rPr>
              <w:t>平均可用性不低于99.99%。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331" w:type="dxa"/>
            <w:vAlign w:val="center"/>
          </w:tcPr>
          <w:p>
            <w:pPr>
              <w:pageBreakBefore w:val="0"/>
              <w:kinsoku/>
              <w:wordWrap/>
              <w:overflowPunct/>
              <w:topLinePunct w:val="0"/>
              <w:bidi w:val="0"/>
              <w:snapToGrid/>
              <w:spacing w:line="400" w:lineRule="exact"/>
              <w:ind w:firstLine="0" w:firstLineChars="0"/>
              <w:jc w:val="center"/>
              <w:textAlignment w:val="auto"/>
              <w:rPr>
                <w:rFonts w:hint="default" w:ascii="宋体" w:hAnsi="宋体" w:eastAsia="宋体"/>
                <w:sz w:val="24"/>
                <w:szCs w:val="24"/>
                <w:lang w:val="en-US" w:eastAsia="zh-CN"/>
              </w:rPr>
            </w:pPr>
            <w:r>
              <w:rPr>
                <w:rFonts w:hint="eastAsia" w:ascii="宋体" w:hAnsi="宋体"/>
                <w:sz w:val="24"/>
                <w:szCs w:val="24"/>
              </w:rPr>
              <w:t>IP</w:t>
            </w:r>
            <w:r>
              <w:rPr>
                <w:rFonts w:hint="eastAsia" w:ascii="宋体" w:hAnsi="宋体"/>
                <w:sz w:val="24"/>
                <w:szCs w:val="24"/>
                <w:lang w:val="en-US" w:eastAsia="zh-CN"/>
              </w:rPr>
              <w:t>v6</w:t>
            </w:r>
          </w:p>
        </w:tc>
        <w:tc>
          <w:tcPr>
            <w:tcW w:w="6191" w:type="dxa"/>
            <w:vAlign w:val="center"/>
          </w:tcPr>
          <w:p>
            <w:pPr>
              <w:pageBreakBefore w:val="0"/>
              <w:kinsoku/>
              <w:wordWrap/>
              <w:overflowPunct/>
              <w:topLinePunct w:val="0"/>
              <w:bidi w:val="0"/>
              <w:snapToGrid/>
              <w:spacing w:line="400" w:lineRule="exact"/>
              <w:ind w:firstLine="0" w:firstLineChars="0"/>
              <w:jc w:val="left"/>
              <w:textAlignment w:val="auto"/>
              <w:rPr>
                <w:rFonts w:hint="default" w:ascii="宋体" w:hAnsi="宋体" w:eastAsia="宋体"/>
                <w:sz w:val="24"/>
                <w:szCs w:val="24"/>
                <w:lang w:val="en-US" w:eastAsia="zh-CN"/>
              </w:rPr>
            </w:pPr>
            <w:r>
              <w:rPr>
                <w:rFonts w:hint="eastAsia" w:ascii="宋体" w:hAnsi="宋体"/>
                <w:sz w:val="24"/>
                <w:szCs w:val="24"/>
                <w:lang w:eastAsia="zh-CN"/>
              </w:rPr>
              <w:t>支持 IPv6 地址分配，满足业务系统 IPv6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331" w:type="dxa"/>
            <w:vAlign w:val="center"/>
          </w:tcPr>
          <w:p>
            <w:pPr>
              <w:pStyle w:val="6"/>
              <w:pageBreakBefore w:val="0"/>
              <w:kinsoku/>
              <w:wordWrap/>
              <w:overflowPunct/>
              <w:topLinePunct w:val="0"/>
              <w:bidi w:val="0"/>
              <w:snapToGrid/>
              <w:spacing w:line="400" w:lineRule="exact"/>
              <w:ind w:firstLine="0" w:firstLineChars="0"/>
              <w:jc w:val="center"/>
              <w:textAlignment w:val="auto"/>
              <w:rPr>
                <w:rFonts w:ascii="宋体" w:hAnsi="宋体"/>
                <w:sz w:val="24"/>
                <w:szCs w:val="24"/>
              </w:rPr>
            </w:pPr>
            <w:r>
              <w:rPr>
                <w:rFonts w:hint="eastAsia" w:hAnsi="宋体"/>
                <w:b w:val="0"/>
                <w:bCs/>
                <w:sz w:val="24"/>
                <w:szCs w:val="24"/>
              </w:rPr>
              <w:t>远程接入</w:t>
            </w:r>
          </w:p>
        </w:tc>
        <w:tc>
          <w:tcPr>
            <w:tcW w:w="6191" w:type="dxa"/>
            <w:vAlign w:val="center"/>
          </w:tcPr>
          <w:p>
            <w:pPr>
              <w:pStyle w:val="6"/>
              <w:pageBreakBefore w:val="0"/>
              <w:kinsoku/>
              <w:wordWrap/>
              <w:overflowPunct/>
              <w:topLinePunct w:val="0"/>
              <w:bidi w:val="0"/>
              <w:snapToGrid/>
              <w:spacing w:line="400" w:lineRule="exact"/>
              <w:ind w:firstLine="0" w:firstLineChars="0"/>
              <w:jc w:val="left"/>
              <w:textAlignment w:val="auto"/>
              <w:rPr>
                <w:rFonts w:hint="eastAsia" w:ascii="宋体" w:hAnsi="宋体" w:eastAsia="宋体"/>
                <w:sz w:val="24"/>
                <w:szCs w:val="24"/>
                <w:lang w:eastAsia="zh-CN"/>
              </w:rPr>
            </w:pPr>
            <w:r>
              <w:rPr>
                <w:rFonts w:hint="eastAsia" w:ascii="宋体" w:hAnsi="宋体"/>
                <w:sz w:val="24"/>
                <w:szCs w:val="24"/>
                <w:lang w:val="en-US" w:eastAsia="zh-CN"/>
              </w:rPr>
              <w:t>远程接入服务支持基于IP/IP段、用户/用户组、资产/资产组、协议、危险级别等组合策略进行访问控制，对于不合法的行为予以阻断；可基于运维账号的登陆时间和资产登陆时间进行访问控制；可基于运维操作命令进行访问控制；可基于主机、用户、IP地址控制审计日志的访问权限</w:t>
            </w:r>
            <w:r>
              <w:rPr>
                <w:rFonts w:hint="eastAsia" w:hAnsi="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2331" w:type="dxa"/>
            <w:vAlign w:val="center"/>
          </w:tcPr>
          <w:p>
            <w:pPr>
              <w:pStyle w:val="6"/>
              <w:pageBreakBefore w:val="0"/>
              <w:kinsoku/>
              <w:wordWrap/>
              <w:overflowPunct/>
              <w:topLinePunct w:val="0"/>
              <w:bidi w:val="0"/>
              <w:snapToGrid/>
              <w:spacing w:line="400" w:lineRule="exact"/>
              <w:ind w:firstLine="0" w:firstLineChars="0"/>
              <w:jc w:val="center"/>
              <w:textAlignment w:val="auto"/>
              <w:rPr>
                <w:rFonts w:ascii="宋体" w:hAnsi="宋体"/>
                <w:sz w:val="24"/>
                <w:szCs w:val="24"/>
              </w:rPr>
            </w:pPr>
            <w:r>
              <w:rPr>
                <w:rFonts w:hint="eastAsia" w:ascii="宋体" w:hAnsi="宋体"/>
                <w:b w:val="0"/>
                <w:bCs/>
                <w:sz w:val="24"/>
                <w:szCs w:val="24"/>
                <w:lang w:val="en-US" w:eastAsia="zh-CN"/>
              </w:rPr>
              <w:t>SSL VPN接入</w:t>
            </w:r>
          </w:p>
        </w:tc>
        <w:tc>
          <w:tcPr>
            <w:tcW w:w="6191" w:type="dxa"/>
            <w:vAlign w:val="center"/>
          </w:tcPr>
          <w:p>
            <w:pPr>
              <w:pStyle w:val="6"/>
              <w:pageBreakBefore w:val="0"/>
              <w:kinsoku/>
              <w:wordWrap/>
              <w:overflowPunct/>
              <w:topLinePunct w:val="0"/>
              <w:bidi w:val="0"/>
              <w:snapToGrid/>
              <w:spacing w:line="400" w:lineRule="exact"/>
              <w:ind w:firstLine="0" w:firstLineChars="0"/>
              <w:jc w:val="left"/>
              <w:textAlignment w:val="auto"/>
              <w:rPr>
                <w:rFonts w:hint="eastAsia" w:ascii="宋体" w:hAnsi="宋体" w:eastAsia="宋体"/>
                <w:sz w:val="24"/>
                <w:szCs w:val="24"/>
                <w:lang w:eastAsia="zh-CN"/>
              </w:rPr>
            </w:pPr>
            <w:r>
              <w:rPr>
                <w:rFonts w:hint="eastAsia" w:ascii="宋体" w:hAnsi="宋体"/>
                <w:sz w:val="24"/>
                <w:szCs w:val="24"/>
                <w:lang w:val="en-US" w:eastAsia="zh-CN"/>
              </w:rPr>
              <w:t>SSL VPN接入须实现Web接入，TCP接入，IP接入等多种方式，能够记录完整的用户访问日志；支持基于用户身份的管理，实现不同身份的用户拥有不同的命令执行权限，并且支持用户视图分级，对于不同级别的用户赋予不同的管理配置权限；可以根据请求报文的目的IP地址和目的端口号、源IP地址和源端口号进行过滤；采用通过商用密码产品认证的SSL VPN产品。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jc w:val="center"/>
        </w:trPr>
        <w:tc>
          <w:tcPr>
            <w:tcW w:w="233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int="default" w:hAnsi="宋体"/>
                <w:sz w:val="24"/>
                <w:szCs w:val="24"/>
                <w:lang w:val="en-US" w:eastAsia="zh-CN"/>
              </w:rPr>
            </w:pPr>
            <w:r>
              <w:rPr>
                <w:rFonts w:hint="eastAsia" w:hAnsi="宋体"/>
                <w:sz w:val="24"/>
                <w:szCs w:val="24"/>
              </w:rPr>
              <w:t>Web 应用防火墙（WAF）能力</w:t>
            </w:r>
          </w:p>
        </w:tc>
        <w:tc>
          <w:tcPr>
            <w:tcW w:w="619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left"/>
              <w:textAlignment w:val="auto"/>
              <w:rPr>
                <w:rFonts w:hint="eastAsia" w:hAnsi="宋体"/>
                <w:sz w:val="24"/>
                <w:szCs w:val="24"/>
              </w:rPr>
            </w:pPr>
            <w:r>
              <w:rPr>
                <w:rFonts w:hint="eastAsia" w:hAnsi="宋体"/>
                <w:sz w:val="24"/>
                <w:szCs w:val="24"/>
              </w:rPr>
              <w:t>可精确识别注入、XSS 等 OWASP Top 10 Web 通用攻击，有效应对盗链、跨站请求伪造等 Web 特殊攻击；支持预定义及自定义黑名单策略，通过规则匹配实现异常流量阻断。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22" w:hRule="atLeast"/>
          <w:jc w:val="center"/>
        </w:trPr>
        <w:tc>
          <w:tcPr>
            <w:tcW w:w="233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Ansi="宋体"/>
                <w:sz w:val="24"/>
                <w:szCs w:val="24"/>
              </w:rPr>
            </w:pPr>
            <w:r>
              <w:rPr>
                <w:rFonts w:hint="eastAsia" w:hAnsi="宋体"/>
                <w:sz w:val="24"/>
                <w:szCs w:val="24"/>
                <w:lang w:eastAsia="zh-CN"/>
              </w:rPr>
              <w:t>网络安全</w:t>
            </w:r>
            <w:r>
              <w:rPr>
                <w:rFonts w:hint="eastAsia" w:hAnsi="宋体"/>
                <w:sz w:val="24"/>
                <w:szCs w:val="24"/>
              </w:rPr>
              <w:t>防护</w:t>
            </w:r>
          </w:p>
        </w:tc>
        <w:tc>
          <w:tcPr>
            <w:tcW w:w="619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left"/>
              <w:textAlignment w:val="auto"/>
              <w:rPr>
                <w:rFonts w:hint="eastAsia" w:hAnsi="宋体" w:eastAsia="宋体"/>
                <w:sz w:val="24"/>
                <w:szCs w:val="24"/>
                <w:lang w:eastAsia="zh-CN"/>
              </w:rPr>
            </w:pPr>
            <w:r>
              <w:rPr>
                <w:rFonts w:hint="eastAsia" w:hAnsi="宋体"/>
                <w:sz w:val="24"/>
                <w:szCs w:val="24"/>
              </w:rPr>
              <w:t>提供防ARP欺骗、自定义防火墙功能，支持防DDos攻击</w:t>
            </w:r>
            <w:r>
              <w:rPr>
                <w:rFonts w:hint="eastAsia" w:hAnsi="宋体"/>
                <w:sz w:val="24"/>
                <w:szCs w:val="24"/>
                <w:lang w:eastAsia="zh-CN"/>
              </w:rPr>
              <w:t>；</w:t>
            </w:r>
            <w:r>
              <w:rPr>
                <w:rFonts w:hint="eastAsia" w:hAnsi="宋体"/>
                <w:b w:val="0"/>
                <w:bCs/>
                <w:sz w:val="24"/>
                <w:szCs w:val="24"/>
              </w:rPr>
              <w:t>具备边界防火墙和VPC防火墙隔离能力，分别针对不同的流量进行安全策略防护与配置</w:t>
            </w:r>
            <w:r>
              <w:rPr>
                <w:rFonts w:hint="eastAsia" w:hAnsi="宋体"/>
                <w:b w:val="0"/>
                <w:bCs/>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233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int="eastAsia" w:hAnsi="宋体" w:eastAsia="宋体"/>
                <w:b/>
                <w:sz w:val="24"/>
                <w:szCs w:val="24"/>
                <w:lang w:eastAsia="zh-CN"/>
              </w:rPr>
            </w:pPr>
            <w:r>
              <w:rPr>
                <w:rFonts w:hint="eastAsia" w:hAnsi="宋体"/>
                <w:b w:val="0"/>
                <w:bCs/>
                <w:sz w:val="24"/>
                <w:szCs w:val="24"/>
                <w:lang w:eastAsia="zh-CN"/>
              </w:rPr>
              <w:t>安全区域与访问控制</w:t>
            </w:r>
          </w:p>
        </w:tc>
        <w:tc>
          <w:tcPr>
            <w:tcW w:w="619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left"/>
              <w:textAlignment w:val="auto"/>
              <w:rPr>
                <w:rFonts w:hint="eastAsia" w:hAnsi="宋体" w:eastAsia="宋体"/>
                <w:b/>
                <w:sz w:val="24"/>
                <w:szCs w:val="24"/>
                <w:lang w:val="en-US" w:eastAsia="zh-CN"/>
              </w:rPr>
            </w:pPr>
            <w:r>
              <w:rPr>
                <w:rFonts w:hint="eastAsia" w:ascii="宋体" w:hAnsi="宋体"/>
                <w:sz w:val="24"/>
                <w:szCs w:val="24"/>
                <w:lang w:val="en-US" w:eastAsia="zh-CN"/>
              </w:rPr>
              <w:t>可为入云系统划分安全区域，合理制定访问控制规则，实现业务流量分区隔离与权限管控。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4" w:hRule="atLeast"/>
          <w:jc w:val="center"/>
        </w:trPr>
        <w:tc>
          <w:tcPr>
            <w:tcW w:w="233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int="eastAsia" w:hAnsi="宋体" w:eastAsia="宋体"/>
                <w:b w:val="0"/>
                <w:bCs/>
                <w:sz w:val="24"/>
                <w:szCs w:val="24"/>
                <w:lang w:eastAsia="zh-CN"/>
              </w:rPr>
            </w:pPr>
            <w:r>
              <w:rPr>
                <w:rFonts w:hint="eastAsia" w:hAnsi="宋体"/>
                <w:b w:val="0"/>
                <w:bCs/>
                <w:sz w:val="24"/>
                <w:szCs w:val="24"/>
                <w:lang w:eastAsia="zh-CN"/>
              </w:rPr>
              <w:t>高可用性</w:t>
            </w:r>
          </w:p>
        </w:tc>
        <w:tc>
          <w:tcPr>
            <w:tcW w:w="619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left"/>
              <w:textAlignment w:val="auto"/>
              <w:rPr>
                <w:rFonts w:hint="eastAsia" w:hAnsi="宋体" w:eastAsia="宋体"/>
                <w:b w:val="0"/>
                <w:bCs/>
                <w:sz w:val="24"/>
                <w:szCs w:val="24"/>
                <w:lang w:eastAsia="zh-CN"/>
              </w:rPr>
            </w:pPr>
            <w:r>
              <w:rPr>
                <w:rFonts w:hint="eastAsia" w:hAnsi="宋体"/>
                <w:b w:val="0"/>
                <w:bCs/>
                <w:sz w:val="24"/>
                <w:szCs w:val="24"/>
              </w:rPr>
              <w:t>具备高可用虚拟IP能力，在集群或主备场景下，云主机可绑定高可用虚拟IP，达到高可用访问效果</w:t>
            </w:r>
            <w:r>
              <w:rPr>
                <w:rFonts w:hint="eastAsia" w:hAnsi="宋体"/>
                <w:b w:val="0"/>
                <w:bCs/>
                <w:sz w:val="24"/>
                <w:szCs w:val="24"/>
                <w:lang w:eastAsia="zh-CN"/>
              </w:rPr>
              <w:t>。</w:t>
            </w:r>
            <w:r>
              <w:rPr>
                <w:rFonts w:hint="eastAsia" w:ascii="宋体" w:hAnsi="宋体"/>
                <w:sz w:val="24"/>
                <w:szCs w:val="24"/>
                <w:lang w:val="en-US" w:eastAsia="zh-CN"/>
              </w:rPr>
              <w:t>采用集群部署网络控制，以保障升级时业务不中断</w:t>
            </w:r>
            <w:r>
              <w:rPr>
                <w:rFonts w:hint="eastAsia" w:hAnsi="宋体"/>
                <w:sz w:val="24"/>
                <w:szCs w:val="24"/>
                <w:lang w:val="en-US" w:eastAsia="zh-CN"/>
              </w:rPr>
              <w:t>。</w:t>
            </w:r>
            <w:r>
              <w:rPr>
                <w:rFonts w:hint="eastAsia" w:ascii="宋体" w:hAnsi="宋体"/>
                <w:sz w:val="24"/>
                <w:szCs w:val="24"/>
                <w:lang w:val="en-US" w:eastAsia="zh-CN"/>
              </w:rPr>
              <w:t>采用双活网络架构，降低单点故障带来的稳定风险</w:t>
            </w:r>
            <w:r>
              <w:rPr>
                <w:rFonts w:hint="eastAsia" w:hAnsi="宋体"/>
                <w:sz w:val="24"/>
                <w:szCs w:val="24"/>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3" w:hRule="atLeast"/>
          <w:jc w:val="center"/>
        </w:trPr>
        <w:tc>
          <w:tcPr>
            <w:tcW w:w="233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int="eastAsia" w:hAnsi="宋体" w:eastAsia="宋体"/>
                <w:sz w:val="24"/>
                <w:szCs w:val="24"/>
                <w:lang w:eastAsia="zh-CN"/>
              </w:rPr>
            </w:pPr>
            <w:r>
              <w:rPr>
                <w:rFonts w:hint="eastAsia" w:hAnsi="宋体"/>
                <w:sz w:val="24"/>
                <w:szCs w:val="24"/>
                <w:lang w:eastAsia="zh-CN"/>
              </w:rPr>
              <w:t>主机负载均衡服务</w:t>
            </w:r>
          </w:p>
        </w:tc>
        <w:tc>
          <w:tcPr>
            <w:tcW w:w="619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left"/>
              <w:textAlignment w:val="auto"/>
              <w:rPr>
                <w:rFonts w:hint="eastAsia" w:hAnsi="宋体"/>
                <w:sz w:val="24"/>
                <w:szCs w:val="24"/>
                <w:lang w:val="en-US" w:eastAsia="zh-CN"/>
              </w:rPr>
            </w:pPr>
            <w:r>
              <w:rPr>
                <w:rFonts w:hint="eastAsia" w:hAnsi="宋体"/>
                <w:sz w:val="24"/>
                <w:szCs w:val="24"/>
                <w:lang w:val="en-US" w:eastAsia="zh-CN"/>
              </w:rPr>
              <w:t>支持按需自动分配负载均衡服务，</w:t>
            </w:r>
            <w:r>
              <w:rPr>
                <w:rFonts w:hint="eastAsia" w:hAnsi="宋体"/>
                <w:sz w:val="24"/>
                <w:szCs w:val="24"/>
              </w:rPr>
              <w:t>总体峰值可支持每秒新建链接数不少于</w:t>
            </w:r>
            <w:r>
              <w:rPr>
                <w:rFonts w:hAnsi="宋体"/>
                <w:sz w:val="24"/>
                <w:szCs w:val="24"/>
              </w:rPr>
              <w:t>40</w:t>
            </w:r>
            <w:r>
              <w:rPr>
                <w:rFonts w:hint="eastAsia" w:hAnsi="宋体"/>
                <w:sz w:val="24"/>
                <w:szCs w:val="24"/>
              </w:rPr>
              <w:t>万</w:t>
            </w:r>
            <w:r>
              <w:rPr>
                <w:rFonts w:hint="eastAsia" w:hAnsi="宋体"/>
                <w:sz w:val="24"/>
                <w:szCs w:val="24"/>
                <w:lang w:val="en-US" w:eastAsia="zh-CN"/>
              </w:rPr>
              <w:t>；支持4层（TCP）、7层（HTTP/HTTPS）协议转发，提供加权轮询、加权最小连接数等均衡策略；具备健康检查、异常节点自动隔离及会话保持能力；采用全冗余集群架构，服务可用性≥99.99%；支持灵活转发规则、在线平滑扩容及弹性扩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03" w:hRule="atLeast"/>
          <w:jc w:val="center"/>
        </w:trPr>
        <w:tc>
          <w:tcPr>
            <w:tcW w:w="233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Ansi="宋体"/>
                <w:b w:val="0"/>
                <w:bCs/>
                <w:sz w:val="24"/>
                <w:szCs w:val="24"/>
              </w:rPr>
            </w:pPr>
            <w:r>
              <w:rPr>
                <w:rFonts w:hint="eastAsia" w:hAnsi="宋体"/>
                <w:sz w:val="24"/>
                <w:szCs w:val="24"/>
              </w:rPr>
              <w:t>弹性网络</w:t>
            </w:r>
          </w:p>
        </w:tc>
        <w:tc>
          <w:tcPr>
            <w:tcW w:w="6191" w:type="dxa"/>
            <w:tcBorders>
              <w:top w:val="single" w:color="000000" w:sz="4" w:space="0"/>
              <w:left w:val="single" w:color="000000" w:sz="4" w:space="0"/>
              <w:bottom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left"/>
              <w:textAlignment w:val="auto"/>
              <w:rPr>
                <w:rFonts w:hint="eastAsia" w:hAnsi="宋体"/>
                <w:b w:val="0"/>
                <w:bCs/>
                <w:sz w:val="24"/>
                <w:szCs w:val="24"/>
              </w:rPr>
            </w:pPr>
            <w:r>
              <w:rPr>
                <w:rFonts w:hint="eastAsia" w:hAnsi="宋体"/>
                <w:sz w:val="24"/>
                <w:szCs w:val="24"/>
                <w:lang w:val="en-US" w:eastAsia="zh-CN"/>
              </w:rPr>
              <w:t xml:space="preserve"># </w:t>
            </w:r>
            <w:r>
              <w:rPr>
                <w:rFonts w:hint="eastAsia" w:hAnsi="宋体"/>
                <w:sz w:val="24"/>
                <w:szCs w:val="24"/>
              </w:rPr>
              <w:t>支持虚拟路由、虚拟交换机和弹性IP，</w:t>
            </w:r>
            <w:r>
              <w:rPr>
                <w:rFonts w:hint="eastAsia" w:ascii="宋体" w:hAnsi="宋体" w:cs="宋体"/>
                <w:sz w:val="24"/>
                <w:szCs w:val="24"/>
              </w:rPr>
              <w:t>支持云平台租户</w:t>
            </w:r>
            <w:r>
              <w:rPr>
                <w:rFonts w:hint="eastAsia" w:hAnsi="宋体"/>
                <w:sz w:val="24"/>
                <w:szCs w:val="24"/>
              </w:rPr>
              <w:t>自定义虚拟主机的网络拓扑</w:t>
            </w:r>
            <w:r>
              <w:rPr>
                <w:rFonts w:hint="eastAsia" w:hAnsi="宋体"/>
                <w:sz w:val="24"/>
                <w:szCs w:val="24"/>
                <w:lang w:eastAsia="zh-CN"/>
              </w:rPr>
              <w:t>，</w:t>
            </w:r>
            <w:r>
              <w:rPr>
                <w:rFonts w:hint="eastAsia" w:ascii="宋体" w:hAnsi="宋体" w:cs="宋体"/>
                <w:sz w:val="24"/>
                <w:szCs w:val="24"/>
              </w:rPr>
              <w:t>支持自行指定云主机的网卡IP</w:t>
            </w:r>
            <w:r>
              <w:rPr>
                <w:rFonts w:hint="eastAsia" w:hAnsi="宋体" w:cs="宋体"/>
                <w:sz w:val="24"/>
                <w:szCs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47" w:hRule="atLeast"/>
          <w:jc w:val="center"/>
        </w:trPr>
        <w:tc>
          <w:tcPr>
            <w:tcW w:w="2331" w:type="dxa"/>
            <w:tcBorders>
              <w:top w:val="single" w:color="000000" w:sz="4" w:space="0"/>
              <w:left w:val="single" w:color="000000" w:sz="4" w:space="0"/>
              <w:bottom w:val="single" w:color="000000" w:sz="4" w:space="0"/>
              <w:right w:val="single" w:color="000000" w:sz="4" w:space="0"/>
            </w:tcBorders>
            <w:vAlign w:val="center"/>
          </w:tcPr>
          <w:p>
            <w:pPr>
              <w:pageBreakBefore w:val="0"/>
              <w:kinsoku/>
              <w:wordWrap/>
              <w:overflowPunct/>
              <w:topLinePunct w:val="0"/>
              <w:bidi w:val="0"/>
              <w:snapToGrid/>
              <w:spacing w:line="400" w:lineRule="exact"/>
              <w:ind w:firstLine="0" w:firstLineChars="0"/>
              <w:jc w:val="center"/>
              <w:textAlignment w:val="auto"/>
              <w:rPr>
                <w:rFonts w:hint="eastAsia"/>
                <w:lang w:val="en-US" w:eastAsia="zh-CN"/>
              </w:rPr>
            </w:pPr>
            <w:r>
              <w:rPr>
                <w:rFonts w:hint="eastAsia" w:ascii="宋体" w:hAnsi="宋体"/>
                <w:b w:val="0"/>
                <w:bCs/>
                <w:sz w:val="24"/>
                <w:szCs w:val="24"/>
                <w:lang w:val="en-US" w:eastAsia="zh-CN"/>
              </w:rPr>
              <w:t>服务能力</w:t>
            </w:r>
          </w:p>
        </w:tc>
        <w:tc>
          <w:tcPr>
            <w:tcW w:w="6191" w:type="dxa"/>
            <w:tcBorders>
              <w:top w:val="single" w:color="000000" w:sz="4" w:space="0"/>
              <w:left w:val="single" w:color="000000" w:sz="4" w:space="0"/>
              <w:bottom w:val="single" w:color="000000" w:sz="4" w:space="0"/>
              <w:right w:val="single" w:color="000000" w:sz="4" w:space="0"/>
            </w:tcBorders>
            <w:vAlign w:val="center"/>
          </w:tcPr>
          <w:p>
            <w:pPr>
              <w:pageBreakBefore w:val="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bidi w:val="0"/>
              <w:snapToGrid/>
              <w:spacing w:line="440" w:lineRule="exact"/>
              <w:ind w:firstLine="0" w:firstLineChars="0"/>
              <w:jc w:val="left"/>
              <w:textAlignment w:val="auto"/>
              <w:rPr>
                <w:rFonts w:hint="eastAsia" w:ascii="宋体" w:hAnsi="宋体"/>
                <w:sz w:val="24"/>
                <w:szCs w:val="24"/>
                <w:lang w:val="en-US" w:eastAsia="zh-CN"/>
              </w:rPr>
            </w:pPr>
            <w:r>
              <w:rPr>
                <w:rFonts w:ascii="宋体" w:hAnsi="宋体" w:cs="宋体"/>
                <w:color w:val="000000"/>
                <w:kern w:val="0"/>
                <w:sz w:val="24"/>
                <w:szCs w:val="24"/>
                <w:shd w:val="clear" w:color="auto" w:fill="FFFFFF"/>
              </w:rPr>
              <w:t># 通过《云平台网络能力评估方法·第 4部分:云组网》检验，在基本功能、网络互通权限、网络资源调配能力、网络隔离能力、网络安全保障、网络性能、运维管理功能、计量计费管理、可靠性等解决方案质量方面，以及产品周期、运维服务、权益保障等服务指标的完备性和规范性方面均满足。（提供通过相关检验的证明材料复印件，证明材料持有人与投标人必须完全一致。）</w:t>
            </w:r>
          </w:p>
        </w:tc>
      </w:tr>
    </w:tbl>
    <w:p>
      <w:pPr>
        <w:spacing w:line="400" w:lineRule="exact"/>
        <w:ind w:firstLine="480" w:firstLineChars="200"/>
        <w:rPr>
          <w:rFonts w:hint="eastAsia" w:ascii="宋体" w:hAnsi="宋体"/>
          <w:sz w:val="24"/>
          <w:szCs w:val="24"/>
          <w:lang w:val="en-US" w:eastAsia="zh-CN"/>
        </w:rPr>
      </w:pPr>
    </w:p>
    <w:p>
      <w:pPr>
        <w:pStyle w:val="7"/>
        <w:keepNext/>
        <w:keepLines/>
        <w:pageBreakBefore w:val="0"/>
        <w:widowControl w:val="0"/>
        <w:numPr>
          <w:ilvl w:val="3"/>
          <w:numId w:val="0"/>
        </w:numPr>
        <w:tabs>
          <w:tab w:val="left" w:pos="0"/>
        </w:tabs>
        <w:kinsoku/>
        <w:wordWrap/>
        <w:overflowPunct/>
        <w:topLinePunct w:val="0"/>
        <w:autoSpaceDE w:val="0"/>
        <w:autoSpaceDN w:val="0"/>
        <w:bidi w:val="0"/>
        <w:adjustRightInd w:val="0"/>
        <w:snapToGrid/>
        <w:spacing w:before="0" w:after="0" w:line="400" w:lineRule="exact"/>
        <w:ind w:firstLine="482" w:firstLineChars="200"/>
        <w:textAlignment w:val="auto"/>
        <w:outlineLvl w:val="3"/>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lang w:val="en-US" w:eastAsia="zh-CN"/>
        </w:rPr>
        <w:t>4）整体技术要求</w:t>
      </w:r>
    </w:p>
    <w:p/>
    <w:tbl>
      <w:tblPr>
        <w:tblStyle w:val="44"/>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21"/>
        <w:gridCol w:w="6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top"/>
          </w:tcPr>
          <w:p>
            <w:pPr>
              <w:pageBreakBefore w:val="0"/>
              <w:tabs>
                <w:tab w:val="left" w:pos="1418"/>
              </w:tabs>
              <w:kinsoku/>
              <w:wordWrap/>
              <w:overflowPunct/>
              <w:topLinePunct w:val="0"/>
              <w:bidi w:val="0"/>
              <w:snapToGrid/>
              <w:spacing w:line="400" w:lineRule="exact"/>
              <w:ind w:firstLine="0" w:firstLineChars="0"/>
              <w:jc w:val="center"/>
              <w:textAlignment w:val="auto"/>
              <w:rPr>
                <w:rFonts w:hAnsi="宋体"/>
                <w:sz w:val="24"/>
                <w:szCs w:val="24"/>
              </w:rPr>
            </w:pPr>
            <w:r>
              <w:rPr>
                <w:rFonts w:hint="eastAsia" w:ascii="宋体" w:hAnsi="宋体"/>
                <w:b/>
                <w:sz w:val="24"/>
                <w:szCs w:val="24"/>
              </w:rPr>
              <w:t>指标项</w:t>
            </w:r>
          </w:p>
        </w:tc>
        <w:tc>
          <w:tcPr>
            <w:tcW w:w="6601" w:type="dxa"/>
            <w:tcBorders>
              <w:top w:val="single" w:color="000000" w:sz="4" w:space="0"/>
              <w:left w:val="single" w:color="000000" w:sz="4" w:space="0"/>
              <w:bottom w:val="single" w:color="000000" w:sz="4" w:space="0"/>
              <w:right w:val="single" w:color="000000" w:sz="4" w:space="0"/>
            </w:tcBorders>
            <w:vAlign w:val="top"/>
          </w:tcPr>
          <w:p>
            <w:pPr>
              <w:pageBreakBefore w:val="0"/>
              <w:tabs>
                <w:tab w:val="left" w:pos="1418"/>
              </w:tabs>
              <w:kinsoku/>
              <w:wordWrap/>
              <w:overflowPunct/>
              <w:topLinePunct w:val="0"/>
              <w:bidi w:val="0"/>
              <w:snapToGrid/>
              <w:spacing w:line="400" w:lineRule="exact"/>
              <w:ind w:firstLine="0" w:firstLineChars="0"/>
              <w:jc w:val="center"/>
              <w:textAlignment w:val="auto"/>
              <w:rPr>
                <w:rFonts w:hAnsi="宋体"/>
                <w:sz w:val="24"/>
                <w:szCs w:val="24"/>
              </w:rPr>
            </w:pPr>
            <w:r>
              <w:rPr>
                <w:rFonts w:hint="eastAsia" w:ascii="宋体" w:hAnsi="宋体"/>
                <w:b/>
                <w:sz w:val="24"/>
                <w:szCs w:val="24"/>
                <w:lang w:eastAsia="zh-CN"/>
              </w:rPr>
              <w:t>技术</w:t>
            </w:r>
            <w:r>
              <w:rPr>
                <w:rFonts w:hint="eastAsia" w:ascii="宋体" w:hAnsi="宋体"/>
                <w:b/>
                <w:sz w:val="24"/>
                <w:szCs w:val="24"/>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tcBorders>
              <w:left w:val="single" w:color="000000" w:sz="4" w:space="0"/>
              <w:right w:val="single" w:color="000000" w:sz="4" w:space="0"/>
            </w:tcBorders>
            <w:vAlign w:val="center"/>
          </w:tcPr>
          <w:p>
            <w:pPr>
              <w:pStyle w:val="6"/>
              <w:pageBreakBefore w:val="0"/>
              <w:kinsoku/>
              <w:wordWrap/>
              <w:overflowPunct/>
              <w:topLinePunct w:val="0"/>
              <w:bidi w:val="0"/>
              <w:snapToGrid/>
              <w:spacing w:line="400" w:lineRule="exact"/>
              <w:ind w:firstLine="0" w:firstLineChars="0"/>
              <w:jc w:val="center"/>
              <w:textAlignment w:val="auto"/>
              <w:rPr>
                <w:rFonts w:hint="eastAsia" w:hAnsi="宋体"/>
                <w:sz w:val="24"/>
                <w:szCs w:val="24"/>
              </w:rPr>
            </w:pPr>
            <w:r>
              <w:rPr>
                <w:rFonts w:hint="eastAsia" w:hAnsi="宋体"/>
                <w:sz w:val="24"/>
                <w:szCs w:val="24"/>
                <w:lang w:val="en-US" w:eastAsia="zh-CN"/>
              </w:rPr>
              <w:t>整体安全能力</w:t>
            </w:r>
          </w:p>
        </w:tc>
        <w:tc>
          <w:tcPr>
            <w:tcW w:w="6601" w:type="dxa"/>
            <w:shd w:val="clear" w:color="auto" w:fill="FFFFFF"/>
            <w:vAlign w:val="top"/>
          </w:tcPr>
          <w:p>
            <w:pPr>
              <w:pageBreakBefore w:val="0"/>
              <w:kinsoku/>
              <w:wordWrap/>
              <w:overflowPunct/>
              <w:topLinePunct w:val="0"/>
              <w:bidi w:val="0"/>
              <w:snapToGrid/>
              <w:spacing w:line="44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通过《云计算服务安全要求 第一部分：通用安全要求》核验，达到增强级要求。（提供通过相关检验的证明材料复印件，证明材料持有人与投标人必须完全一致。）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37" w:hRule="atLeast"/>
          <w:jc w:val="center"/>
        </w:trPr>
        <w:tc>
          <w:tcPr>
            <w:tcW w:w="1921" w:type="dxa"/>
            <w:vMerge w:val="restart"/>
            <w:tcBorders>
              <w:left w:val="single" w:color="000000" w:sz="4" w:space="0"/>
              <w:right w:val="single" w:color="000000" w:sz="4" w:space="0"/>
            </w:tcBorders>
            <w:shd w:val="clear" w:color="auto" w:fill="FFFFFF"/>
            <w:vAlign w:val="center"/>
          </w:tcPr>
          <w:p>
            <w:pPr>
              <w:pageBreakBefore w:val="0"/>
              <w:kinsoku/>
              <w:wordWrap/>
              <w:overflowPunct/>
              <w:topLinePunct w:val="0"/>
              <w:bidi w:val="0"/>
              <w:snapToGrid/>
              <w:spacing w:line="440" w:lineRule="exact"/>
              <w:ind w:firstLine="0" w:firstLineChars="0"/>
              <w:jc w:val="center"/>
              <w:textAlignment w:val="auto"/>
              <w:rPr>
                <w:rFonts w:hint="eastAsia" w:hAnsi="宋体"/>
                <w:sz w:val="24"/>
                <w:szCs w:val="24"/>
                <w:lang w:val="en-US" w:eastAsia="zh-CN"/>
              </w:rPr>
            </w:pPr>
          </w:p>
          <w:p>
            <w:pPr>
              <w:pageBreakBefore w:val="0"/>
              <w:kinsoku/>
              <w:wordWrap/>
              <w:overflowPunct/>
              <w:topLinePunct w:val="0"/>
              <w:bidi w:val="0"/>
              <w:snapToGrid/>
              <w:spacing w:line="440" w:lineRule="exact"/>
              <w:ind w:firstLine="0" w:firstLineChars="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云资源可视化管理能力</w:t>
            </w:r>
          </w:p>
        </w:tc>
        <w:tc>
          <w:tcPr>
            <w:tcW w:w="6601" w:type="dxa"/>
            <w:shd w:val="clear" w:color="auto" w:fill="FFFFFF"/>
            <w:vAlign w:val="center"/>
          </w:tcPr>
          <w:p>
            <w:pPr>
              <w:pageBreakBefore w:val="0"/>
              <w:kinsoku/>
              <w:wordWrap/>
              <w:overflowPunct/>
              <w:topLinePunct w:val="0"/>
              <w:bidi w:val="0"/>
              <w:snapToGrid/>
              <w:spacing w:line="440" w:lineRule="exact"/>
              <w:ind w:firstLine="0" w:firstLineChars="0"/>
              <w:textAlignment w:val="auto"/>
              <w:rPr>
                <w:rFonts w:hint="eastAsia"/>
                <w:lang w:val="en-US" w:eastAsia="zh-CN"/>
              </w:rPr>
            </w:pP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提供可自服务的云资源可视化管理能力，支持对云主机、vCPU、内存、磁盘等资源进行统一统计，支持资源分配趋势、网络区域、操作系统类型、主机状态等多维度分布分析，并支持按业务系统开展资源用量、主机数量分析与排序展示。</w:t>
            </w:r>
            <w:r>
              <w:rPr>
                <w:rFonts w:hint="eastAsia" w:ascii="宋体" w:hAnsi="宋体" w:eastAsia="宋体" w:cs="宋体"/>
                <w:b w:val="0"/>
                <w:kern w:val="2"/>
                <w:sz w:val="24"/>
                <w:szCs w:val="24"/>
                <w:lang w:val="en-US" w:eastAsia="zh-CN" w:bidi="ar-SA"/>
              </w:rPr>
              <w:t>提供演示系统链接及管理工具截图证明文件。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763" w:hRule="atLeast"/>
          <w:jc w:val="center"/>
        </w:trPr>
        <w:tc>
          <w:tcPr>
            <w:tcW w:w="1921" w:type="dxa"/>
            <w:vMerge w:val="continue"/>
            <w:tcBorders>
              <w:left w:val="single" w:color="000000" w:sz="4" w:space="0"/>
              <w:right w:val="single" w:color="000000" w:sz="4" w:space="0"/>
            </w:tcBorders>
          </w:tcPr>
          <w:p>
            <w:pPr>
              <w:pStyle w:val="6"/>
              <w:pageBreakBefore w:val="0"/>
              <w:kinsoku/>
              <w:wordWrap/>
              <w:overflowPunct/>
              <w:topLinePunct w:val="0"/>
              <w:bidi w:val="0"/>
              <w:snapToGrid/>
              <w:spacing w:line="400" w:lineRule="exact"/>
              <w:ind w:firstLine="0" w:firstLineChars="0"/>
              <w:jc w:val="center"/>
              <w:textAlignment w:val="auto"/>
              <w:rPr>
                <w:rFonts w:hint="eastAsia" w:hAnsi="宋体"/>
                <w:sz w:val="24"/>
                <w:szCs w:val="24"/>
              </w:rPr>
            </w:pPr>
          </w:p>
        </w:tc>
        <w:tc>
          <w:tcPr>
            <w:tcW w:w="6601" w:type="dxa"/>
            <w:shd w:val="clear" w:color="auto" w:fill="FFFFFF"/>
            <w:vAlign w:val="center"/>
          </w:tcPr>
          <w:p>
            <w:pPr>
              <w:pageBreakBefore w:val="0"/>
              <w:kinsoku/>
              <w:wordWrap/>
              <w:overflowPunct/>
              <w:topLinePunct w:val="0"/>
              <w:bidi w:val="0"/>
              <w:snapToGrid/>
              <w:spacing w:line="44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提供可自服务的云资源可视化管理能力，支持业务探活能力，能够根据业务系统服务IP地址、服务链接进行业务健康状态探测，展示系统运行状态，如正常、异常等，提供演示系统链接及管理工具截图证明。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 w:hRule="atLeast"/>
          <w:jc w:val="center"/>
        </w:trPr>
        <w:tc>
          <w:tcPr>
            <w:tcW w:w="1921" w:type="dxa"/>
            <w:vMerge w:val="continue"/>
            <w:tcBorders>
              <w:left w:val="single" w:color="000000" w:sz="4" w:space="0"/>
              <w:right w:val="single" w:color="000000" w:sz="4" w:space="0"/>
            </w:tcBorders>
          </w:tcPr>
          <w:p>
            <w:pPr>
              <w:pStyle w:val="6"/>
              <w:pageBreakBefore w:val="0"/>
              <w:kinsoku/>
              <w:wordWrap/>
              <w:overflowPunct/>
              <w:topLinePunct w:val="0"/>
              <w:bidi w:val="0"/>
              <w:snapToGrid/>
              <w:spacing w:line="400" w:lineRule="exact"/>
              <w:ind w:firstLine="0" w:firstLineChars="0"/>
              <w:jc w:val="center"/>
              <w:textAlignment w:val="auto"/>
              <w:rPr>
                <w:rFonts w:hint="eastAsia" w:hAnsi="宋体"/>
                <w:sz w:val="24"/>
                <w:szCs w:val="24"/>
              </w:rPr>
            </w:pPr>
          </w:p>
        </w:tc>
        <w:tc>
          <w:tcPr>
            <w:tcW w:w="6601" w:type="dxa"/>
            <w:shd w:val="clear" w:color="auto" w:fill="FFFFFF"/>
            <w:vAlign w:val="center"/>
          </w:tcPr>
          <w:p>
            <w:pPr>
              <w:pageBreakBefore w:val="0"/>
              <w:kinsoku/>
              <w:wordWrap/>
              <w:overflowPunct/>
              <w:topLinePunct w:val="0"/>
              <w:bidi w:val="0"/>
              <w:snapToGrid/>
              <w:spacing w:line="440" w:lineRule="exact"/>
              <w:ind w:firstLine="0" w:firstLineChars="0"/>
              <w:textAlignment w:val="auto"/>
              <w:rPr>
                <w:rFonts w:hint="eastAsia" w:ascii="宋体" w:hAnsi="宋体" w:eastAsia="宋体" w:cs="宋体"/>
                <w:kern w:val="2"/>
                <w:sz w:val="24"/>
                <w:szCs w:val="24"/>
                <w:lang w:val="en-US" w:eastAsia="zh-CN" w:bidi="ar-SA"/>
              </w:rPr>
            </w:pPr>
            <w:r>
              <w:rPr>
                <w:rFonts w:hint="eastAsia" w:ascii="宋体" w:hAnsi="宋体" w:cs="宋体"/>
                <w:sz w:val="24"/>
                <w:szCs w:val="24"/>
              </w:rPr>
              <w:t>#</w:t>
            </w:r>
            <w:r>
              <w:rPr>
                <w:rFonts w:ascii="宋体" w:hAnsi="宋体" w:cs="宋体"/>
                <w:sz w:val="24"/>
                <w:szCs w:val="24"/>
              </w:rPr>
              <w:t xml:space="preserve"> </w:t>
            </w:r>
            <w:r>
              <w:rPr>
                <w:rFonts w:hint="eastAsia" w:ascii="宋体" w:hAnsi="宋体" w:cs="宋体"/>
                <w:sz w:val="24"/>
                <w:szCs w:val="24"/>
              </w:rPr>
              <w:t>提供可自服务的云资源可视化管理能力，</w:t>
            </w:r>
            <w:r>
              <w:rPr>
                <w:rFonts w:hint="eastAsia" w:ascii="宋体" w:hAnsi="宋体" w:cs="宋体"/>
                <w:sz w:val="24"/>
                <w:szCs w:val="24"/>
                <w:lang w:eastAsia="zh-CN"/>
              </w:rPr>
              <w:t>支持</w:t>
            </w:r>
            <w:r>
              <w:rPr>
                <w:rFonts w:hint="eastAsia" w:ascii="宋体" w:hAnsi="宋体" w:cs="宋体"/>
                <w:sz w:val="24"/>
                <w:szCs w:val="24"/>
              </w:rPr>
              <w:t>云主机深度监控与自动巡检能力，支持对 CPU、内存、磁盘、网络等资源使用率进行实时监测与趋势分析，可展示指定时段变化情况，并支持自动巡检及巡检结果快速呈现。同时支持云效率分析展示，可呈现云效率总值、变化轨迹及不同业务系统云效率对比情况。提供演示系统链接及管理工具截图证明。</w:t>
            </w:r>
          </w:p>
        </w:tc>
      </w:tr>
    </w:tbl>
    <w:p>
      <w:pPr>
        <w:widowControl/>
        <w:spacing w:line="440" w:lineRule="exact"/>
        <w:ind w:firstLine="482" w:firstLineChars="200"/>
        <w:contextualSpacing/>
        <w:outlineLvl w:val="2"/>
        <w:rPr>
          <w:rFonts w:ascii="宋体" w:hAnsi="宋体" w:cs="宋体"/>
          <w:b/>
          <w:bCs/>
          <w:sz w:val="24"/>
        </w:rPr>
      </w:pPr>
      <w:r>
        <w:rPr>
          <w:rFonts w:hint="eastAsia" w:ascii="宋体" w:hAnsi="宋体" w:cs="宋体"/>
          <w:b/>
          <w:bCs/>
          <w:sz w:val="24"/>
        </w:rPr>
        <w:t>2.</w:t>
      </w:r>
      <w:r>
        <w:rPr>
          <w:rFonts w:hint="eastAsia" w:ascii="宋体" w:hAnsi="宋体" w:cs="宋体"/>
          <w:b/>
          <w:bCs/>
          <w:sz w:val="24"/>
          <w:lang w:val="en-US" w:eastAsia="zh-CN"/>
        </w:rPr>
        <w:t>3</w:t>
      </w:r>
      <w:r>
        <w:rPr>
          <w:rFonts w:hint="eastAsia" w:ascii="宋体" w:hAnsi="宋体" w:cs="宋体"/>
          <w:b/>
          <w:bCs/>
          <w:sz w:val="24"/>
          <w:lang w:eastAsia="zh-CN"/>
        </w:rPr>
        <w:t>服务团队</w:t>
      </w:r>
      <w:r>
        <w:rPr>
          <w:rFonts w:hint="eastAsia" w:ascii="宋体" w:hAnsi="宋体" w:cs="宋体"/>
          <w:b/>
          <w:bCs/>
          <w:sz w:val="24"/>
        </w:rPr>
        <w:t>要求</w:t>
      </w:r>
    </w:p>
    <w:p>
      <w:pPr>
        <w:widowControl/>
        <w:spacing w:line="440" w:lineRule="exact"/>
        <w:ind w:firstLine="480" w:firstLineChars="200"/>
        <w:contextualSpacing/>
        <w:outlineLvl w:val="9"/>
        <w:rPr>
          <w:rFonts w:hint="eastAsia" w:ascii="宋体" w:hAnsi="宋体" w:eastAsia="宋体" w:cs="宋体"/>
          <w:sz w:val="24"/>
          <w:lang w:eastAsia="zh-CN"/>
        </w:rPr>
      </w:pPr>
      <w:r>
        <w:rPr>
          <w:rFonts w:hint="eastAsia" w:ascii="宋体" w:hAnsi="宋体" w:eastAsia="宋体" w:cs="宋体"/>
          <w:sz w:val="24"/>
        </w:rPr>
        <w:t>服务期内，投标人须具备</w:t>
      </w:r>
      <w:r>
        <w:rPr>
          <w:rFonts w:hint="eastAsia" w:ascii="宋体" w:hAnsi="宋体" w:eastAsia="宋体" w:cs="宋体"/>
          <w:sz w:val="24"/>
          <w:lang w:eastAsia="zh-CN"/>
        </w:rPr>
        <w:t>专业</w:t>
      </w:r>
      <w:r>
        <w:rPr>
          <w:rFonts w:hint="eastAsia" w:ascii="宋体" w:hAnsi="宋体" w:eastAsia="宋体" w:cs="宋体"/>
          <w:sz w:val="24"/>
        </w:rPr>
        <w:t>运维团队，提供售后服务保障。投标人须提供1名项目经理</w:t>
      </w:r>
      <w:r>
        <w:rPr>
          <w:rFonts w:hint="eastAsia" w:ascii="宋体" w:hAnsi="宋体" w:eastAsia="宋体" w:cs="宋体"/>
          <w:sz w:val="24"/>
          <w:lang w:eastAsia="zh-CN"/>
        </w:rPr>
        <w:t>、</w:t>
      </w:r>
      <w:r>
        <w:rPr>
          <w:rFonts w:hint="eastAsia" w:ascii="宋体" w:hAnsi="宋体" w:eastAsia="宋体" w:cs="宋体"/>
          <w:sz w:val="24"/>
          <w:lang w:val="en-US" w:eastAsia="zh-CN"/>
        </w:rPr>
        <w:t>1名安全技术负责人</w:t>
      </w:r>
      <w:r>
        <w:rPr>
          <w:rFonts w:hint="eastAsia" w:ascii="宋体" w:hAnsi="宋体" w:eastAsia="宋体" w:cs="宋体"/>
          <w:sz w:val="24"/>
          <w:lang w:eastAsia="zh-CN"/>
        </w:rPr>
        <w:t>及不少于</w:t>
      </w:r>
      <w:r>
        <w:rPr>
          <w:rFonts w:hint="eastAsia" w:ascii="宋体" w:hAnsi="宋体" w:eastAsia="宋体" w:cs="宋体"/>
          <w:sz w:val="24"/>
          <w:lang w:val="en-US" w:eastAsia="zh-CN"/>
        </w:rPr>
        <w:t>5</w:t>
      </w:r>
      <w:r>
        <w:rPr>
          <w:rFonts w:hint="eastAsia" w:ascii="宋体" w:hAnsi="宋体" w:eastAsia="宋体" w:cs="宋体"/>
          <w:sz w:val="24"/>
        </w:rPr>
        <w:t>名项目团队专职人员，为本项目提供服务。团队成员应明确职责，架构清晰，岗位设置合理，且具备与本项目相关的项目经验。</w:t>
      </w:r>
      <w:r>
        <w:rPr>
          <w:rFonts w:hint="eastAsia" w:ascii="宋体" w:hAnsi="宋体" w:eastAsia="宋体" w:cs="宋体"/>
          <w:sz w:val="24"/>
          <w:lang w:eastAsia="zh-CN"/>
        </w:rPr>
        <w:t>服务团队</w:t>
      </w:r>
      <w:r>
        <w:rPr>
          <w:rFonts w:hint="eastAsia" w:ascii="宋体" w:hAnsi="宋体" w:eastAsia="宋体" w:cs="宋体"/>
          <w:sz w:val="24"/>
        </w:rPr>
        <w:t>成员要求如下：</w:t>
      </w:r>
    </w:p>
    <w:p>
      <w:pPr>
        <w:pStyle w:val="32"/>
        <w:spacing w:line="440" w:lineRule="exact"/>
        <w:ind w:firstLine="482" w:firstLineChars="200"/>
        <w:rPr>
          <w:rFonts w:hint="eastAsia"/>
          <w:b w:val="0"/>
          <w:bCs/>
        </w:rPr>
      </w:pPr>
      <w:r>
        <w:rPr>
          <w:rFonts w:hint="eastAsia" w:ascii="宋体" w:hAnsi="宋体" w:eastAsia="宋体" w:cs="宋体"/>
          <w:sz w:val="24"/>
        </w:rPr>
        <w:t>1</w:t>
      </w:r>
      <w:r>
        <w:rPr>
          <w:rFonts w:hint="eastAsia" w:ascii="宋体" w:hAnsi="宋体" w:eastAsia="宋体" w:cs="宋体"/>
          <w:sz w:val="24"/>
          <w:lang w:eastAsia="zh-CN"/>
        </w:rPr>
        <w:t>）</w:t>
      </w:r>
      <w:r>
        <w:rPr>
          <w:rFonts w:hint="eastAsia"/>
          <w:b w:val="0"/>
          <w:bCs/>
        </w:rPr>
        <w:t>项目经理应具备</w:t>
      </w:r>
      <w:r>
        <w:rPr>
          <w:rFonts w:hint="eastAsia" w:ascii="宋体" w:hAnsi="宋体" w:eastAsia="宋体" w:cs="宋体"/>
          <w:b w:val="0"/>
          <w:bCs w:val="0"/>
          <w:sz w:val="24"/>
          <w:lang w:val="en-US" w:eastAsia="zh-CN"/>
        </w:rPr>
        <w:t>5</w:t>
      </w:r>
      <w:r>
        <w:rPr>
          <w:rFonts w:hint="eastAsia" w:ascii="宋体" w:hAnsi="宋体" w:eastAsia="宋体" w:cs="宋体"/>
          <w:b w:val="0"/>
          <w:bCs w:val="0"/>
          <w:sz w:val="24"/>
        </w:rPr>
        <w:t>年及以上</w:t>
      </w:r>
      <w:r>
        <w:rPr>
          <w:rFonts w:hint="eastAsia"/>
          <w:b w:val="0"/>
          <w:bCs/>
        </w:rPr>
        <w:t>政务云实施服务管理经验，具有信息系统项目管理师（高级）证书），全面负责项目的实施、质量管理及与采购人沟通协调工作。包括但不限于领导项目团队，分配任务，组织培训，提升团队技能和协作；与采购人和项目团队内部保持沟通，协调资源和技术问题；识别项目风险，监控项目质量和进度，并及时调整策略。</w:t>
      </w:r>
    </w:p>
    <w:p>
      <w:pPr>
        <w:pStyle w:val="32"/>
        <w:spacing w:line="440" w:lineRule="exact"/>
        <w:ind w:firstLine="480" w:firstLineChars="200"/>
        <w:rPr>
          <w:rFonts w:hint="eastAsia"/>
          <w:b w:val="0"/>
          <w:bCs/>
        </w:rPr>
      </w:pPr>
      <w:r>
        <w:rPr>
          <w:rFonts w:hint="eastAsia"/>
          <w:b w:val="0"/>
          <w:bCs/>
          <w:lang w:val="en-US" w:eastAsia="zh-CN"/>
        </w:rPr>
        <w:t>2）</w:t>
      </w:r>
      <w:r>
        <w:rPr>
          <w:rFonts w:hint="eastAsia"/>
          <w:b w:val="0"/>
          <w:bCs/>
        </w:rPr>
        <w:t>项目安全负责人应具备扎实的网络安全、数据安全及等保合规相关知识与实践经验，有5年及以上类似工作经验，持有注册信息安全专业人员（CISP）安全认证证书。全面负责本项目云资源服务的安全管理工作，包括但不限于制定并落实项目安全管理制度和操作规程；定期组织开展云平台安全风险评估、漏洞扫描和渗透测试，及时发现并处置安全隐患；监控云资源运行过程中的安全事件，建立应急响应机制，在发生安全事件时迅速启动预案，协调资源进行处置和溯源；对项目团队成员进行安全意识和技能培训，确保团队人员具备必要的安全防护能力；配合采购人及相关监管部门的安全检查工作，提供所需的安全资料和报告，保障项目整体安全符合国家及行业相关标准规范。</w:t>
      </w:r>
    </w:p>
    <w:p>
      <w:pPr>
        <w:pStyle w:val="32"/>
        <w:spacing w:line="440" w:lineRule="exact"/>
        <w:ind w:firstLine="480" w:firstLineChars="200"/>
        <w:rPr>
          <w:rFonts w:hint="eastAsia"/>
        </w:rPr>
      </w:pPr>
      <w:r>
        <w:rPr>
          <w:rFonts w:hint="eastAsia"/>
          <w:b w:val="0"/>
          <w:bCs/>
          <w:lang w:val="en-US" w:eastAsia="zh-CN"/>
        </w:rPr>
        <w:t>3）</w:t>
      </w:r>
      <w:r>
        <w:rPr>
          <w:rFonts w:hint="eastAsia"/>
          <w:b w:val="0"/>
          <w:bCs/>
        </w:rPr>
        <w:t>项目</w:t>
      </w:r>
      <w:r>
        <w:rPr>
          <w:rFonts w:hint="eastAsia"/>
          <w:b w:val="0"/>
          <w:bCs/>
          <w:lang w:eastAsia="zh-CN"/>
        </w:rPr>
        <w:t>团队</w:t>
      </w:r>
      <w:r>
        <w:rPr>
          <w:rFonts w:hint="eastAsia"/>
          <w:b w:val="0"/>
          <w:bCs/>
        </w:rPr>
        <w:t>其他成员应具备政务云实施服务经验，掌握网络安全、系统架构等技能，主要人员具有系统架构设计师（高级）、网络工程师（中级）、网络规划设计师（高级）资格证书，负责但不限于以下职责：提供政务云服务的日常维护、运行状态监控、处理故障、技术支持、协助部署和调试应用系统；评估、审批和实施配置变更，确保合规性和稳定性；制定数据备份策略，执行备份和恢复；收集云主机性能指标和运行数据，实时监控资源使用和应用性能；分析监控数据，生成报告，支持决策制定等。</w:t>
      </w:r>
    </w:p>
    <w:p>
      <w:pPr>
        <w:widowControl/>
        <w:spacing w:line="440" w:lineRule="exact"/>
        <w:ind w:firstLine="482" w:firstLineChars="200"/>
        <w:contextualSpacing/>
        <w:outlineLvl w:val="2"/>
        <w:rPr>
          <w:rFonts w:ascii="宋体" w:hAnsi="宋体" w:cs="宋体"/>
          <w:b/>
          <w:bCs/>
          <w:sz w:val="24"/>
        </w:rPr>
      </w:pPr>
      <w:r>
        <w:rPr>
          <w:rFonts w:hint="eastAsia" w:ascii="宋体" w:hAnsi="宋体" w:cs="宋体"/>
          <w:b/>
          <w:bCs/>
          <w:sz w:val="24"/>
        </w:rPr>
        <w:t>2.</w:t>
      </w:r>
      <w:r>
        <w:rPr>
          <w:rFonts w:hint="eastAsia" w:ascii="宋体" w:hAnsi="宋体" w:cs="宋体"/>
          <w:b/>
          <w:bCs/>
          <w:sz w:val="24"/>
          <w:lang w:val="en-US" w:eastAsia="zh-CN"/>
        </w:rPr>
        <w:t>4</w:t>
      </w:r>
      <w:r>
        <w:rPr>
          <w:rFonts w:hint="eastAsia" w:ascii="宋体" w:hAnsi="宋体" w:cs="宋体"/>
          <w:b/>
          <w:bCs/>
          <w:sz w:val="24"/>
        </w:rPr>
        <w:t>其他服务要求</w:t>
      </w:r>
    </w:p>
    <w:p>
      <w:pPr>
        <w:widowControl/>
        <w:spacing w:line="440" w:lineRule="exact"/>
        <w:ind w:firstLine="482" w:firstLineChars="200"/>
        <w:contextualSpacing/>
        <w:outlineLvl w:val="3"/>
        <w:rPr>
          <w:rFonts w:ascii="宋体" w:hAnsi="宋体" w:cs="宋体"/>
          <w:b/>
          <w:bCs/>
          <w:sz w:val="24"/>
        </w:rPr>
      </w:pPr>
      <w:r>
        <w:rPr>
          <w:rFonts w:hint="eastAsia" w:ascii="宋体" w:hAnsi="宋体" w:cs="宋体"/>
          <w:b/>
          <w:bCs/>
          <w:sz w:val="24"/>
        </w:rPr>
        <w:t>1）业务系统迁移及部署调整要求</w:t>
      </w:r>
    </w:p>
    <w:p>
      <w:pPr>
        <w:widowControl/>
        <w:spacing w:line="440" w:lineRule="exact"/>
        <w:ind w:firstLine="480" w:firstLineChars="200"/>
        <w:contextualSpacing/>
        <w:rPr>
          <w:rFonts w:ascii="宋体" w:hAnsi="宋体" w:cs="宋体"/>
          <w:sz w:val="24"/>
        </w:rPr>
      </w:pPr>
      <w:r>
        <w:rPr>
          <w:rFonts w:hint="eastAsia" w:ascii="宋体" w:hAnsi="宋体" w:cs="宋体"/>
          <w:sz w:val="24"/>
        </w:rPr>
        <w:t>由于目前业务系统属于生产系统，保障业务系统连续性是关键。如涉及跨云平台迁移，需在不中断业务的前提下，自合同生效之日起4个工作日内完成全部系统迁移。投标人需具备类似项目经验，根据业务特点制定业务连续性服务方案，配合用户完成系统迁移部署、运行和安全保障，最终保证现有业务系统可平滑迁移至中标单位云平台。具体要求如下：</w:t>
      </w:r>
    </w:p>
    <w:p>
      <w:pPr>
        <w:widowControl/>
        <w:spacing w:line="440" w:lineRule="exact"/>
        <w:ind w:firstLine="480" w:firstLineChars="200"/>
        <w:contextualSpacing/>
        <w:rPr>
          <w:rFonts w:ascii="宋体" w:hAnsi="宋体" w:cs="宋体"/>
          <w:sz w:val="24"/>
        </w:rPr>
      </w:pPr>
      <w:r>
        <w:rPr>
          <w:rFonts w:hint="eastAsia" w:ascii="宋体" w:hAnsi="宋体" w:cs="宋体"/>
          <w:sz w:val="24"/>
        </w:rPr>
        <w:t>根据采购人需求，完成应用系统的迁移部署，迁移过程中保证应用系统不中断。</w:t>
      </w:r>
    </w:p>
    <w:p>
      <w:pPr>
        <w:widowControl/>
        <w:spacing w:line="440" w:lineRule="exact"/>
        <w:ind w:firstLine="480" w:firstLineChars="200"/>
        <w:contextualSpacing/>
        <w:rPr>
          <w:rFonts w:ascii="宋体" w:hAnsi="宋体" w:cs="宋体"/>
          <w:sz w:val="24"/>
        </w:rPr>
      </w:pPr>
      <w:r>
        <w:rPr>
          <w:rFonts w:hint="eastAsia" w:ascii="宋体" w:hAnsi="宋体" w:cs="宋体"/>
          <w:sz w:val="24"/>
        </w:rPr>
        <w:t>自合同生效之日起4个工作日内，根据用户需求完成系统迁移工作，并且不能改变和影响原有系统的功能、技术状态以及用户的使用习惯。未按时完成系统迁移工作的，采购人有权解除合同并有权要求投标人按合同首付款双倍支付违约金。</w:t>
      </w:r>
    </w:p>
    <w:p>
      <w:pPr>
        <w:widowControl/>
        <w:spacing w:line="440" w:lineRule="exact"/>
        <w:ind w:firstLine="480" w:firstLineChars="200"/>
        <w:contextualSpacing/>
        <w:rPr>
          <w:rFonts w:ascii="宋体" w:hAnsi="宋体" w:cs="宋体"/>
          <w:sz w:val="24"/>
        </w:rPr>
      </w:pPr>
      <w:r>
        <w:rPr>
          <w:rFonts w:hint="eastAsia" w:ascii="宋体" w:hAnsi="宋体" w:cs="宋体"/>
          <w:sz w:val="24"/>
        </w:rPr>
        <w:t>针对已经运行在政务云平台上的应用系统，为确保迁移过程中数据不丢失、系统业务不中断，本次中标人负责与原政务云平台的服务商进行主动对接，系统迁移涉及的所有费用（包括但不限于中标人迁移测试阶段的云资源费用，系统开发商对业务系统的部署、调试费用，原服务商配合迁出系统的服务费用等）由本次中标人负责解决。</w:t>
      </w:r>
    </w:p>
    <w:p>
      <w:pPr>
        <w:widowControl/>
        <w:spacing w:line="440" w:lineRule="exact"/>
        <w:ind w:firstLine="482" w:firstLineChars="200"/>
        <w:contextualSpacing/>
        <w:outlineLvl w:val="3"/>
        <w:rPr>
          <w:rFonts w:ascii="宋体" w:hAnsi="宋体" w:cs="宋体"/>
          <w:b/>
          <w:bCs/>
          <w:sz w:val="24"/>
        </w:rPr>
      </w:pPr>
      <w:r>
        <w:rPr>
          <w:rFonts w:hint="eastAsia" w:ascii="宋体" w:hAnsi="宋体" w:cs="宋体"/>
          <w:b/>
          <w:bCs/>
          <w:sz w:val="24"/>
        </w:rPr>
        <w:t>2）运维及安全保障服务要求</w:t>
      </w:r>
    </w:p>
    <w:p>
      <w:pPr>
        <w:widowControl/>
        <w:spacing w:line="440" w:lineRule="exact"/>
        <w:ind w:firstLine="480" w:firstLineChars="200"/>
        <w:contextualSpacing/>
        <w:rPr>
          <w:rFonts w:ascii="宋体" w:hAnsi="宋体" w:cs="宋体"/>
          <w:sz w:val="24"/>
        </w:rPr>
      </w:pPr>
      <w:r>
        <w:rPr>
          <w:rFonts w:hint="eastAsia" w:ascii="宋体" w:hAnsi="宋体" w:cs="宋体"/>
          <w:sz w:val="24"/>
        </w:rPr>
        <w:t>（1）服务规范</w:t>
      </w:r>
    </w:p>
    <w:p>
      <w:pPr>
        <w:widowControl/>
        <w:spacing w:line="440" w:lineRule="exact"/>
        <w:ind w:firstLine="480" w:firstLineChars="200"/>
        <w:contextualSpacing/>
        <w:rPr>
          <w:rFonts w:ascii="宋体" w:hAnsi="宋体" w:cs="宋体"/>
          <w:sz w:val="24"/>
        </w:rPr>
      </w:pPr>
      <w:r>
        <w:rPr>
          <w:rFonts w:hint="eastAsia" w:ascii="宋体" w:hAnsi="宋体" w:cs="宋体"/>
          <w:sz w:val="24"/>
        </w:rPr>
        <w:t>投标人须严格按照《北京市市级政务云管理办法》以及采购人制定的管理办法及流程等相关制度，开展标准化运维工作。</w:t>
      </w:r>
    </w:p>
    <w:p>
      <w:pPr>
        <w:widowControl/>
        <w:spacing w:line="440" w:lineRule="exact"/>
        <w:ind w:firstLine="480" w:firstLineChars="200"/>
        <w:contextualSpacing/>
        <w:rPr>
          <w:rFonts w:ascii="宋体" w:hAnsi="宋体" w:cs="宋体"/>
          <w:sz w:val="24"/>
        </w:rPr>
      </w:pPr>
      <w:r>
        <w:rPr>
          <w:rFonts w:hint="eastAsia" w:ascii="宋体" w:hAnsi="宋体" w:cs="宋体"/>
          <w:sz w:val="24"/>
        </w:rPr>
        <w:t>（2）服务方式</w:t>
      </w:r>
    </w:p>
    <w:p>
      <w:pPr>
        <w:widowControl/>
        <w:spacing w:line="440" w:lineRule="exact"/>
        <w:ind w:firstLine="480" w:firstLineChars="200"/>
        <w:contextualSpacing/>
        <w:rPr>
          <w:rFonts w:ascii="宋体" w:hAnsi="宋体" w:cs="宋体"/>
          <w:sz w:val="24"/>
        </w:rPr>
      </w:pPr>
      <w:r>
        <w:rPr>
          <w:rFonts w:hint="eastAsia" w:ascii="宋体" w:hAnsi="宋体" w:cs="宋体"/>
          <w:sz w:val="24"/>
        </w:rPr>
        <w:t>投标人需利用监控系统或人工对机房环境、硬件设备及应用系统的运行情况进行7×24小时的不间断巡检监控，及时发现安全隐患，通知相关人员及时处理，并形成监控报告。</w:t>
      </w:r>
    </w:p>
    <w:p>
      <w:pPr>
        <w:widowControl/>
        <w:spacing w:line="440" w:lineRule="exact"/>
        <w:ind w:firstLine="480" w:firstLineChars="200"/>
        <w:contextualSpacing/>
        <w:rPr>
          <w:rFonts w:ascii="宋体" w:hAnsi="宋体" w:cs="宋体"/>
          <w:sz w:val="24"/>
        </w:rPr>
      </w:pPr>
      <w:r>
        <w:rPr>
          <w:rFonts w:hint="eastAsia" w:ascii="宋体" w:hAnsi="宋体" w:cs="宋体"/>
          <w:sz w:val="24"/>
        </w:rPr>
        <w:t>投标人负责设立技术支持热线，并安排专人值守，为运维工作提供7×24小时热线支持服务。投标人针对采购人要求的云平台运维服务相关内容，需指定专业技术能力较强的工程师，根据采购人要求配合开展相关维护服务。</w:t>
      </w:r>
    </w:p>
    <w:p>
      <w:pPr>
        <w:widowControl/>
        <w:spacing w:line="440" w:lineRule="exact"/>
        <w:ind w:firstLine="480" w:firstLineChars="200"/>
        <w:contextualSpacing/>
        <w:rPr>
          <w:rFonts w:ascii="宋体" w:hAnsi="宋体" w:cs="宋体"/>
          <w:sz w:val="24"/>
        </w:rPr>
      </w:pPr>
      <w:r>
        <w:rPr>
          <w:rFonts w:hint="eastAsia" w:ascii="宋体" w:hAnsi="宋体" w:cs="宋体"/>
          <w:sz w:val="24"/>
        </w:rPr>
        <w:t>投标人须每月提供政务云服务报告，对当月政务云服务情况进行总结，包括各类云资源调整、使用及服务情况，以及日常维护、应急值守、故障处置等情况。</w:t>
      </w:r>
    </w:p>
    <w:p>
      <w:pPr>
        <w:widowControl/>
        <w:spacing w:line="440" w:lineRule="exact"/>
        <w:ind w:firstLine="480" w:firstLineChars="200"/>
        <w:contextualSpacing/>
        <w:rPr>
          <w:rFonts w:ascii="宋体" w:hAnsi="宋体" w:cs="宋体"/>
          <w:sz w:val="24"/>
        </w:rPr>
      </w:pPr>
      <w:r>
        <w:rPr>
          <w:rFonts w:hint="eastAsia" w:ascii="宋体" w:hAnsi="宋体" w:cs="宋体"/>
          <w:sz w:val="24"/>
        </w:rPr>
        <w:t>（3）响应的及时性</w:t>
      </w:r>
    </w:p>
    <w:p>
      <w:pPr>
        <w:widowControl/>
        <w:spacing w:line="440" w:lineRule="exact"/>
        <w:ind w:firstLine="480" w:firstLineChars="200"/>
        <w:contextualSpacing/>
        <w:rPr>
          <w:rFonts w:ascii="宋体" w:hAnsi="宋体" w:cs="宋体"/>
          <w:sz w:val="24"/>
        </w:rPr>
      </w:pPr>
      <w:r>
        <w:rPr>
          <w:rFonts w:hint="eastAsia" w:ascii="宋体" w:hAnsi="宋体" w:cs="宋体"/>
          <w:sz w:val="24"/>
        </w:rPr>
        <w:t>投标人应提供高效的系统维护服务，有效防范系统风险，保证7×24小时电话畅通，发生故障应在15分钟内响应；能够在系统发生除宕机外的其他故障问题时，能够协调人力资源在1小时内到达运维现场提供服务。系统发生宕机问题时，投标人应在30分钟内响应，在4个小时之内使系统恢复正常。具备故障快速定位和恢复能力，故障定位排除时限不超过 30 分钟。故障处理完毕后提供相关系统宕机报告。</w:t>
      </w:r>
    </w:p>
    <w:p>
      <w:pPr>
        <w:widowControl/>
        <w:spacing w:line="440" w:lineRule="exact"/>
        <w:ind w:firstLine="480" w:firstLineChars="200"/>
        <w:contextualSpacing/>
        <w:rPr>
          <w:rFonts w:ascii="宋体" w:hAnsi="宋体" w:cs="宋体"/>
          <w:sz w:val="24"/>
        </w:rPr>
      </w:pPr>
      <w:r>
        <w:rPr>
          <w:rFonts w:hint="eastAsia" w:ascii="宋体" w:hAnsi="宋体" w:cs="宋体"/>
          <w:sz w:val="24"/>
        </w:rPr>
        <w:t>（4）重点</w:t>
      </w:r>
      <w:r>
        <w:rPr>
          <w:rFonts w:hint="eastAsia" w:ascii="宋体" w:hAnsi="宋体" w:cs="宋体"/>
          <w:sz w:val="24"/>
          <w:lang w:eastAsia="zh-CN"/>
        </w:rPr>
        <w:t>时期</w:t>
      </w:r>
      <w:r>
        <w:rPr>
          <w:rFonts w:hint="eastAsia" w:ascii="宋体" w:hAnsi="宋体" w:cs="宋体"/>
          <w:sz w:val="24"/>
        </w:rPr>
        <w:t>保障要求</w:t>
      </w:r>
    </w:p>
    <w:p>
      <w:pPr>
        <w:widowControl/>
        <w:spacing w:line="440" w:lineRule="exact"/>
        <w:ind w:firstLine="480" w:firstLineChars="200"/>
        <w:contextualSpacing/>
        <w:rPr>
          <w:rFonts w:ascii="宋体" w:hAnsi="宋体" w:cs="宋体"/>
          <w:sz w:val="24"/>
        </w:rPr>
      </w:pPr>
      <w:r>
        <w:rPr>
          <w:rFonts w:hint="eastAsia" w:ascii="宋体" w:hAnsi="宋体" w:cs="宋体"/>
          <w:sz w:val="24"/>
        </w:rPr>
        <w:t>为保障业务高峰期内系统平稳运行，缓解系统高峰期内因业务发生量增大而带来系统压力风险，要求投标人根据业务周期性特点，提供满足三级等保的运维值守服务，包含所有云主机的运维维保和远程值守以及定期的巡检服务，包含重要时间节点如春节、两会、国庆等重大时间点的重保服务，在值守服务基础上增加每天10次人工巡检查看网站访问情况、应急处置、安全事件验证、分析、事件报告等内容，加大运维保障力度，保证在业务高峰期内系统平稳运行。</w:t>
      </w:r>
    </w:p>
    <w:p>
      <w:pPr>
        <w:widowControl/>
        <w:spacing w:line="440" w:lineRule="exact"/>
        <w:ind w:firstLine="480" w:firstLineChars="200"/>
        <w:contextualSpacing/>
        <w:rPr>
          <w:rFonts w:ascii="宋体" w:hAnsi="宋体" w:cs="宋体"/>
          <w:sz w:val="24"/>
        </w:rPr>
      </w:pPr>
      <w:r>
        <w:rPr>
          <w:rFonts w:hint="eastAsia" w:ascii="宋体" w:hAnsi="宋体" w:cs="宋体"/>
          <w:sz w:val="24"/>
        </w:rPr>
        <w:t>（5）安全及保密要求</w:t>
      </w:r>
    </w:p>
    <w:p>
      <w:pPr>
        <w:widowControl/>
        <w:spacing w:line="440" w:lineRule="exact"/>
        <w:ind w:firstLine="480" w:firstLineChars="200"/>
        <w:contextualSpacing/>
        <w:rPr>
          <w:rFonts w:ascii="宋体" w:hAnsi="宋体" w:cs="宋体"/>
          <w:sz w:val="24"/>
        </w:rPr>
      </w:pPr>
      <w:r>
        <w:rPr>
          <w:rFonts w:hint="eastAsia" w:ascii="宋体" w:hAnsi="宋体" w:cs="宋体"/>
          <w:sz w:val="24"/>
        </w:rPr>
        <w:t>投标人须严格遵守采购人的相关信息安全规定，本项目涉及人员须与投标人签订保密协议，项目中标后本项目服务人员须与我局签订针对本项目的保密协议，投标人应选派具有良好职业道德的人员参与和从事本项目工作，不得利用系统维护服务时的便利对采购人数据及其他信息擅自修改或透漏，投标人须承担相关保密责任。</w:t>
      </w:r>
    </w:p>
    <w:p>
      <w:pPr>
        <w:widowControl/>
        <w:spacing w:line="440" w:lineRule="exact"/>
        <w:ind w:firstLine="480" w:firstLineChars="200"/>
        <w:contextualSpacing/>
        <w:rPr>
          <w:rFonts w:ascii="宋体" w:hAnsi="宋体" w:cs="宋体"/>
          <w:sz w:val="24"/>
        </w:rPr>
      </w:pPr>
      <w:r>
        <w:rPr>
          <w:rFonts w:hint="eastAsia" w:ascii="宋体" w:hAnsi="宋体" w:cs="宋体"/>
          <w:sz w:val="24"/>
        </w:rPr>
        <w:t>投标人应保证各业务应用系统的支撑环境，包括但不限于服务器、网络、存储以及相关物理环境，能满足安全三级等保要求，并积极配合采购人根据各业务系统具体等保需求，开展相应等保评估、检查、整改等工作。投标人管辖范围内的硬件、软件及支撑环境资源，至少达到业务系统的最高安全等级要求。</w:t>
      </w:r>
    </w:p>
    <w:p>
      <w:pPr>
        <w:widowControl/>
        <w:spacing w:line="440" w:lineRule="exact"/>
        <w:ind w:firstLine="480" w:firstLineChars="200"/>
        <w:contextualSpacing/>
        <w:rPr>
          <w:rFonts w:ascii="宋体" w:hAnsi="宋体" w:cs="宋体"/>
          <w:sz w:val="24"/>
        </w:rPr>
      </w:pPr>
      <w:r>
        <w:rPr>
          <w:rFonts w:hint="eastAsia" w:ascii="宋体" w:hAnsi="宋体" w:cs="宋体"/>
          <w:sz w:val="24"/>
        </w:rPr>
        <w:t>（6）扩展要求</w:t>
      </w:r>
    </w:p>
    <w:p>
      <w:pPr>
        <w:widowControl/>
        <w:spacing w:line="440" w:lineRule="exact"/>
        <w:ind w:firstLine="480" w:firstLineChars="200"/>
        <w:contextualSpacing/>
        <w:rPr>
          <w:rFonts w:ascii="宋体" w:hAnsi="宋体" w:cs="宋体"/>
          <w:sz w:val="24"/>
        </w:rPr>
      </w:pPr>
      <w:r>
        <w:rPr>
          <w:rFonts w:hint="eastAsia" w:ascii="宋体" w:hAnsi="宋体" w:cs="宋体"/>
          <w:sz w:val="24"/>
        </w:rPr>
        <w:t>投标人应按照各系统的特点灵活调整计算、存储和带宽等各类资源供给，并能够根据业务数据的变化及时扩容或缩减存储空间，确保系统高峰时段或特殊时期的访问需求。对于因需求变化在合同总额5%比例内的，免费提供服务。</w:t>
      </w:r>
    </w:p>
    <w:p>
      <w:pPr>
        <w:widowControl/>
        <w:spacing w:line="440" w:lineRule="exact"/>
        <w:ind w:firstLine="482" w:firstLineChars="200"/>
        <w:contextualSpacing/>
        <w:outlineLvl w:val="3"/>
        <w:rPr>
          <w:rFonts w:ascii="宋体" w:hAnsi="宋体" w:cs="宋体"/>
          <w:b/>
          <w:bCs/>
          <w:sz w:val="24"/>
        </w:rPr>
      </w:pPr>
      <w:r>
        <w:rPr>
          <w:rFonts w:hint="eastAsia" w:ascii="宋体" w:hAnsi="宋体" w:cs="宋体"/>
          <w:b/>
          <w:bCs/>
          <w:sz w:val="24"/>
        </w:rPr>
        <w:t>3）售后服务及培训要求</w:t>
      </w:r>
    </w:p>
    <w:p>
      <w:pPr>
        <w:pStyle w:val="144"/>
        <w:spacing w:line="440" w:lineRule="exact"/>
        <w:ind w:firstLine="480" w:firstLineChars="200"/>
        <w:rPr>
          <w:rFonts w:ascii="宋体" w:hAnsi="宋体" w:cs="宋体"/>
          <w:color w:val="auto"/>
          <w:kern w:val="2"/>
        </w:rPr>
      </w:pPr>
      <w:r>
        <w:rPr>
          <w:rFonts w:hint="eastAsia" w:ascii="宋体" w:hAnsi="宋体" w:cs="宋体"/>
          <w:color w:val="auto"/>
          <w:kern w:val="2"/>
        </w:rPr>
        <w:t>（</w:t>
      </w:r>
      <w:r>
        <w:rPr>
          <w:rFonts w:hint="eastAsia" w:ascii="宋体" w:hAnsi="宋体" w:cs="宋体"/>
          <w:color w:val="auto"/>
          <w:kern w:val="2"/>
          <w:lang w:val="en"/>
        </w:rPr>
        <w:t>1</w:t>
      </w:r>
      <w:r>
        <w:rPr>
          <w:rFonts w:hint="eastAsia" w:ascii="宋体" w:hAnsi="宋体" w:cs="宋体"/>
          <w:color w:val="auto"/>
          <w:kern w:val="2"/>
        </w:rPr>
        <w:t>）投标人提供</w:t>
      </w:r>
      <w:r>
        <w:rPr>
          <w:rFonts w:hint="eastAsia" w:ascii="宋体" w:hAnsi="宋体" w:cs="宋体"/>
          <w:color w:val="auto"/>
          <w:kern w:val="2"/>
          <w:sz w:val="21"/>
          <w:szCs w:val="21"/>
        </w:rPr>
        <w:t>7×24</w:t>
      </w:r>
      <w:r>
        <w:rPr>
          <w:rFonts w:hint="eastAsia" w:ascii="宋体" w:hAnsi="宋体" w:cs="宋体"/>
          <w:color w:val="auto"/>
          <w:kern w:val="2"/>
        </w:rPr>
        <w:t>技术支持，为采购人提供咨询服务。保证系统</w:t>
      </w:r>
      <w:r>
        <w:rPr>
          <w:rFonts w:hint="eastAsia" w:ascii="宋体" w:hAnsi="宋体" w:cs="宋体"/>
          <w:color w:val="auto"/>
          <w:kern w:val="2"/>
          <w:sz w:val="21"/>
          <w:szCs w:val="21"/>
        </w:rPr>
        <w:t>7×24</w:t>
      </w:r>
      <w:r>
        <w:rPr>
          <w:rFonts w:hint="eastAsia" w:ascii="宋体" w:hAnsi="宋体" w:cs="宋体"/>
          <w:color w:val="auto"/>
          <w:kern w:val="2"/>
        </w:rPr>
        <w:t>小时不间断稳定运行，系统故障时间不能超过</w:t>
      </w:r>
      <w:r>
        <w:rPr>
          <w:rFonts w:hint="eastAsia" w:ascii="宋体" w:hAnsi="宋体" w:cs="宋体"/>
          <w:color w:val="auto"/>
          <w:kern w:val="2"/>
          <w:lang w:val="en"/>
        </w:rPr>
        <w:t>4</w:t>
      </w:r>
      <w:r>
        <w:rPr>
          <w:rFonts w:hint="eastAsia" w:ascii="宋体" w:hAnsi="宋体" w:cs="宋体"/>
          <w:color w:val="auto"/>
          <w:kern w:val="2"/>
        </w:rPr>
        <w:t>小时（经上级领导及直属单位或主管部门批准的系统停机维护时间除外）。</w:t>
      </w:r>
    </w:p>
    <w:p>
      <w:pPr>
        <w:pStyle w:val="144"/>
        <w:spacing w:line="440" w:lineRule="exact"/>
        <w:ind w:firstLine="480" w:firstLineChars="200"/>
        <w:rPr>
          <w:rFonts w:ascii="宋体" w:hAnsi="宋体" w:cs="宋体"/>
          <w:color w:val="auto"/>
          <w:kern w:val="2"/>
        </w:rPr>
      </w:pPr>
      <w:r>
        <w:rPr>
          <w:rFonts w:hint="eastAsia" w:ascii="宋体" w:hAnsi="宋体" w:cs="宋体"/>
          <w:color w:val="auto"/>
          <w:kern w:val="2"/>
        </w:rPr>
        <w:t>（</w:t>
      </w:r>
      <w:r>
        <w:rPr>
          <w:rFonts w:ascii="宋体" w:hAnsi="宋体" w:cs="宋体"/>
          <w:color w:val="auto"/>
          <w:kern w:val="2"/>
          <w:lang w:val="en"/>
        </w:rPr>
        <w:t>2</w:t>
      </w:r>
      <w:r>
        <w:rPr>
          <w:rFonts w:hint="eastAsia" w:ascii="宋体" w:hAnsi="宋体" w:cs="宋体"/>
          <w:color w:val="auto"/>
          <w:kern w:val="2"/>
        </w:rPr>
        <w:t>）投标人应提供云服务操作手册，并为采购人提供必要的使用培训。</w:t>
      </w:r>
    </w:p>
    <w:p>
      <w:pPr>
        <w:pStyle w:val="144"/>
        <w:spacing w:line="440" w:lineRule="exact"/>
        <w:ind w:firstLine="482" w:firstLineChars="200"/>
        <w:outlineLvl w:val="3"/>
        <w:rPr>
          <w:rFonts w:ascii="宋体" w:hAnsi="宋体" w:cs="宋体"/>
          <w:b/>
          <w:bCs/>
          <w:color w:val="auto"/>
          <w:kern w:val="2"/>
        </w:rPr>
      </w:pPr>
      <w:r>
        <w:rPr>
          <w:rFonts w:hint="eastAsia" w:ascii="宋体" w:hAnsi="宋体" w:cs="宋体"/>
          <w:b/>
          <w:bCs/>
          <w:color w:val="auto"/>
          <w:kern w:val="2"/>
        </w:rPr>
        <w:t>4）技术承诺</w:t>
      </w:r>
    </w:p>
    <w:p>
      <w:pPr>
        <w:pStyle w:val="145"/>
        <w:tabs>
          <w:tab w:val="left" w:pos="1162"/>
        </w:tabs>
        <w:spacing w:line="440" w:lineRule="exact"/>
        <w:ind w:left="480" w:firstLine="480"/>
        <w:rPr>
          <w:rFonts w:ascii="宋体" w:hAnsi="宋体" w:cs="宋体"/>
          <w:sz w:val="24"/>
          <w:szCs w:val="24"/>
        </w:rPr>
      </w:pPr>
      <w:r>
        <w:rPr>
          <w:rFonts w:hint="eastAsia" w:ascii="宋体" w:hAnsi="宋体" w:cs="宋体"/>
          <w:sz w:val="24"/>
          <w:szCs w:val="24"/>
        </w:rPr>
        <w:t>（本部分为</w:t>
      </w:r>
      <w:r>
        <w:rPr>
          <w:rFonts w:ascii="Segoe UI Symbol" w:hAnsi="Segoe UI Symbol" w:cs="Segoe UI Symbol"/>
          <w:color w:val="000000"/>
          <w:kern w:val="0"/>
          <w:sz w:val="24"/>
        </w:rPr>
        <w:t>★</w:t>
      </w:r>
      <w:r>
        <w:rPr>
          <w:rFonts w:hint="eastAsia" w:ascii="宋体" w:hAnsi="宋体" w:cs="宋体"/>
          <w:sz w:val="24"/>
          <w:szCs w:val="24"/>
        </w:rPr>
        <w:t>条款，投标人提供包含以下内容的承诺函加盖投标人公章</w:t>
      </w:r>
      <w:r>
        <w:rPr>
          <w:rFonts w:hint="eastAsia" w:ascii="宋体" w:hAnsi="宋体" w:cs="宋体"/>
          <w:sz w:val="24"/>
          <w:szCs w:val="24"/>
          <w:lang w:eastAsia="zh-CN"/>
        </w:rPr>
        <w:t>，</w:t>
      </w:r>
      <w:r>
        <w:rPr>
          <w:rFonts w:hint="eastAsia" w:ascii="宋体" w:hAnsi="宋体" w:cs="宋体"/>
          <w:sz w:val="24"/>
          <w:szCs w:val="24"/>
        </w:rPr>
        <w:t>未提供将被视为无效投标）</w:t>
      </w:r>
    </w:p>
    <w:p>
      <w:pPr>
        <w:pStyle w:val="145"/>
        <w:tabs>
          <w:tab w:val="left" w:pos="1162"/>
        </w:tabs>
        <w:spacing w:line="440" w:lineRule="exact"/>
        <w:ind w:firstLine="480"/>
        <w:rPr>
          <w:rFonts w:ascii="宋体" w:hAnsi="宋体" w:cs="宋体"/>
          <w:sz w:val="24"/>
          <w:szCs w:val="24"/>
        </w:rPr>
      </w:pPr>
      <w:r>
        <w:rPr>
          <w:rFonts w:hint="eastAsia" w:ascii="宋体" w:hAnsi="宋体" w:cs="宋体"/>
          <w:sz w:val="24"/>
          <w:szCs w:val="24"/>
        </w:rPr>
        <w:t>（1）采购人的业务系统大量依托于北京市政务外网环境建设，为确保相关业务正常运行，投标人须承诺在合同签订后5个工作日内具备北京市政务外网环境。</w:t>
      </w:r>
    </w:p>
    <w:p>
      <w:pPr>
        <w:pStyle w:val="145"/>
        <w:tabs>
          <w:tab w:val="left" w:pos="1162"/>
        </w:tabs>
        <w:spacing w:line="440" w:lineRule="exact"/>
        <w:ind w:firstLine="480"/>
        <w:rPr>
          <w:rFonts w:ascii="宋体" w:hAnsi="宋体" w:cs="宋体"/>
          <w:sz w:val="24"/>
          <w:szCs w:val="24"/>
        </w:rPr>
      </w:pPr>
      <w:r>
        <w:rPr>
          <w:rFonts w:hint="eastAsia" w:ascii="宋体" w:hAnsi="宋体" w:cs="宋体"/>
          <w:sz w:val="24"/>
          <w:szCs w:val="24"/>
        </w:rPr>
        <w:t>（2）投标人中标后进行系统迁移所产生的系统迁移费由投标人承担。</w:t>
      </w:r>
    </w:p>
    <w:p>
      <w:pPr>
        <w:pStyle w:val="145"/>
        <w:tabs>
          <w:tab w:val="left" w:pos="1162"/>
        </w:tabs>
        <w:spacing w:line="440" w:lineRule="exact"/>
        <w:ind w:firstLine="480"/>
        <w:rPr>
          <w:rFonts w:ascii="宋体" w:hAnsi="宋体" w:cs="宋体"/>
          <w:sz w:val="24"/>
          <w:szCs w:val="24"/>
        </w:rPr>
      </w:pPr>
      <w:r>
        <w:rPr>
          <w:rFonts w:hint="eastAsia" w:ascii="宋体" w:hAnsi="宋体" w:cs="宋体"/>
          <w:sz w:val="24"/>
          <w:szCs w:val="24"/>
        </w:rPr>
        <w:t>（3）中标人提供的政务云服务须按公安部等保三级的标准建设，并承诺协助采购人通过等保三级的测评和备案。</w:t>
      </w:r>
    </w:p>
    <w:p>
      <w:pPr>
        <w:spacing w:line="440" w:lineRule="exact"/>
        <w:ind w:firstLine="482" w:firstLineChars="200"/>
        <w:contextualSpacing/>
        <w:outlineLvl w:val="1"/>
        <w:rPr>
          <w:rFonts w:ascii="宋体" w:hAnsi="宋体" w:cs="宋体"/>
          <w:b/>
          <w:bCs/>
          <w:i/>
          <w:iCs/>
          <w:sz w:val="24"/>
        </w:rPr>
      </w:pPr>
      <w:r>
        <w:rPr>
          <w:rFonts w:hint="eastAsia" w:ascii="宋体" w:hAnsi="宋体" w:cs="宋体"/>
          <w:b/>
          <w:bCs/>
          <w:sz w:val="24"/>
        </w:rPr>
        <w:t>3. 验收标准</w:t>
      </w:r>
    </w:p>
    <w:p>
      <w:pPr>
        <w:spacing w:line="440" w:lineRule="exact"/>
        <w:ind w:firstLine="482" w:firstLineChars="200"/>
        <w:contextualSpacing/>
        <w:outlineLvl w:val="2"/>
        <w:rPr>
          <w:rFonts w:ascii="宋体" w:hAnsi="宋体" w:cs="宋体"/>
          <w:b/>
          <w:sz w:val="24"/>
        </w:rPr>
      </w:pPr>
      <w:r>
        <w:rPr>
          <w:rFonts w:hint="eastAsia" w:ascii="宋体" w:hAnsi="宋体" w:cs="宋体"/>
          <w:b/>
          <w:sz w:val="24"/>
        </w:rPr>
        <w:t>1）项目绩效指标</w:t>
      </w:r>
    </w:p>
    <w:p>
      <w:pPr>
        <w:spacing w:line="440" w:lineRule="exact"/>
        <w:ind w:firstLine="480" w:firstLineChars="200"/>
        <w:contextualSpacing/>
        <w:rPr>
          <w:rFonts w:ascii="宋体" w:hAnsi="宋体" w:cs="宋体"/>
          <w:bCs/>
          <w:sz w:val="24"/>
        </w:rPr>
      </w:pPr>
      <w:r>
        <w:rPr>
          <w:rFonts w:hint="eastAsia" w:ascii="宋体" w:hAnsi="宋体" w:cs="宋体"/>
          <w:bCs/>
          <w:sz w:val="24"/>
        </w:rPr>
        <w:t>（1）云服务可用性≥99.99%；</w:t>
      </w:r>
    </w:p>
    <w:p>
      <w:pPr>
        <w:spacing w:line="440" w:lineRule="exact"/>
        <w:ind w:firstLine="480" w:firstLineChars="200"/>
        <w:contextualSpacing/>
        <w:rPr>
          <w:rFonts w:ascii="宋体" w:hAnsi="宋体" w:cs="宋体"/>
          <w:bCs/>
          <w:sz w:val="24"/>
        </w:rPr>
      </w:pPr>
      <w:r>
        <w:rPr>
          <w:rFonts w:hint="eastAsia" w:ascii="宋体" w:hAnsi="宋体" w:cs="宋体"/>
          <w:bCs/>
          <w:sz w:val="24"/>
        </w:rPr>
        <w:t>（2）政务云数据可靠性≥99.99</w:t>
      </w:r>
      <w:r>
        <w:rPr>
          <w:rFonts w:hint="eastAsia" w:ascii="宋体" w:hAnsi="宋体" w:cs="宋体"/>
          <w:bCs/>
          <w:sz w:val="24"/>
          <w:lang w:val="en-US" w:eastAsia="zh-CN"/>
        </w:rPr>
        <w:t>99</w:t>
      </w:r>
      <w:r>
        <w:rPr>
          <w:rFonts w:hint="eastAsia" w:ascii="宋体" w:hAnsi="宋体" w:cs="宋体"/>
          <w:bCs/>
          <w:sz w:val="24"/>
        </w:rPr>
        <w:t>%；</w:t>
      </w:r>
    </w:p>
    <w:p>
      <w:pPr>
        <w:spacing w:line="440" w:lineRule="exact"/>
        <w:ind w:firstLine="480" w:firstLineChars="200"/>
        <w:contextualSpacing/>
        <w:rPr>
          <w:rFonts w:hint="eastAsia" w:ascii="宋体" w:hAnsi="宋体" w:cs="宋体"/>
          <w:bCs/>
          <w:sz w:val="24"/>
        </w:rPr>
      </w:pPr>
      <w:r>
        <w:rPr>
          <w:rFonts w:hint="eastAsia" w:ascii="宋体" w:hAnsi="宋体" w:cs="宋体"/>
          <w:bCs/>
          <w:sz w:val="24"/>
        </w:rPr>
        <w:t>（3）故障响应率100%；</w:t>
      </w:r>
    </w:p>
    <w:p>
      <w:pPr>
        <w:spacing w:line="440" w:lineRule="exact"/>
        <w:ind w:firstLine="480" w:firstLineChars="200"/>
        <w:contextualSpacing/>
        <w:rPr>
          <w:rFonts w:ascii="宋体" w:hAnsi="宋体" w:cs="宋体"/>
          <w:bCs/>
          <w:sz w:val="24"/>
        </w:rPr>
      </w:pPr>
      <w:r>
        <w:rPr>
          <w:rFonts w:hint="eastAsia" w:ascii="宋体" w:hAnsi="宋体" w:cs="宋体"/>
          <w:bCs/>
          <w:sz w:val="24"/>
        </w:rPr>
        <w:t>（4）政务云服务系统运维用户满意度≥95%。</w:t>
      </w:r>
    </w:p>
    <w:p>
      <w:pPr>
        <w:spacing w:line="440" w:lineRule="exact"/>
        <w:ind w:firstLine="482" w:firstLineChars="200"/>
        <w:contextualSpacing/>
        <w:outlineLvl w:val="2"/>
        <w:rPr>
          <w:rFonts w:ascii="宋体" w:hAnsi="宋体" w:cs="宋体"/>
          <w:b/>
          <w:sz w:val="24"/>
        </w:rPr>
      </w:pPr>
      <w:r>
        <w:rPr>
          <w:rFonts w:hint="eastAsia" w:ascii="宋体" w:hAnsi="宋体" w:cs="宋体"/>
          <w:b/>
          <w:sz w:val="24"/>
        </w:rPr>
        <w:t>2）项目成果物列表</w:t>
      </w:r>
    </w:p>
    <w:p>
      <w:pPr>
        <w:spacing w:line="440" w:lineRule="exact"/>
        <w:ind w:firstLine="480" w:firstLineChars="200"/>
        <w:contextualSpacing/>
        <w:rPr>
          <w:rFonts w:ascii="宋体" w:hAnsi="宋体" w:cs="宋体"/>
          <w:bCs/>
          <w:sz w:val="24"/>
        </w:rPr>
      </w:pPr>
      <w:r>
        <w:rPr>
          <w:rFonts w:hint="eastAsia" w:ascii="宋体" w:hAnsi="宋体" w:cs="宋体"/>
          <w:bCs/>
          <w:sz w:val="24"/>
        </w:rPr>
        <w:t>中标人应按照采购人的要求按时提供成果物文档，包括但不限于：</w:t>
      </w:r>
    </w:p>
    <w:p>
      <w:pPr>
        <w:spacing w:line="440" w:lineRule="exact"/>
        <w:ind w:firstLine="480" w:firstLineChars="200"/>
        <w:contextualSpacing/>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1</w:t>
      </w:r>
      <w:r>
        <w:rPr>
          <w:rFonts w:hint="eastAsia" w:ascii="宋体" w:hAnsi="宋体" w:cs="宋体"/>
          <w:bCs/>
          <w:sz w:val="24"/>
        </w:rPr>
        <w:t>）政务云服务月报；</w:t>
      </w:r>
    </w:p>
    <w:p>
      <w:pPr>
        <w:spacing w:line="440" w:lineRule="exact"/>
        <w:ind w:firstLine="480" w:firstLineChars="200"/>
        <w:contextualSpacing/>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2</w:t>
      </w:r>
      <w:r>
        <w:rPr>
          <w:rFonts w:hint="eastAsia" w:ascii="宋体" w:hAnsi="宋体" w:cs="宋体"/>
          <w:bCs/>
          <w:sz w:val="24"/>
        </w:rPr>
        <w:t>）故障处置报告；</w:t>
      </w:r>
    </w:p>
    <w:p>
      <w:pPr>
        <w:spacing w:line="440" w:lineRule="exact"/>
        <w:ind w:firstLine="480" w:firstLineChars="200"/>
        <w:contextualSpacing/>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3</w:t>
      </w:r>
      <w:r>
        <w:rPr>
          <w:rFonts w:hint="eastAsia" w:ascii="宋体" w:hAnsi="宋体" w:cs="宋体"/>
          <w:bCs/>
          <w:sz w:val="24"/>
        </w:rPr>
        <w:t>）政务云服务阶段性总结报告（半年、年报）；</w:t>
      </w:r>
    </w:p>
    <w:p>
      <w:pPr>
        <w:spacing w:line="440" w:lineRule="exact"/>
        <w:ind w:firstLine="480" w:firstLineChars="200"/>
        <w:contextualSpacing/>
        <w:rPr>
          <w:rFonts w:ascii="宋体" w:hAnsi="宋体" w:cs="宋体"/>
          <w:bCs/>
          <w:sz w:val="24"/>
        </w:rPr>
      </w:pPr>
      <w:r>
        <w:rPr>
          <w:rFonts w:hint="eastAsia" w:ascii="宋体" w:hAnsi="宋体" w:cs="宋体"/>
          <w:bCs/>
          <w:sz w:val="24"/>
        </w:rPr>
        <w:t>（</w:t>
      </w:r>
      <w:r>
        <w:rPr>
          <w:rFonts w:hint="eastAsia" w:ascii="宋体" w:hAnsi="宋体" w:cs="宋体"/>
          <w:bCs/>
          <w:sz w:val="24"/>
          <w:lang w:val="en-US" w:eastAsia="zh-CN"/>
        </w:rPr>
        <w:t>4</w:t>
      </w:r>
      <w:r>
        <w:rPr>
          <w:rFonts w:hint="eastAsia" w:ascii="宋体" w:hAnsi="宋体" w:cs="宋体"/>
          <w:bCs/>
          <w:sz w:val="24"/>
        </w:rPr>
        <w:t>）备份报告。</w:t>
      </w:r>
    </w:p>
    <w:p/>
    <w:p>
      <w:pPr>
        <w:spacing w:line="440" w:lineRule="exact"/>
        <w:ind w:firstLine="482" w:firstLineChars="200"/>
        <w:contextualSpacing/>
        <w:outlineLvl w:val="1"/>
        <w:rPr>
          <w:rFonts w:hint="eastAsia" w:ascii="宋体" w:hAnsi="宋体" w:eastAsia="宋体" w:cs="宋体"/>
          <w:b/>
          <w:bCs/>
          <w:sz w:val="24"/>
        </w:rPr>
      </w:pPr>
      <w:r>
        <w:rPr>
          <w:rFonts w:hint="eastAsia" w:ascii="宋体" w:hAnsi="宋体" w:eastAsia="宋体" w:cs="宋体"/>
          <w:b/>
          <w:bCs/>
          <w:sz w:val="24"/>
          <w:lang w:val="en-US" w:eastAsia="zh-CN"/>
        </w:rPr>
        <w:t xml:space="preserve">4. </w:t>
      </w:r>
      <w:r>
        <w:rPr>
          <w:rFonts w:hint="eastAsia" w:ascii="宋体" w:hAnsi="宋体" w:eastAsia="宋体" w:cs="宋体"/>
          <w:b/>
          <w:bCs/>
          <w:sz w:val="24"/>
        </w:rPr>
        <w:t>政策性采购需求</w:t>
      </w:r>
    </w:p>
    <w:p>
      <w:pPr>
        <w:spacing w:line="360" w:lineRule="auto"/>
        <w:ind w:firstLine="480" w:firstLineChars="200"/>
      </w:pPr>
      <w:r>
        <w:rPr>
          <w:rFonts w:hint="eastAsia" w:ascii="宋体" w:hAnsi="宋体"/>
          <w:sz w:val="24"/>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pPr>
        <w:spacing w:line="360" w:lineRule="auto"/>
        <w:contextualSpacing/>
        <w:rPr>
          <w:sz w:val="24"/>
        </w:rPr>
      </w:pPr>
    </w:p>
    <w:bookmarkEnd w:id="1"/>
    <w:bookmarkEnd w:id="2"/>
    <w:bookmarkEnd w:id="3"/>
    <w:bookmarkEnd w:id="4"/>
    <w:bookmarkEnd w:id="5"/>
    <w:bookmarkEnd w:id="6"/>
    <w:bookmarkEnd w:id="7"/>
    <w:bookmarkEnd w:id="8"/>
    <w:bookmarkEnd w:id="9"/>
    <w:bookmarkEnd w:id="10"/>
    <w:bookmarkEnd w:id="11"/>
    <w:bookmarkEnd w:id="12"/>
    <w:bookmarkEnd w:id="13"/>
    <w:bookmarkEnd w:id="14"/>
    <w:p>
      <w:pPr>
        <w:widowControl/>
        <w:jc w:val="left"/>
        <w:rPr>
          <w:b/>
          <w:sz w:val="36"/>
          <w:szCs w:val="36"/>
        </w:rPr>
      </w:pPr>
      <w:bookmarkStart w:id="16" w:name="_GoBack"/>
      <w:bookmarkEnd w:id="16"/>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华文中宋"/>
    <w:panose1 w:val="00000000000000000000"/>
    <w:charset w:val="00"/>
    <w:family w:val="roman"/>
    <w:pitch w:val="default"/>
    <w:sig w:usb0="00000000" w:usb1="00000000" w:usb2="00000000" w:usb3="00000000" w:csb0="00040001" w:csb1="00000000"/>
  </w:font>
  <w:font w:name="Microsoft YaHei UI">
    <w:panose1 w:val="020B0503020204020204"/>
    <w:charset w:val="86"/>
    <w:family w:val="swiss"/>
    <w:pitch w:val="default"/>
    <w:sig w:usb0="80000287" w:usb1="28CF3C52"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49"/>
      </w:rPr>
    </w:pPr>
    <w:r>
      <w:fldChar w:fldCharType="begin"/>
    </w:r>
    <w:r>
      <w:rPr>
        <w:rStyle w:val="49"/>
      </w:rPr>
      <w:instrText xml:space="preserve">PAGE  </w:instrText>
    </w:r>
    <w:r>
      <w:fldChar w:fldCharType="separate"/>
    </w:r>
    <w:r>
      <w:rPr>
        <w:rStyle w:val="49"/>
      </w:rPr>
      <w:t>6</w:t>
    </w:r>
    <w:r>
      <w:fldChar w:fldCharType="end"/>
    </w:r>
  </w:p>
  <w:p>
    <w:pPr>
      <w:pStyle w:val="2"/>
      <w:framePr w:wrap="around" w:vAnchor="text" w:hAnchor="page" w:x="8034" w:y="171"/>
      <w:ind w:right="360"/>
      <w:jc w:val="right"/>
      <w:rPr>
        <w:rStyle w:val="49"/>
      </w:rPr>
    </w:pPr>
  </w:p>
  <w:p>
    <w:pPr>
      <w:pStyle w:val="2"/>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right"/>
      <w:rPr>
        <w:rFonts w:eastAsia="仿宋_GB23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decimal"/>
      <w:pStyle w:val="74"/>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49"/>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09"/>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68"/>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7"/>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6"/>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5"/>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7"/>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7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1584590"/>
    <w:multiLevelType w:val="singleLevel"/>
    <w:tmpl w:val="01584590"/>
    <w:lvl w:ilvl="0" w:tentative="0">
      <w:start w:val="2"/>
      <w:numFmt w:val="decimal"/>
      <w:suff w:val="space"/>
      <w:lvlText w:val="%1."/>
      <w:lvlJc w:val="left"/>
    </w:lvl>
  </w:abstractNum>
  <w:abstractNum w:abstractNumId="7">
    <w:nsid w:val="0E230849"/>
    <w:multiLevelType w:val="multilevel"/>
    <w:tmpl w:val="0E230849"/>
    <w:lvl w:ilvl="0" w:tentative="0">
      <w:start w:val="1"/>
      <w:numFmt w:val="decimal"/>
      <w:pStyle w:val="168"/>
      <w:lvlText w:val="%1"/>
      <w:lvlJc w:val="left"/>
      <w:pPr>
        <w:ind w:left="680" w:hanging="680"/>
      </w:pPr>
      <w:rPr>
        <w:rFonts w:hint="eastAsia" w:ascii="宋体" w:hAnsi="宋体" w:eastAsia="宋体"/>
      </w:rPr>
    </w:lvl>
    <w:lvl w:ilvl="1" w:tentative="0">
      <w:start w:val="1"/>
      <w:numFmt w:val="decimal"/>
      <w:pStyle w:val="169"/>
      <w:lvlText w:val="%1.%2"/>
      <w:lvlJc w:val="left"/>
      <w:pPr>
        <w:ind w:left="851" w:hanging="851"/>
      </w:pPr>
      <w:rPr>
        <w:rFonts w:hint="eastAsia" w:ascii="宋体" w:hAnsi="宋体" w:eastAsia="宋体"/>
        <w:color w:val="auto"/>
      </w:rPr>
    </w:lvl>
    <w:lvl w:ilvl="2" w:tentative="0">
      <w:start w:val="1"/>
      <w:numFmt w:val="decimal"/>
      <w:pStyle w:val="170"/>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7F36417"/>
    <w:rsid w:val="0A634BBA"/>
    <w:rsid w:val="0AEE26D6"/>
    <w:rsid w:val="0B660C1A"/>
    <w:rsid w:val="0C3B61A0"/>
    <w:rsid w:val="0CD24870"/>
    <w:rsid w:val="0D9D24E2"/>
    <w:rsid w:val="14625AD7"/>
    <w:rsid w:val="17F93E0B"/>
    <w:rsid w:val="190A2206"/>
    <w:rsid w:val="196B04A0"/>
    <w:rsid w:val="1A27797E"/>
    <w:rsid w:val="1C455CA5"/>
    <w:rsid w:val="1D2C69D2"/>
    <w:rsid w:val="1DBF8788"/>
    <w:rsid w:val="211D2A9C"/>
    <w:rsid w:val="217C0935"/>
    <w:rsid w:val="239E00B4"/>
    <w:rsid w:val="251E74A4"/>
    <w:rsid w:val="26831BBC"/>
    <w:rsid w:val="27843CE5"/>
    <w:rsid w:val="2899BB17"/>
    <w:rsid w:val="2B9845BD"/>
    <w:rsid w:val="2EC24404"/>
    <w:rsid w:val="31754DFF"/>
    <w:rsid w:val="321715DC"/>
    <w:rsid w:val="32EB653A"/>
    <w:rsid w:val="398F586D"/>
    <w:rsid w:val="3BCB6780"/>
    <w:rsid w:val="3CC85B63"/>
    <w:rsid w:val="3FC44B7C"/>
    <w:rsid w:val="402A14E2"/>
    <w:rsid w:val="413A61AE"/>
    <w:rsid w:val="425A2175"/>
    <w:rsid w:val="42CD0A98"/>
    <w:rsid w:val="431A0C09"/>
    <w:rsid w:val="480E2158"/>
    <w:rsid w:val="4B65373A"/>
    <w:rsid w:val="4C327140"/>
    <w:rsid w:val="4D00163A"/>
    <w:rsid w:val="4E045BD8"/>
    <w:rsid w:val="4F0F5BE3"/>
    <w:rsid w:val="50055E16"/>
    <w:rsid w:val="52422029"/>
    <w:rsid w:val="545455E7"/>
    <w:rsid w:val="55040901"/>
    <w:rsid w:val="56245862"/>
    <w:rsid w:val="56DF05DE"/>
    <w:rsid w:val="57FC6189"/>
    <w:rsid w:val="58E00503"/>
    <w:rsid w:val="59F61E4C"/>
    <w:rsid w:val="59F9741B"/>
    <w:rsid w:val="5A0D7420"/>
    <w:rsid w:val="5B9205D4"/>
    <w:rsid w:val="5D370EBC"/>
    <w:rsid w:val="5F073306"/>
    <w:rsid w:val="5F434264"/>
    <w:rsid w:val="5F5F73B9"/>
    <w:rsid w:val="6465428E"/>
    <w:rsid w:val="67817BD3"/>
    <w:rsid w:val="6838144E"/>
    <w:rsid w:val="68AA7398"/>
    <w:rsid w:val="6EAB6FA9"/>
    <w:rsid w:val="73037F0B"/>
    <w:rsid w:val="73A53748"/>
    <w:rsid w:val="73FFC640"/>
    <w:rsid w:val="742C597A"/>
    <w:rsid w:val="76047BE6"/>
    <w:rsid w:val="77521CC0"/>
    <w:rsid w:val="77FF6F30"/>
    <w:rsid w:val="7F7E4A83"/>
    <w:rsid w:val="BBAF2173"/>
    <w:rsid w:val="F7DD5B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5"/>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186"/>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187"/>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189"/>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190"/>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191"/>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192"/>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193"/>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194"/>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unhideWhenUsed/>
    <w:qFormat/>
    <w:uiPriority w:val="1"/>
  </w:style>
  <w:style w:type="table" w:default="1" w:styleId="4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20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Normal Indent"/>
    <w:basedOn w:val="1"/>
    <w:link w:val="188"/>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195"/>
    <w:qFormat/>
    <w:uiPriority w:val="0"/>
    <w:pPr>
      <w:shd w:val="clear" w:color="auto" w:fill="000080"/>
    </w:pPr>
  </w:style>
  <w:style w:type="paragraph" w:styleId="16">
    <w:name w:val="annotation text"/>
    <w:basedOn w:val="1"/>
    <w:link w:val="196"/>
    <w:qFormat/>
    <w:uiPriority w:val="99"/>
    <w:pPr>
      <w:jc w:val="left"/>
    </w:pPr>
  </w:style>
  <w:style w:type="paragraph" w:styleId="17">
    <w:name w:val="Body Text 3"/>
    <w:basedOn w:val="1"/>
    <w:link w:val="197"/>
    <w:qFormat/>
    <w:uiPriority w:val="0"/>
    <w:pPr>
      <w:spacing w:after="120"/>
    </w:pPr>
    <w:rPr>
      <w:sz w:val="16"/>
      <w:szCs w:val="16"/>
    </w:rPr>
  </w:style>
  <w:style w:type="paragraph" w:styleId="18">
    <w:name w:val="Body Text"/>
    <w:basedOn w:val="1"/>
    <w:next w:val="19"/>
    <w:link w:val="198"/>
    <w:qFormat/>
    <w:uiPriority w:val="0"/>
    <w:pPr>
      <w:tabs>
        <w:tab w:val="left" w:pos="567"/>
      </w:tabs>
      <w:spacing w:before="120" w:line="22" w:lineRule="atLeast"/>
    </w:pPr>
    <w:rPr>
      <w:rFonts w:ascii="宋体" w:hAnsi="宋体"/>
      <w:sz w:val="24"/>
    </w:rPr>
  </w:style>
  <w:style w:type="paragraph" w:customStyle="1" w:styleId="19">
    <w:name w:val="目录 11"/>
    <w:next w:val="1"/>
    <w:qFormat/>
    <w:uiPriority w:val="0"/>
    <w:pPr>
      <w:wordWrap w:val="0"/>
      <w:jc w:val="both"/>
    </w:pPr>
    <w:rPr>
      <w:rFonts w:ascii="Calibri" w:hAnsi="Calibri" w:eastAsia="宋体" w:cs="Calibri"/>
      <w:sz w:val="21"/>
      <w:szCs w:val="22"/>
      <w:lang w:val="en-US" w:eastAsia="zh-CN" w:bidi="ar-SA"/>
    </w:rPr>
  </w:style>
  <w:style w:type="paragraph" w:styleId="20">
    <w:name w:val="Body Text Indent"/>
    <w:basedOn w:val="1"/>
    <w:next w:val="21"/>
    <w:link w:val="199"/>
    <w:qFormat/>
    <w:uiPriority w:val="0"/>
    <w:pPr>
      <w:spacing w:line="360" w:lineRule="auto"/>
      <w:ind w:firstLine="570"/>
    </w:pPr>
    <w:rPr>
      <w:sz w:val="24"/>
    </w:rPr>
  </w:style>
  <w:style w:type="paragraph" w:styleId="21">
    <w:name w:val="envelope return"/>
    <w:basedOn w:val="1"/>
    <w:qFormat/>
    <w:uiPriority w:val="0"/>
    <w:pPr>
      <w:snapToGrid w:val="0"/>
    </w:pPr>
    <w:rPr>
      <w:rFonts w:ascii="Arial" w:hAnsi="Arial"/>
    </w:rPr>
  </w:style>
  <w:style w:type="paragraph" w:styleId="22">
    <w:name w:val="List 2"/>
    <w:basedOn w:val="1"/>
    <w:qFormat/>
    <w:uiPriority w:val="0"/>
    <w:pPr>
      <w:ind w:left="100" w:leftChars="200" w:hanging="200" w:hangingChars="200"/>
    </w:pPr>
  </w:style>
  <w:style w:type="paragraph" w:styleId="23">
    <w:name w:val="Block Text"/>
    <w:basedOn w:val="1"/>
    <w:qFormat/>
    <w:uiPriority w:val="0"/>
    <w:pPr>
      <w:widowControl/>
      <w:ind w:left="480" w:right="-341" w:firstLine="513"/>
    </w:pPr>
    <w:rPr>
      <w:kern w:val="0"/>
      <w:sz w:val="24"/>
      <w:szCs w:val="20"/>
    </w:rPr>
  </w:style>
  <w:style w:type="paragraph" w:styleId="24">
    <w:name w:val="toc 5"/>
    <w:basedOn w:val="1"/>
    <w:next w:val="1"/>
    <w:qFormat/>
    <w:uiPriority w:val="0"/>
    <w:pPr>
      <w:ind w:left="1680" w:leftChars="800"/>
    </w:pPr>
  </w:style>
  <w:style w:type="paragraph" w:styleId="25">
    <w:name w:val="toc 3"/>
    <w:basedOn w:val="1"/>
    <w:next w:val="1"/>
    <w:qFormat/>
    <w:uiPriority w:val="39"/>
    <w:pPr>
      <w:ind w:left="840" w:leftChars="400"/>
    </w:pPr>
  </w:style>
  <w:style w:type="paragraph" w:styleId="26">
    <w:name w:val="Plain Text"/>
    <w:basedOn w:val="1"/>
    <w:link w:val="200"/>
    <w:qFormat/>
    <w:uiPriority w:val="0"/>
    <w:rPr>
      <w:rFonts w:hint="eastAsia" w:ascii="宋体" w:hAnsi="Courier New"/>
      <w:szCs w:val="20"/>
    </w:rPr>
  </w:style>
  <w:style w:type="paragraph" w:styleId="27">
    <w:name w:val="toc 8"/>
    <w:basedOn w:val="1"/>
    <w:next w:val="1"/>
    <w:qFormat/>
    <w:uiPriority w:val="0"/>
    <w:pPr>
      <w:ind w:left="2940" w:leftChars="1400"/>
    </w:pPr>
  </w:style>
  <w:style w:type="paragraph" w:styleId="28">
    <w:name w:val="Date"/>
    <w:basedOn w:val="1"/>
    <w:next w:val="1"/>
    <w:link w:val="201"/>
    <w:qFormat/>
    <w:uiPriority w:val="0"/>
    <w:pPr>
      <w:ind w:left="100" w:leftChars="2500"/>
    </w:pPr>
    <w:rPr>
      <w:rFonts w:ascii="仿宋_GB2312" w:hAnsi="宋体" w:eastAsia="仿宋_GB2312"/>
      <w:color w:val="000000"/>
      <w:sz w:val="24"/>
    </w:rPr>
  </w:style>
  <w:style w:type="paragraph" w:styleId="29">
    <w:name w:val="Body Text Indent 2"/>
    <w:basedOn w:val="1"/>
    <w:link w:val="202"/>
    <w:qFormat/>
    <w:uiPriority w:val="0"/>
    <w:pPr>
      <w:ind w:firstLine="480" w:firstLineChars="200"/>
    </w:pPr>
    <w:rPr>
      <w:rFonts w:ascii="仿宋_GB2312" w:eastAsia="仿宋_GB2312"/>
      <w:sz w:val="24"/>
    </w:rPr>
  </w:style>
  <w:style w:type="paragraph" w:styleId="30">
    <w:name w:val="Balloon Text"/>
    <w:basedOn w:val="1"/>
    <w:link w:val="203"/>
    <w:qFormat/>
    <w:uiPriority w:val="0"/>
    <w:rPr>
      <w:sz w:val="18"/>
      <w:szCs w:val="18"/>
    </w:rPr>
  </w:style>
  <w:style w:type="paragraph" w:styleId="31">
    <w:name w:val="header"/>
    <w:basedOn w:val="1"/>
    <w:link w:val="205"/>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0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208"/>
    <w:qFormat/>
    <w:uiPriority w:val="0"/>
    <w:pPr>
      <w:jc w:val="center"/>
      <w:outlineLvl w:val="0"/>
    </w:pPr>
    <w:rPr>
      <w:b/>
      <w:sz w:val="32"/>
      <w:szCs w:val="20"/>
    </w:rPr>
  </w:style>
  <w:style w:type="paragraph" w:styleId="42">
    <w:name w:val="annotation subject"/>
    <w:basedOn w:val="16"/>
    <w:next w:val="16"/>
    <w:link w:val="209"/>
    <w:qFormat/>
    <w:uiPriority w:val="0"/>
    <w:rPr>
      <w:b/>
      <w:bCs/>
    </w:rPr>
  </w:style>
  <w:style w:type="paragraph" w:styleId="43">
    <w:name w:val="Body Text First Indent 2"/>
    <w:basedOn w:val="20"/>
    <w:link w:val="210"/>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Layout w:type="fixed"/>
    </w:tblPr>
    <w:tcPr>
      <w:shd w:val="clear" w:color="auto" w:fill="EFD3D2"/>
    </w:tcPr>
    <w:tblStylePr w:type="firstRow">
      <w:rPr>
        <w:b/>
        <w:bCs/>
      </w:rPr>
    </w:tblStylePr>
    <w:tblStylePr w:type="lastRow">
      <w:rPr>
        <w:b/>
        <w:bCs/>
      </w:rPr>
      <w:tblPr>
        <w:tblLayout w:type="fixed"/>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shd w:val="clear" w:color="auto" w:fill="DFA7A6"/>
      </w:tcPr>
    </w:tblStylePr>
    <w:tblStylePr w:type="band1Horz">
      <w:tblPr>
        <w:tblLayout w:type="fixed"/>
      </w:tblPr>
      <w:tcPr>
        <w:shd w:val="clear" w:color="auto" w:fill="DFA7A6"/>
      </w:tcPr>
    </w:tblStylePr>
  </w:style>
  <w:style w:type="character" w:styleId="48">
    <w:name w:val="Strong"/>
    <w:qFormat/>
    <w:uiPriority w:val="0"/>
    <w:rPr>
      <w:b/>
      <w:bCs/>
    </w:rPr>
  </w:style>
  <w:style w:type="character" w:styleId="49">
    <w:name w:val="page number"/>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注释"/>
    <w:basedOn w:val="1"/>
    <w:link w:val="214"/>
    <w:qFormat/>
    <w:uiPriority w:val="0"/>
    <w:pPr>
      <w:adjustRightInd w:val="0"/>
      <w:snapToGrid w:val="0"/>
      <w:ind w:left="420" w:hanging="420" w:hangingChars="200"/>
      <w:jc w:val="left"/>
    </w:pPr>
    <w:rPr>
      <w:rFonts w:ascii="宋体" w:hAnsi="宋体"/>
      <w:szCs w:val="21"/>
    </w:rPr>
  </w:style>
  <w:style w:type="paragraph" w:customStyle="1" w:styleId="56">
    <w:name w:val="正文文本缩进1"/>
    <w:basedOn w:val="1"/>
    <w:link w:val="220"/>
    <w:qFormat/>
    <w:uiPriority w:val="0"/>
    <w:pPr>
      <w:spacing w:line="480" w:lineRule="exact"/>
      <w:ind w:firstLine="480" w:firstLineChars="200"/>
    </w:pPr>
    <w:rPr>
      <w:rFonts w:ascii="宋体" w:hAnsi="宋体"/>
      <w:kern w:val="0"/>
      <w:sz w:val="24"/>
    </w:rPr>
  </w:style>
  <w:style w:type="paragraph" w:customStyle="1" w:styleId="57">
    <w:name w:val="正文大标题"/>
    <w:basedOn w:val="58"/>
    <w:next w:val="6"/>
    <w:link w:val="223"/>
    <w:qFormat/>
    <w:uiPriority w:val="0"/>
    <w:pPr>
      <w:jc w:val="center"/>
    </w:pPr>
    <w:rPr>
      <w:i w:val="0"/>
      <w:color w:val="000000"/>
      <w:sz w:val="28"/>
      <w:szCs w:val="21"/>
    </w:rPr>
  </w:style>
  <w:style w:type="paragraph" w:customStyle="1" w:styleId="58">
    <w:name w:val="正文小标题"/>
    <w:basedOn w:val="1"/>
    <w:next w:val="6"/>
    <w:link w:val="22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9">
    <w:name w:val="List Paragraph"/>
    <w:basedOn w:val="1"/>
    <w:link w:val="226"/>
    <w:qFormat/>
    <w:uiPriority w:val="34"/>
    <w:pPr>
      <w:ind w:firstLine="420" w:firstLineChars="200"/>
    </w:pPr>
    <w:rPr>
      <w:rFonts w:ascii="Calibri" w:hAnsi="Calibri"/>
      <w:szCs w:val="22"/>
    </w:rPr>
  </w:style>
  <w:style w:type="paragraph" w:customStyle="1" w:styleId="60">
    <w:name w:val="正文格式"/>
    <w:basedOn w:val="1"/>
    <w:link w:val="227"/>
    <w:qFormat/>
    <w:uiPriority w:val="0"/>
    <w:pPr>
      <w:spacing w:beforeLines="50" w:line="360" w:lineRule="auto"/>
      <w:ind w:firstLine="480" w:firstLineChars="200"/>
    </w:pPr>
    <w:rPr>
      <w:rFonts w:ascii="宋体" w:hAnsi="宋体"/>
      <w:kern w:val="0"/>
      <w:sz w:val="24"/>
      <w:lang w:val="en-GB"/>
    </w:rPr>
  </w:style>
  <w:style w:type="paragraph" w:customStyle="1" w:styleId="61">
    <w:name w:val="正文缩进1"/>
    <w:basedOn w:val="1"/>
    <w:link w:val="235"/>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2">
    <w:name w:val="正文表格"/>
    <w:basedOn w:val="1"/>
    <w:link w:val="238"/>
    <w:qFormat/>
    <w:uiPriority w:val="0"/>
    <w:pPr>
      <w:adjustRightInd w:val="0"/>
      <w:snapToGrid w:val="0"/>
      <w:jc w:val="left"/>
    </w:pPr>
    <w:rPr>
      <w:rFonts w:ascii="宋体" w:hAnsi="宋体"/>
      <w:color w:val="000000"/>
      <w:szCs w:val="21"/>
    </w:rPr>
  </w:style>
  <w:style w:type="paragraph" w:customStyle="1" w:styleId="63">
    <w:name w:val="正文重点"/>
    <w:basedOn w:val="1"/>
    <w:link w:val="239"/>
    <w:qFormat/>
    <w:uiPriority w:val="0"/>
    <w:pPr>
      <w:adjustRightInd w:val="0"/>
      <w:spacing w:line="360" w:lineRule="auto"/>
      <w:ind w:firstLine="482" w:firstLineChars="200"/>
      <w:jc w:val="left"/>
      <w:textAlignment w:val="baseline"/>
    </w:pPr>
    <w:rPr>
      <w:b/>
      <w:kern w:val="0"/>
      <w:sz w:val="24"/>
      <w:szCs w:val="20"/>
    </w:rPr>
  </w:style>
  <w:style w:type="paragraph" w:customStyle="1" w:styleId="64">
    <w:name w:val="1"/>
    <w:link w:val="251"/>
    <w:qFormat/>
    <w:uiPriority w:val="0"/>
    <w:rPr>
      <w:rFonts w:ascii="Times New Roman" w:hAnsi="Times New Roman" w:eastAsia="宋体" w:cs="Times New Roman"/>
      <w:kern w:val="2"/>
      <w:sz w:val="21"/>
      <w:szCs w:val="24"/>
      <w:lang w:val="zh-CN" w:eastAsia="zh-CN" w:bidi="ar-SA"/>
    </w:rPr>
  </w:style>
  <w:style w:type="paragraph" w:customStyle="1" w:styleId="65">
    <w:name w:val="Char Char Char1"/>
    <w:basedOn w:val="1"/>
    <w:qFormat/>
    <w:uiPriority w:val="0"/>
    <w:rPr>
      <w:rFonts w:ascii="Tahoma" w:hAnsi="Tahoma"/>
      <w:sz w:val="24"/>
      <w:szCs w:val="20"/>
    </w:rPr>
  </w:style>
  <w:style w:type="paragraph" w:customStyle="1" w:styleId="66">
    <w:name w:val="Char3 Char Char Char"/>
    <w:basedOn w:val="1"/>
    <w:qFormat/>
    <w:uiPriority w:val="0"/>
    <w:rPr>
      <w:rFonts w:ascii="Tahoma" w:hAnsi="Tahoma"/>
      <w:sz w:val="24"/>
      <w:szCs w:val="20"/>
    </w:rPr>
  </w:style>
  <w:style w:type="paragraph" w:customStyle="1" w:styleId="67">
    <w:name w:val="一级条标题"/>
    <w:basedOn w:val="68"/>
    <w:next w:val="1"/>
    <w:qFormat/>
    <w:uiPriority w:val="0"/>
    <w:pPr>
      <w:numPr>
        <w:ilvl w:val="1"/>
      </w:numPr>
      <w:tabs>
        <w:tab w:val="left" w:pos="360"/>
        <w:tab w:val="left" w:pos="840"/>
      </w:tabs>
      <w:ind w:left="0" w:hanging="840"/>
      <w:outlineLvl w:val="1"/>
    </w:pPr>
  </w:style>
  <w:style w:type="paragraph" w:customStyle="1" w:styleId="68">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7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1">
    <w:name w:val="默认段落字体 Para Char Char Char Char"/>
    <w:basedOn w:val="1"/>
    <w:qFormat/>
    <w:uiPriority w:val="0"/>
    <w:rPr>
      <w:rFonts w:ascii="Arial" w:hAnsi="Arial" w:cs="Arial"/>
      <w:szCs w:val="21"/>
    </w:rPr>
  </w:style>
  <w:style w:type="paragraph" w:customStyle="1" w:styleId="72">
    <w:name w:val="二级条标题"/>
    <w:basedOn w:val="67"/>
    <w:next w:val="1"/>
    <w:qFormat/>
    <w:uiPriority w:val="0"/>
    <w:pPr>
      <w:numPr>
        <w:ilvl w:val="0"/>
        <w:numId w:val="0"/>
      </w:numPr>
      <w:ind w:hanging="840"/>
      <w:outlineLvl w:val="2"/>
    </w:pPr>
    <w:rPr>
      <w:rFonts w:ascii="宋体" w:eastAsia="宋体"/>
      <w:b w:val="0"/>
    </w:rPr>
  </w:style>
  <w:style w:type="paragraph" w:customStyle="1" w:styleId="7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4">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7">
    <w:name w:val="缺省文本"/>
    <w:basedOn w:val="1"/>
    <w:qFormat/>
    <w:uiPriority w:val="0"/>
    <w:pPr>
      <w:autoSpaceDE w:val="0"/>
      <w:autoSpaceDN w:val="0"/>
      <w:adjustRightInd w:val="0"/>
      <w:jc w:val="left"/>
    </w:pPr>
    <w:rPr>
      <w:kern w:val="0"/>
      <w:sz w:val="24"/>
    </w:rPr>
  </w:style>
  <w:style w:type="paragraph" w:customStyle="1" w:styleId="78">
    <w:name w:val="项目编号2"/>
    <w:basedOn w:val="74"/>
    <w:qFormat/>
    <w:uiPriority w:val="0"/>
    <w:pPr>
      <w:numPr>
        <w:numId w:val="3"/>
      </w:numPr>
    </w:pPr>
  </w:style>
  <w:style w:type="paragraph" w:customStyle="1" w:styleId="7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80">
    <w:name w:val="字元 字元"/>
    <w:basedOn w:val="1"/>
    <w:qFormat/>
    <w:uiPriority w:val="0"/>
    <w:rPr>
      <w:rFonts w:ascii="Tahoma" w:hAnsi="Tahoma"/>
      <w:sz w:val="24"/>
      <w:szCs w:val="20"/>
    </w:rPr>
  </w:style>
  <w:style w:type="paragraph" w:customStyle="1" w:styleId="8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2">
    <w:name w:val="图中文字"/>
    <w:basedOn w:val="1"/>
    <w:qFormat/>
    <w:uiPriority w:val="0"/>
    <w:pPr>
      <w:adjustRightInd w:val="0"/>
      <w:snapToGrid w:val="0"/>
      <w:spacing w:line="0" w:lineRule="atLeast"/>
      <w:jc w:val="center"/>
    </w:pPr>
    <w:rPr>
      <w:sz w:val="24"/>
      <w:szCs w:val="20"/>
    </w:rPr>
  </w:style>
  <w:style w:type="paragraph" w:customStyle="1" w:styleId="83">
    <w:name w:val="Char Char Char"/>
    <w:basedOn w:val="1"/>
    <w:qFormat/>
    <w:uiPriority w:val="0"/>
    <w:rPr>
      <w:rFonts w:ascii="Tahoma" w:hAnsi="Tahoma"/>
      <w:sz w:val="24"/>
      <w:szCs w:val="20"/>
    </w:rPr>
  </w:style>
  <w:style w:type="paragraph" w:customStyle="1" w:styleId="84">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5">
    <w:name w:val="四级条标题"/>
    <w:basedOn w:val="86"/>
    <w:next w:val="1"/>
    <w:qFormat/>
    <w:uiPriority w:val="0"/>
    <w:pPr>
      <w:numPr>
        <w:ilvl w:val="4"/>
      </w:numPr>
      <w:tabs>
        <w:tab w:val="left" w:pos="360"/>
        <w:tab w:val="left" w:pos="840"/>
      </w:tabs>
      <w:ind w:left="0" w:hanging="840"/>
      <w:outlineLvl w:val="4"/>
    </w:pPr>
  </w:style>
  <w:style w:type="paragraph" w:customStyle="1" w:styleId="86">
    <w:name w:val="三级条标题"/>
    <w:basedOn w:val="72"/>
    <w:next w:val="1"/>
    <w:qFormat/>
    <w:uiPriority w:val="0"/>
    <w:pPr>
      <w:numPr>
        <w:ilvl w:val="3"/>
        <w:numId w:val="1"/>
      </w:numPr>
      <w:ind w:left="0" w:hanging="840"/>
      <w:outlineLvl w:val="3"/>
    </w:pPr>
  </w:style>
  <w:style w:type="paragraph" w:customStyle="1" w:styleId="87">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8">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0">
    <w:name w:val="Char2"/>
    <w:basedOn w:val="1"/>
    <w:qFormat/>
    <w:uiPriority w:val="0"/>
    <w:rPr>
      <w:rFonts w:ascii="Tahoma" w:hAnsi="Tahoma"/>
      <w:sz w:val="24"/>
      <w:szCs w:val="20"/>
    </w:rPr>
  </w:style>
  <w:style w:type="paragraph" w:customStyle="1" w:styleId="91">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2">
    <w:name w:val="样式2"/>
    <w:basedOn w:val="40"/>
    <w:qFormat/>
    <w:uiPriority w:val="0"/>
    <w:pPr>
      <w:spacing w:line="360" w:lineRule="auto"/>
      <w:jc w:val="center"/>
    </w:pPr>
    <w:rPr>
      <w:sz w:val="24"/>
    </w:rPr>
  </w:style>
  <w:style w:type="paragraph" w:customStyle="1" w:styleId="9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五级条标题"/>
    <w:basedOn w:val="85"/>
    <w:next w:val="1"/>
    <w:qFormat/>
    <w:uiPriority w:val="0"/>
    <w:pPr>
      <w:numPr>
        <w:ilvl w:val="5"/>
      </w:numPr>
      <w:ind w:left="0" w:hanging="840"/>
      <w:outlineLvl w:val="5"/>
    </w:p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项目符号1"/>
    <w:basedOn w:val="99"/>
    <w:qFormat/>
    <w:uiPriority w:val="0"/>
    <w:pPr>
      <w:ind w:left="-25" w:firstLine="0"/>
    </w:pPr>
  </w:style>
  <w:style w:type="paragraph" w:customStyle="1" w:styleId="99">
    <w:name w:val="正文文本样式"/>
    <w:basedOn w:val="1"/>
    <w:qFormat/>
    <w:uiPriority w:val="0"/>
    <w:pPr>
      <w:spacing w:line="360" w:lineRule="auto"/>
      <w:ind w:firstLine="482"/>
    </w:pPr>
    <w:rPr>
      <w:rFonts w:cs="宋体"/>
      <w:sz w:val="24"/>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7">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8">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9">
    <w:name w:val="1名"/>
    <w:basedOn w:val="1"/>
    <w:qFormat/>
    <w:uiPriority w:val="0"/>
    <w:pPr>
      <w:numPr>
        <w:ilvl w:val="0"/>
        <w:numId w:val="4"/>
      </w:numPr>
      <w:spacing w:before="120"/>
    </w:pPr>
    <w:rPr>
      <w:rFonts w:ascii="宋体"/>
      <w:sz w:val="28"/>
      <w:szCs w:val="20"/>
    </w:rPr>
  </w:style>
  <w:style w:type="paragraph" w:customStyle="1" w:styleId="110">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1">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2">
    <w:name w:val="font8"/>
    <w:basedOn w:val="1"/>
    <w:qFormat/>
    <w:uiPriority w:val="0"/>
    <w:pPr>
      <w:widowControl/>
      <w:spacing w:before="100" w:beforeAutospacing="1" w:after="100" w:afterAutospacing="1"/>
      <w:jc w:val="left"/>
    </w:pPr>
    <w:rPr>
      <w:kern w:val="0"/>
      <w:sz w:val="36"/>
      <w:szCs w:val="36"/>
    </w:rPr>
  </w:style>
  <w:style w:type="paragraph" w:customStyle="1" w:styleId="113">
    <w:name w:val="Char Char Char Char Char Char Char Char Char Char"/>
    <w:basedOn w:val="1"/>
    <w:qFormat/>
    <w:uiPriority w:val="0"/>
  </w:style>
  <w:style w:type="paragraph" w:customStyle="1" w:styleId="114">
    <w:name w:val="Char"/>
    <w:basedOn w:val="1"/>
    <w:qFormat/>
    <w:uiPriority w:val="0"/>
    <w:pPr>
      <w:tabs>
        <w:tab w:val="left" w:pos="360"/>
      </w:tabs>
    </w:pPr>
    <w:rPr>
      <w:sz w:val="24"/>
    </w:rPr>
  </w:style>
  <w:style w:type="paragraph" w:customStyle="1" w:styleId="115">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6">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7">
    <w:name w:val="Char Char1"/>
    <w:basedOn w:val="15"/>
    <w:qFormat/>
    <w:uiPriority w:val="0"/>
    <w:rPr>
      <w:rFonts w:ascii="Tahoma" w:hAnsi="Tahoma"/>
      <w:sz w:val="24"/>
    </w:rPr>
  </w:style>
  <w:style w:type="paragraph" w:customStyle="1" w:styleId="11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1">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2">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3">
    <w:name w:val="List Paragraph1"/>
    <w:basedOn w:val="1"/>
    <w:qFormat/>
    <w:uiPriority w:val="0"/>
    <w:pPr>
      <w:ind w:firstLine="420" w:firstLineChars="200"/>
    </w:pPr>
    <w:rPr>
      <w:rFonts w:ascii="Calibri" w:hAnsi="Calibri"/>
      <w:szCs w:val="22"/>
    </w:rPr>
  </w:style>
  <w:style w:type="paragraph" w:customStyle="1" w:styleId="12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7">
    <w:name w:val="文档正文"/>
    <w:basedOn w:val="1"/>
    <w:qFormat/>
    <w:uiPriority w:val="0"/>
    <w:pPr>
      <w:snapToGrid w:val="0"/>
      <w:spacing w:before="120" w:after="120" w:line="180" w:lineRule="auto"/>
    </w:pPr>
    <w:rPr>
      <w:rFonts w:ascii="Arial" w:hAnsi="Arial"/>
      <w:szCs w:val="20"/>
    </w:rPr>
  </w:style>
  <w:style w:type="paragraph" w:customStyle="1" w:styleId="128">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9">
    <w:name w:val="Char Char Char1 Char"/>
    <w:basedOn w:val="1"/>
    <w:qFormat/>
    <w:uiPriority w:val="0"/>
    <w:rPr>
      <w:rFonts w:ascii="Tahoma" w:hAnsi="Tahoma"/>
      <w:sz w:val="24"/>
      <w:szCs w:val="20"/>
    </w:rPr>
  </w:style>
  <w:style w:type="paragraph" w:customStyle="1" w:styleId="130">
    <w:name w:val="Char Char Char1 Char1"/>
    <w:basedOn w:val="1"/>
    <w:qFormat/>
    <w:uiPriority w:val="0"/>
    <w:rPr>
      <w:rFonts w:ascii="Tahoma" w:hAnsi="Tahoma"/>
      <w:sz w:val="24"/>
      <w:szCs w:val="20"/>
    </w:rPr>
  </w:style>
  <w:style w:type="paragraph" w:customStyle="1" w:styleId="131">
    <w:name w:val="Char1"/>
    <w:basedOn w:val="1"/>
    <w:qFormat/>
    <w:uiPriority w:val="0"/>
    <w:pPr>
      <w:tabs>
        <w:tab w:val="left" w:pos="360"/>
      </w:tabs>
    </w:pPr>
    <w:rPr>
      <w:sz w:val="24"/>
    </w:rPr>
  </w:style>
  <w:style w:type="paragraph" w:customStyle="1" w:styleId="132">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8">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40">
    <w:name w:val="正文 + 楷体_GB2312"/>
    <w:basedOn w:val="1"/>
    <w:qFormat/>
    <w:uiPriority w:val="0"/>
    <w:pPr>
      <w:widowControl/>
      <w:jc w:val="left"/>
    </w:pPr>
    <w:rPr>
      <w:rFonts w:ascii="楷体_GB2312" w:eastAsia="楷体_GB2312" w:cs="Arial"/>
      <w:kern w:val="0"/>
      <w:sz w:val="24"/>
    </w:rPr>
  </w:style>
  <w:style w:type="paragraph" w:customStyle="1" w:styleId="14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2">
    <w:name w:val="1 Char Char Char Char"/>
    <w:basedOn w:val="1"/>
    <w:qFormat/>
    <w:uiPriority w:val="0"/>
    <w:rPr>
      <w:rFonts w:ascii="Tahoma" w:hAnsi="Tahoma"/>
      <w:sz w:val="24"/>
      <w:szCs w:val="20"/>
    </w:rPr>
  </w:style>
  <w:style w:type="paragraph" w:customStyle="1" w:styleId="143">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4">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5">
    <w:name w:val="列出段落1"/>
    <w:basedOn w:val="1"/>
    <w:qFormat/>
    <w:uiPriority w:val="0"/>
    <w:pPr>
      <w:ind w:firstLine="420" w:firstLineChars="200"/>
    </w:pPr>
    <w:rPr>
      <w:rFonts w:ascii="Calibri" w:hAnsi="Calibri"/>
      <w:szCs w:val="22"/>
    </w:rPr>
  </w:style>
  <w:style w:type="paragraph" w:customStyle="1" w:styleId="146">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7">
    <w:name w:val="字元 字元1"/>
    <w:basedOn w:val="1"/>
    <w:qFormat/>
    <w:uiPriority w:val="0"/>
    <w:rPr>
      <w:rFonts w:ascii="Tahoma" w:hAnsi="Tahoma"/>
      <w:sz w:val="24"/>
      <w:szCs w:val="20"/>
    </w:rPr>
  </w:style>
  <w:style w:type="paragraph" w:customStyle="1" w:styleId="148">
    <w:name w:val="_Style 160"/>
    <w:qFormat/>
    <w:uiPriority w:val="0"/>
    <w:rPr>
      <w:rFonts w:ascii="Times New Roman" w:hAnsi="Times New Roman" w:eastAsia="宋体" w:cs="Times New Roman"/>
      <w:kern w:val="2"/>
      <w:sz w:val="21"/>
      <w:szCs w:val="24"/>
      <w:lang w:val="en-US" w:eastAsia="zh-CN" w:bidi="ar-SA"/>
    </w:rPr>
  </w:style>
  <w:style w:type="paragraph" w:customStyle="1" w:styleId="149">
    <w:name w:val="项目编号3"/>
    <w:basedOn w:val="99"/>
    <w:qFormat/>
    <w:uiPriority w:val="0"/>
    <w:pPr>
      <w:numPr>
        <w:ilvl w:val="0"/>
        <w:numId w:val="6"/>
      </w:numPr>
    </w:pPr>
  </w:style>
  <w:style w:type="paragraph" w:customStyle="1" w:styleId="150">
    <w:name w:val="Char21"/>
    <w:basedOn w:val="1"/>
    <w:qFormat/>
    <w:uiPriority w:val="0"/>
    <w:rPr>
      <w:rFonts w:ascii="Tahoma" w:hAnsi="Tahoma"/>
      <w:sz w:val="24"/>
      <w:szCs w:val="20"/>
    </w:rPr>
  </w:style>
  <w:style w:type="paragraph" w:customStyle="1" w:styleId="151">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2">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53">
    <w:name w:val="Char Char Char Char Char Char Char Char Char Char1"/>
    <w:basedOn w:val="1"/>
    <w:qFormat/>
    <w:uiPriority w:val="0"/>
    <w:rPr>
      <w:rFonts w:ascii="宋体" w:hAnsi="宋体" w:cs="Courier New"/>
      <w:sz w:val="32"/>
      <w:szCs w:val="32"/>
    </w:rPr>
  </w:style>
  <w:style w:type="paragraph" w:customStyle="1" w:styleId="154">
    <w:name w:val="正文文本样式 加粗"/>
    <w:basedOn w:val="99"/>
    <w:qFormat/>
    <w:uiPriority w:val="0"/>
    <w:rPr>
      <w:b/>
    </w:rPr>
  </w:style>
  <w:style w:type="paragraph" w:customStyle="1" w:styleId="15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6">
    <w:name w:val="Char2 Char Char Char Char Char Char"/>
    <w:basedOn w:val="1"/>
    <w:qFormat/>
    <w:uiPriority w:val="0"/>
    <w:pPr>
      <w:widowControl/>
      <w:spacing w:line="400" w:lineRule="exact"/>
      <w:jc w:val="center"/>
    </w:pPr>
  </w:style>
  <w:style w:type="paragraph" w:customStyle="1" w:styleId="157">
    <w:name w:val="Char Char4"/>
    <w:basedOn w:val="1"/>
    <w:qFormat/>
    <w:uiPriority w:val="0"/>
    <w:pPr>
      <w:widowControl/>
      <w:spacing w:line="400" w:lineRule="exact"/>
      <w:jc w:val="center"/>
    </w:pPr>
  </w:style>
  <w:style w:type="paragraph" w:customStyle="1" w:styleId="158">
    <w:name w:val="Char3 Char Char Char1"/>
    <w:basedOn w:val="1"/>
    <w:qFormat/>
    <w:uiPriority w:val="0"/>
    <w:rPr>
      <w:rFonts w:ascii="Tahoma" w:hAnsi="Tahoma"/>
      <w:sz w:val="24"/>
      <w:szCs w:val="20"/>
    </w:rPr>
  </w:style>
  <w:style w:type="paragraph" w:styleId="159">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0">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1">
    <w:name w:val="图例"/>
    <w:basedOn w:val="1"/>
    <w:qFormat/>
    <w:uiPriority w:val="0"/>
    <w:pPr>
      <w:spacing w:before="120" w:after="120" w:line="360" w:lineRule="auto"/>
      <w:jc w:val="center"/>
    </w:pPr>
    <w:rPr>
      <w:rFonts w:eastAsia="仿宋_GB2312"/>
      <w:b/>
      <w:sz w:val="24"/>
      <w:szCs w:val="20"/>
    </w:rPr>
  </w:style>
  <w:style w:type="paragraph" w:customStyle="1" w:styleId="162">
    <w:name w:val="图文"/>
    <w:basedOn w:val="1"/>
    <w:qFormat/>
    <w:uiPriority w:val="0"/>
    <w:pPr>
      <w:adjustRightInd w:val="0"/>
      <w:snapToGrid w:val="0"/>
      <w:spacing w:after="50" w:line="360" w:lineRule="auto"/>
    </w:pPr>
    <w:rPr>
      <w:sz w:val="24"/>
    </w:rPr>
  </w:style>
  <w:style w:type="paragraph" w:customStyle="1" w:styleId="163">
    <w:name w:val="Char22"/>
    <w:basedOn w:val="1"/>
    <w:qFormat/>
    <w:uiPriority w:val="0"/>
    <w:rPr>
      <w:rFonts w:ascii="Tahoma" w:hAnsi="Tahoma"/>
      <w:sz w:val="24"/>
      <w:szCs w:val="20"/>
    </w:rPr>
  </w:style>
  <w:style w:type="paragraph" w:customStyle="1" w:styleId="164">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5">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6">
    <w:name w:val="标题1-附件"/>
    <w:basedOn w:val="3"/>
    <w:qFormat/>
    <w:uiPriority w:val="0"/>
    <w:pPr>
      <w:jc w:val="left"/>
    </w:pPr>
    <w:rPr>
      <w:sz w:val="24"/>
      <w:szCs w:val="24"/>
    </w:rPr>
  </w:style>
  <w:style w:type="paragraph" w:customStyle="1" w:styleId="167">
    <w:name w:val="Char3"/>
    <w:basedOn w:val="1"/>
    <w:qFormat/>
    <w:uiPriority w:val="0"/>
    <w:pPr>
      <w:tabs>
        <w:tab w:val="left" w:pos="360"/>
      </w:tabs>
    </w:pPr>
    <w:rPr>
      <w:sz w:val="24"/>
    </w:rPr>
  </w:style>
  <w:style w:type="paragraph" w:customStyle="1" w:styleId="168">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9">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70">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1">
    <w:name w:val="表格1"/>
    <w:basedOn w:val="1"/>
    <w:qFormat/>
    <w:uiPriority w:val="0"/>
    <w:pPr>
      <w:ind w:firstLine="480" w:firstLineChars="200"/>
      <w:jc w:val="center"/>
    </w:pPr>
    <w:rPr>
      <w:sz w:val="24"/>
      <w:szCs w:val="20"/>
    </w:rPr>
  </w:style>
  <w:style w:type="paragraph" w:customStyle="1" w:styleId="172">
    <w:name w:val="字元 字元2"/>
    <w:basedOn w:val="1"/>
    <w:qFormat/>
    <w:uiPriority w:val="0"/>
    <w:rPr>
      <w:rFonts w:ascii="Tahoma" w:hAnsi="Tahoma"/>
      <w:sz w:val="24"/>
      <w:szCs w:val="20"/>
    </w:rPr>
  </w:style>
  <w:style w:type="paragraph" w:customStyle="1" w:styleId="173">
    <w:name w:val="Char3 Char Char Char2"/>
    <w:basedOn w:val="1"/>
    <w:qFormat/>
    <w:uiPriority w:val="0"/>
    <w:rPr>
      <w:rFonts w:ascii="Tahoma" w:hAnsi="Tahoma"/>
      <w:sz w:val="24"/>
      <w:szCs w:val="20"/>
    </w:rPr>
  </w:style>
  <w:style w:type="paragraph" w:customStyle="1" w:styleId="17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5">
    <w:name w:val="列出段落2"/>
    <w:basedOn w:val="1"/>
    <w:qFormat/>
    <w:uiPriority w:val="0"/>
    <w:pPr>
      <w:ind w:firstLine="420" w:firstLineChars="200"/>
    </w:pPr>
    <w:rPr>
      <w:rFonts w:ascii="Calibri" w:hAnsi="Calibri"/>
      <w:szCs w:val="22"/>
    </w:rPr>
  </w:style>
  <w:style w:type="paragraph" w:customStyle="1" w:styleId="176">
    <w:name w:val="Char Char Char1 Char2"/>
    <w:basedOn w:val="1"/>
    <w:qFormat/>
    <w:uiPriority w:val="0"/>
    <w:rPr>
      <w:rFonts w:ascii="Tahoma" w:hAnsi="Tahoma"/>
      <w:sz w:val="24"/>
      <w:szCs w:val="20"/>
    </w:rPr>
  </w:style>
  <w:style w:type="paragraph" w:customStyle="1" w:styleId="177">
    <w:name w:val="Char Char Char2"/>
    <w:basedOn w:val="1"/>
    <w:qFormat/>
    <w:uiPriority w:val="0"/>
    <w:rPr>
      <w:rFonts w:ascii="Tahoma" w:hAnsi="Tahoma"/>
      <w:sz w:val="24"/>
      <w:szCs w:val="20"/>
    </w:rPr>
  </w:style>
  <w:style w:type="paragraph" w:customStyle="1" w:styleId="17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80">
    <w:name w:val="Revision"/>
    <w:qFormat/>
    <w:uiPriority w:val="0"/>
    <w:rPr>
      <w:rFonts w:ascii="Times New Roman" w:hAnsi="Times New Roman" w:eastAsia="宋体" w:cs="Times New Roman"/>
      <w:kern w:val="2"/>
      <w:sz w:val="21"/>
      <w:szCs w:val="24"/>
      <w:lang w:val="en-US" w:eastAsia="zh-CN" w:bidi="ar-SA"/>
    </w:rPr>
  </w:style>
  <w:style w:type="paragraph" w:customStyle="1" w:styleId="181">
    <w:name w:val="Char Char Char Char Char Char Char Char Char Char2"/>
    <w:basedOn w:val="1"/>
    <w:qFormat/>
    <w:uiPriority w:val="0"/>
    <w:rPr>
      <w:rFonts w:ascii="宋体" w:hAnsi="宋体" w:cs="Courier New"/>
      <w:sz w:val="32"/>
      <w:szCs w:val="32"/>
    </w:rPr>
  </w:style>
  <w:style w:type="paragraph" w:customStyle="1" w:styleId="182">
    <w:name w:val="Char2 Char Char Char Char Char Char1"/>
    <w:basedOn w:val="1"/>
    <w:qFormat/>
    <w:uiPriority w:val="0"/>
    <w:pPr>
      <w:widowControl/>
      <w:spacing w:line="400" w:lineRule="exact"/>
      <w:jc w:val="center"/>
    </w:pPr>
  </w:style>
  <w:style w:type="paragraph" w:customStyle="1" w:styleId="183">
    <w:name w:val="Char Char41"/>
    <w:basedOn w:val="1"/>
    <w:qFormat/>
    <w:uiPriority w:val="0"/>
    <w:pPr>
      <w:widowControl/>
      <w:spacing w:line="400" w:lineRule="exact"/>
      <w:jc w:val="center"/>
    </w:pPr>
  </w:style>
  <w:style w:type="paragraph" w:customStyle="1" w:styleId="184">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5">
    <w:name w:val="标题 1 Char"/>
    <w:link w:val="3"/>
    <w:qFormat/>
    <w:uiPriority w:val="0"/>
    <w:rPr>
      <w:rFonts w:ascii="宋体"/>
      <w:b/>
      <w:kern w:val="44"/>
      <w:sz w:val="32"/>
    </w:rPr>
  </w:style>
  <w:style w:type="character" w:customStyle="1" w:styleId="186">
    <w:name w:val="标题 2 Char1"/>
    <w:link w:val="4"/>
    <w:qFormat/>
    <w:uiPriority w:val="0"/>
    <w:rPr>
      <w:rFonts w:ascii="Arial" w:hAnsi="Arial" w:eastAsia="黑体"/>
      <w:b/>
      <w:sz w:val="30"/>
      <w:lang w:val="en-US" w:eastAsia="zh-CN" w:bidi="ar-SA"/>
    </w:rPr>
  </w:style>
  <w:style w:type="character" w:customStyle="1" w:styleId="187">
    <w:name w:val="标题 3 Char1"/>
    <w:link w:val="5"/>
    <w:qFormat/>
    <w:uiPriority w:val="0"/>
    <w:rPr>
      <w:rFonts w:ascii="宋体" w:eastAsia="宋体"/>
      <w:b/>
      <w:sz w:val="24"/>
      <w:u w:val="single"/>
      <w:lang w:val="en-US" w:eastAsia="zh-CN" w:bidi="ar-SA"/>
    </w:rPr>
  </w:style>
  <w:style w:type="character" w:customStyle="1" w:styleId="188">
    <w:name w:val="正文缩进 Char1"/>
    <w:link w:val="6"/>
    <w:qFormat/>
    <w:uiPriority w:val="0"/>
    <w:rPr>
      <w:rFonts w:ascii="宋体" w:eastAsia="宋体"/>
      <w:kern w:val="2"/>
      <w:sz w:val="24"/>
      <w:szCs w:val="24"/>
      <w:lang w:val="en-US" w:eastAsia="zh-CN" w:bidi="ar-SA"/>
    </w:rPr>
  </w:style>
  <w:style w:type="character" w:customStyle="1" w:styleId="189">
    <w:name w:val="标题 4 Char"/>
    <w:link w:val="7"/>
    <w:qFormat/>
    <w:uiPriority w:val="0"/>
    <w:rPr>
      <w:sz w:val="24"/>
    </w:rPr>
  </w:style>
  <w:style w:type="character" w:customStyle="1" w:styleId="190">
    <w:name w:val="标题 5 Char"/>
    <w:link w:val="8"/>
    <w:qFormat/>
    <w:uiPriority w:val="0"/>
    <w:rPr>
      <w:b/>
      <w:sz w:val="28"/>
    </w:rPr>
  </w:style>
  <w:style w:type="character" w:customStyle="1" w:styleId="191">
    <w:name w:val="标题 6 Char"/>
    <w:link w:val="9"/>
    <w:qFormat/>
    <w:uiPriority w:val="0"/>
    <w:rPr>
      <w:rFonts w:ascii="Arial" w:hAnsi="Arial" w:eastAsia="黑体"/>
      <w:b/>
      <w:sz w:val="24"/>
    </w:rPr>
  </w:style>
  <w:style w:type="character" w:customStyle="1" w:styleId="192">
    <w:name w:val="标题 7 Char"/>
    <w:link w:val="10"/>
    <w:qFormat/>
    <w:uiPriority w:val="0"/>
    <w:rPr>
      <w:b/>
      <w:sz w:val="24"/>
    </w:rPr>
  </w:style>
  <w:style w:type="character" w:customStyle="1" w:styleId="193">
    <w:name w:val="标题 8 Char"/>
    <w:link w:val="11"/>
    <w:qFormat/>
    <w:uiPriority w:val="0"/>
    <w:rPr>
      <w:rFonts w:ascii="Arial" w:hAnsi="Arial" w:eastAsia="黑体"/>
      <w:sz w:val="24"/>
    </w:rPr>
  </w:style>
  <w:style w:type="character" w:customStyle="1" w:styleId="194">
    <w:name w:val="标题 9 Char"/>
    <w:link w:val="12"/>
    <w:qFormat/>
    <w:uiPriority w:val="0"/>
    <w:rPr>
      <w:rFonts w:ascii="Arial" w:hAnsi="Arial" w:eastAsia="黑体"/>
      <w:sz w:val="21"/>
    </w:rPr>
  </w:style>
  <w:style w:type="character" w:customStyle="1" w:styleId="195">
    <w:name w:val="文档结构图 Char"/>
    <w:link w:val="15"/>
    <w:qFormat/>
    <w:uiPriority w:val="0"/>
    <w:rPr>
      <w:kern w:val="2"/>
      <w:sz w:val="21"/>
      <w:szCs w:val="24"/>
      <w:shd w:val="clear" w:color="auto" w:fill="000080"/>
    </w:rPr>
  </w:style>
  <w:style w:type="character" w:customStyle="1" w:styleId="196">
    <w:name w:val="批注文字 Char1"/>
    <w:link w:val="16"/>
    <w:qFormat/>
    <w:uiPriority w:val="99"/>
    <w:rPr>
      <w:kern w:val="2"/>
      <w:sz w:val="21"/>
      <w:szCs w:val="24"/>
    </w:rPr>
  </w:style>
  <w:style w:type="character" w:customStyle="1" w:styleId="197">
    <w:name w:val="正文文本 3 Char"/>
    <w:link w:val="17"/>
    <w:qFormat/>
    <w:uiPriority w:val="0"/>
    <w:rPr>
      <w:kern w:val="2"/>
      <w:sz w:val="16"/>
      <w:szCs w:val="16"/>
    </w:rPr>
  </w:style>
  <w:style w:type="character" w:customStyle="1" w:styleId="198">
    <w:name w:val="正文文本 Char"/>
    <w:link w:val="18"/>
    <w:qFormat/>
    <w:uiPriority w:val="0"/>
    <w:rPr>
      <w:rFonts w:ascii="宋体" w:hAnsi="宋体"/>
      <w:kern w:val="2"/>
      <w:sz w:val="24"/>
      <w:szCs w:val="24"/>
    </w:rPr>
  </w:style>
  <w:style w:type="character" w:customStyle="1" w:styleId="199">
    <w:name w:val="正文文本缩进 Char2"/>
    <w:link w:val="20"/>
    <w:qFormat/>
    <w:uiPriority w:val="0"/>
    <w:rPr>
      <w:rFonts w:eastAsia="宋体"/>
      <w:kern w:val="2"/>
      <w:sz w:val="24"/>
      <w:szCs w:val="24"/>
      <w:lang w:val="en-US" w:eastAsia="zh-CN" w:bidi="ar-SA"/>
    </w:rPr>
  </w:style>
  <w:style w:type="character" w:customStyle="1" w:styleId="200">
    <w:name w:val="纯文本 Char"/>
    <w:link w:val="26"/>
    <w:qFormat/>
    <w:uiPriority w:val="0"/>
    <w:rPr>
      <w:rFonts w:hint="eastAsia" w:ascii="宋体" w:hAnsi="Courier New" w:eastAsia="宋体" w:cs="宋体"/>
      <w:kern w:val="2"/>
      <w:sz w:val="21"/>
    </w:rPr>
  </w:style>
  <w:style w:type="character" w:customStyle="1" w:styleId="201">
    <w:name w:val="日期 Char"/>
    <w:link w:val="28"/>
    <w:qFormat/>
    <w:uiPriority w:val="0"/>
    <w:rPr>
      <w:rFonts w:ascii="仿宋_GB2312" w:hAnsi="宋体" w:eastAsia="仿宋_GB2312"/>
      <w:color w:val="000000"/>
      <w:kern w:val="2"/>
      <w:sz w:val="24"/>
      <w:szCs w:val="24"/>
    </w:rPr>
  </w:style>
  <w:style w:type="character" w:customStyle="1" w:styleId="202">
    <w:name w:val="正文文本缩进 2 Char"/>
    <w:link w:val="29"/>
    <w:qFormat/>
    <w:uiPriority w:val="0"/>
    <w:rPr>
      <w:rFonts w:ascii="仿宋_GB2312" w:eastAsia="仿宋_GB2312"/>
      <w:kern w:val="2"/>
      <w:sz w:val="24"/>
      <w:szCs w:val="24"/>
    </w:rPr>
  </w:style>
  <w:style w:type="character" w:customStyle="1" w:styleId="203">
    <w:name w:val="批注框文本 Char"/>
    <w:link w:val="30"/>
    <w:qFormat/>
    <w:uiPriority w:val="0"/>
    <w:rPr>
      <w:kern w:val="2"/>
      <w:sz w:val="18"/>
      <w:szCs w:val="18"/>
    </w:rPr>
  </w:style>
  <w:style w:type="character" w:customStyle="1" w:styleId="204">
    <w:name w:val="页脚 Char1"/>
    <w:link w:val="2"/>
    <w:qFormat/>
    <w:uiPriority w:val="99"/>
    <w:rPr>
      <w:rFonts w:ascii="宋体" w:eastAsia="宋体"/>
      <w:sz w:val="18"/>
      <w:lang w:val="en-US" w:eastAsia="zh-CN" w:bidi="ar-SA"/>
    </w:rPr>
  </w:style>
  <w:style w:type="character" w:customStyle="1" w:styleId="205">
    <w:name w:val="页眉 Char1"/>
    <w:link w:val="31"/>
    <w:qFormat/>
    <w:uiPriority w:val="0"/>
    <w:rPr>
      <w:rFonts w:eastAsia="宋体"/>
      <w:kern w:val="2"/>
      <w:sz w:val="18"/>
      <w:szCs w:val="18"/>
      <w:lang w:val="en-US" w:eastAsia="zh-CN" w:bidi="ar-SA"/>
    </w:rPr>
  </w:style>
  <w:style w:type="character" w:customStyle="1" w:styleId="206">
    <w:name w:val="正文文本缩进 3 Char"/>
    <w:link w:val="35"/>
    <w:qFormat/>
    <w:uiPriority w:val="0"/>
    <w:rPr>
      <w:rFonts w:ascii="宋体"/>
      <w:sz w:val="24"/>
    </w:rPr>
  </w:style>
  <w:style w:type="character" w:customStyle="1" w:styleId="207">
    <w:name w:val="HTML 预设格式 Char"/>
    <w:link w:val="38"/>
    <w:qFormat/>
    <w:uiPriority w:val="0"/>
    <w:rPr>
      <w:rFonts w:ascii="宋体" w:hAnsi="宋体" w:cs="宋体"/>
      <w:sz w:val="24"/>
      <w:szCs w:val="24"/>
    </w:rPr>
  </w:style>
  <w:style w:type="character" w:customStyle="1" w:styleId="208">
    <w:name w:val="标题 Char1"/>
    <w:link w:val="41"/>
    <w:qFormat/>
    <w:uiPriority w:val="0"/>
    <w:rPr>
      <w:b/>
      <w:kern w:val="2"/>
      <w:sz w:val="32"/>
    </w:rPr>
  </w:style>
  <w:style w:type="character" w:customStyle="1" w:styleId="209">
    <w:name w:val="批注主题 Char"/>
    <w:link w:val="42"/>
    <w:qFormat/>
    <w:uiPriority w:val="0"/>
    <w:rPr>
      <w:rFonts w:ascii="Times New Roman" w:hAnsi="Times New Roman" w:eastAsia="宋体" w:cs="Times New Roman"/>
      <w:b/>
      <w:bCs/>
      <w:kern w:val="2"/>
      <w:sz w:val="21"/>
      <w:szCs w:val="24"/>
      <w:lang w:val="en-US" w:eastAsia="zh-CN" w:bidi="ar-SA"/>
    </w:rPr>
  </w:style>
  <w:style w:type="character" w:customStyle="1" w:styleId="210">
    <w:name w:val="正文首行缩进 2 Char"/>
    <w:link w:val="43"/>
    <w:qFormat/>
    <w:uiPriority w:val="0"/>
    <w:rPr>
      <w:rFonts w:eastAsia="宋体"/>
      <w:kern w:val="2"/>
      <w:sz w:val="24"/>
      <w:szCs w:val="24"/>
      <w:lang w:val="en-US" w:eastAsia="zh-CN" w:bidi="ar-SA"/>
    </w:rPr>
  </w:style>
  <w:style w:type="character" w:customStyle="1" w:styleId="211">
    <w:name w:val="c21"/>
    <w:qFormat/>
    <w:uiPriority w:val="0"/>
    <w:rPr>
      <w:rFonts w:hint="default" w:ascii="ˎ̥" w:hAnsi="ˎ̥"/>
      <w:color w:val="000000"/>
      <w:sz w:val="20"/>
      <w:szCs w:val="20"/>
      <w:u w:val="none"/>
    </w:rPr>
  </w:style>
  <w:style w:type="character" w:customStyle="1" w:styleId="212">
    <w:name w:val="批注文字 Char"/>
    <w:qFormat/>
    <w:uiPriority w:val="99"/>
    <w:rPr>
      <w:kern w:val="2"/>
      <w:sz w:val="21"/>
      <w:szCs w:val="24"/>
    </w:rPr>
  </w:style>
  <w:style w:type="character" w:customStyle="1" w:styleId="213">
    <w:name w:val="页眉 Char"/>
    <w:qFormat/>
    <w:uiPriority w:val="0"/>
    <w:rPr>
      <w:rFonts w:eastAsia="宋体"/>
      <w:kern w:val="2"/>
      <w:sz w:val="18"/>
      <w:szCs w:val="18"/>
      <w:lang w:val="en-US" w:eastAsia="zh-CN" w:bidi="ar-SA"/>
    </w:rPr>
  </w:style>
  <w:style w:type="character" w:customStyle="1" w:styleId="214">
    <w:name w:val="注释 Char"/>
    <w:link w:val="55"/>
    <w:qFormat/>
    <w:uiPriority w:val="0"/>
    <w:rPr>
      <w:rFonts w:ascii="宋体" w:hAnsi="宋体"/>
      <w:kern w:val="2"/>
      <w:sz w:val="21"/>
      <w:szCs w:val="21"/>
    </w:rPr>
  </w:style>
  <w:style w:type="character" w:customStyle="1" w:styleId="215">
    <w:name w:val="cf01"/>
    <w:qFormat/>
    <w:uiPriority w:val="0"/>
    <w:rPr>
      <w:rFonts w:hint="eastAsia" w:ascii="Microsoft YaHei UI" w:hAnsi="Microsoft YaHei UI" w:eastAsia="Microsoft YaHei UI"/>
      <w:sz w:val="18"/>
      <w:szCs w:val="18"/>
    </w:rPr>
  </w:style>
  <w:style w:type="character" w:customStyle="1" w:styleId="216">
    <w:name w:val="批注文字 字符"/>
    <w:qFormat/>
    <w:uiPriority w:val="99"/>
    <w:rPr>
      <w:rFonts w:ascii="Times New Roman" w:hAnsi="Times New Roman" w:eastAsia="宋体" w:cs="Times New Roman"/>
      <w:sz w:val="24"/>
      <w:lang w:val="en-US" w:eastAsia="zh-CN" w:bidi="ar-SA"/>
    </w:rPr>
  </w:style>
  <w:style w:type="character" w:customStyle="1" w:styleId="217">
    <w:name w:val="标题 2 Char Char"/>
    <w:qFormat/>
    <w:uiPriority w:val="0"/>
    <w:rPr>
      <w:rFonts w:ascii="Arial" w:hAnsi="Arial" w:eastAsia="黑体"/>
      <w:b/>
      <w:bCs/>
      <w:kern w:val="2"/>
      <w:sz w:val="32"/>
      <w:szCs w:val="32"/>
      <w:lang w:val="en-US" w:eastAsia="zh-CN" w:bidi="ar-SA"/>
    </w:rPr>
  </w:style>
  <w:style w:type="character" w:customStyle="1" w:styleId="218">
    <w:name w:val="chanpin1"/>
    <w:qFormat/>
    <w:uiPriority w:val="0"/>
    <w:rPr>
      <w:rFonts w:hint="default" w:ascii="ˎ̥" w:hAnsi="ˎ̥"/>
      <w:color w:val="000000"/>
      <w:sz w:val="20"/>
      <w:szCs w:val="20"/>
      <w:u w:val="none"/>
    </w:rPr>
  </w:style>
  <w:style w:type="character" w:customStyle="1" w:styleId="219">
    <w:name w:val="txt"/>
    <w:qFormat/>
    <w:uiPriority w:val="0"/>
  </w:style>
  <w:style w:type="character" w:customStyle="1" w:styleId="220">
    <w:name w:val="正文文本缩进 Char1"/>
    <w:link w:val="56"/>
    <w:qFormat/>
    <w:uiPriority w:val="0"/>
    <w:rPr>
      <w:rFonts w:ascii="宋体" w:hAnsi="宋体" w:eastAsia="宋体"/>
      <w:sz w:val="24"/>
      <w:szCs w:val="24"/>
      <w:lang w:bidi="ar-SA"/>
    </w:rPr>
  </w:style>
  <w:style w:type="character" w:customStyle="1" w:styleId="221">
    <w:name w:val="普通文字1 Char1"/>
    <w:qFormat/>
    <w:uiPriority w:val="0"/>
    <w:rPr>
      <w:rFonts w:ascii="宋体" w:hAnsi="Courier New" w:eastAsia="宋体"/>
      <w:kern w:val="2"/>
      <w:sz w:val="21"/>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大标题 Char"/>
    <w:link w:val="57"/>
    <w:qFormat/>
    <w:uiPriority w:val="0"/>
    <w:rPr>
      <w:rFonts w:ascii="宋体" w:hAnsi="宋体"/>
      <w:b/>
      <w:color w:val="000000"/>
      <w:kern w:val="2"/>
      <w:sz w:val="28"/>
      <w:szCs w:val="21"/>
    </w:rPr>
  </w:style>
  <w:style w:type="character" w:customStyle="1" w:styleId="224">
    <w:name w:val="正文小标题 Char"/>
    <w:link w:val="58"/>
    <w:qFormat/>
    <w:uiPriority w:val="0"/>
    <w:rPr>
      <w:rFonts w:ascii="宋体" w:hAnsi="宋体"/>
      <w:b/>
      <w:i/>
      <w:color w:val="FF0000"/>
      <w:kern w:val="2"/>
      <w:sz w:val="24"/>
    </w:rPr>
  </w:style>
  <w:style w:type="character" w:customStyle="1" w:styleId="225">
    <w:name w:val="纯文本 Char1"/>
    <w:qFormat/>
    <w:uiPriority w:val="0"/>
    <w:rPr>
      <w:rFonts w:ascii="宋体" w:hAnsi="Courier New" w:eastAsia="宋体"/>
      <w:kern w:val="2"/>
      <w:sz w:val="21"/>
      <w:lang w:val="en-US" w:eastAsia="zh-CN" w:bidi="ar-SA"/>
    </w:rPr>
  </w:style>
  <w:style w:type="character" w:customStyle="1" w:styleId="226">
    <w:name w:val="列出段落 Char1"/>
    <w:link w:val="59"/>
    <w:qFormat/>
    <w:uiPriority w:val="34"/>
    <w:rPr>
      <w:rFonts w:ascii="Calibri" w:hAnsi="Calibri" w:eastAsia="宋体"/>
      <w:kern w:val="2"/>
      <w:sz w:val="21"/>
      <w:szCs w:val="22"/>
      <w:lang w:val="en-US" w:eastAsia="zh-CN" w:bidi="ar-SA"/>
    </w:rPr>
  </w:style>
  <w:style w:type="character" w:customStyle="1" w:styleId="227">
    <w:name w:val="正文格式 Char"/>
    <w:link w:val="60"/>
    <w:qFormat/>
    <w:locked/>
    <w:uiPriority w:val="0"/>
    <w:rPr>
      <w:rFonts w:ascii="宋体" w:hAnsi="宋体"/>
      <w:sz w:val="24"/>
      <w:szCs w:val="24"/>
      <w:lang w:val="en-GB"/>
    </w:rPr>
  </w:style>
  <w:style w:type="character" w:customStyle="1" w:styleId="228">
    <w:name w:val="纯文本 字符1"/>
    <w:qFormat/>
    <w:uiPriority w:val="0"/>
    <w:rPr>
      <w:rFonts w:ascii="宋体" w:hAnsi="Courier New"/>
    </w:rPr>
  </w:style>
  <w:style w:type="character" w:customStyle="1" w:styleId="229">
    <w:name w:val="bjh-p"/>
    <w:qFormat/>
    <w:uiPriority w:val="0"/>
  </w:style>
  <w:style w:type="character" w:customStyle="1" w:styleId="230">
    <w:name w:val="正文缩进 Char"/>
    <w:qFormat/>
    <w:uiPriority w:val="0"/>
    <w:rPr>
      <w:rFonts w:ascii="宋体" w:eastAsia="宋体"/>
      <w:kern w:val="2"/>
      <w:sz w:val="24"/>
      <w:szCs w:val="24"/>
      <w:lang w:val="en-US" w:eastAsia="zh-CN" w:bidi="ar-SA"/>
    </w:rPr>
  </w:style>
  <w:style w:type="character" w:customStyle="1" w:styleId="231">
    <w:name w:val="正文文本缩进 Char"/>
    <w:qFormat/>
    <w:uiPriority w:val="0"/>
    <w:rPr>
      <w:rFonts w:eastAsia="宋体"/>
      <w:kern w:val="2"/>
      <w:sz w:val="24"/>
      <w:szCs w:val="24"/>
      <w:lang w:val="en-US" w:eastAsia="zh-CN" w:bidi="ar-SA"/>
    </w:rPr>
  </w:style>
  <w:style w:type="character" w:customStyle="1" w:styleId="232">
    <w:name w:val="页脚 Char"/>
    <w:qFormat/>
    <w:uiPriority w:val="0"/>
    <w:rPr>
      <w:rFonts w:ascii="宋体" w:eastAsia="宋体"/>
      <w:sz w:val="18"/>
      <w:lang w:val="en-US" w:eastAsia="zh-CN" w:bidi="ar-SA"/>
    </w:rPr>
  </w:style>
  <w:style w:type="character" w:customStyle="1" w:styleId="233">
    <w:name w:val="cf21"/>
    <w:qFormat/>
    <w:uiPriority w:val="0"/>
    <w:rPr>
      <w:rFonts w:hint="eastAsia" w:ascii="Microsoft YaHei UI" w:hAnsi="Microsoft YaHei UI" w:eastAsia="Microsoft YaHei UI"/>
      <w:sz w:val="18"/>
      <w:szCs w:val="18"/>
      <w:shd w:val="clear" w:color="auto" w:fill="FFFFFF"/>
    </w:rPr>
  </w:style>
  <w:style w:type="character" w:customStyle="1" w:styleId="234">
    <w:name w:val="street-address"/>
    <w:qFormat/>
    <w:uiPriority w:val="0"/>
  </w:style>
  <w:style w:type="character" w:customStyle="1" w:styleId="235">
    <w:name w:val="正文缩进 Char Char"/>
    <w:link w:val="61"/>
    <w:qFormat/>
    <w:uiPriority w:val="0"/>
    <w:rPr>
      <w:rFonts w:ascii="宋体" w:eastAsia="宋体"/>
      <w:snapToGrid w:val="0"/>
      <w:color w:val="000000"/>
      <w:kern w:val="28"/>
      <w:sz w:val="28"/>
      <w:lang w:bidi="ar-SA"/>
    </w:rPr>
  </w:style>
  <w:style w:type="character" w:customStyle="1" w:styleId="236">
    <w:name w:val="Char Char11"/>
    <w:qFormat/>
    <w:uiPriority w:val="0"/>
    <w:rPr>
      <w:rFonts w:ascii="宋体" w:eastAsia="宋体"/>
      <w:b/>
      <w:sz w:val="24"/>
      <w:u w:val="single"/>
      <w:lang w:val="en-US" w:eastAsia="zh-CN" w:bidi="ar-SA"/>
    </w:rPr>
  </w:style>
  <w:style w:type="character" w:customStyle="1" w:styleId="237">
    <w:name w:val="title4"/>
    <w:qFormat/>
    <w:uiPriority w:val="0"/>
    <w:rPr>
      <w:b/>
      <w:bCs/>
      <w:color w:val="1D87B3"/>
      <w:sz w:val="15"/>
      <w:szCs w:val="15"/>
    </w:rPr>
  </w:style>
  <w:style w:type="character" w:customStyle="1" w:styleId="238">
    <w:name w:val="正文表格 Char"/>
    <w:link w:val="62"/>
    <w:qFormat/>
    <w:uiPriority w:val="0"/>
    <w:rPr>
      <w:rFonts w:ascii="宋体" w:hAnsi="宋体"/>
      <w:color w:val="000000"/>
      <w:kern w:val="2"/>
      <w:sz w:val="21"/>
      <w:szCs w:val="21"/>
    </w:rPr>
  </w:style>
  <w:style w:type="character" w:customStyle="1" w:styleId="239">
    <w:name w:val="正文重点 Char"/>
    <w:link w:val="63"/>
    <w:qFormat/>
    <w:uiPriority w:val="0"/>
    <w:rPr>
      <w:b/>
      <w:sz w:val="24"/>
    </w:rPr>
  </w:style>
  <w:style w:type="character" w:customStyle="1" w:styleId="240">
    <w:name w:val="标题 2 Char"/>
    <w:qFormat/>
    <w:uiPriority w:val="0"/>
    <w:rPr>
      <w:rFonts w:ascii="Arial" w:hAnsi="Arial" w:eastAsia="黑体"/>
      <w:b/>
      <w:sz w:val="30"/>
      <w:lang w:val="en-US" w:eastAsia="zh-CN" w:bidi="ar-SA"/>
    </w:rPr>
  </w:style>
  <w:style w:type="character" w:customStyle="1" w:styleId="241">
    <w:name w:val="标题 3 Char"/>
    <w:qFormat/>
    <w:uiPriority w:val="0"/>
    <w:rPr>
      <w:rFonts w:ascii="宋体" w:eastAsia="宋体"/>
      <w:b/>
      <w:sz w:val="24"/>
      <w:u w:val="single"/>
      <w:lang w:val="en-US" w:eastAsia="zh-CN" w:bidi="ar-SA"/>
    </w:rPr>
  </w:style>
  <w:style w:type="character" w:customStyle="1" w:styleId="242">
    <w:name w:val="纯文本 字符"/>
    <w:qFormat/>
    <w:uiPriority w:val="99"/>
    <w:rPr>
      <w:rFonts w:ascii="宋体" w:hAnsi="Courier New" w:eastAsia="宋体" w:cs="Times New Roman"/>
      <w:kern w:val="2"/>
      <w:sz w:val="21"/>
      <w:szCs w:val="21"/>
      <w:lang w:val="en-US" w:eastAsia="zh-CN" w:bidi="ar-SA"/>
    </w:rPr>
  </w:style>
  <w:style w:type="character" w:customStyle="1" w:styleId="243">
    <w:name w:val="列出段落 Char"/>
    <w:qFormat/>
    <w:uiPriority w:val="0"/>
    <w:rPr>
      <w:rFonts w:ascii="Calibri" w:hAnsi="Calibri" w:eastAsia="宋体"/>
      <w:kern w:val="2"/>
      <w:sz w:val="21"/>
      <w:szCs w:val="22"/>
      <w:lang w:val="en-US" w:eastAsia="zh-CN" w:bidi="ar-SA"/>
    </w:rPr>
  </w:style>
  <w:style w:type="character" w:customStyle="1" w:styleId="244">
    <w:name w:val="cf11"/>
    <w:qFormat/>
    <w:uiPriority w:val="0"/>
    <w:rPr>
      <w:rFonts w:hint="eastAsia" w:ascii="Microsoft YaHei UI" w:hAnsi="Microsoft YaHei UI" w:eastAsia="Microsoft YaHei UI"/>
      <w:sz w:val="18"/>
      <w:szCs w:val="18"/>
    </w:rPr>
  </w:style>
  <w:style w:type="character" w:customStyle="1" w:styleId="245">
    <w:name w:val="black1"/>
    <w:qFormat/>
    <w:uiPriority w:val="0"/>
    <w:rPr>
      <w:color w:val="000000"/>
    </w:rPr>
  </w:style>
  <w:style w:type="character" w:customStyle="1" w:styleId="246">
    <w:name w:val="locality"/>
    <w:qFormat/>
    <w:uiPriority w:val="0"/>
  </w:style>
  <w:style w:type="character" w:customStyle="1" w:styleId="247">
    <w:name w:val="标题 3 Char Char"/>
    <w:qFormat/>
    <w:uiPriority w:val="0"/>
    <w:rPr>
      <w:rFonts w:eastAsia="宋体"/>
      <w:b/>
      <w:bCs/>
      <w:kern w:val="2"/>
      <w:sz w:val="32"/>
      <w:szCs w:val="32"/>
      <w:lang w:val="en-US" w:eastAsia="zh-CN" w:bidi="ar-SA"/>
    </w:rPr>
  </w:style>
  <w:style w:type="character" w:customStyle="1" w:styleId="248">
    <w:name w:val="段1 Char"/>
    <w:qFormat/>
    <w:uiPriority w:val="0"/>
    <w:rPr>
      <w:rFonts w:ascii="宋体" w:eastAsia="宋体"/>
      <w:sz w:val="24"/>
      <w:lang w:val="en-US" w:eastAsia="zh-CN" w:bidi="ar-SA"/>
    </w:rPr>
  </w:style>
  <w:style w:type="character" w:customStyle="1" w:styleId="249">
    <w:name w:val="chanpin拷贝"/>
    <w:qFormat/>
    <w:uiPriority w:val="0"/>
  </w:style>
  <w:style w:type="character" w:customStyle="1" w:styleId="250">
    <w:name w:val="apple-style-span"/>
    <w:qFormat/>
    <w:uiPriority w:val="0"/>
    <w:rPr>
      <w:rFonts w:cs="Times New Roman"/>
    </w:rPr>
  </w:style>
  <w:style w:type="character" w:customStyle="1" w:styleId="251">
    <w:name w:val="中等深浅网格 1 - 强调文字颜色 2 Char"/>
    <w:link w:val="64"/>
    <w:qFormat/>
    <w:uiPriority w:val="0"/>
    <w:rPr>
      <w:kern w:val="2"/>
      <w:sz w:val="21"/>
      <w:szCs w:val="24"/>
      <w:lang w:val="zh-CN" w:eastAsia="zh-CN"/>
    </w:rPr>
  </w:style>
  <w:style w:type="character" w:customStyle="1" w:styleId="252">
    <w:name w:val="标题 Char"/>
    <w:qFormat/>
    <w:uiPriority w:val="0"/>
    <w:rPr>
      <w:b/>
      <w:kern w:val="2"/>
      <w:sz w:val="32"/>
    </w:rPr>
  </w:style>
  <w:style w:type="table" w:customStyle="1" w:styleId="253">
    <w:name w:val="Table Normal"/>
    <w:unhideWhenUsed/>
    <w:qFormat/>
    <w:uiPriority w:val="2"/>
    <w:pPr>
      <w:widowControl w:val="0"/>
      <w:autoSpaceDE w:val="0"/>
      <w:autoSpaceDN w:val="0"/>
    </w:pPr>
    <w:rPr>
      <w:rFonts w:ascii="Calibri" w:hAnsi="Calibri"/>
      <w:sz w:val="22"/>
      <w:szCs w:val="22"/>
      <w:lang w:val="en-US" w:eastAsia="en-US" w:bidi="ar-SA"/>
    </w:rPr>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70</Pages>
  <Words>11966</Words>
  <Characters>12690</Characters>
  <Lines>252</Lines>
  <Paragraphs>71</Paragraphs>
  <TotalTime>165</TotalTime>
  <ScaleCrop>false</ScaleCrop>
  <LinksUpToDate>false</LinksUpToDate>
  <CharactersWithSpaces>12821</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2024-06-06T09:36:00Z</dcterms:created>
  <dc:creator>Yin Hao</dc:creator>
  <cp:lastModifiedBy>wanglin</cp:lastModifiedBy>
  <cp:lastPrinted>2020-04-03T03:13:00Z</cp:lastPrinted>
  <dcterms:modified xsi:type="dcterms:W3CDTF">2026-04-10T01:56:52Z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AB739AABE50AE19C0F7DD469F2086083</vt:lpwstr>
  </property>
  <property fmtid="{D5CDD505-2E9C-101B-9397-08002B2CF9AE}" pid="4" name="KSOTemplateDocerSaveRecord">
    <vt:lpwstr>eyJoZGlkIjoiZDY2ZGE0NTNjMjczYjk4NjU0NDRhYjBhMjQwOTk3ZjUiLCJ1c2VySWQiOiI1ODk3MTQzNjQifQ==</vt:lpwstr>
  </property>
</Properties>
</file>