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AD75" w14:textId="77777777" w:rsidR="00EB498A" w:rsidRPr="00EB498A" w:rsidRDefault="00EB498A" w:rsidP="00EB498A">
      <w:pPr>
        <w:spacing w:line="360" w:lineRule="auto"/>
        <w:jc w:val="center"/>
        <w:outlineLvl w:val="0"/>
        <w:rPr>
          <w:rFonts w:ascii="Times New Roman" w:eastAsia="宋体" w:hAnsi="Times New Roman" w:cs="Times New Roman"/>
          <w:b/>
          <w:sz w:val="36"/>
          <w:szCs w:val="36"/>
          <w14:ligatures w14:val="none"/>
        </w:rPr>
      </w:pPr>
      <w:r w:rsidRPr="00EB498A">
        <w:rPr>
          <w:rFonts w:ascii="Times New Roman" w:eastAsia="宋体" w:hAnsi="Times New Roman" w:cs="Times New Roman"/>
          <w:b/>
          <w:sz w:val="36"/>
          <w:szCs w:val="36"/>
          <w14:ligatures w14:val="none"/>
        </w:rPr>
        <w:t>采购需求</w:t>
      </w:r>
    </w:p>
    <w:p w14:paraId="68EC3D37" w14:textId="77777777" w:rsidR="00EB498A" w:rsidRPr="00EB498A" w:rsidRDefault="00EB498A" w:rsidP="00EB498A">
      <w:pPr>
        <w:numPr>
          <w:ilvl w:val="0"/>
          <w:numId w:val="1"/>
        </w:numPr>
        <w:spacing w:line="360" w:lineRule="auto"/>
        <w:contextualSpacing/>
        <w:jc w:val="both"/>
        <w:rPr>
          <w:rFonts w:ascii="Times New Roman" w:eastAsia="宋体" w:hAnsi="Times New Roman" w:cs="Times New Roman"/>
          <w:b/>
          <w:sz w:val="24"/>
          <w14:ligatures w14:val="none"/>
        </w:rPr>
      </w:pPr>
      <w:r w:rsidRPr="00EB498A">
        <w:rPr>
          <w:rFonts w:ascii="Times New Roman" w:eastAsia="宋体" w:hAnsi="Times New Roman" w:cs="Times New Roman"/>
          <w:b/>
          <w:sz w:val="24"/>
          <w14:ligatures w14:val="none"/>
        </w:rPr>
        <w:t>采购标的</w:t>
      </w:r>
    </w:p>
    <w:p w14:paraId="49F54D68" w14:textId="77777777" w:rsidR="00EB498A" w:rsidRPr="00EB498A" w:rsidRDefault="00EB498A" w:rsidP="00EB498A">
      <w:pPr>
        <w:spacing w:line="360" w:lineRule="auto"/>
        <w:contextualSpacing/>
        <w:jc w:val="both"/>
        <w:rPr>
          <w:rFonts w:ascii="Times New Roman" w:eastAsia="宋体" w:hAnsi="Times New Roman" w:cs="Times New Roman"/>
          <w:bCs/>
          <w:sz w:val="24"/>
          <w14:ligatures w14:val="none"/>
        </w:rPr>
      </w:pPr>
      <w:r w:rsidRPr="00EB498A">
        <w:rPr>
          <w:rFonts w:ascii="Times New Roman" w:eastAsia="宋体" w:hAnsi="Times New Roman" w:cs="Times New Roman"/>
          <w:bCs/>
          <w:sz w:val="24"/>
          <w14:ligatures w14:val="none"/>
        </w:rPr>
        <w:t xml:space="preserve">1. </w:t>
      </w:r>
      <w:r w:rsidRPr="00EB498A">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93"/>
        <w:gridCol w:w="1430"/>
        <w:gridCol w:w="777"/>
        <w:gridCol w:w="3888"/>
      </w:tblGrid>
      <w:tr w:rsidR="00EB498A" w:rsidRPr="00EB498A" w14:paraId="742916B3" w14:textId="77777777" w:rsidTr="0082389D">
        <w:trPr>
          <w:trHeight w:val="454"/>
        </w:trPr>
        <w:tc>
          <w:tcPr>
            <w:tcW w:w="427" w:type="pct"/>
            <w:vAlign w:val="center"/>
          </w:tcPr>
          <w:p w14:paraId="62A7743B"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hint="eastAsia"/>
                <w:bCs/>
                <w:sz w:val="21"/>
                <w:szCs w:val="21"/>
                <w14:ligatures w14:val="none"/>
              </w:rPr>
              <w:t>包号</w:t>
            </w:r>
          </w:p>
        </w:tc>
        <w:tc>
          <w:tcPr>
            <w:tcW w:w="900" w:type="pct"/>
            <w:vAlign w:val="center"/>
          </w:tcPr>
          <w:p w14:paraId="4D22F963"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bCs/>
                <w:sz w:val="21"/>
                <w:szCs w:val="21"/>
                <w14:ligatures w14:val="none"/>
              </w:rPr>
              <w:t>标的名称</w:t>
            </w:r>
          </w:p>
        </w:tc>
        <w:tc>
          <w:tcPr>
            <w:tcW w:w="862" w:type="pct"/>
            <w:vAlign w:val="center"/>
          </w:tcPr>
          <w:p w14:paraId="51C631C4"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hint="eastAsia"/>
                <w:bCs/>
                <w:sz w:val="21"/>
                <w:szCs w:val="21"/>
                <w14:ligatures w14:val="none"/>
              </w:rPr>
              <w:t>采购包预算金额（万元）</w:t>
            </w:r>
          </w:p>
        </w:tc>
        <w:tc>
          <w:tcPr>
            <w:tcW w:w="468" w:type="pct"/>
            <w:vAlign w:val="center"/>
          </w:tcPr>
          <w:p w14:paraId="3B700E23"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hint="eastAsia"/>
                <w:bCs/>
                <w:sz w:val="21"/>
                <w:szCs w:val="21"/>
                <w14:ligatures w14:val="none"/>
              </w:rPr>
              <w:t>数量</w:t>
            </w:r>
          </w:p>
        </w:tc>
        <w:tc>
          <w:tcPr>
            <w:tcW w:w="2343" w:type="pct"/>
            <w:vAlign w:val="center"/>
          </w:tcPr>
          <w:p w14:paraId="54DB17B3"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bCs/>
                <w:sz w:val="21"/>
                <w:szCs w:val="21"/>
                <w14:ligatures w14:val="none"/>
              </w:rPr>
              <w:t>简要技术需求或服务要求</w:t>
            </w:r>
          </w:p>
        </w:tc>
      </w:tr>
      <w:tr w:rsidR="00EB498A" w:rsidRPr="00EB498A" w14:paraId="0A9BCB83" w14:textId="77777777" w:rsidTr="0082389D">
        <w:trPr>
          <w:trHeight w:val="454"/>
        </w:trPr>
        <w:tc>
          <w:tcPr>
            <w:tcW w:w="427" w:type="pct"/>
            <w:vAlign w:val="center"/>
          </w:tcPr>
          <w:p w14:paraId="6758C7B6"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bCs/>
                <w:sz w:val="21"/>
                <w:szCs w:val="21"/>
                <w14:ligatures w14:val="none"/>
              </w:rPr>
              <w:t>1</w:t>
            </w:r>
          </w:p>
        </w:tc>
        <w:tc>
          <w:tcPr>
            <w:tcW w:w="900" w:type="pct"/>
            <w:vAlign w:val="center"/>
          </w:tcPr>
          <w:p w14:paraId="53F28687"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hint="eastAsia"/>
                <w:bCs/>
                <w:sz w:val="21"/>
                <w:szCs w:val="21"/>
                <w14:ligatures w14:val="none"/>
              </w:rPr>
              <w:t>通州院区气灭系统检修</w:t>
            </w:r>
          </w:p>
        </w:tc>
        <w:tc>
          <w:tcPr>
            <w:tcW w:w="862" w:type="pct"/>
            <w:vAlign w:val="center"/>
          </w:tcPr>
          <w:p w14:paraId="1A1FDB16"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bCs/>
                <w:sz w:val="21"/>
                <w:szCs w:val="21"/>
                <w14:ligatures w14:val="none"/>
              </w:rPr>
              <w:t>174</w:t>
            </w:r>
          </w:p>
        </w:tc>
        <w:tc>
          <w:tcPr>
            <w:tcW w:w="468" w:type="pct"/>
            <w:vAlign w:val="center"/>
          </w:tcPr>
          <w:p w14:paraId="5324A000"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hint="eastAsia"/>
                <w:bCs/>
                <w:sz w:val="21"/>
                <w:szCs w:val="21"/>
                <w14:ligatures w14:val="none"/>
              </w:rPr>
              <w:t>1</w:t>
            </w:r>
            <w:r w:rsidRPr="00EB498A">
              <w:rPr>
                <w:rFonts w:ascii="Times New Roman" w:eastAsia="宋体" w:hAnsi="Times New Roman" w:cs="Times New Roman" w:hint="eastAsia"/>
                <w:bCs/>
                <w:sz w:val="21"/>
                <w:szCs w:val="21"/>
                <w14:ligatures w14:val="none"/>
              </w:rPr>
              <w:t>项</w:t>
            </w:r>
          </w:p>
        </w:tc>
        <w:tc>
          <w:tcPr>
            <w:tcW w:w="2343" w:type="pct"/>
            <w:vAlign w:val="center"/>
          </w:tcPr>
          <w:p w14:paraId="3F1B0501" w14:textId="77777777" w:rsidR="00EB498A" w:rsidRPr="00EB498A" w:rsidRDefault="00EB498A" w:rsidP="00EB498A">
            <w:pPr>
              <w:jc w:val="center"/>
              <w:rPr>
                <w:rFonts w:ascii="Times New Roman" w:eastAsia="宋体" w:hAnsi="Times New Roman" w:cs="Times New Roman"/>
                <w:bCs/>
                <w:sz w:val="21"/>
                <w:szCs w:val="21"/>
                <w14:ligatures w14:val="none"/>
              </w:rPr>
            </w:pPr>
            <w:r w:rsidRPr="00EB498A">
              <w:rPr>
                <w:rFonts w:ascii="Times New Roman" w:eastAsia="宋体" w:hAnsi="Times New Roman" w:cs="Times New Roman" w:hint="eastAsia"/>
                <w:bCs/>
                <w:sz w:val="21"/>
                <w:szCs w:val="21"/>
                <w14:ligatures w14:val="none"/>
              </w:rPr>
              <w:t>检测维保、充装、安装应符合《气体灭火系统施工及验收规范》</w:t>
            </w:r>
            <w:r w:rsidRPr="00EB498A">
              <w:rPr>
                <w:rFonts w:ascii="Times New Roman" w:eastAsia="宋体" w:hAnsi="Times New Roman" w:cs="Times New Roman" w:hint="eastAsia"/>
                <w:bCs/>
                <w:sz w:val="21"/>
                <w:szCs w:val="21"/>
                <w14:ligatures w14:val="none"/>
              </w:rPr>
              <w:t>GB50263-2007</w:t>
            </w:r>
            <w:r w:rsidRPr="00EB498A">
              <w:rPr>
                <w:rFonts w:ascii="Times New Roman" w:eastAsia="宋体" w:hAnsi="Times New Roman" w:cs="Times New Roman" w:hint="eastAsia"/>
                <w:bCs/>
                <w:sz w:val="21"/>
                <w:szCs w:val="21"/>
                <w14:ligatures w14:val="none"/>
              </w:rPr>
              <w:t>、《气瓶安全技术规程》</w:t>
            </w:r>
            <w:r w:rsidRPr="00EB498A">
              <w:rPr>
                <w:rFonts w:ascii="Times New Roman" w:eastAsia="宋体" w:hAnsi="Times New Roman" w:cs="Times New Roman" w:hint="eastAsia"/>
                <w:bCs/>
                <w:sz w:val="21"/>
                <w:szCs w:val="21"/>
                <w14:ligatures w14:val="none"/>
              </w:rPr>
              <w:t>TSG 23</w:t>
            </w:r>
            <w:r w:rsidRPr="00EB498A">
              <w:rPr>
                <w:rFonts w:ascii="Times New Roman" w:eastAsia="宋体" w:hAnsi="Times New Roman" w:cs="Times New Roman" w:hint="eastAsia"/>
                <w:bCs/>
                <w:sz w:val="21"/>
                <w:szCs w:val="21"/>
                <w14:ligatures w14:val="none"/>
              </w:rPr>
              <w:t>—</w:t>
            </w:r>
            <w:r w:rsidRPr="00EB498A">
              <w:rPr>
                <w:rFonts w:ascii="Times New Roman" w:eastAsia="宋体" w:hAnsi="Times New Roman" w:cs="Times New Roman" w:hint="eastAsia"/>
                <w:bCs/>
                <w:sz w:val="21"/>
                <w:szCs w:val="21"/>
                <w14:ligatures w14:val="none"/>
              </w:rPr>
              <w:t>2021</w:t>
            </w:r>
            <w:r w:rsidRPr="00EB498A">
              <w:rPr>
                <w:rFonts w:ascii="Times New Roman" w:eastAsia="宋体" w:hAnsi="Times New Roman" w:cs="Times New Roman" w:hint="eastAsia"/>
                <w:bCs/>
                <w:sz w:val="21"/>
                <w:szCs w:val="21"/>
                <w14:ligatures w14:val="none"/>
              </w:rPr>
              <w:t>、《钢质无缝气瓶定期检验与评定》</w:t>
            </w:r>
            <w:r w:rsidRPr="00EB498A">
              <w:rPr>
                <w:rFonts w:ascii="Times New Roman" w:eastAsia="宋体" w:hAnsi="Times New Roman" w:cs="Times New Roman" w:hint="eastAsia"/>
                <w:bCs/>
                <w:sz w:val="21"/>
                <w:szCs w:val="21"/>
                <w14:ligatures w14:val="none"/>
              </w:rPr>
              <w:t>GB/T13004-2016</w:t>
            </w:r>
            <w:r w:rsidRPr="00EB498A">
              <w:rPr>
                <w:rFonts w:ascii="Times New Roman" w:eastAsia="宋体" w:hAnsi="Times New Roman" w:cs="Times New Roman" w:hint="eastAsia"/>
                <w:bCs/>
                <w:sz w:val="21"/>
                <w:szCs w:val="21"/>
                <w14:ligatures w14:val="none"/>
              </w:rPr>
              <w:t>、《钢质焊接气瓶定期检验与评定》</w:t>
            </w:r>
            <w:r w:rsidRPr="00EB498A">
              <w:rPr>
                <w:rFonts w:ascii="Times New Roman" w:eastAsia="宋体" w:hAnsi="Times New Roman" w:cs="Times New Roman" w:hint="eastAsia"/>
                <w:bCs/>
                <w:sz w:val="21"/>
                <w:szCs w:val="21"/>
                <w14:ligatures w14:val="none"/>
              </w:rPr>
              <w:t>GB/T 13075-2016</w:t>
            </w:r>
            <w:r w:rsidRPr="00EB498A">
              <w:rPr>
                <w:rFonts w:ascii="Times New Roman" w:eastAsia="宋体" w:hAnsi="Times New Roman" w:cs="Times New Roman" w:hint="eastAsia"/>
                <w:bCs/>
                <w:sz w:val="21"/>
                <w:szCs w:val="21"/>
                <w14:ligatures w14:val="none"/>
              </w:rPr>
              <w:t>等规定要求。</w:t>
            </w:r>
          </w:p>
        </w:tc>
      </w:tr>
    </w:tbl>
    <w:p w14:paraId="15DB1365" w14:textId="77777777" w:rsidR="00EB498A" w:rsidRPr="00EB498A" w:rsidRDefault="00EB498A" w:rsidP="00EB498A">
      <w:pPr>
        <w:spacing w:line="360" w:lineRule="auto"/>
        <w:contextualSpacing/>
        <w:jc w:val="both"/>
        <w:rPr>
          <w:rFonts w:ascii="Times New Roman" w:eastAsia="宋体" w:hAnsi="Times New Roman" w:cs="Times New Roman"/>
          <w:bCs/>
          <w:sz w:val="24"/>
          <w14:ligatures w14:val="none"/>
        </w:rPr>
      </w:pPr>
    </w:p>
    <w:p w14:paraId="1083C304" w14:textId="77777777" w:rsidR="00EB498A" w:rsidRPr="00EB498A" w:rsidRDefault="00EB498A" w:rsidP="00EB498A">
      <w:pPr>
        <w:numPr>
          <w:ilvl w:val="0"/>
          <w:numId w:val="1"/>
        </w:numPr>
        <w:spacing w:line="360" w:lineRule="auto"/>
        <w:contextualSpacing/>
        <w:jc w:val="both"/>
        <w:rPr>
          <w:rFonts w:ascii="Times New Roman" w:eastAsia="宋体" w:hAnsi="Times New Roman" w:cs="Times New Roman"/>
          <w:b/>
          <w:sz w:val="24"/>
          <w14:ligatures w14:val="none"/>
        </w:rPr>
      </w:pPr>
      <w:r w:rsidRPr="00EB498A">
        <w:rPr>
          <w:rFonts w:ascii="Times New Roman" w:eastAsia="宋体" w:hAnsi="Times New Roman" w:cs="Times New Roman"/>
          <w:b/>
          <w:sz w:val="24"/>
          <w14:ligatures w14:val="none"/>
        </w:rPr>
        <w:t>商务要求</w:t>
      </w:r>
    </w:p>
    <w:p w14:paraId="29DD2235" w14:textId="77777777" w:rsidR="00EB498A" w:rsidRPr="00EB498A" w:rsidRDefault="00EB498A" w:rsidP="00EB498A">
      <w:pPr>
        <w:spacing w:line="360" w:lineRule="auto"/>
        <w:contextualSpacing/>
        <w:jc w:val="both"/>
        <w:rPr>
          <w:rFonts w:ascii="Times New Roman" w:eastAsia="宋体" w:hAnsi="Times New Roman" w:cs="Times New Roman"/>
          <w:b/>
          <w:bCs/>
          <w:i/>
          <w:sz w:val="24"/>
          <w14:ligatures w14:val="none"/>
        </w:rPr>
      </w:pPr>
      <w:r w:rsidRPr="00EB498A">
        <w:rPr>
          <w:rFonts w:ascii="Times New Roman" w:eastAsia="宋体" w:hAnsi="Times New Roman" w:cs="Times New Roman"/>
          <w:b/>
          <w:bCs/>
          <w:sz w:val="24"/>
          <w14:ligatures w14:val="none"/>
        </w:rPr>
        <w:t xml:space="preserve">1. </w:t>
      </w:r>
      <w:r w:rsidRPr="00EB498A">
        <w:rPr>
          <w:rFonts w:ascii="Times New Roman" w:eastAsia="宋体" w:hAnsi="Times New Roman" w:cs="Times New Roman"/>
          <w:b/>
          <w:bCs/>
          <w:sz w:val="24"/>
          <w14:ligatures w14:val="none"/>
        </w:rPr>
        <w:t>交付（实施）的时间（期限）和地点（范围）</w:t>
      </w:r>
    </w:p>
    <w:p w14:paraId="2376161C" w14:textId="77777777" w:rsidR="00EB498A" w:rsidRPr="00EB498A" w:rsidRDefault="00EB498A" w:rsidP="00EB498A">
      <w:pPr>
        <w:spacing w:after="0" w:line="360" w:lineRule="auto"/>
        <w:contextualSpacing/>
        <w:rPr>
          <w:rFonts w:ascii="宋体" w:eastAsia="宋体" w:hAnsi="宋体" w:cs="宋体" w:hint="eastAsia"/>
          <w:bCs/>
          <w:sz w:val="24"/>
          <w14:ligatures w14:val="none"/>
        </w:rPr>
      </w:pPr>
      <w:r w:rsidRPr="00EB498A">
        <w:rPr>
          <w:rFonts w:ascii="宋体" w:eastAsia="宋体" w:hAnsi="宋体" w:cs="宋体" w:hint="eastAsia"/>
          <w:bCs/>
          <w:sz w:val="24"/>
          <w14:ligatures w14:val="none"/>
        </w:rPr>
        <w:t>（1）服务时间：</w:t>
      </w:r>
      <w:r w:rsidRPr="00EB498A">
        <w:rPr>
          <w:rFonts w:ascii="宋体" w:eastAsia="宋体" w:hAnsi="宋体" w:cs="Times New Roman" w:hint="eastAsia"/>
          <w:sz w:val="24"/>
          <w:u w:val="single"/>
          <w14:ligatures w14:val="none"/>
        </w:rPr>
        <w:t>自合同签订之日起30天内完成项目内容</w:t>
      </w:r>
      <w:r w:rsidRPr="00EB498A">
        <w:rPr>
          <w:rFonts w:ascii="宋体" w:eastAsia="宋体" w:hAnsi="宋体" w:cs="Times New Roman" w:hint="eastAsia"/>
          <w:sz w:val="24"/>
          <w14:ligatures w14:val="none"/>
        </w:rPr>
        <w:t>。</w:t>
      </w:r>
    </w:p>
    <w:p w14:paraId="043AF542" w14:textId="77777777" w:rsidR="00EB498A" w:rsidRPr="00EB498A" w:rsidRDefault="00EB498A" w:rsidP="00EB498A">
      <w:pPr>
        <w:spacing w:after="0" w:line="360" w:lineRule="auto"/>
        <w:contextualSpacing/>
        <w:rPr>
          <w:rFonts w:ascii="宋体" w:eastAsia="宋体" w:hAnsi="宋体" w:cs="宋体" w:hint="eastAsia"/>
          <w:bCs/>
          <w:sz w:val="24"/>
          <w14:ligatures w14:val="none"/>
        </w:rPr>
      </w:pPr>
      <w:r w:rsidRPr="00EB498A">
        <w:rPr>
          <w:rFonts w:ascii="宋体" w:eastAsia="宋体" w:hAnsi="宋体" w:cs="宋体" w:hint="eastAsia"/>
          <w:bCs/>
          <w:sz w:val="24"/>
          <w14:ligatures w14:val="none"/>
        </w:rPr>
        <w:t>（2）服务地点：</w:t>
      </w:r>
      <w:r w:rsidRPr="00EB498A">
        <w:rPr>
          <w:rFonts w:ascii="宋体" w:eastAsia="宋体" w:hAnsi="宋体" w:cs="宋体" w:hint="eastAsia"/>
          <w:bCs/>
          <w:sz w:val="24"/>
          <w:u w:val="single"/>
          <w14:ligatures w14:val="none"/>
        </w:rPr>
        <w:t>采购人指定地点</w:t>
      </w:r>
      <w:r w:rsidRPr="00EB498A">
        <w:rPr>
          <w:rFonts w:ascii="宋体" w:eastAsia="宋体" w:hAnsi="宋体" w:cs="宋体" w:hint="eastAsia"/>
          <w:bCs/>
          <w:sz w:val="24"/>
          <w14:ligatures w14:val="none"/>
        </w:rPr>
        <w:t>。</w:t>
      </w:r>
    </w:p>
    <w:p w14:paraId="64DFAA95" w14:textId="77777777" w:rsidR="00EB498A" w:rsidRPr="00EB498A" w:rsidRDefault="00EB498A" w:rsidP="00EB498A">
      <w:pPr>
        <w:spacing w:line="360" w:lineRule="auto"/>
        <w:contextualSpacing/>
        <w:jc w:val="both"/>
        <w:rPr>
          <w:rFonts w:ascii="Times New Roman" w:eastAsia="宋体" w:hAnsi="Times New Roman" w:cs="Times New Roman"/>
          <w:b/>
          <w:bCs/>
          <w:sz w:val="24"/>
          <w14:ligatures w14:val="none"/>
        </w:rPr>
      </w:pPr>
      <w:r w:rsidRPr="00EB498A">
        <w:rPr>
          <w:rFonts w:ascii="Times New Roman" w:eastAsia="宋体" w:hAnsi="Times New Roman" w:cs="Times New Roman"/>
          <w:b/>
          <w:bCs/>
          <w:sz w:val="24"/>
          <w14:ligatures w14:val="none"/>
        </w:rPr>
        <w:t xml:space="preserve">2. </w:t>
      </w:r>
      <w:r w:rsidRPr="00EB498A">
        <w:rPr>
          <w:rFonts w:ascii="Times New Roman" w:eastAsia="宋体" w:hAnsi="Times New Roman" w:cs="Times New Roman"/>
          <w:b/>
          <w:bCs/>
          <w:sz w:val="24"/>
          <w14:ligatures w14:val="none"/>
        </w:rPr>
        <w:t>付款条件（进度和方式）</w:t>
      </w:r>
    </w:p>
    <w:p w14:paraId="73A00C83" w14:textId="77777777" w:rsidR="00EB498A" w:rsidRPr="00EB498A" w:rsidRDefault="00EB498A" w:rsidP="00EB498A">
      <w:pPr>
        <w:spacing w:line="360" w:lineRule="auto"/>
        <w:ind w:firstLineChars="100" w:firstLine="240"/>
        <w:contextualSpacing/>
        <w:jc w:val="both"/>
        <w:rPr>
          <w:rFonts w:ascii="Times New Roman" w:eastAsia="宋体" w:hAnsi="Times New Roman" w:cs="Times New Roman"/>
          <w:bCs/>
          <w:sz w:val="24"/>
          <w14:ligatures w14:val="none"/>
        </w:rPr>
      </w:pPr>
      <w:r w:rsidRPr="00EB498A">
        <w:rPr>
          <w:rFonts w:ascii="宋体" w:eastAsia="宋体" w:hAnsi="宋体" w:cs="Times New Roman" w:hint="eastAsia"/>
          <w:bCs/>
          <w:sz w:val="24"/>
          <w14:ligatures w14:val="none"/>
        </w:rPr>
        <w:t>详见《拟签订的合同文本》</w:t>
      </w:r>
    </w:p>
    <w:p w14:paraId="5E0CFD7E" w14:textId="77777777" w:rsidR="00EB498A" w:rsidRPr="00EB498A" w:rsidRDefault="00EB498A" w:rsidP="00EB498A">
      <w:pPr>
        <w:spacing w:line="360" w:lineRule="auto"/>
        <w:contextualSpacing/>
        <w:jc w:val="both"/>
        <w:rPr>
          <w:rFonts w:ascii="Times New Roman" w:eastAsia="宋体" w:hAnsi="Times New Roman" w:cs="Times New Roman"/>
          <w:sz w:val="24"/>
          <w14:ligatures w14:val="none"/>
        </w:rPr>
      </w:pPr>
    </w:p>
    <w:p w14:paraId="3365A703" w14:textId="77777777" w:rsidR="00EB498A" w:rsidRPr="00EB498A" w:rsidRDefault="00EB498A" w:rsidP="00EB498A">
      <w:pPr>
        <w:numPr>
          <w:ilvl w:val="0"/>
          <w:numId w:val="1"/>
        </w:numPr>
        <w:spacing w:line="360" w:lineRule="auto"/>
        <w:contextualSpacing/>
        <w:jc w:val="both"/>
        <w:rPr>
          <w:rFonts w:ascii="Times New Roman" w:eastAsia="宋体" w:hAnsi="Times New Roman" w:cs="Times New Roman"/>
          <w:b/>
          <w:sz w:val="24"/>
          <w14:ligatures w14:val="none"/>
        </w:rPr>
      </w:pPr>
      <w:r w:rsidRPr="00EB498A">
        <w:rPr>
          <w:rFonts w:ascii="Times New Roman" w:eastAsia="宋体" w:hAnsi="Times New Roman" w:cs="Times New Roman"/>
          <w:b/>
          <w:sz w:val="24"/>
          <w14:ligatures w14:val="none"/>
        </w:rPr>
        <w:t>技术要求</w:t>
      </w:r>
    </w:p>
    <w:p w14:paraId="5DC4E891" w14:textId="77777777" w:rsidR="00EB498A" w:rsidRPr="00EB498A" w:rsidRDefault="00EB498A" w:rsidP="00EB498A">
      <w:pPr>
        <w:spacing w:line="360" w:lineRule="auto"/>
        <w:contextualSpacing/>
        <w:jc w:val="both"/>
        <w:rPr>
          <w:rFonts w:ascii="Times New Roman" w:eastAsia="宋体" w:hAnsi="Times New Roman" w:cs="Times New Roman"/>
          <w:b/>
          <w:bCs/>
          <w:sz w:val="24"/>
          <w14:ligatures w14:val="none"/>
        </w:rPr>
      </w:pPr>
      <w:r w:rsidRPr="00EB498A">
        <w:rPr>
          <w:rFonts w:ascii="Times New Roman" w:eastAsia="宋体" w:hAnsi="Times New Roman" w:cs="Times New Roman"/>
          <w:b/>
          <w:bCs/>
          <w:sz w:val="24"/>
          <w14:ligatures w14:val="none"/>
        </w:rPr>
        <w:t xml:space="preserve">1. </w:t>
      </w:r>
      <w:r w:rsidRPr="00EB498A">
        <w:rPr>
          <w:rFonts w:ascii="Times New Roman" w:eastAsia="宋体" w:hAnsi="Times New Roman" w:cs="Times New Roman"/>
          <w:b/>
          <w:bCs/>
          <w:sz w:val="24"/>
          <w14:ligatures w14:val="none"/>
        </w:rPr>
        <w:t>基本要求</w:t>
      </w:r>
    </w:p>
    <w:p w14:paraId="661AF1A5" w14:textId="77777777" w:rsidR="00EB498A" w:rsidRPr="00EB498A" w:rsidRDefault="00EB498A" w:rsidP="00EB498A">
      <w:pPr>
        <w:spacing w:line="360" w:lineRule="auto"/>
        <w:ind w:firstLineChars="200" w:firstLine="482"/>
        <w:contextualSpacing/>
        <w:jc w:val="both"/>
        <w:rPr>
          <w:rFonts w:ascii="Times New Roman" w:eastAsia="宋体" w:hAnsi="Times New Roman" w:cs="Times New Roman"/>
          <w:b/>
          <w:bCs/>
          <w:sz w:val="24"/>
          <w14:ligatures w14:val="none"/>
        </w:rPr>
      </w:pPr>
      <w:r w:rsidRPr="00EB498A">
        <w:rPr>
          <w:rFonts w:ascii="Times New Roman" w:eastAsia="宋体" w:hAnsi="Times New Roman" w:cs="Times New Roman"/>
          <w:b/>
          <w:bCs/>
          <w:sz w:val="24"/>
          <w14:ligatures w14:val="none"/>
        </w:rPr>
        <w:t xml:space="preserve">1.1 </w:t>
      </w:r>
      <w:r w:rsidRPr="00EB498A">
        <w:rPr>
          <w:rFonts w:ascii="Times New Roman" w:eastAsia="宋体" w:hAnsi="Times New Roman" w:cs="Times New Roman"/>
          <w:b/>
          <w:bCs/>
          <w:sz w:val="24"/>
          <w14:ligatures w14:val="none"/>
        </w:rPr>
        <w:t>采购标的需实现的功能或者目标</w:t>
      </w:r>
    </w:p>
    <w:p w14:paraId="32B52128" w14:textId="77777777" w:rsidR="00EB498A" w:rsidRPr="00EB498A" w:rsidRDefault="00EB498A" w:rsidP="00EB498A">
      <w:pPr>
        <w:spacing w:line="360" w:lineRule="auto"/>
        <w:ind w:firstLineChars="200" w:firstLine="480"/>
        <w:contextualSpacing/>
        <w:jc w:val="both"/>
        <w:rPr>
          <w:rFonts w:ascii="Times New Roman" w:eastAsia="宋体" w:hAnsi="Times New Roman" w:cs="Times New Roman"/>
          <w:sz w:val="24"/>
          <w14:ligatures w14:val="none"/>
        </w:rPr>
      </w:pPr>
      <w:r w:rsidRPr="00EB498A">
        <w:rPr>
          <w:rFonts w:ascii="Times New Roman" w:eastAsia="宋体" w:hAnsi="Times New Roman" w:cs="Times New Roman" w:hint="eastAsia"/>
          <w:sz w:val="24"/>
          <w14:ligatures w14:val="none"/>
        </w:rPr>
        <w:t>本次招标采购是“北京安贞医院通州院区气灭系统检修项目”，投标人应根据招标文件所提出的设备技术规格和服务要求，以满足招标文件要求的产品、优良的服务和优惠的价格，充分显示自己的竞争实力。</w:t>
      </w:r>
    </w:p>
    <w:p w14:paraId="69C5C9AE" w14:textId="77777777" w:rsidR="00EB498A" w:rsidRPr="00EB498A" w:rsidRDefault="00EB498A" w:rsidP="00EB498A">
      <w:pPr>
        <w:spacing w:line="360" w:lineRule="auto"/>
        <w:ind w:firstLineChars="200" w:firstLine="482"/>
        <w:contextualSpacing/>
        <w:jc w:val="both"/>
        <w:rPr>
          <w:rFonts w:ascii="Times New Roman" w:eastAsia="宋体" w:hAnsi="Times New Roman" w:cs="Times New Roman"/>
          <w:b/>
          <w:bCs/>
          <w:sz w:val="24"/>
          <w14:ligatures w14:val="none"/>
        </w:rPr>
      </w:pPr>
      <w:r w:rsidRPr="00EB498A">
        <w:rPr>
          <w:rFonts w:ascii="Times New Roman" w:eastAsia="宋体" w:hAnsi="Times New Roman" w:cs="Times New Roman"/>
          <w:b/>
          <w:bCs/>
          <w:sz w:val="24"/>
          <w14:ligatures w14:val="none"/>
        </w:rPr>
        <w:t xml:space="preserve">1.2 </w:t>
      </w:r>
      <w:r w:rsidRPr="00EB498A">
        <w:rPr>
          <w:rFonts w:ascii="Times New Roman" w:eastAsia="宋体" w:hAnsi="Times New Roman" w:cs="Times New Roman"/>
          <w:b/>
          <w:bCs/>
          <w:sz w:val="24"/>
          <w14:ligatures w14:val="none"/>
        </w:rPr>
        <w:t>需执行的国家相关标准、行业标准、地方标准或者其他标准、规范</w:t>
      </w:r>
    </w:p>
    <w:p w14:paraId="63D7035B" w14:textId="77777777" w:rsidR="00EB498A" w:rsidRPr="00EB498A" w:rsidRDefault="00EB498A" w:rsidP="00EB498A">
      <w:pPr>
        <w:spacing w:line="360" w:lineRule="auto"/>
        <w:ind w:firstLineChars="200" w:firstLine="480"/>
        <w:contextualSpacing/>
        <w:jc w:val="both"/>
        <w:rPr>
          <w:rFonts w:ascii="Times New Roman" w:eastAsia="宋体" w:hAnsi="Times New Roman" w:cs="Times New Roman"/>
          <w:sz w:val="24"/>
          <w14:ligatures w14:val="none"/>
        </w:rPr>
      </w:pPr>
      <w:r w:rsidRPr="00EB498A">
        <w:rPr>
          <w:rFonts w:ascii="Times New Roman" w:eastAsia="宋体" w:hAnsi="Times New Roman" w:cs="Times New Roman" w:hint="eastAsia"/>
          <w:sz w:val="24"/>
          <w14:ligatures w14:val="none"/>
        </w:rPr>
        <w:t>投标人所提供的服务应符合国家有关部门规定的相应技术法规及标准要求。</w:t>
      </w:r>
    </w:p>
    <w:p w14:paraId="4AA8B085" w14:textId="77777777" w:rsidR="00EB498A" w:rsidRPr="00EB498A" w:rsidRDefault="00EB498A" w:rsidP="00EB498A">
      <w:pPr>
        <w:spacing w:line="360" w:lineRule="auto"/>
        <w:ind w:firstLineChars="200" w:firstLine="480"/>
        <w:contextualSpacing/>
        <w:jc w:val="both"/>
        <w:rPr>
          <w:rFonts w:ascii="Times New Roman" w:eastAsia="宋体" w:hAnsi="Times New Roman" w:cs="Times New Roman"/>
          <w:b/>
          <w:bCs/>
          <w:sz w:val="24"/>
          <w14:ligatures w14:val="none"/>
        </w:rPr>
      </w:pPr>
      <w:r w:rsidRPr="00EB498A">
        <w:rPr>
          <w:rFonts w:ascii="Segoe UI Symbol" w:eastAsia="宋体" w:hAnsi="Segoe UI Symbol" w:cs="Segoe UI Symbol"/>
          <w:color w:val="000000"/>
          <w:kern w:val="0"/>
          <w:sz w:val="24"/>
          <w14:ligatures w14:val="none"/>
        </w:rPr>
        <w:t>★</w:t>
      </w:r>
      <w:r w:rsidRPr="00EB498A">
        <w:rPr>
          <w:rFonts w:ascii="Times New Roman" w:eastAsia="宋体" w:hAnsi="Times New Roman" w:cs="Times New Roman" w:hint="eastAsia"/>
          <w:b/>
          <w:bCs/>
          <w:sz w:val="24"/>
          <w14:ligatures w14:val="none"/>
        </w:rPr>
        <w:t>1.3</w:t>
      </w:r>
      <w:r w:rsidRPr="00EB498A">
        <w:rPr>
          <w:rFonts w:ascii="Times New Roman" w:eastAsia="宋体" w:hAnsi="Times New Roman" w:cs="Times New Roman" w:hint="eastAsia"/>
          <w:b/>
          <w:bCs/>
          <w:sz w:val="24"/>
          <w14:ligatures w14:val="none"/>
        </w:rPr>
        <w:t>供应商须具有《中华人民共和国特种设备检验检测机构核准证》。</w:t>
      </w:r>
    </w:p>
    <w:p w14:paraId="4488BED3" w14:textId="77777777" w:rsidR="00EB498A" w:rsidRPr="00EB498A" w:rsidRDefault="00EB498A" w:rsidP="00EB498A">
      <w:pPr>
        <w:spacing w:line="360" w:lineRule="auto"/>
        <w:contextualSpacing/>
        <w:jc w:val="both"/>
        <w:rPr>
          <w:rFonts w:ascii="Times New Roman" w:eastAsia="宋体" w:hAnsi="Times New Roman" w:cs="Times New Roman"/>
          <w:b/>
          <w:bCs/>
          <w:sz w:val="24"/>
          <w14:ligatures w14:val="none"/>
        </w:rPr>
      </w:pPr>
      <w:r w:rsidRPr="00EB498A">
        <w:rPr>
          <w:rFonts w:ascii="Times New Roman" w:eastAsia="宋体" w:hAnsi="Times New Roman" w:cs="Times New Roman"/>
          <w:b/>
          <w:bCs/>
          <w:sz w:val="24"/>
          <w14:ligatures w14:val="none"/>
        </w:rPr>
        <w:lastRenderedPageBreak/>
        <w:t xml:space="preserve">2. </w:t>
      </w:r>
      <w:r w:rsidRPr="00EB498A">
        <w:rPr>
          <w:rFonts w:ascii="Times New Roman" w:eastAsia="宋体" w:hAnsi="Times New Roman" w:cs="Times New Roman"/>
          <w:b/>
          <w:bCs/>
          <w:sz w:val="24"/>
          <w14:ligatures w14:val="none"/>
        </w:rPr>
        <w:t>服务内容及要求</w:t>
      </w:r>
      <w:r w:rsidRPr="00EB498A">
        <w:rPr>
          <w:rFonts w:ascii="Times New Roman" w:eastAsia="宋体" w:hAnsi="Times New Roman" w:cs="Times New Roman"/>
          <w:b/>
          <w:bCs/>
          <w:sz w:val="24"/>
          <w14:ligatures w14:val="none"/>
        </w:rPr>
        <w:t>/</w:t>
      </w:r>
      <w:r w:rsidRPr="00EB498A">
        <w:rPr>
          <w:rFonts w:ascii="Times New Roman" w:eastAsia="宋体" w:hAnsi="Times New Roman" w:cs="Times New Roman"/>
          <w:b/>
          <w:bCs/>
          <w:sz w:val="24"/>
          <w14:ligatures w14:val="none"/>
        </w:rPr>
        <w:t>货物技术要求</w:t>
      </w:r>
    </w:p>
    <w:p w14:paraId="4D0D7CB1"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2.1检测维保、充装、安装应符合</w:t>
      </w:r>
      <w:r w:rsidRPr="00EB498A">
        <w:rPr>
          <w:rFonts w:ascii="宋体" w:eastAsia="宋体" w:hAnsi="宋体" w:cs="宋体" w:hint="eastAsia"/>
          <w:sz w:val="24"/>
          <w14:ligatures w14:val="none"/>
        </w:rPr>
        <w:t>《气体灭火系统施工及验收规范》GB50263-2007、《气瓶安全技术规程》TSG 23—2021、《钢质无缝气瓶定期检验与评定》GB/T13004-2016、《钢质焊接气瓶定期检验与评定》GB/T 13075-2016</w:t>
      </w:r>
      <w:r w:rsidRPr="00EB498A">
        <w:rPr>
          <w:rFonts w:ascii="宋体" w:eastAsia="宋体" w:hAnsi="宋体" w:cs="Times New Roman" w:hint="eastAsia"/>
          <w:color w:val="000000"/>
          <w:sz w:val="24"/>
          <w14:ligatures w14:val="none"/>
        </w:rPr>
        <w:t>等规定要求。</w:t>
      </w:r>
    </w:p>
    <w:p w14:paraId="19757C8D"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2.2全数检查IG541气体灭火设备灭火剂瓶组及氮气启动瓶组、悬挂式超细干粉灭火装置瓶组外观和铭牌，逐个做好信息记录。</w:t>
      </w:r>
    </w:p>
    <w:p w14:paraId="4B37F66D"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2.3更换气瓶阀门和爆破片等不能安全使用到下一个检验周期的装置。</w:t>
      </w:r>
    </w:p>
    <w:p w14:paraId="3CF59F32"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2.4按标准规范要求进行充装，压力值符合标准规范要求，逐个填写检查记录及充装记录，并建立充装电子档案。</w:t>
      </w:r>
    </w:p>
    <w:p w14:paraId="35E914B6"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2.5按规范充装密度、压力等要求，补足IG541气体灭火设备灭火剂瓶组、悬挂式超细干粉灭火装置瓶组灭火剂。</w:t>
      </w:r>
    </w:p>
    <w:p w14:paraId="49CC51E6"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2.6对所检测维保的气瓶粘贴警示标签及产品合格标签，内容符合标准规范要求。</w:t>
      </w:r>
    </w:p>
    <w:p w14:paraId="3E6EBED8"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2.7送检检测维保结束后，按标准规范安装到位，灭火系统恢复至正常运行状态。</w:t>
      </w:r>
    </w:p>
    <w:p w14:paraId="399C3997"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2.8检测维保完成后，出具检验报告。检修单位在三年内负责对检修气瓶进行质保，期间如出现非人为因素导致的损坏，由检修单位负责免费维修。</w:t>
      </w:r>
    </w:p>
    <w:p w14:paraId="395A1685"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2.9对于检测发现的问题，由检测单位进行维修，包括配件、瓶体、内部充剂的补充等。</w:t>
      </w:r>
    </w:p>
    <w:p w14:paraId="501EBCCA"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2.10对需要进行检修的气瓶进行拆除、运输、检修、安装、调试，对损坏的气瓶及配件进行维修更换，对药剂不足的气瓶进行补充。</w:t>
      </w:r>
    </w:p>
    <w:p w14:paraId="463D6E5E" w14:textId="77777777" w:rsidR="00EB498A" w:rsidRPr="00EB498A" w:rsidRDefault="00EB498A" w:rsidP="00EB498A">
      <w:pPr>
        <w:spacing w:line="360" w:lineRule="auto"/>
        <w:ind w:firstLineChars="200" w:firstLine="480"/>
        <w:contextualSpacing/>
        <w:jc w:val="both"/>
        <w:rPr>
          <w:rFonts w:ascii="宋体" w:eastAsia="宋体" w:hAnsi="宋体" w:cs="Times New Roman" w:hint="eastAsia"/>
          <w:color w:val="000000"/>
          <w:sz w:val="24"/>
          <w14:ligatures w14:val="none"/>
        </w:rPr>
      </w:pPr>
      <w:r w:rsidRPr="00EB498A">
        <w:rPr>
          <w:rFonts w:ascii="宋体" w:eastAsia="宋体" w:hAnsi="宋体" w:cs="Times New Roman" w:hint="eastAsia"/>
          <w:color w:val="000000"/>
          <w:sz w:val="24"/>
          <w14:ligatures w14:val="none"/>
        </w:rPr>
        <w:t>2.11具体明细表</w:t>
      </w:r>
    </w:p>
    <w:tbl>
      <w:tblPr>
        <w:tblStyle w:val="81"/>
        <w:tblW w:w="0" w:type="auto"/>
        <w:tblLook w:val="04A0" w:firstRow="1" w:lastRow="0" w:firstColumn="1" w:lastColumn="0" w:noHBand="0" w:noVBand="1"/>
      </w:tblPr>
      <w:tblGrid>
        <w:gridCol w:w="729"/>
        <w:gridCol w:w="5293"/>
        <w:gridCol w:w="1230"/>
        <w:gridCol w:w="1044"/>
      </w:tblGrid>
      <w:tr w:rsidR="00EB498A" w:rsidRPr="00EB498A" w14:paraId="397B0ED8" w14:textId="77777777" w:rsidTr="0082389D">
        <w:tc>
          <w:tcPr>
            <w:tcW w:w="742" w:type="dxa"/>
          </w:tcPr>
          <w:p w14:paraId="3DBFF5F3" w14:textId="77777777" w:rsidR="00EB498A" w:rsidRPr="00EB498A" w:rsidRDefault="00EB498A" w:rsidP="00EB498A">
            <w:pPr>
              <w:spacing w:line="360" w:lineRule="auto"/>
              <w:contextualSpacing/>
              <w:jc w:val="center"/>
              <w:rPr>
                <w:rFonts w:ascii="宋体" w:hAnsi="宋体" w:hint="eastAsia"/>
                <w:b/>
                <w:bCs/>
                <w:color w:val="000000"/>
                <w:sz w:val="24"/>
              </w:rPr>
            </w:pPr>
            <w:r w:rsidRPr="00EB498A">
              <w:rPr>
                <w:rFonts w:ascii="宋体" w:hAnsi="宋体" w:cs="宋体" w:hint="eastAsia"/>
                <w:b/>
                <w:bCs/>
                <w:color w:val="000000"/>
                <w:sz w:val="24"/>
                <w:lang w:bidi="ar"/>
              </w:rPr>
              <w:t>序号</w:t>
            </w:r>
          </w:p>
        </w:tc>
        <w:tc>
          <w:tcPr>
            <w:tcW w:w="5442" w:type="dxa"/>
          </w:tcPr>
          <w:p w14:paraId="084B310A" w14:textId="77777777" w:rsidR="00EB498A" w:rsidRPr="00EB498A" w:rsidRDefault="00EB498A" w:rsidP="00EB498A">
            <w:pPr>
              <w:spacing w:line="360" w:lineRule="auto"/>
              <w:ind w:firstLineChars="800" w:firstLine="1928"/>
              <w:contextualSpacing/>
              <w:jc w:val="both"/>
              <w:rPr>
                <w:rFonts w:ascii="宋体" w:hAnsi="宋体" w:hint="eastAsia"/>
                <w:b/>
                <w:bCs/>
                <w:color w:val="000000"/>
                <w:sz w:val="24"/>
              </w:rPr>
            </w:pPr>
            <w:r w:rsidRPr="00EB498A">
              <w:rPr>
                <w:rFonts w:ascii="宋体" w:hAnsi="宋体" w:cs="宋体" w:hint="eastAsia"/>
                <w:b/>
                <w:bCs/>
                <w:color w:val="000000"/>
                <w:sz w:val="24"/>
                <w:lang w:bidi="ar"/>
              </w:rPr>
              <w:t>服务项目</w:t>
            </w:r>
          </w:p>
        </w:tc>
        <w:tc>
          <w:tcPr>
            <w:tcW w:w="1270" w:type="dxa"/>
            <w:vAlign w:val="center"/>
          </w:tcPr>
          <w:p w14:paraId="47A5043B" w14:textId="77777777" w:rsidR="00EB498A" w:rsidRPr="00EB498A" w:rsidRDefault="00EB498A" w:rsidP="00EB498A">
            <w:pPr>
              <w:widowControl/>
              <w:spacing w:line="360" w:lineRule="auto"/>
              <w:jc w:val="center"/>
              <w:textAlignment w:val="center"/>
              <w:rPr>
                <w:rFonts w:ascii="宋体" w:hAnsi="宋体" w:cs="宋体" w:hint="eastAsia"/>
                <w:b/>
                <w:bCs/>
                <w:color w:val="000000"/>
                <w:sz w:val="24"/>
              </w:rPr>
            </w:pPr>
            <w:r w:rsidRPr="00EB498A">
              <w:rPr>
                <w:rFonts w:ascii="宋体" w:hAnsi="宋体" w:cs="宋体" w:hint="eastAsia"/>
                <w:b/>
                <w:bCs/>
                <w:color w:val="000000"/>
                <w:sz w:val="24"/>
                <w:lang w:bidi="ar"/>
              </w:rPr>
              <w:t>单位</w:t>
            </w:r>
          </w:p>
        </w:tc>
        <w:tc>
          <w:tcPr>
            <w:tcW w:w="1068" w:type="dxa"/>
            <w:vAlign w:val="center"/>
          </w:tcPr>
          <w:p w14:paraId="20A01CBC" w14:textId="77777777" w:rsidR="00EB498A" w:rsidRPr="00EB498A" w:rsidRDefault="00EB498A" w:rsidP="00EB498A">
            <w:pPr>
              <w:widowControl/>
              <w:spacing w:line="360" w:lineRule="auto"/>
              <w:jc w:val="center"/>
              <w:textAlignment w:val="center"/>
              <w:rPr>
                <w:rFonts w:ascii="宋体" w:hAnsi="宋体" w:cs="宋体" w:hint="eastAsia"/>
                <w:b/>
                <w:bCs/>
                <w:color w:val="000000"/>
                <w:sz w:val="24"/>
              </w:rPr>
            </w:pPr>
            <w:r w:rsidRPr="00EB498A">
              <w:rPr>
                <w:rFonts w:ascii="宋体" w:hAnsi="宋体" w:cs="宋体" w:hint="eastAsia"/>
                <w:b/>
                <w:bCs/>
                <w:color w:val="000000"/>
                <w:sz w:val="24"/>
                <w:lang w:bidi="ar"/>
              </w:rPr>
              <w:t>数量</w:t>
            </w:r>
          </w:p>
        </w:tc>
      </w:tr>
      <w:tr w:rsidR="00EB498A" w:rsidRPr="00EB498A" w14:paraId="4FDFFA79" w14:textId="77777777" w:rsidTr="0082389D">
        <w:tc>
          <w:tcPr>
            <w:tcW w:w="742" w:type="dxa"/>
            <w:vAlign w:val="center"/>
          </w:tcPr>
          <w:p w14:paraId="40F5574D"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1</w:t>
            </w:r>
          </w:p>
        </w:tc>
        <w:tc>
          <w:tcPr>
            <w:tcW w:w="5442" w:type="dxa"/>
            <w:vAlign w:val="center"/>
          </w:tcPr>
          <w:p w14:paraId="1F22EEDB" w14:textId="77777777" w:rsidR="00EB498A" w:rsidRPr="00EB498A" w:rsidRDefault="00EB498A" w:rsidP="00EB498A">
            <w:pPr>
              <w:widowControl/>
              <w:spacing w:line="360" w:lineRule="auto"/>
              <w:textAlignment w:val="center"/>
              <w:rPr>
                <w:rFonts w:ascii="宋体" w:hAnsi="宋体" w:hint="eastAsia"/>
                <w:color w:val="000000"/>
                <w:sz w:val="24"/>
              </w:rPr>
            </w:pPr>
            <w:r w:rsidRPr="00EB498A">
              <w:rPr>
                <w:rFonts w:ascii="宋体" w:hAnsi="宋体" w:cs="宋体" w:hint="eastAsia"/>
                <w:color w:val="000000"/>
                <w:sz w:val="24"/>
                <w:lang w:bidi="ar"/>
              </w:rPr>
              <w:t>IG541气体灭火设备灭火剂瓶组</w:t>
            </w:r>
            <w:r w:rsidRPr="00EB498A">
              <w:rPr>
                <w:rFonts w:ascii="宋体" w:hAnsi="宋体" w:cs="宋体"/>
                <w:color w:val="000000"/>
                <w:sz w:val="24"/>
                <w:lang w:bidi="ar"/>
              </w:rPr>
              <w:t>HMP90/17.2-ZTQ</w:t>
            </w:r>
          </w:p>
        </w:tc>
        <w:tc>
          <w:tcPr>
            <w:tcW w:w="1270" w:type="dxa"/>
            <w:vAlign w:val="center"/>
          </w:tcPr>
          <w:p w14:paraId="1A31FEC9"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瓶组</w:t>
            </w:r>
          </w:p>
        </w:tc>
        <w:tc>
          <w:tcPr>
            <w:tcW w:w="1068" w:type="dxa"/>
            <w:vAlign w:val="center"/>
          </w:tcPr>
          <w:p w14:paraId="0B08137B"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693</w:t>
            </w:r>
          </w:p>
        </w:tc>
      </w:tr>
      <w:tr w:rsidR="00EB498A" w:rsidRPr="00EB498A" w14:paraId="0B11524E" w14:textId="77777777" w:rsidTr="0082389D">
        <w:tc>
          <w:tcPr>
            <w:tcW w:w="742" w:type="dxa"/>
            <w:vAlign w:val="center"/>
          </w:tcPr>
          <w:p w14:paraId="5E98D4EA"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2</w:t>
            </w:r>
          </w:p>
        </w:tc>
        <w:tc>
          <w:tcPr>
            <w:tcW w:w="5442" w:type="dxa"/>
            <w:vAlign w:val="center"/>
          </w:tcPr>
          <w:p w14:paraId="282CF07F" w14:textId="77777777" w:rsidR="00EB498A" w:rsidRPr="00EB498A" w:rsidRDefault="00EB498A" w:rsidP="00EB498A">
            <w:pPr>
              <w:widowControl/>
              <w:spacing w:line="360" w:lineRule="auto"/>
              <w:textAlignment w:val="center"/>
              <w:rPr>
                <w:rFonts w:ascii="宋体" w:hAnsi="宋体" w:hint="eastAsia"/>
                <w:color w:val="000000"/>
                <w:sz w:val="24"/>
              </w:rPr>
            </w:pPr>
            <w:r w:rsidRPr="00EB498A">
              <w:rPr>
                <w:rFonts w:ascii="宋体" w:hAnsi="宋体" w:cs="宋体" w:hint="eastAsia"/>
                <w:color w:val="000000"/>
                <w:sz w:val="24"/>
                <w:lang w:bidi="ar"/>
              </w:rPr>
              <w:t>氮气启动瓶组</w:t>
            </w:r>
          </w:p>
        </w:tc>
        <w:tc>
          <w:tcPr>
            <w:tcW w:w="1270" w:type="dxa"/>
            <w:vAlign w:val="center"/>
          </w:tcPr>
          <w:p w14:paraId="5F1309A8"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瓶组</w:t>
            </w:r>
          </w:p>
        </w:tc>
        <w:tc>
          <w:tcPr>
            <w:tcW w:w="1068" w:type="dxa"/>
            <w:vAlign w:val="center"/>
          </w:tcPr>
          <w:p w14:paraId="786663D8"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55</w:t>
            </w:r>
          </w:p>
        </w:tc>
      </w:tr>
      <w:tr w:rsidR="00EB498A" w:rsidRPr="00EB498A" w14:paraId="11828131" w14:textId="77777777" w:rsidTr="0082389D">
        <w:tc>
          <w:tcPr>
            <w:tcW w:w="742" w:type="dxa"/>
          </w:tcPr>
          <w:p w14:paraId="328F1F20" w14:textId="77777777" w:rsidR="00EB498A" w:rsidRPr="00EB498A" w:rsidRDefault="00EB498A" w:rsidP="00EB498A">
            <w:pPr>
              <w:spacing w:line="360" w:lineRule="auto"/>
              <w:contextualSpacing/>
              <w:jc w:val="center"/>
              <w:rPr>
                <w:rFonts w:ascii="宋体" w:hAnsi="宋体" w:hint="eastAsia"/>
                <w:color w:val="000000"/>
                <w:sz w:val="24"/>
              </w:rPr>
            </w:pPr>
            <w:r w:rsidRPr="00EB498A">
              <w:rPr>
                <w:rFonts w:ascii="宋体" w:hAnsi="宋体" w:hint="eastAsia"/>
                <w:color w:val="000000"/>
                <w:sz w:val="24"/>
              </w:rPr>
              <w:t>3</w:t>
            </w:r>
          </w:p>
        </w:tc>
        <w:tc>
          <w:tcPr>
            <w:tcW w:w="5442" w:type="dxa"/>
          </w:tcPr>
          <w:p w14:paraId="37A9EF95" w14:textId="77777777" w:rsidR="00EB498A" w:rsidRPr="00EB498A" w:rsidRDefault="00EB498A" w:rsidP="00EB498A">
            <w:pPr>
              <w:spacing w:line="360" w:lineRule="auto"/>
              <w:contextualSpacing/>
              <w:rPr>
                <w:rFonts w:ascii="宋体" w:hAnsi="宋体" w:hint="eastAsia"/>
                <w:color w:val="000000"/>
                <w:sz w:val="24"/>
              </w:rPr>
            </w:pPr>
            <w:r w:rsidRPr="00EB498A">
              <w:rPr>
                <w:rFonts w:ascii="宋体" w:hAnsi="宋体" w:cs="宋体" w:hint="eastAsia"/>
                <w:color w:val="000000"/>
                <w:sz w:val="24"/>
                <w:lang w:bidi="ar"/>
              </w:rPr>
              <w:t>悬挂式超细干粉</w:t>
            </w:r>
          </w:p>
        </w:tc>
        <w:tc>
          <w:tcPr>
            <w:tcW w:w="1270" w:type="dxa"/>
            <w:vAlign w:val="center"/>
          </w:tcPr>
          <w:p w14:paraId="0D59029F"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瓶组</w:t>
            </w:r>
          </w:p>
        </w:tc>
        <w:tc>
          <w:tcPr>
            <w:tcW w:w="1068" w:type="dxa"/>
            <w:vAlign w:val="center"/>
          </w:tcPr>
          <w:p w14:paraId="2AC638EC" w14:textId="77777777" w:rsidR="00EB498A" w:rsidRPr="00EB498A" w:rsidRDefault="00EB498A" w:rsidP="00EB498A">
            <w:pPr>
              <w:widowControl/>
              <w:spacing w:line="360" w:lineRule="auto"/>
              <w:jc w:val="center"/>
              <w:textAlignment w:val="center"/>
              <w:rPr>
                <w:rFonts w:ascii="宋体" w:hAnsi="宋体" w:hint="eastAsia"/>
                <w:color w:val="000000"/>
                <w:sz w:val="24"/>
              </w:rPr>
            </w:pPr>
            <w:r w:rsidRPr="00EB498A">
              <w:rPr>
                <w:rFonts w:ascii="宋体" w:hAnsi="宋体" w:cs="宋体" w:hint="eastAsia"/>
                <w:color w:val="000000"/>
                <w:sz w:val="24"/>
                <w:lang w:bidi="ar"/>
              </w:rPr>
              <w:t>118</w:t>
            </w:r>
          </w:p>
        </w:tc>
      </w:tr>
    </w:tbl>
    <w:p w14:paraId="2A64E9B1" w14:textId="77777777" w:rsidR="00CA3931" w:rsidRDefault="00CA3931"/>
    <w:sectPr w:rsidR="00CA3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0D8D" w14:textId="77777777" w:rsidR="009829CA" w:rsidRDefault="009829CA" w:rsidP="00EB498A">
      <w:pPr>
        <w:spacing w:after="0" w:line="240" w:lineRule="auto"/>
        <w:rPr>
          <w:rFonts w:hint="eastAsia"/>
        </w:rPr>
      </w:pPr>
      <w:r>
        <w:separator/>
      </w:r>
    </w:p>
  </w:endnote>
  <w:endnote w:type="continuationSeparator" w:id="0">
    <w:p w14:paraId="48783C43" w14:textId="77777777" w:rsidR="009829CA" w:rsidRDefault="009829CA" w:rsidP="00EB498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altName w:val="Noto Sans"/>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C5F0" w14:textId="77777777" w:rsidR="009829CA" w:rsidRDefault="009829CA" w:rsidP="00EB498A">
      <w:pPr>
        <w:spacing w:after="0" w:line="240" w:lineRule="auto"/>
        <w:rPr>
          <w:rFonts w:hint="eastAsia"/>
        </w:rPr>
      </w:pPr>
      <w:r>
        <w:separator/>
      </w:r>
    </w:p>
  </w:footnote>
  <w:footnote w:type="continuationSeparator" w:id="0">
    <w:p w14:paraId="0957AE22" w14:textId="77777777" w:rsidR="009829CA" w:rsidRDefault="009829CA" w:rsidP="00EB498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049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31"/>
    <w:rsid w:val="00947796"/>
    <w:rsid w:val="009829CA"/>
    <w:rsid w:val="00CA3931"/>
    <w:rsid w:val="00EB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51112E-8408-452D-A5A2-3800C445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931"/>
    <w:rPr>
      <w:rFonts w:cstheme="majorBidi"/>
      <w:color w:val="2F5496" w:themeColor="accent1" w:themeShade="BF"/>
      <w:sz w:val="28"/>
      <w:szCs w:val="28"/>
    </w:rPr>
  </w:style>
  <w:style w:type="character" w:customStyle="1" w:styleId="50">
    <w:name w:val="标题 5 字符"/>
    <w:basedOn w:val="a0"/>
    <w:link w:val="5"/>
    <w:uiPriority w:val="9"/>
    <w:semiHidden/>
    <w:rsid w:val="00CA3931"/>
    <w:rPr>
      <w:rFonts w:cstheme="majorBidi"/>
      <w:color w:val="2F5496" w:themeColor="accent1" w:themeShade="BF"/>
      <w:sz w:val="24"/>
    </w:rPr>
  </w:style>
  <w:style w:type="character" w:customStyle="1" w:styleId="60">
    <w:name w:val="标题 6 字符"/>
    <w:basedOn w:val="a0"/>
    <w:link w:val="6"/>
    <w:uiPriority w:val="9"/>
    <w:semiHidden/>
    <w:rsid w:val="00CA3931"/>
    <w:rPr>
      <w:rFonts w:cstheme="majorBidi"/>
      <w:b/>
      <w:bCs/>
      <w:color w:val="2F5496" w:themeColor="accent1" w:themeShade="BF"/>
    </w:rPr>
  </w:style>
  <w:style w:type="character" w:customStyle="1" w:styleId="70">
    <w:name w:val="标题 7 字符"/>
    <w:basedOn w:val="a0"/>
    <w:link w:val="7"/>
    <w:uiPriority w:val="9"/>
    <w:semiHidden/>
    <w:rsid w:val="00CA3931"/>
    <w:rPr>
      <w:rFonts w:cstheme="majorBidi"/>
      <w:b/>
      <w:bCs/>
      <w:color w:val="595959" w:themeColor="text1" w:themeTint="A6"/>
    </w:rPr>
  </w:style>
  <w:style w:type="character" w:customStyle="1" w:styleId="80">
    <w:name w:val="标题 8 字符"/>
    <w:basedOn w:val="a0"/>
    <w:link w:val="8"/>
    <w:uiPriority w:val="9"/>
    <w:semiHidden/>
    <w:rsid w:val="00CA3931"/>
    <w:rPr>
      <w:rFonts w:cstheme="majorBidi"/>
      <w:color w:val="595959" w:themeColor="text1" w:themeTint="A6"/>
    </w:rPr>
  </w:style>
  <w:style w:type="character" w:customStyle="1" w:styleId="90">
    <w:name w:val="标题 9 字符"/>
    <w:basedOn w:val="a0"/>
    <w:link w:val="9"/>
    <w:uiPriority w:val="9"/>
    <w:semiHidden/>
    <w:rsid w:val="00CA3931"/>
    <w:rPr>
      <w:rFonts w:eastAsiaTheme="majorEastAsia" w:cstheme="majorBidi"/>
      <w:color w:val="595959" w:themeColor="text1" w:themeTint="A6"/>
    </w:rPr>
  </w:style>
  <w:style w:type="paragraph" w:styleId="a3">
    <w:name w:val="Title"/>
    <w:basedOn w:val="a"/>
    <w:next w:val="a"/>
    <w:link w:val="a4"/>
    <w:uiPriority w:val="10"/>
    <w:qFormat/>
    <w:rsid w:val="00CA3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931"/>
    <w:pPr>
      <w:spacing w:before="160"/>
      <w:jc w:val="center"/>
    </w:pPr>
    <w:rPr>
      <w:i/>
      <w:iCs/>
      <w:color w:val="404040" w:themeColor="text1" w:themeTint="BF"/>
    </w:rPr>
  </w:style>
  <w:style w:type="character" w:customStyle="1" w:styleId="a8">
    <w:name w:val="引用 字符"/>
    <w:basedOn w:val="a0"/>
    <w:link w:val="a7"/>
    <w:uiPriority w:val="29"/>
    <w:rsid w:val="00CA3931"/>
    <w:rPr>
      <w:i/>
      <w:iCs/>
      <w:color w:val="404040" w:themeColor="text1" w:themeTint="BF"/>
    </w:rPr>
  </w:style>
  <w:style w:type="paragraph" w:styleId="a9">
    <w:name w:val="List Paragraph"/>
    <w:basedOn w:val="a"/>
    <w:uiPriority w:val="34"/>
    <w:qFormat/>
    <w:rsid w:val="00CA3931"/>
    <w:pPr>
      <w:ind w:left="720"/>
      <w:contextualSpacing/>
    </w:pPr>
  </w:style>
  <w:style w:type="character" w:styleId="aa">
    <w:name w:val="Intense Emphasis"/>
    <w:basedOn w:val="a0"/>
    <w:uiPriority w:val="21"/>
    <w:qFormat/>
    <w:rsid w:val="00CA3931"/>
    <w:rPr>
      <w:i/>
      <w:iCs/>
      <w:color w:val="2F5496" w:themeColor="accent1" w:themeShade="BF"/>
    </w:rPr>
  </w:style>
  <w:style w:type="paragraph" w:styleId="ab">
    <w:name w:val="Intense Quote"/>
    <w:basedOn w:val="a"/>
    <w:next w:val="a"/>
    <w:link w:val="ac"/>
    <w:uiPriority w:val="30"/>
    <w:qFormat/>
    <w:rsid w:val="00CA3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931"/>
    <w:rPr>
      <w:i/>
      <w:iCs/>
      <w:color w:val="2F5496" w:themeColor="accent1" w:themeShade="BF"/>
    </w:rPr>
  </w:style>
  <w:style w:type="character" w:styleId="ad">
    <w:name w:val="Intense Reference"/>
    <w:basedOn w:val="a0"/>
    <w:uiPriority w:val="32"/>
    <w:qFormat/>
    <w:rsid w:val="00CA3931"/>
    <w:rPr>
      <w:b/>
      <w:bCs/>
      <w:smallCaps/>
      <w:color w:val="2F5496" w:themeColor="accent1" w:themeShade="BF"/>
      <w:spacing w:val="5"/>
    </w:rPr>
  </w:style>
  <w:style w:type="paragraph" w:styleId="ae">
    <w:name w:val="header"/>
    <w:basedOn w:val="a"/>
    <w:link w:val="af"/>
    <w:uiPriority w:val="99"/>
    <w:unhideWhenUsed/>
    <w:rsid w:val="00EB498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B498A"/>
    <w:rPr>
      <w:sz w:val="18"/>
      <w:szCs w:val="18"/>
    </w:rPr>
  </w:style>
  <w:style w:type="paragraph" w:styleId="af0">
    <w:name w:val="footer"/>
    <w:basedOn w:val="a"/>
    <w:link w:val="af1"/>
    <w:uiPriority w:val="99"/>
    <w:unhideWhenUsed/>
    <w:rsid w:val="00EB498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B498A"/>
    <w:rPr>
      <w:sz w:val="18"/>
      <w:szCs w:val="18"/>
    </w:rPr>
  </w:style>
  <w:style w:type="table" w:customStyle="1" w:styleId="81">
    <w:name w:val="网格型8"/>
    <w:basedOn w:val="a1"/>
    <w:uiPriority w:val="39"/>
    <w:qFormat/>
    <w:rsid w:val="00EB498A"/>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650</Characters>
  <Application>Microsoft Office Word</Application>
  <DocSecurity>0</DocSecurity>
  <Lines>40</Lines>
  <Paragraphs>39</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2026-04-15T05:50:00Z</dcterms:created>
  <dcterms:modified xsi:type="dcterms:W3CDTF">2026-04-15T05:51:00Z</dcterms:modified>
</cp:coreProperties>
</file>