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5814D">
      <w:pPr>
        <w:spacing w:line="360" w:lineRule="auto"/>
        <w:jc w:val="center"/>
        <w:outlineLvl w:val="0"/>
        <w:rPr>
          <w:rFonts w:ascii="Times New Roman" w:hAnsi="Times New Roman" w:eastAsia="宋体" w:cs="Times New Roman"/>
          <w:b/>
          <w:color w:val="auto"/>
          <w:sz w:val="36"/>
          <w:szCs w:val="36"/>
          <w:highlight w:val="none"/>
        </w:rPr>
      </w:pPr>
      <w:r>
        <w:rPr>
          <w:rFonts w:ascii="Times New Roman" w:hAnsi="Times New Roman" w:eastAsia="宋体" w:cs="Times New Roman"/>
          <w:b/>
          <w:color w:val="auto"/>
          <w:sz w:val="36"/>
          <w:szCs w:val="36"/>
          <w:highlight w:val="none"/>
        </w:rPr>
        <w:t xml:space="preserve"> 采购需求</w:t>
      </w:r>
    </w:p>
    <w:p w14:paraId="247BE9E3">
      <w:pPr>
        <w:spacing w:line="360" w:lineRule="auto"/>
        <w:contextualSpacing/>
        <w:rPr>
          <w:rFonts w:ascii="Times New Roman" w:hAnsi="Times New Roman" w:eastAsia="宋体" w:cs="Times New Roman"/>
          <w:color w:val="auto"/>
          <w:sz w:val="24"/>
          <w:highlight w:val="none"/>
        </w:rPr>
      </w:pPr>
    </w:p>
    <w:p w14:paraId="7A9F8CBF">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r>
        <w:rPr>
          <w:rFonts w:hint="eastAsia" w:ascii="宋体" w:hAnsi="Times New Roman" w:eastAsia="宋体" w:cs="Times New Roman"/>
          <w:b/>
          <w:color w:val="auto"/>
          <w:kern w:val="44"/>
          <w:sz w:val="32"/>
          <w:szCs w:val="20"/>
          <w:highlight w:val="none"/>
          <w:lang w:val="en-US" w:eastAsia="zh-CN" w:bidi="ar-SA"/>
        </w:rPr>
        <w:t>政务云服务一包</w:t>
      </w:r>
    </w:p>
    <w:p w14:paraId="70BC4352">
      <w:pPr>
        <w:keepNext/>
        <w:keepLines/>
        <w:widowControl w:val="0"/>
        <w:autoSpaceDE w:val="0"/>
        <w:autoSpaceDN w:val="0"/>
        <w:adjustRightInd w:val="0"/>
        <w:spacing w:before="120" w:line="300" w:lineRule="auto"/>
        <w:jc w:val="both"/>
        <w:outlineLvl w:val="1"/>
        <w:rPr>
          <w:rFonts w:ascii="宋体" w:hAnsi="宋体" w:eastAsia="宋体" w:cs="宋体"/>
          <w:b/>
          <w:color w:val="auto"/>
          <w:kern w:val="0"/>
          <w:sz w:val="30"/>
          <w:szCs w:val="20"/>
          <w:highlight w:val="none"/>
          <w:lang w:val="en-US" w:eastAsia="zh-CN" w:bidi="ar-SA"/>
        </w:rPr>
      </w:pPr>
      <w:r>
        <w:rPr>
          <w:rFonts w:hint="eastAsia" w:ascii="宋体" w:hAnsi="宋体" w:eastAsia="宋体" w:cs="宋体"/>
          <w:b/>
          <w:color w:val="auto"/>
          <w:kern w:val="0"/>
          <w:sz w:val="30"/>
          <w:szCs w:val="20"/>
          <w:highlight w:val="none"/>
          <w:lang w:val="en-US" w:eastAsia="zh-CN" w:bidi="ar-SA"/>
        </w:rPr>
        <w:t>一、采购标的</w:t>
      </w:r>
    </w:p>
    <w:p w14:paraId="6887DA3E">
      <w:pPr>
        <w:rPr>
          <w:rFonts w:ascii="宋体" w:hAnsi="宋体" w:eastAsia="宋体" w:cs="宋体"/>
          <w:color w:val="auto"/>
          <w:highlight w:val="none"/>
        </w:rPr>
      </w:pPr>
      <w:r>
        <w:rPr>
          <w:rFonts w:hint="eastAsia" w:ascii="宋体" w:hAnsi="宋体" w:eastAsia="宋体" w:cs="宋体"/>
          <w:color w:val="auto"/>
          <w:highlight w:val="none"/>
        </w:rPr>
        <w:t>1. 采购标的</w:t>
      </w:r>
    </w:p>
    <w:tbl>
      <w:tblPr>
        <w:tblStyle w:val="2"/>
        <w:tblW w:w="8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170"/>
        <w:gridCol w:w="1776"/>
      </w:tblGrid>
      <w:tr w14:paraId="7B36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152DAF7A">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序号</w:t>
            </w:r>
          </w:p>
        </w:tc>
        <w:tc>
          <w:tcPr>
            <w:tcW w:w="2343" w:type="dxa"/>
            <w:vAlign w:val="center"/>
          </w:tcPr>
          <w:p w14:paraId="7B8FA8BA">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货物或服务名称</w:t>
            </w:r>
          </w:p>
        </w:tc>
        <w:tc>
          <w:tcPr>
            <w:tcW w:w="1702" w:type="dxa"/>
            <w:vAlign w:val="center"/>
          </w:tcPr>
          <w:p w14:paraId="39BA9E9F">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数量</w:t>
            </w:r>
          </w:p>
        </w:tc>
        <w:tc>
          <w:tcPr>
            <w:tcW w:w="1170" w:type="dxa"/>
            <w:vAlign w:val="center"/>
          </w:tcPr>
          <w:p w14:paraId="23756842">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单位</w:t>
            </w:r>
          </w:p>
        </w:tc>
        <w:tc>
          <w:tcPr>
            <w:tcW w:w="1776" w:type="dxa"/>
            <w:vAlign w:val="center"/>
          </w:tcPr>
          <w:p w14:paraId="667C9614">
            <w:pPr>
              <w:widowControl w:val="0"/>
              <w:tabs>
                <w:tab w:val="left" w:pos="0"/>
              </w:tabs>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最高限价（万元）</w:t>
            </w:r>
          </w:p>
        </w:tc>
      </w:tr>
      <w:tr w14:paraId="21A2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68C69D80">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343" w:type="dxa"/>
            <w:vAlign w:val="center"/>
          </w:tcPr>
          <w:p w14:paraId="062121BB">
            <w:pPr>
              <w:jc w:val="center"/>
              <w:rPr>
                <w:rFonts w:ascii="宋体" w:hAnsi="宋体" w:eastAsia="宋体" w:cs="宋体"/>
                <w:color w:val="auto"/>
                <w:highlight w:val="none"/>
              </w:rPr>
            </w:pPr>
            <w:r>
              <w:rPr>
                <w:rFonts w:hint="eastAsia" w:ascii="宋体" w:hAnsi="宋体" w:eastAsia="宋体" w:cs="宋体"/>
                <w:color w:val="auto"/>
                <w:highlight w:val="none"/>
              </w:rPr>
              <w:t>政务云服务一包</w:t>
            </w:r>
          </w:p>
        </w:tc>
        <w:tc>
          <w:tcPr>
            <w:tcW w:w="1702" w:type="dxa"/>
            <w:vAlign w:val="center"/>
          </w:tcPr>
          <w:p w14:paraId="1CB47C62">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170" w:type="dxa"/>
            <w:vAlign w:val="center"/>
          </w:tcPr>
          <w:p w14:paraId="57EC1F96">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1776" w:type="dxa"/>
            <w:vAlign w:val="center"/>
          </w:tcPr>
          <w:p w14:paraId="203C168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492.220065</w:t>
            </w:r>
          </w:p>
        </w:tc>
      </w:tr>
    </w:tbl>
    <w:p w14:paraId="0BBAEB71">
      <w:pPr>
        <w:rPr>
          <w:rFonts w:ascii="宋体" w:hAnsi="宋体" w:eastAsia="宋体" w:cs="宋体"/>
          <w:color w:val="auto"/>
          <w:highlight w:val="none"/>
        </w:rPr>
      </w:pPr>
    </w:p>
    <w:p w14:paraId="5596D5E7">
      <w:pPr>
        <w:rPr>
          <w:rFonts w:ascii="宋体" w:hAnsi="宋体" w:eastAsia="宋体" w:cs="宋体"/>
          <w:color w:val="auto"/>
          <w:highlight w:val="none"/>
        </w:rPr>
      </w:pPr>
      <w:r>
        <w:rPr>
          <w:rFonts w:hint="eastAsia" w:ascii="宋体" w:hAnsi="宋体" w:eastAsia="宋体" w:cs="宋体"/>
          <w:color w:val="auto"/>
          <w:highlight w:val="none"/>
        </w:rPr>
        <w:t>2. 项目概述</w:t>
      </w:r>
    </w:p>
    <w:p w14:paraId="643550FA">
      <w:pPr>
        <w:rPr>
          <w:rFonts w:ascii="宋体" w:hAnsi="宋体" w:eastAsia="宋体" w:cs="宋体"/>
          <w:color w:val="auto"/>
          <w:highlight w:val="none"/>
        </w:rPr>
      </w:pPr>
      <w:r>
        <w:rPr>
          <w:rFonts w:hint="eastAsia" w:ascii="宋体" w:hAnsi="宋体" w:eastAsia="宋体" w:cs="宋体"/>
          <w:color w:val="auto"/>
          <w:highlight w:val="none"/>
        </w:rPr>
        <w:t>依据《北京市市级政务云管理办法（试行）》（京经信函〔2019〕150号）、《北京市经济和信息化局关于加快政务入云工作的函》《关于进一步做好政务信息系统入云工作的函》和《关于我局信息系统迁入北京市电子政务云项目审查意见的函》（京经信信评〔2020〕37号）等政策要求，按照相关文件要求，以“上云”为原则，为常态、不上云为例外”原则，各部门现有信息系统应逐步迁移上云，停止服务器、存储等相关软硬件采购的要求，北京市卫健委在2024年该项目的实施基础上，根据各系统运行产生的各种需求，信息系统将继续租用市级政务云平台服务，为业务系统运行提供安全稳定的政务云环境，提高卫健委各业务系统的各项性能。确保系统安全、稳定地运行，并在此过程中对业务系统运行环境进行持续优化与改造，充分优化系统整体健壮性，提高系统可靠性。</w:t>
      </w:r>
    </w:p>
    <w:p w14:paraId="2BA0344C">
      <w:pPr>
        <w:keepNext/>
        <w:keepLines/>
        <w:widowControl w:val="0"/>
        <w:autoSpaceDE w:val="0"/>
        <w:autoSpaceDN w:val="0"/>
        <w:adjustRightInd w:val="0"/>
        <w:spacing w:before="120" w:line="300" w:lineRule="auto"/>
        <w:jc w:val="both"/>
        <w:outlineLvl w:val="1"/>
        <w:rPr>
          <w:rFonts w:ascii="宋体" w:hAnsi="宋体" w:eastAsia="宋体" w:cs="宋体"/>
          <w:b/>
          <w:color w:val="auto"/>
          <w:kern w:val="0"/>
          <w:sz w:val="30"/>
          <w:szCs w:val="20"/>
          <w:highlight w:val="none"/>
          <w:lang w:val="en-US" w:eastAsia="zh-CN" w:bidi="ar-SA"/>
        </w:rPr>
      </w:pPr>
      <w:r>
        <w:rPr>
          <w:rFonts w:hint="eastAsia" w:ascii="宋体" w:hAnsi="宋体" w:eastAsia="宋体" w:cs="宋体"/>
          <w:b/>
          <w:color w:val="auto"/>
          <w:kern w:val="0"/>
          <w:sz w:val="30"/>
          <w:szCs w:val="20"/>
          <w:highlight w:val="none"/>
          <w:lang w:val="en-US" w:eastAsia="zh-CN" w:bidi="ar-SA"/>
        </w:rPr>
        <w:t xml:space="preserve">二、商务要求 </w:t>
      </w:r>
    </w:p>
    <w:p w14:paraId="140AF605">
      <w:pPr>
        <w:rPr>
          <w:rFonts w:ascii="宋体" w:hAnsi="宋体" w:eastAsia="宋体" w:cs="宋体"/>
          <w:color w:val="auto"/>
          <w:highlight w:val="none"/>
        </w:rPr>
      </w:pPr>
      <w:r>
        <w:rPr>
          <w:rFonts w:hint="eastAsia" w:ascii="宋体" w:hAnsi="宋体" w:eastAsia="宋体" w:cs="宋体"/>
          <w:color w:val="auto"/>
          <w:highlight w:val="none"/>
        </w:rPr>
        <w:t>1. 交付（实施）的时间（期限）和地点（范围）</w:t>
      </w:r>
    </w:p>
    <w:p w14:paraId="3829B222">
      <w:pPr>
        <w:rPr>
          <w:rFonts w:ascii="宋体" w:hAnsi="宋体" w:eastAsia="宋体" w:cs="宋体"/>
          <w:color w:val="auto"/>
          <w:highlight w:val="none"/>
        </w:rPr>
      </w:pPr>
      <w:r>
        <w:rPr>
          <w:rFonts w:hint="eastAsia" w:ascii="宋体" w:hAnsi="宋体" w:eastAsia="宋体" w:cs="宋体"/>
          <w:color w:val="auto"/>
          <w:highlight w:val="none"/>
        </w:rPr>
        <w:t>服务周期：12个月。</w:t>
      </w:r>
    </w:p>
    <w:p w14:paraId="229E3B32">
      <w:pPr>
        <w:rPr>
          <w:rFonts w:ascii="宋体" w:hAnsi="宋体" w:eastAsia="宋体" w:cs="宋体"/>
          <w:color w:val="auto"/>
          <w:highlight w:val="none"/>
        </w:rPr>
      </w:pPr>
      <w:r>
        <w:rPr>
          <w:rFonts w:hint="eastAsia" w:ascii="宋体" w:hAnsi="宋体" w:eastAsia="宋体" w:cs="宋体"/>
          <w:color w:val="auto"/>
          <w:highlight w:val="none"/>
        </w:rPr>
        <w:t>交付地点：北京市政务云机房。</w:t>
      </w:r>
    </w:p>
    <w:p w14:paraId="08B02A38">
      <w:pPr>
        <w:rPr>
          <w:rFonts w:ascii="宋体" w:hAnsi="宋体" w:eastAsia="宋体" w:cs="宋体"/>
          <w:color w:val="auto"/>
          <w:highlight w:val="none"/>
        </w:rPr>
      </w:pPr>
      <w:r>
        <w:rPr>
          <w:rFonts w:hint="eastAsia" w:ascii="宋体" w:hAnsi="宋体" w:eastAsia="宋体" w:cs="宋体"/>
          <w:color w:val="auto"/>
          <w:highlight w:val="none"/>
        </w:rPr>
        <w:t>付款条件（进度和方式）：</w:t>
      </w:r>
    </w:p>
    <w:p w14:paraId="4B3EE35C">
      <w:pPr>
        <w:rPr>
          <w:rFonts w:ascii="宋体" w:hAnsi="宋体" w:eastAsia="宋体" w:cs="宋体"/>
          <w:color w:val="auto"/>
          <w:highlight w:val="none"/>
        </w:rPr>
      </w:pPr>
      <w:r>
        <w:rPr>
          <w:rFonts w:hint="eastAsia" w:ascii="宋体" w:hAnsi="宋体" w:eastAsia="宋体" w:cs="宋体"/>
          <w:bCs/>
          <w:color w:val="auto"/>
          <w:sz w:val="24"/>
          <w:highlight w:val="none"/>
        </w:rPr>
        <w:t>采购人待合同签署</w:t>
      </w:r>
      <w:r>
        <w:rPr>
          <w:rFonts w:hint="eastAsia" w:ascii="宋体" w:hAnsi="宋体" w:eastAsia="宋体" w:cs="宋体"/>
          <w:bCs/>
          <w:color w:val="auto"/>
          <w:sz w:val="24"/>
          <w:highlight w:val="none"/>
          <w:lang w:val="en-US" w:eastAsia="zh-CN"/>
        </w:rPr>
        <w:t>生效且财政资金拨付到位后，于</w:t>
      </w:r>
      <w:r>
        <w:rPr>
          <w:rFonts w:hint="eastAsia" w:ascii="宋体" w:hAnsi="宋体" w:eastAsia="宋体" w:cs="宋体"/>
          <w:bCs/>
          <w:color w:val="auto"/>
          <w:sz w:val="24"/>
          <w:highlight w:val="none"/>
        </w:rPr>
        <w:t>20个工作日内支付合同首款（合同额50%）；</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lang w:val="en-US" w:eastAsia="zh-CN"/>
        </w:rPr>
        <w:t>结束</w:t>
      </w:r>
      <w:r>
        <w:rPr>
          <w:rFonts w:hint="eastAsia" w:ascii="宋体" w:hAnsi="宋体" w:eastAsia="宋体" w:cs="宋体"/>
          <w:bCs/>
          <w:color w:val="auto"/>
          <w:sz w:val="24"/>
          <w:highlight w:val="none"/>
        </w:rPr>
        <w:t>且</w:t>
      </w:r>
      <w:r>
        <w:rPr>
          <w:rFonts w:hint="eastAsia" w:ascii="宋体" w:hAnsi="宋体" w:eastAsia="宋体" w:cs="宋体"/>
          <w:bCs/>
          <w:color w:val="auto"/>
          <w:sz w:val="24"/>
          <w:highlight w:val="none"/>
          <w:lang w:val="en-US" w:eastAsia="zh-CN"/>
        </w:rPr>
        <w:t>项目通过验收后，待财政资金拨付到位</w:t>
      </w:r>
      <w:r>
        <w:rPr>
          <w:rFonts w:hint="eastAsia" w:ascii="宋体" w:hAnsi="宋体" w:eastAsia="宋体" w:cs="宋体"/>
          <w:bCs/>
          <w:color w:val="auto"/>
          <w:sz w:val="24"/>
          <w:highlight w:val="none"/>
        </w:rPr>
        <w:t>，采购人支付</w:t>
      </w:r>
      <w:r>
        <w:rPr>
          <w:rFonts w:hint="eastAsia" w:ascii="宋体" w:hAnsi="宋体" w:eastAsia="宋体" w:cs="宋体"/>
          <w:bCs/>
          <w:color w:val="auto"/>
          <w:sz w:val="24"/>
          <w:highlight w:val="none"/>
          <w:lang w:val="en-US" w:eastAsia="zh-CN"/>
        </w:rPr>
        <w:t>合同</w:t>
      </w:r>
      <w:r>
        <w:rPr>
          <w:rFonts w:hint="eastAsia" w:ascii="宋体" w:hAnsi="宋体" w:eastAsia="宋体" w:cs="宋体"/>
          <w:bCs/>
          <w:color w:val="auto"/>
          <w:sz w:val="24"/>
          <w:highlight w:val="none"/>
        </w:rPr>
        <w:t>尾款（合同额50%）。</w:t>
      </w:r>
    </w:p>
    <w:p w14:paraId="720E9C96">
      <w:pPr>
        <w:keepNext/>
        <w:keepLines/>
        <w:widowControl w:val="0"/>
        <w:autoSpaceDE w:val="0"/>
        <w:autoSpaceDN w:val="0"/>
        <w:adjustRightInd w:val="0"/>
        <w:spacing w:before="120" w:line="300" w:lineRule="auto"/>
        <w:jc w:val="both"/>
        <w:outlineLvl w:val="1"/>
        <w:rPr>
          <w:rFonts w:ascii="宋体" w:hAnsi="宋体" w:eastAsia="宋体" w:cs="宋体"/>
          <w:b/>
          <w:color w:val="auto"/>
          <w:kern w:val="0"/>
          <w:sz w:val="30"/>
          <w:szCs w:val="20"/>
          <w:highlight w:val="none"/>
          <w:lang w:val="en-US" w:eastAsia="zh-CN" w:bidi="ar-SA"/>
        </w:rPr>
      </w:pPr>
      <w:r>
        <w:rPr>
          <w:rFonts w:hint="eastAsia" w:ascii="宋体" w:hAnsi="宋体" w:eastAsia="宋体" w:cs="宋体"/>
          <w:b/>
          <w:color w:val="auto"/>
          <w:kern w:val="0"/>
          <w:sz w:val="30"/>
          <w:szCs w:val="20"/>
          <w:highlight w:val="none"/>
          <w:lang w:val="en-US" w:eastAsia="zh-CN" w:bidi="ar-SA"/>
        </w:rPr>
        <w:t>三、技术要求</w:t>
      </w:r>
    </w:p>
    <w:p w14:paraId="69EF40BB">
      <w:pPr>
        <w:keepNext/>
        <w:keepLines/>
        <w:widowControl w:val="0"/>
        <w:autoSpaceDE w:val="0"/>
        <w:autoSpaceDN w:val="0"/>
        <w:adjustRightInd w:val="0"/>
        <w:spacing w:before="360" w:after="120"/>
        <w:jc w:val="left"/>
        <w:outlineLvl w:val="2"/>
        <w:rPr>
          <w:rFonts w:ascii="宋体" w:hAnsi="宋体" w:eastAsia="宋体" w:cs="宋体"/>
          <w:b/>
          <w:color w:val="auto"/>
          <w:kern w:val="0"/>
          <w:sz w:val="24"/>
          <w:szCs w:val="20"/>
          <w:highlight w:val="none"/>
          <w:u w:val="single"/>
          <w:lang w:val="en-US" w:eastAsia="zh-CN" w:bidi="ar-SA"/>
        </w:rPr>
      </w:pPr>
      <w:r>
        <w:rPr>
          <w:rFonts w:hint="eastAsia" w:ascii="宋体" w:hAnsi="宋体" w:eastAsia="宋体" w:cs="宋体"/>
          <w:b/>
          <w:color w:val="auto"/>
          <w:kern w:val="0"/>
          <w:sz w:val="24"/>
          <w:szCs w:val="20"/>
          <w:highlight w:val="none"/>
          <w:u w:val="single"/>
          <w:lang w:val="en-US" w:eastAsia="zh-CN" w:bidi="ar-SA"/>
        </w:rPr>
        <w:t>1. 基本要求</w:t>
      </w:r>
    </w:p>
    <w:p w14:paraId="69CF57D8">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1.1 采购标的需实现的功能或者目标</w:t>
      </w:r>
    </w:p>
    <w:p w14:paraId="4BB00EEC">
      <w:pPr>
        <w:rPr>
          <w:rFonts w:ascii="宋体" w:hAnsi="宋体" w:eastAsia="宋体" w:cs="宋体"/>
          <w:color w:val="auto"/>
          <w:highlight w:val="none"/>
        </w:rPr>
      </w:pPr>
      <w:r>
        <w:rPr>
          <w:rFonts w:hint="eastAsia" w:ascii="宋体" w:hAnsi="宋体" w:eastAsia="宋体" w:cs="宋体"/>
          <w:color w:val="auto"/>
          <w:highlight w:val="none"/>
        </w:rPr>
        <w:t>本项目的总体目标是通过租用政务云服务，对北京市卫生健康大数据与政策研究中心信息系统的运行环境进行持续优化，提供可靠、稳定、安全的政务云服务，具体包括：</w:t>
      </w:r>
    </w:p>
    <w:p w14:paraId="07ECA7C2">
      <w:pPr>
        <w:rPr>
          <w:rFonts w:ascii="宋体" w:hAnsi="宋体" w:eastAsia="宋体" w:cs="宋体"/>
          <w:color w:val="auto"/>
          <w:highlight w:val="none"/>
        </w:rPr>
      </w:pPr>
      <w:r>
        <w:rPr>
          <w:rFonts w:hint="eastAsia" w:ascii="宋体" w:hAnsi="宋体" w:eastAsia="宋体" w:cs="宋体"/>
          <w:color w:val="auto"/>
          <w:highlight w:val="none"/>
        </w:rPr>
        <w:t>（1）提供政务云基础服务，包括计算服务、存储服务、网络服务。</w:t>
      </w:r>
    </w:p>
    <w:p w14:paraId="22F31158">
      <w:pPr>
        <w:rPr>
          <w:rFonts w:ascii="宋体" w:hAnsi="宋体" w:eastAsia="宋体" w:cs="宋体"/>
          <w:color w:val="auto"/>
          <w:highlight w:val="none"/>
        </w:rPr>
      </w:pPr>
      <w:r>
        <w:rPr>
          <w:rFonts w:hint="eastAsia" w:ascii="宋体" w:hAnsi="宋体" w:eastAsia="宋体" w:cs="宋体"/>
          <w:color w:val="auto"/>
          <w:highlight w:val="none"/>
        </w:rPr>
        <w:t>（2）提供政务云扩展服务，包括基础软件支撑服务、CDN加速服务、运维管理及个性化服务。</w:t>
      </w:r>
    </w:p>
    <w:p w14:paraId="5D57E1D8">
      <w:pPr>
        <w:rPr>
          <w:rFonts w:ascii="宋体" w:hAnsi="宋体" w:eastAsia="宋体" w:cs="宋体"/>
          <w:color w:val="auto"/>
          <w:highlight w:val="none"/>
        </w:rPr>
      </w:pPr>
      <w:r>
        <w:rPr>
          <w:rFonts w:hint="eastAsia" w:ascii="宋体" w:hAnsi="宋体" w:eastAsia="宋体" w:cs="宋体"/>
          <w:color w:val="auto"/>
          <w:highlight w:val="none"/>
        </w:rPr>
        <w:t>（3）提供7*24运维保障，做好重大活动和节假日应急值守保障服务，确保各系统在政务云环境中可靠稳定运行。</w:t>
      </w:r>
    </w:p>
    <w:p w14:paraId="2D2407AA">
      <w:pPr>
        <w:rPr>
          <w:rFonts w:ascii="宋体" w:hAnsi="宋体" w:eastAsia="宋体" w:cs="宋体"/>
          <w:color w:val="auto"/>
          <w:highlight w:val="none"/>
        </w:rPr>
      </w:pPr>
      <w:r>
        <w:rPr>
          <w:rFonts w:hint="eastAsia" w:ascii="宋体" w:hAnsi="宋体" w:eastAsia="宋体" w:cs="宋体"/>
          <w:color w:val="auto"/>
          <w:highlight w:val="none"/>
        </w:rPr>
        <w:t>（4）服务期内，投标人须完成信息系统的日常运维和安全运维服务工作（包括：日常技术支持、服务规范、安全及保密要求、响应的及时性），确保入云系统安全、稳定地运行。</w:t>
      </w:r>
    </w:p>
    <w:p w14:paraId="24143735">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1.2 需执行的国家相关标准、行业标准、地方标准或者其他标准、规范</w:t>
      </w:r>
    </w:p>
    <w:p w14:paraId="58886748">
      <w:pPr>
        <w:rPr>
          <w:rFonts w:ascii="宋体" w:hAnsi="宋体" w:eastAsia="宋体" w:cs="宋体"/>
          <w:color w:val="auto"/>
          <w:highlight w:val="none"/>
        </w:rPr>
      </w:pPr>
      <w:r>
        <w:rPr>
          <w:rFonts w:hint="eastAsia" w:ascii="宋体" w:hAnsi="宋体" w:eastAsia="宋体" w:cs="宋体"/>
          <w:color w:val="auto"/>
          <w:highlight w:val="none"/>
        </w:rPr>
        <w:t>（1）国家及北京市有关政策</w:t>
      </w:r>
    </w:p>
    <w:p w14:paraId="1BD3FE57">
      <w:pPr>
        <w:rPr>
          <w:rFonts w:ascii="宋体" w:hAnsi="宋体" w:eastAsia="宋体" w:cs="宋体"/>
          <w:color w:val="auto"/>
          <w:highlight w:val="none"/>
        </w:rPr>
      </w:pPr>
      <w:r>
        <w:rPr>
          <w:rFonts w:hint="eastAsia" w:ascii="宋体" w:hAnsi="宋体" w:eastAsia="宋体" w:cs="宋体"/>
          <w:color w:val="auto"/>
          <w:highlight w:val="none"/>
        </w:rPr>
        <w:t>《关键信息基础设施安全保护条例》（中华人民共和国国务院令第745号）</w:t>
      </w:r>
    </w:p>
    <w:p w14:paraId="2BC8FA4D">
      <w:pPr>
        <w:rPr>
          <w:rFonts w:ascii="宋体" w:hAnsi="宋体" w:eastAsia="宋体" w:cs="宋体"/>
          <w:color w:val="auto"/>
          <w:highlight w:val="none"/>
        </w:rPr>
      </w:pPr>
      <w:r>
        <w:rPr>
          <w:rFonts w:hint="eastAsia" w:ascii="宋体" w:hAnsi="宋体" w:eastAsia="宋体" w:cs="宋体"/>
          <w:color w:val="auto"/>
          <w:highlight w:val="none"/>
        </w:rPr>
        <w:t>《国家政务信息化项目建设管理办法》（国办发〔2019〕57号）</w:t>
      </w:r>
    </w:p>
    <w:p w14:paraId="6E7F88D1">
      <w:pPr>
        <w:rPr>
          <w:rFonts w:ascii="宋体" w:hAnsi="宋体" w:eastAsia="宋体" w:cs="宋体"/>
          <w:color w:val="auto"/>
          <w:highlight w:val="none"/>
        </w:rPr>
      </w:pPr>
      <w:r>
        <w:rPr>
          <w:rFonts w:hint="eastAsia" w:ascii="宋体" w:hAnsi="宋体" w:eastAsia="宋体" w:cs="宋体"/>
          <w:color w:val="auto"/>
          <w:highlight w:val="none"/>
        </w:rPr>
        <w:t>《政府采购需求管理办法》（财库〔2021〕22号）</w:t>
      </w:r>
    </w:p>
    <w:p w14:paraId="523B39AA">
      <w:pPr>
        <w:rPr>
          <w:rFonts w:ascii="宋体" w:hAnsi="宋体" w:eastAsia="宋体" w:cs="宋体"/>
          <w:color w:val="auto"/>
          <w:highlight w:val="none"/>
        </w:rPr>
      </w:pPr>
      <w:r>
        <w:rPr>
          <w:rFonts w:hint="eastAsia" w:ascii="宋体" w:hAnsi="宋体" w:eastAsia="宋体" w:cs="宋体"/>
          <w:color w:val="auto"/>
          <w:highlight w:val="none"/>
        </w:rPr>
        <w:t>《关于促进政府采购公平竞争优化营商环境的通知》（财库〔2019〕38号）</w:t>
      </w:r>
    </w:p>
    <w:p w14:paraId="2E001405">
      <w:pPr>
        <w:rPr>
          <w:rFonts w:ascii="宋体" w:hAnsi="宋体" w:eastAsia="宋体" w:cs="宋体"/>
          <w:color w:val="auto"/>
          <w:highlight w:val="none"/>
        </w:rPr>
      </w:pPr>
      <w:r>
        <w:rPr>
          <w:rFonts w:hint="eastAsia" w:ascii="宋体" w:hAnsi="宋体" w:eastAsia="宋体" w:cs="宋体"/>
          <w:color w:val="auto"/>
          <w:highlight w:val="none"/>
        </w:rPr>
        <w:t>《关于进一步提高政府采购透明度和采购效率相关事项的通知》（财办库〔2023〕243号）</w:t>
      </w:r>
    </w:p>
    <w:p w14:paraId="0B922740">
      <w:pPr>
        <w:rPr>
          <w:rFonts w:ascii="宋体" w:hAnsi="宋体" w:eastAsia="宋体" w:cs="宋体"/>
          <w:color w:val="auto"/>
          <w:highlight w:val="none"/>
        </w:rPr>
      </w:pPr>
      <w:r>
        <w:rPr>
          <w:rFonts w:hint="eastAsia" w:ascii="宋体" w:hAnsi="宋体" w:eastAsia="宋体" w:cs="宋体"/>
          <w:color w:val="auto"/>
          <w:highlight w:val="none"/>
        </w:rPr>
        <w:t>《工业和信息化部信息通信管理局关于督促互联网网络接入服务企业依法持证经营的通知》（工信管函〔2018〕84号）</w:t>
      </w:r>
    </w:p>
    <w:p w14:paraId="15F65E68">
      <w:pPr>
        <w:rPr>
          <w:rFonts w:ascii="宋体" w:hAnsi="宋体" w:eastAsia="宋体" w:cs="宋体"/>
          <w:color w:val="auto"/>
          <w:highlight w:val="none"/>
        </w:rPr>
      </w:pPr>
      <w:r>
        <w:rPr>
          <w:rFonts w:hint="eastAsia" w:ascii="宋体" w:hAnsi="宋体" w:eastAsia="宋体" w:cs="宋体"/>
          <w:color w:val="auto"/>
          <w:highlight w:val="none"/>
        </w:rPr>
        <w:t>《云计算服务安全评估办法》（国家互联网信息办公室、国家发展和改革委员会、工业和信息化部、财政部公告2019年第2号）</w:t>
      </w:r>
    </w:p>
    <w:p w14:paraId="30DDD1B8">
      <w:pPr>
        <w:rPr>
          <w:rFonts w:ascii="宋体" w:hAnsi="宋体" w:eastAsia="宋体" w:cs="宋体"/>
          <w:color w:val="auto"/>
          <w:highlight w:val="none"/>
        </w:rPr>
      </w:pPr>
      <w:r>
        <w:rPr>
          <w:rFonts w:hint="eastAsia" w:ascii="宋体" w:hAnsi="宋体" w:eastAsia="宋体" w:cs="宋体"/>
          <w:color w:val="auto"/>
          <w:highlight w:val="none"/>
        </w:rPr>
        <w:t>《关于加强党政部门云计算服务网络安全管理的意见》（中网办发文〔2014〕14号）</w:t>
      </w:r>
    </w:p>
    <w:p w14:paraId="70737BF2">
      <w:pPr>
        <w:rPr>
          <w:rFonts w:ascii="宋体" w:hAnsi="宋体" w:eastAsia="宋体" w:cs="宋体"/>
          <w:color w:val="auto"/>
          <w:highlight w:val="none"/>
        </w:rPr>
      </w:pPr>
      <w:r>
        <w:rPr>
          <w:rFonts w:hint="eastAsia" w:ascii="宋体" w:hAnsi="宋体" w:eastAsia="宋体" w:cs="宋体"/>
          <w:color w:val="auto"/>
          <w:highlight w:val="none"/>
        </w:rPr>
        <w:t>《基于云计算的电子政务公共平台顶层设计指南》</w:t>
      </w:r>
    </w:p>
    <w:p w14:paraId="3F1D6BA8">
      <w:pPr>
        <w:rPr>
          <w:rFonts w:ascii="宋体" w:hAnsi="宋体" w:eastAsia="宋体" w:cs="宋体"/>
          <w:color w:val="auto"/>
          <w:highlight w:val="none"/>
        </w:rPr>
      </w:pPr>
      <w:r>
        <w:rPr>
          <w:rFonts w:hint="eastAsia" w:ascii="宋体" w:hAnsi="宋体" w:eastAsia="宋体" w:cs="宋体"/>
          <w:color w:val="auto"/>
          <w:highlight w:val="none"/>
        </w:rPr>
        <w:t>《北京市财政局关于印发〈北京市政府采购负面清单〉的通知》（京财采购〔2020〕1345号）</w:t>
      </w:r>
    </w:p>
    <w:p w14:paraId="62DA3AE4">
      <w:pPr>
        <w:rPr>
          <w:rFonts w:ascii="宋体" w:hAnsi="宋体" w:eastAsia="宋体" w:cs="宋体"/>
          <w:color w:val="auto"/>
          <w:highlight w:val="none"/>
        </w:rPr>
      </w:pPr>
      <w:r>
        <w:rPr>
          <w:rFonts w:hint="eastAsia" w:ascii="宋体" w:hAnsi="宋体" w:eastAsia="宋体" w:cs="宋体"/>
          <w:color w:val="auto"/>
          <w:highlight w:val="none"/>
        </w:rPr>
        <w:t>《北京市财政局关于落实好政府采购支持中小企业发展的通知（京财采购〔2022〕1143号）</w:t>
      </w:r>
    </w:p>
    <w:p w14:paraId="5848AA80">
      <w:pPr>
        <w:rPr>
          <w:rFonts w:ascii="宋体" w:hAnsi="宋体" w:eastAsia="宋体" w:cs="宋体"/>
          <w:color w:val="auto"/>
          <w:highlight w:val="none"/>
        </w:rPr>
      </w:pPr>
      <w:r>
        <w:rPr>
          <w:rFonts w:hint="eastAsia" w:ascii="宋体" w:hAnsi="宋体" w:eastAsia="宋体" w:cs="宋体"/>
          <w:color w:val="auto"/>
          <w:highlight w:val="none"/>
        </w:rPr>
        <w:t>《关于印发〈关于推进我市政务信息系统整合共享的实施方案〉的通知》（京经信委发〔2017〕89号）</w:t>
      </w:r>
    </w:p>
    <w:p w14:paraId="7AEE32A4">
      <w:pPr>
        <w:rPr>
          <w:rFonts w:ascii="宋体" w:hAnsi="宋体" w:eastAsia="宋体" w:cs="宋体"/>
          <w:color w:val="auto"/>
          <w:highlight w:val="none"/>
        </w:rPr>
      </w:pPr>
      <w:r>
        <w:rPr>
          <w:rFonts w:hint="eastAsia" w:ascii="宋体" w:hAnsi="宋体" w:eastAsia="宋体" w:cs="宋体"/>
          <w:color w:val="auto"/>
          <w:highlight w:val="none"/>
        </w:rPr>
        <w:t>《北京市人民政府关于印发〈北京市政务信息资源管理办法（试行）〉的通知》（京政发〔2017〕37号）</w:t>
      </w:r>
    </w:p>
    <w:p w14:paraId="012081D4">
      <w:pPr>
        <w:rPr>
          <w:rFonts w:ascii="宋体" w:hAnsi="宋体" w:eastAsia="宋体" w:cs="宋体"/>
          <w:color w:val="auto"/>
          <w:highlight w:val="none"/>
        </w:rPr>
      </w:pPr>
      <w:r>
        <w:rPr>
          <w:rFonts w:hint="eastAsia" w:ascii="宋体" w:hAnsi="宋体" w:eastAsia="宋体" w:cs="宋体"/>
          <w:color w:val="auto"/>
          <w:highlight w:val="none"/>
        </w:rPr>
        <w:t>《关于印发〈北京市市级政务云管理办法〉的通知》（京经信函〔2019〕150号）</w:t>
      </w:r>
    </w:p>
    <w:p w14:paraId="1134E2BE">
      <w:pPr>
        <w:rPr>
          <w:rFonts w:ascii="宋体" w:hAnsi="宋体" w:eastAsia="宋体" w:cs="宋体"/>
          <w:color w:val="auto"/>
          <w:highlight w:val="none"/>
        </w:rPr>
      </w:pPr>
      <w:r>
        <w:rPr>
          <w:rFonts w:hint="eastAsia" w:ascii="宋体" w:hAnsi="宋体" w:eastAsia="宋体" w:cs="宋体"/>
          <w:color w:val="auto"/>
          <w:highlight w:val="none"/>
        </w:rPr>
        <w:t>《北京市政务网络和数据安全管理办法》（京经信发〔2023〕57号）</w:t>
      </w:r>
    </w:p>
    <w:p w14:paraId="251778AC">
      <w:pPr>
        <w:rPr>
          <w:rFonts w:ascii="宋体" w:hAnsi="宋体" w:eastAsia="宋体" w:cs="宋体"/>
          <w:color w:val="auto"/>
          <w:highlight w:val="none"/>
        </w:rPr>
      </w:pPr>
      <w:r>
        <w:rPr>
          <w:rFonts w:hint="eastAsia" w:ascii="宋体" w:hAnsi="宋体" w:eastAsia="宋体" w:cs="宋体"/>
          <w:color w:val="auto"/>
          <w:highlight w:val="none"/>
        </w:rPr>
        <w:t>《北京市“十四五”时期智慧城市建设控制性规划要求（试行）》（京大数据发〔2021〕2号）</w:t>
      </w:r>
    </w:p>
    <w:p w14:paraId="301DA5D7">
      <w:pPr>
        <w:rPr>
          <w:rFonts w:ascii="宋体" w:hAnsi="宋体" w:eastAsia="宋体" w:cs="宋体"/>
          <w:color w:val="auto"/>
          <w:highlight w:val="none"/>
        </w:rPr>
      </w:pPr>
      <w:r>
        <w:rPr>
          <w:rFonts w:hint="eastAsia" w:ascii="宋体" w:hAnsi="宋体" w:eastAsia="宋体" w:cs="宋体"/>
          <w:color w:val="auto"/>
          <w:highlight w:val="none"/>
        </w:rPr>
        <w:t>（2）国家相关标准</w:t>
      </w:r>
    </w:p>
    <w:p w14:paraId="0A2CF97B">
      <w:pPr>
        <w:rPr>
          <w:rFonts w:ascii="宋体" w:hAnsi="宋体" w:eastAsia="宋体" w:cs="宋体"/>
          <w:color w:val="auto"/>
          <w:highlight w:val="none"/>
        </w:rPr>
      </w:pPr>
      <w:r>
        <w:rPr>
          <w:rFonts w:hint="eastAsia" w:ascii="宋体" w:hAnsi="宋体" w:eastAsia="宋体" w:cs="宋体"/>
          <w:color w:val="auto"/>
          <w:highlight w:val="none"/>
        </w:rPr>
        <w:t>《国家电子政务外网安全接入平台技术规范》</w:t>
      </w:r>
    </w:p>
    <w:p w14:paraId="3029CDA3">
      <w:pPr>
        <w:rPr>
          <w:rFonts w:ascii="宋体" w:hAnsi="宋体" w:eastAsia="宋体" w:cs="宋体"/>
          <w:color w:val="auto"/>
          <w:highlight w:val="none"/>
        </w:rPr>
      </w:pPr>
      <w:r>
        <w:rPr>
          <w:rFonts w:hint="eastAsia" w:ascii="宋体" w:hAnsi="宋体" w:eastAsia="宋体" w:cs="宋体"/>
          <w:color w:val="auto"/>
          <w:highlight w:val="none"/>
        </w:rPr>
        <w:t>《信息技术—云计算—云服务质量评价指标》（GB/T 37738-2019）</w:t>
      </w:r>
    </w:p>
    <w:p w14:paraId="33CB5FD9">
      <w:pPr>
        <w:rPr>
          <w:rFonts w:ascii="宋体" w:hAnsi="宋体" w:eastAsia="宋体" w:cs="宋体"/>
          <w:color w:val="auto"/>
          <w:highlight w:val="none"/>
        </w:rPr>
      </w:pPr>
      <w:r>
        <w:rPr>
          <w:rFonts w:hint="eastAsia" w:ascii="宋体" w:hAnsi="宋体" w:eastAsia="宋体" w:cs="宋体"/>
          <w:color w:val="auto"/>
          <w:highlight w:val="none"/>
        </w:rPr>
        <w:t>《信息技术—云计算—云服务计量指标》（GB/T 37735-2019）</w:t>
      </w:r>
    </w:p>
    <w:p w14:paraId="7D0CA938">
      <w:pPr>
        <w:rPr>
          <w:rFonts w:ascii="宋体" w:hAnsi="宋体" w:eastAsia="宋体" w:cs="宋体"/>
          <w:color w:val="auto"/>
          <w:highlight w:val="none"/>
        </w:rPr>
      </w:pPr>
      <w:r>
        <w:rPr>
          <w:rFonts w:hint="eastAsia" w:ascii="宋体" w:hAnsi="宋体" w:eastAsia="宋体" w:cs="宋体"/>
          <w:color w:val="auto"/>
          <w:highlight w:val="none"/>
        </w:rPr>
        <w:t>《信息技术—云计算—云服务采购指南》（GB/T 37734-2019）</w:t>
      </w:r>
    </w:p>
    <w:p w14:paraId="5E6AF386">
      <w:pPr>
        <w:rPr>
          <w:rFonts w:ascii="宋体" w:hAnsi="宋体" w:eastAsia="宋体" w:cs="宋体"/>
          <w:color w:val="auto"/>
          <w:highlight w:val="none"/>
        </w:rPr>
      </w:pPr>
      <w:r>
        <w:rPr>
          <w:rFonts w:hint="eastAsia" w:ascii="宋体" w:hAnsi="宋体" w:eastAsia="宋体" w:cs="宋体"/>
          <w:color w:val="auto"/>
          <w:highlight w:val="none"/>
        </w:rPr>
        <w:t>《信息技术—云计算—云存储系统服务接口功能》（GB/T 37732-2019）</w:t>
      </w:r>
    </w:p>
    <w:p w14:paraId="5803FD75">
      <w:pPr>
        <w:rPr>
          <w:rFonts w:ascii="宋体" w:hAnsi="宋体" w:eastAsia="宋体" w:cs="宋体"/>
          <w:color w:val="auto"/>
          <w:highlight w:val="none"/>
        </w:rPr>
      </w:pPr>
      <w:r>
        <w:rPr>
          <w:rFonts w:hint="eastAsia" w:ascii="宋体" w:hAnsi="宋体" w:eastAsia="宋体" w:cs="宋体"/>
          <w:color w:val="auto"/>
          <w:highlight w:val="none"/>
        </w:rPr>
        <w:t>《信息技术—云计算—云资源监控通用要求》（GB/T 37736-2019）</w:t>
      </w:r>
    </w:p>
    <w:p w14:paraId="3C43878C">
      <w:pPr>
        <w:rPr>
          <w:rFonts w:ascii="宋体" w:hAnsi="宋体" w:eastAsia="宋体" w:cs="宋体"/>
          <w:color w:val="auto"/>
          <w:highlight w:val="none"/>
        </w:rPr>
      </w:pPr>
      <w:r>
        <w:rPr>
          <w:rFonts w:hint="eastAsia" w:ascii="宋体" w:hAnsi="宋体" w:eastAsia="宋体" w:cs="宋体"/>
          <w:color w:val="auto"/>
          <w:highlight w:val="none"/>
        </w:rPr>
        <w:t>《信息技术—云计算—云平台间应用和数据迁移指南》（GB/T 37740-2019）</w:t>
      </w:r>
    </w:p>
    <w:p w14:paraId="50EE245D">
      <w:pPr>
        <w:rPr>
          <w:rFonts w:ascii="宋体" w:hAnsi="宋体" w:eastAsia="宋体" w:cs="宋体"/>
          <w:color w:val="auto"/>
          <w:highlight w:val="none"/>
        </w:rPr>
      </w:pPr>
      <w:r>
        <w:rPr>
          <w:rFonts w:hint="eastAsia" w:ascii="宋体" w:hAnsi="宋体" w:eastAsia="宋体" w:cs="宋体"/>
          <w:color w:val="auto"/>
          <w:highlight w:val="none"/>
        </w:rPr>
        <w:t>《信息技术—云计算—云服务交付要求》（GB/T 37741-2019）</w:t>
      </w:r>
    </w:p>
    <w:p w14:paraId="52B27909">
      <w:pPr>
        <w:rPr>
          <w:rFonts w:ascii="宋体" w:hAnsi="宋体" w:eastAsia="宋体" w:cs="宋体"/>
          <w:color w:val="auto"/>
          <w:highlight w:val="none"/>
        </w:rPr>
      </w:pPr>
      <w:r>
        <w:rPr>
          <w:rFonts w:hint="eastAsia" w:ascii="宋体" w:hAnsi="宋体" w:eastAsia="宋体" w:cs="宋体"/>
          <w:color w:val="auto"/>
          <w:highlight w:val="none"/>
        </w:rPr>
        <w:t>《信息系统灾难恢复规范》（GB/T 20988-2007）</w:t>
      </w:r>
    </w:p>
    <w:p w14:paraId="08B14722">
      <w:pPr>
        <w:rPr>
          <w:rFonts w:ascii="宋体" w:hAnsi="宋体" w:eastAsia="宋体" w:cs="宋体"/>
          <w:color w:val="auto"/>
          <w:highlight w:val="none"/>
        </w:rPr>
      </w:pPr>
      <w:r>
        <w:rPr>
          <w:rFonts w:hint="eastAsia" w:ascii="宋体" w:hAnsi="宋体" w:eastAsia="宋体" w:cs="宋体"/>
          <w:color w:val="auto"/>
          <w:highlight w:val="none"/>
        </w:rPr>
        <w:t>《信息安全技术 云计算服务安全能力要求》（GB/T 31168-2014）</w:t>
      </w:r>
    </w:p>
    <w:p w14:paraId="79542C9F">
      <w:pPr>
        <w:rPr>
          <w:rFonts w:ascii="宋体" w:hAnsi="宋体" w:eastAsia="宋体" w:cs="宋体"/>
          <w:color w:val="auto"/>
          <w:highlight w:val="none"/>
        </w:rPr>
      </w:pPr>
      <w:r>
        <w:rPr>
          <w:rFonts w:hint="eastAsia" w:ascii="宋体" w:hAnsi="宋体" w:eastAsia="宋体" w:cs="宋体"/>
          <w:color w:val="auto"/>
          <w:highlight w:val="none"/>
        </w:rPr>
        <w:t>《信息安全技术 网络安全等级保护定级指南》（GB/T 22240-2020）</w:t>
      </w:r>
    </w:p>
    <w:p w14:paraId="07E3D795">
      <w:pPr>
        <w:rPr>
          <w:rFonts w:ascii="宋体" w:hAnsi="宋体" w:eastAsia="宋体" w:cs="宋体"/>
          <w:color w:val="auto"/>
          <w:highlight w:val="none"/>
        </w:rPr>
      </w:pPr>
      <w:r>
        <w:rPr>
          <w:rFonts w:hint="eastAsia" w:ascii="宋体" w:hAnsi="宋体" w:eastAsia="宋体" w:cs="宋体"/>
          <w:color w:val="auto"/>
          <w:highlight w:val="none"/>
        </w:rPr>
        <w:t>《信息安全技术 网络安全等级保护基本要求》（GB/T 22239-2019）</w:t>
      </w:r>
    </w:p>
    <w:p w14:paraId="1D426966">
      <w:pPr>
        <w:rPr>
          <w:rFonts w:ascii="宋体" w:hAnsi="宋体" w:eastAsia="宋体" w:cs="宋体"/>
          <w:color w:val="auto"/>
          <w:highlight w:val="none"/>
        </w:rPr>
      </w:pPr>
      <w:r>
        <w:rPr>
          <w:rFonts w:hint="eastAsia" w:ascii="宋体" w:hAnsi="宋体" w:eastAsia="宋体" w:cs="宋体"/>
          <w:color w:val="auto"/>
          <w:highlight w:val="none"/>
        </w:rPr>
        <w:t>《信息安全技术 网络安全等级保护测评要求》（GB/T 28448-2019）</w:t>
      </w:r>
    </w:p>
    <w:p w14:paraId="02577440">
      <w:pPr>
        <w:rPr>
          <w:rFonts w:ascii="宋体" w:hAnsi="宋体" w:eastAsia="宋体" w:cs="宋体"/>
          <w:color w:val="auto"/>
          <w:highlight w:val="none"/>
        </w:rPr>
      </w:pPr>
      <w:r>
        <w:rPr>
          <w:rFonts w:hint="eastAsia" w:ascii="宋体" w:hAnsi="宋体" w:eastAsia="宋体" w:cs="宋体"/>
          <w:color w:val="auto"/>
          <w:highlight w:val="none"/>
        </w:rPr>
        <w:t>《信息安全技术 信息系统密码应用基本要求》（GB/T39786-2021）</w:t>
      </w:r>
    </w:p>
    <w:p w14:paraId="09EC4241">
      <w:pPr>
        <w:rPr>
          <w:rFonts w:ascii="宋体" w:hAnsi="宋体" w:eastAsia="宋体" w:cs="宋体"/>
          <w:color w:val="auto"/>
          <w:highlight w:val="none"/>
        </w:rPr>
      </w:pPr>
      <w:r>
        <w:rPr>
          <w:rFonts w:hint="eastAsia" w:ascii="宋体" w:hAnsi="宋体" w:eastAsia="宋体" w:cs="宋体"/>
          <w:color w:val="auto"/>
          <w:highlight w:val="none"/>
        </w:rPr>
        <w:t>《信息安全技术 信息安全风险评估方法》（GB/T 20984-2022）</w:t>
      </w:r>
    </w:p>
    <w:p w14:paraId="27C4148C">
      <w:pPr>
        <w:rPr>
          <w:rFonts w:ascii="宋体" w:hAnsi="宋体" w:eastAsia="宋体" w:cs="宋体"/>
          <w:color w:val="auto"/>
          <w:highlight w:val="none"/>
        </w:rPr>
      </w:pPr>
      <w:r>
        <w:rPr>
          <w:rFonts w:hint="eastAsia" w:ascii="宋体" w:hAnsi="宋体" w:eastAsia="宋体" w:cs="宋体"/>
          <w:color w:val="auto"/>
          <w:highlight w:val="none"/>
        </w:rPr>
        <w:t>《信息安全技术 云计算服务安全指南》（GB/T 31167-2014）</w:t>
      </w:r>
    </w:p>
    <w:p w14:paraId="4563A8A0">
      <w:pPr>
        <w:rPr>
          <w:rFonts w:ascii="宋体" w:hAnsi="宋体" w:eastAsia="宋体" w:cs="宋体"/>
          <w:color w:val="auto"/>
          <w:highlight w:val="none"/>
        </w:rPr>
      </w:pPr>
      <w:r>
        <w:rPr>
          <w:rFonts w:hint="eastAsia" w:ascii="宋体" w:hAnsi="宋体" w:eastAsia="宋体" w:cs="宋体"/>
          <w:color w:val="auto"/>
          <w:highlight w:val="none"/>
        </w:rPr>
        <w:t>《信息安全技术 政府网站云计算服务安全指南》（GB/T 38249—2019）</w:t>
      </w:r>
    </w:p>
    <w:p w14:paraId="0BDEA1C4">
      <w:pPr>
        <w:rPr>
          <w:rFonts w:ascii="宋体" w:hAnsi="宋体" w:eastAsia="宋体" w:cs="宋体"/>
          <w:color w:val="auto"/>
          <w:highlight w:val="none"/>
        </w:rPr>
      </w:pPr>
      <w:r>
        <w:rPr>
          <w:rFonts w:hint="eastAsia" w:ascii="宋体" w:hAnsi="宋体" w:eastAsia="宋体" w:cs="宋体"/>
          <w:color w:val="auto"/>
          <w:highlight w:val="none"/>
        </w:rPr>
        <w:t>《信息安全技术 云计算安全参考架构》（GB/T 35279—2017）</w:t>
      </w:r>
    </w:p>
    <w:p w14:paraId="2A3E6971">
      <w:pPr>
        <w:rPr>
          <w:rFonts w:ascii="宋体" w:hAnsi="宋体" w:eastAsia="宋体" w:cs="宋体"/>
          <w:color w:val="auto"/>
          <w:highlight w:val="none"/>
        </w:rPr>
      </w:pPr>
      <w:r>
        <w:rPr>
          <w:rFonts w:hint="eastAsia" w:ascii="宋体" w:hAnsi="宋体" w:eastAsia="宋体" w:cs="宋体"/>
          <w:color w:val="auto"/>
          <w:highlight w:val="none"/>
        </w:rPr>
        <w:t>《信息安全技术 云计算服务安全能力评估方法》GB/T 34942—2017</w:t>
      </w:r>
    </w:p>
    <w:p w14:paraId="1A193C72">
      <w:pPr>
        <w:rPr>
          <w:rFonts w:ascii="宋体" w:hAnsi="宋体" w:eastAsia="宋体" w:cs="宋体"/>
          <w:color w:val="auto"/>
          <w:highlight w:val="none"/>
        </w:rPr>
      </w:pPr>
      <w:r>
        <w:rPr>
          <w:rFonts w:hint="eastAsia" w:ascii="宋体" w:hAnsi="宋体" w:eastAsia="宋体" w:cs="宋体"/>
          <w:color w:val="auto"/>
          <w:highlight w:val="none"/>
        </w:rPr>
        <w:t>《信息安全技术 云计算服务运行监管框架》（GB/T 37972—2019）</w:t>
      </w:r>
    </w:p>
    <w:p w14:paraId="55A0E692">
      <w:pPr>
        <w:rPr>
          <w:rFonts w:ascii="宋体" w:hAnsi="宋体" w:eastAsia="宋体" w:cs="宋体"/>
          <w:color w:val="auto"/>
          <w:highlight w:val="none"/>
        </w:rPr>
      </w:pPr>
      <w:r>
        <w:rPr>
          <w:rFonts w:hint="eastAsia" w:ascii="宋体" w:hAnsi="宋体" w:eastAsia="宋体" w:cs="宋体"/>
          <w:color w:val="auto"/>
          <w:highlight w:val="none"/>
        </w:rPr>
        <w:t>《信息技术 云资源监控指标体系》（GB/T 37938-2019）</w:t>
      </w:r>
    </w:p>
    <w:p w14:paraId="775FF8F0">
      <w:pPr>
        <w:rPr>
          <w:rFonts w:ascii="宋体" w:hAnsi="宋体" w:eastAsia="宋体" w:cs="宋体"/>
          <w:color w:val="auto"/>
          <w:highlight w:val="none"/>
        </w:rPr>
      </w:pPr>
      <w:r>
        <w:rPr>
          <w:rFonts w:hint="eastAsia" w:ascii="宋体" w:hAnsi="宋体" w:eastAsia="宋体" w:cs="宋体"/>
          <w:color w:val="auto"/>
          <w:highlight w:val="none"/>
        </w:rPr>
        <w:t>《电子信息系统机房设计规范》（GB50174-2017）</w:t>
      </w:r>
    </w:p>
    <w:p w14:paraId="4B2C7E04">
      <w:pPr>
        <w:rPr>
          <w:rFonts w:ascii="宋体" w:hAnsi="宋体" w:eastAsia="宋体" w:cs="宋体"/>
          <w:color w:val="auto"/>
          <w:highlight w:val="none"/>
        </w:rPr>
      </w:pPr>
      <w:r>
        <w:rPr>
          <w:rFonts w:hint="eastAsia" w:ascii="宋体" w:hAnsi="宋体" w:eastAsia="宋体" w:cs="宋体"/>
          <w:color w:val="auto"/>
          <w:highlight w:val="none"/>
        </w:rPr>
        <w:t>《数据中心电信基础设施标准》（ANSI/TIA-942）</w:t>
      </w:r>
    </w:p>
    <w:p w14:paraId="46D20F5F">
      <w:pPr>
        <w:rPr>
          <w:rFonts w:ascii="宋体" w:hAnsi="宋体" w:eastAsia="宋体" w:cs="宋体"/>
          <w:color w:val="auto"/>
          <w:highlight w:val="none"/>
        </w:rPr>
      </w:pPr>
      <w:r>
        <w:rPr>
          <w:rFonts w:hint="eastAsia" w:ascii="宋体" w:hAnsi="宋体" w:eastAsia="宋体" w:cs="宋体"/>
          <w:color w:val="auto"/>
          <w:highlight w:val="none"/>
        </w:rPr>
        <w:t>《综合布线系统工程设计规范》（GB 50311—2016）</w:t>
      </w:r>
    </w:p>
    <w:p w14:paraId="59430D72">
      <w:pPr>
        <w:rPr>
          <w:rFonts w:ascii="宋体" w:hAnsi="宋体" w:eastAsia="宋体" w:cs="宋体"/>
          <w:color w:val="auto"/>
          <w:highlight w:val="none"/>
        </w:rPr>
      </w:pPr>
      <w:r>
        <w:rPr>
          <w:rFonts w:hint="eastAsia" w:ascii="宋体" w:hAnsi="宋体" w:eastAsia="宋体" w:cs="宋体"/>
          <w:color w:val="auto"/>
          <w:highlight w:val="none"/>
        </w:rPr>
        <w:t>《云计算关键领域安全指南V4.0》</w:t>
      </w:r>
    </w:p>
    <w:p w14:paraId="3D47BAEF">
      <w:pPr>
        <w:rPr>
          <w:rFonts w:ascii="宋体" w:hAnsi="宋体" w:eastAsia="宋体" w:cs="宋体"/>
          <w:color w:val="auto"/>
          <w:highlight w:val="none"/>
        </w:rPr>
      </w:pPr>
      <w:r>
        <w:rPr>
          <w:rFonts w:hint="eastAsia" w:ascii="宋体" w:hAnsi="宋体" w:eastAsia="宋体" w:cs="宋体"/>
          <w:color w:val="auto"/>
          <w:highlight w:val="none"/>
        </w:rPr>
        <w:t>（3）北京市相关标准</w:t>
      </w:r>
    </w:p>
    <w:p w14:paraId="1BA0F5E3">
      <w:pPr>
        <w:rPr>
          <w:rFonts w:ascii="宋体" w:hAnsi="宋体" w:eastAsia="宋体" w:cs="宋体"/>
          <w:color w:val="auto"/>
          <w:highlight w:val="none"/>
        </w:rPr>
      </w:pPr>
      <w:r>
        <w:rPr>
          <w:rFonts w:hint="eastAsia" w:ascii="宋体" w:hAnsi="宋体" w:eastAsia="宋体" w:cs="宋体"/>
          <w:color w:val="auto"/>
          <w:highlight w:val="none"/>
        </w:rPr>
        <w:t>《政务云平台建设技术要求》（DB11/T 2169-2023）</w:t>
      </w:r>
    </w:p>
    <w:p w14:paraId="2A3A748E">
      <w:pPr>
        <w:rPr>
          <w:rFonts w:ascii="宋体" w:hAnsi="宋体" w:eastAsia="宋体" w:cs="宋体"/>
          <w:color w:val="auto"/>
          <w:highlight w:val="none"/>
        </w:rPr>
      </w:pPr>
      <w:r>
        <w:rPr>
          <w:rFonts w:hint="eastAsia" w:ascii="宋体" w:hAnsi="宋体" w:eastAsia="宋体" w:cs="宋体"/>
          <w:color w:val="auto"/>
          <w:highlight w:val="none"/>
        </w:rPr>
        <w:t>《北京市政务云安全技术规范 IaaS云计算平台分册》</w:t>
      </w:r>
    </w:p>
    <w:p w14:paraId="50D290A5">
      <w:pPr>
        <w:rPr>
          <w:rFonts w:ascii="宋体" w:hAnsi="宋体" w:eastAsia="宋体" w:cs="宋体"/>
          <w:color w:val="auto"/>
          <w:highlight w:val="none"/>
        </w:rPr>
      </w:pPr>
      <w:r>
        <w:rPr>
          <w:rFonts w:hint="eastAsia" w:ascii="宋体" w:hAnsi="宋体" w:eastAsia="宋体" w:cs="宋体"/>
          <w:color w:val="auto"/>
          <w:highlight w:val="none"/>
        </w:rPr>
        <w:t>《北京市政务云安全技术规范 IaaS云计算平台安全监管接口分册》</w:t>
      </w:r>
    </w:p>
    <w:p w14:paraId="02144C41">
      <w:pPr>
        <w:rPr>
          <w:rFonts w:ascii="宋体" w:hAnsi="宋体" w:eastAsia="宋体" w:cs="宋体"/>
          <w:color w:val="auto"/>
          <w:highlight w:val="none"/>
        </w:rPr>
      </w:pPr>
      <w:r>
        <w:rPr>
          <w:rFonts w:hint="eastAsia" w:ascii="宋体" w:hAnsi="宋体" w:eastAsia="宋体" w:cs="宋体"/>
          <w:color w:val="auto"/>
          <w:highlight w:val="none"/>
        </w:rPr>
        <w:t>《北京市政务云安全技术规范 信息安全服务接口分册》</w:t>
      </w:r>
    </w:p>
    <w:p w14:paraId="563D05E2">
      <w:pPr>
        <w:rPr>
          <w:rFonts w:ascii="宋体" w:hAnsi="宋体" w:eastAsia="宋体" w:cs="宋体"/>
          <w:color w:val="auto"/>
          <w:highlight w:val="none"/>
        </w:rPr>
      </w:pPr>
      <w:r>
        <w:rPr>
          <w:rFonts w:hint="eastAsia" w:ascii="宋体" w:hAnsi="宋体" w:eastAsia="宋体" w:cs="宋体"/>
          <w:color w:val="auto"/>
          <w:highlight w:val="none"/>
        </w:rPr>
        <w:t>注：服务标准涉及的国家标准及北京市标准有更新的，执行最新标准。</w:t>
      </w:r>
    </w:p>
    <w:p w14:paraId="148E1D7C">
      <w:pPr>
        <w:keepNext/>
        <w:keepLines/>
        <w:widowControl w:val="0"/>
        <w:autoSpaceDE w:val="0"/>
        <w:autoSpaceDN w:val="0"/>
        <w:adjustRightInd w:val="0"/>
        <w:spacing w:before="360" w:after="120"/>
        <w:jc w:val="left"/>
        <w:outlineLvl w:val="2"/>
        <w:rPr>
          <w:rFonts w:ascii="宋体" w:hAnsi="宋体" w:eastAsia="宋体" w:cs="宋体"/>
          <w:b/>
          <w:color w:val="auto"/>
          <w:kern w:val="0"/>
          <w:sz w:val="24"/>
          <w:szCs w:val="20"/>
          <w:highlight w:val="none"/>
          <w:u w:val="none"/>
          <w:lang w:val="en-US" w:eastAsia="zh-CN" w:bidi="ar-SA"/>
        </w:rPr>
      </w:pPr>
      <w:r>
        <w:rPr>
          <w:rFonts w:hint="eastAsia" w:ascii="宋体" w:hAnsi="宋体" w:eastAsia="宋体" w:cs="宋体"/>
          <w:b/>
          <w:color w:val="auto"/>
          <w:kern w:val="0"/>
          <w:sz w:val="24"/>
          <w:szCs w:val="20"/>
          <w:highlight w:val="none"/>
          <w:u w:val="none"/>
          <w:lang w:val="en-US" w:eastAsia="zh-CN" w:bidi="ar-SA"/>
        </w:rPr>
        <w:t>2. 服务内容及要求</w:t>
      </w:r>
    </w:p>
    <w:p w14:paraId="6CAAEE30">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2.1采购服务清单</w:t>
      </w:r>
    </w:p>
    <w:tbl>
      <w:tblPr>
        <w:tblStyle w:val="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11"/>
        <w:gridCol w:w="1759"/>
        <w:gridCol w:w="2855"/>
        <w:gridCol w:w="912"/>
        <w:gridCol w:w="855"/>
        <w:gridCol w:w="739"/>
      </w:tblGrid>
      <w:tr w14:paraId="4FD0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8" w:type="dxa"/>
            <w:shd w:val="clear" w:color="000000" w:fill="auto"/>
            <w:vAlign w:val="center"/>
          </w:tcPr>
          <w:p w14:paraId="1CED3EE0">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bookmarkStart w:id="0" w:name="_Hlk170564270"/>
            <w:r>
              <w:rPr>
                <w:rFonts w:hint="eastAsia" w:ascii="宋体" w:hAnsi="宋体" w:eastAsia="宋体" w:cs="宋体"/>
                <w:b/>
                <w:bCs/>
                <w:color w:val="auto"/>
                <w:kern w:val="2"/>
                <w:sz w:val="21"/>
                <w:szCs w:val="21"/>
                <w:highlight w:val="none"/>
                <w:lang w:val="en-US" w:eastAsia="zh-CN" w:bidi="ar-SA"/>
              </w:rPr>
              <w:t>序号</w:t>
            </w:r>
          </w:p>
        </w:tc>
        <w:tc>
          <w:tcPr>
            <w:tcW w:w="711" w:type="dxa"/>
            <w:shd w:val="clear" w:color="000000" w:fill="auto"/>
            <w:vAlign w:val="center"/>
          </w:tcPr>
          <w:p w14:paraId="2C7A704E">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服务类型</w:t>
            </w:r>
          </w:p>
        </w:tc>
        <w:tc>
          <w:tcPr>
            <w:tcW w:w="1759" w:type="dxa"/>
            <w:shd w:val="clear" w:color="000000" w:fill="auto"/>
            <w:vAlign w:val="center"/>
          </w:tcPr>
          <w:p w14:paraId="3369F82F">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服务子类</w:t>
            </w:r>
          </w:p>
        </w:tc>
        <w:tc>
          <w:tcPr>
            <w:tcW w:w="2855" w:type="dxa"/>
            <w:shd w:val="clear" w:color="000000" w:fill="auto"/>
            <w:vAlign w:val="center"/>
          </w:tcPr>
          <w:p w14:paraId="1F38EB5A">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服务项</w:t>
            </w:r>
          </w:p>
        </w:tc>
        <w:tc>
          <w:tcPr>
            <w:tcW w:w="912" w:type="dxa"/>
            <w:shd w:val="clear" w:color="000000" w:fill="auto"/>
            <w:vAlign w:val="center"/>
          </w:tcPr>
          <w:p w14:paraId="34A381AB">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855" w:type="dxa"/>
            <w:shd w:val="clear" w:color="000000" w:fill="auto"/>
            <w:vAlign w:val="center"/>
          </w:tcPr>
          <w:p w14:paraId="6356C1CC">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739" w:type="dxa"/>
            <w:shd w:val="clear" w:color="000000" w:fill="auto"/>
            <w:vAlign w:val="center"/>
          </w:tcPr>
          <w:p w14:paraId="38B2662A">
            <w:pPr>
              <w:widowControl w:val="0"/>
              <w:tabs>
                <w:tab w:val="left" w:pos="0"/>
              </w:tabs>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租用期限（月）</w:t>
            </w:r>
          </w:p>
        </w:tc>
      </w:tr>
      <w:tr w14:paraId="4D3B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70B0762C">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11" w:type="dxa"/>
            <w:vMerge w:val="restart"/>
            <w:shd w:val="clear" w:color="000000" w:fill="FFFFFF"/>
            <w:vAlign w:val="center"/>
          </w:tcPr>
          <w:p w14:paraId="53FD5AC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计算服务</w:t>
            </w:r>
          </w:p>
        </w:tc>
        <w:tc>
          <w:tcPr>
            <w:tcW w:w="1759" w:type="dxa"/>
            <w:vMerge w:val="restart"/>
            <w:shd w:val="clear" w:color="000000" w:fill="FFFFFF"/>
            <w:vAlign w:val="center"/>
          </w:tcPr>
          <w:p w14:paraId="25CF9CB7">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云主机服务</w:t>
            </w:r>
          </w:p>
        </w:tc>
        <w:tc>
          <w:tcPr>
            <w:tcW w:w="2855" w:type="dxa"/>
            <w:shd w:val="clear" w:color="000000" w:fill="FFFFFF"/>
            <w:vAlign w:val="center"/>
          </w:tcPr>
          <w:p w14:paraId="32C50BCE">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vCPU（vCPU ARM架构主频不低于2.4GHz，C86和x86主频不低于2.2GHz，平均虚拟化率，即物理CPU/虚拟CPU≥1/4，虚拟CPU利用率不低于物理CPU的25% ）</w:t>
            </w:r>
          </w:p>
        </w:tc>
        <w:tc>
          <w:tcPr>
            <w:tcW w:w="912" w:type="dxa"/>
            <w:shd w:val="clear" w:color="000000" w:fill="FFFFFF"/>
            <w:vAlign w:val="center"/>
          </w:tcPr>
          <w:p w14:paraId="53D6F03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vCPU/月</w:t>
            </w:r>
          </w:p>
        </w:tc>
        <w:tc>
          <w:tcPr>
            <w:tcW w:w="855" w:type="dxa"/>
            <w:shd w:val="clear" w:color="000000" w:fill="FFFFFF"/>
            <w:vAlign w:val="center"/>
          </w:tcPr>
          <w:p w14:paraId="5EEDE6CD">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952</w:t>
            </w:r>
          </w:p>
        </w:tc>
        <w:tc>
          <w:tcPr>
            <w:tcW w:w="739" w:type="dxa"/>
            <w:shd w:val="clear" w:color="000000" w:fill="FFFFFF"/>
            <w:vAlign w:val="center"/>
          </w:tcPr>
          <w:p w14:paraId="7746800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7CAA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shd w:val="clear" w:color="auto" w:fill="auto"/>
            <w:vAlign w:val="center"/>
          </w:tcPr>
          <w:p w14:paraId="0F05C25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711" w:type="dxa"/>
            <w:vMerge w:val="continue"/>
            <w:shd w:val="clear" w:color="auto" w:fill="auto"/>
            <w:vAlign w:val="center"/>
          </w:tcPr>
          <w:p w14:paraId="3E925791">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continue"/>
            <w:shd w:val="clear" w:color="auto" w:fill="auto"/>
            <w:vAlign w:val="center"/>
          </w:tcPr>
          <w:p w14:paraId="2FC8FDF7">
            <w:pPr>
              <w:tabs>
                <w:tab w:val="left" w:pos="567"/>
              </w:tabs>
              <w:rPr>
                <w:rFonts w:ascii="宋体" w:hAnsi="宋体" w:eastAsia="宋体" w:cs="宋体"/>
                <w:color w:val="auto"/>
                <w:szCs w:val="21"/>
                <w:highlight w:val="none"/>
              </w:rPr>
            </w:pPr>
          </w:p>
        </w:tc>
        <w:tc>
          <w:tcPr>
            <w:tcW w:w="2855" w:type="dxa"/>
            <w:shd w:val="clear" w:color="000000" w:fill="FFFFFF"/>
            <w:vAlign w:val="center"/>
          </w:tcPr>
          <w:p w14:paraId="1DFB6C2D">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内存</w:t>
            </w:r>
          </w:p>
        </w:tc>
        <w:tc>
          <w:tcPr>
            <w:tcW w:w="912" w:type="dxa"/>
            <w:shd w:val="clear" w:color="000000" w:fill="FFFFFF"/>
            <w:vAlign w:val="center"/>
          </w:tcPr>
          <w:p w14:paraId="4756A44D">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GB/月</w:t>
            </w:r>
          </w:p>
        </w:tc>
        <w:tc>
          <w:tcPr>
            <w:tcW w:w="855" w:type="dxa"/>
            <w:shd w:val="clear" w:color="000000" w:fill="FFFFFF"/>
            <w:vAlign w:val="center"/>
          </w:tcPr>
          <w:p w14:paraId="75138BD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2912</w:t>
            </w:r>
          </w:p>
        </w:tc>
        <w:tc>
          <w:tcPr>
            <w:tcW w:w="739" w:type="dxa"/>
            <w:shd w:val="clear" w:color="000000" w:fill="FFFFFF"/>
            <w:vAlign w:val="center"/>
          </w:tcPr>
          <w:p w14:paraId="4AE0272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11A6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688" w:type="dxa"/>
            <w:shd w:val="clear" w:color="auto" w:fill="auto"/>
            <w:vAlign w:val="center"/>
          </w:tcPr>
          <w:p w14:paraId="5BFC5EE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711" w:type="dxa"/>
            <w:vMerge w:val="continue"/>
            <w:shd w:val="clear" w:color="auto" w:fill="auto"/>
            <w:vAlign w:val="center"/>
          </w:tcPr>
          <w:p w14:paraId="2EC2B42C">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restart"/>
            <w:shd w:val="clear" w:color="auto" w:fill="auto"/>
            <w:vAlign w:val="center"/>
          </w:tcPr>
          <w:p w14:paraId="773EC538">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物理服务器租用服务</w:t>
            </w:r>
          </w:p>
        </w:tc>
        <w:tc>
          <w:tcPr>
            <w:tcW w:w="2855" w:type="dxa"/>
            <w:shd w:val="clear" w:color="000000" w:fill="FFFFFF"/>
            <w:vAlign w:val="center"/>
          </w:tcPr>
          <w:p w14:paraId="3832F5A0">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配置1：双路每CPU核数≥32核，主频≥2.0GHz，128G内存，2块600GSAS硕盘，2个HBA卡，2个万兆端口</w:t>
            </w:r>
          </w:p>
        </w:tc>
        <w:tc>
          <w:tcPr>
            <w:tcW w:w="912" w:type="dxa"/>
            <w:shd w:val="clear" w:color="000000" w:fill="FFFFFF"/>
            <w:vAlign w:val="center"/>
          </w:tcPr>
          <w:p w14:paraId="14722C2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台/月</w:t>
            </w:r>
          </w:p>
        </w:tc>
        <w:tc>
          <w:tcPr>
            <w:tcW w:w="855" w:type="dxa"/>
            <w:shd w:val="clear" w:color="000000" w:fill="FFFFFF"/>
            <w:vAlign w:val="center"/>
          </w:tcPr>
          <w:p w14:paraId="22FAF6F7">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739" w:type="dxa"/>
            <w:shd w:val="clear" w:color="000000" w:fill="FFFFFF"/>
            <w:vAlign w:val="center"/>
          </w:tcPr>
          <w:p w14:paraId="0848A23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423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shd w:val="clear" w:color="auto" w:fill="auto"/>
            <w:vAlign w:val="center"/>
          </w:tcPr>
          <w:p w14:paraId="7FDDED2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711" w:type="dxa"/>
            <w:vMerge w:val="continue"/>
            <w:shd w:val="clear" w:color="auto" w:fill="auto"/>
            <w:vAlign w:val="center"/>
          </w:tcPr>
          <w:p w14:paraId="16BEC418">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continue"/>
            <w:shd w:val="clear" w:color="auto" w:fill="auto"/>
            <w:vAlign w:val="center"/>
          </w:tcPr>
          <w:p w14:paraId="029BD78C">
            <w:pPr>
              <w:spacing w:line="240" w:lineRule="auto"/>
              <w:rPr>
                <w:rFonts w:ascii="宋体" w:hAnsi="宋体" w:eastAsia="宋体" w:cs="宋体"/>
                <w:color w:val="auto"/>
                <w:kern w:val="2"/>
                <w:sz w:val="21"/>
                <w:szCs w:val="21"/>
                <w:highlight w:val="none"/>
                <w:lang w:val="en-US" w:eastAsia="zh-CN" w:bidi="ar-SA"/>
              </w:rPr>
            </w:pPr>
          </w:p>
        </w:tc>
        <w:tc>
          <w:tcPr>
            <w:tcW w:w="2855" w:type="dxa"/>
            <w:shd w:val="clear" w:color="000000" w:fill="FFFFFF"/>
            <w:vAlign w:val="center"/>
          </w:tcPr>
          <w:p w14:paraId="0983A411">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配置2：四路每CPU核数≥48 核，主频≥2.6Ghz，256G内存，2块600SAS硬盘，2个HBA卡，2个万兆端口</w:t>
            </w:r>
          </w:p>
        </w:tc>
        <w:tc>
          <w:tcPr>
            <w:tcW w:w="912" w:type="dxa"/>
            <w:shd w:val="clear" w:color="000000" w:fill="FFFFFF"/>
            <w:vAlign w:val="center"/>
          </w:tcPr>
          <w:p w14:paraId="00D4D08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台/月</w:t>
            </w:r>
          </w:p>
        </w:tc>
        <w:tc>
          <w:tcPr>
            <w:tcW w:w="855" w:type="dxa"/>
            <w:shd w:val="clear" w:color="000000" w:fill="FFFFFF"/>
            <w:vAlign w:val="center"/>
          </w:tcPr>
          <w:p w14:paraId="1280E22B">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39" w:type="dxa"/>
            <w:shd w:val="clear" w:color="000000" w:fill="FFFFFF"/>
            <w:vAlign w:val="center"/>
          </w:tcPr>
          <w:p w14:paraId="0B90EFE3">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6F43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4AE40DB5">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711" w:type="dxa"/>
            <w:vMerge w:val="continue"/>
            <w:shd w:val="clear" w:color="auto" w:fill="auto"/>
            <w:vAlign w:val="center"/>
          </w:tcPr>
          <w:p w14:paraId="68EB2EC4">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continue"/>
            <w:shd w:val="clear" w:color="auto" w:fill="auto"/>
            <w:vAlign w:val="center"/>
          </w:tcPr>
          <w:p w14:paraId="07BE70D9">
            <w:pPr>
              <w:tabs>
                <w:tab w:val="left" w:pos="567"/>
              </w:tabs>
              <w:rPr>
                <w:rFonts w:ascii="宋体" w:hAnsi="宋体" w:eastAsia="宋体" w:cs="宋体"/>
                <w:color w:val="auto"/>
                <w:szCs w:val="21"/>
                <w:highlight w:val="none"/>
              </w:rPr>
            </w:pPr>
          </w:p>
        </w:tc>
        <w:tc>
          <w:tcPr>
            <w:tcW w:w="2855" w:type="dxa"/>
            <w:shd w:val="clear" w:color="000000" w:fill="FFFFFF"/>
            <w:vAlign w:val="center"/>
          </w:tcPr>
          <w:p w14:paraId="14964764">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硬盘配置2-600GB SAS </w:t>
            </w:r>
          </w:p>
        </w:tc>
        <w:tc>
          <w:tcPr>
            <w:tcW w:w="912" w:type="dxa"/>
            <w:shd w:val="clear" w:color="000000" w:fill="FFFFFF"/>
            <w:vAlign w:val="center"/>
          </w:tcPr>
          <w:p w14:paraId="74BA1D5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块/月</w:t>
            </w:r>
          </w:p>
        </w:tc>
        <w:tc>
          <w:tcPr>
            <w:tcW w:w="855" w:type="dxa"/>
            <w:shd w:val="clear" w:color="000000" w:fill="FFFFFF"/>
            <w:vAlign w:val="center"/>
          </w:tcPr>
          <w:p w14:paraId="2E7E7A9D">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38</w:t>
            </w:r>
          </w:p>
        </w:tc>
        <w:tc>
          <w:tcPr>
            <w:tcW w:w="739" w:type="dxa"/>
            <w:shd w:val="clear" w:color="000000" w:fill="FFFFFF"/>
            <w:vAlign w:val="center"/>
          </w:tcPr>
          <w:p w14:paraId="638E5AD7">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331A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2E14D02F">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711" w:type="dxa"/>
            <w:vMerge w:val="continue"/>
            <w:shd w:val="clear" w:color="auto" w:fill="auto"/>
            <w:vAlign w:val="center"/>
          </w:tcPr>
          <w:p w14:paraId="520CBB07">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continue"/>
            <w:shd w:val="clear" w:color="auto" w:fill="auto"/>
            <w:vAlign w:val="center"/>
          </w:tcPr>
          <w:p w14:paraId="1B1B5A52">
            <w:pPr>
              <w:tabs>
                <w:tab w:val="left" w:pos="567"/>
              </w:tabs>
              <w:rPr>
                <w:rFonts w:ascii="宋体" w:hAnsi="宋体" w:eastAsia="宋体" w:cs="宋体"/>
                <w:color w:val="auto"/>
                <w:szCs w:val="21"/>
                <w:highlight w:val="none"/>
              </w:rPr>
            </w:pPr>
          </w:p>
        </w:tc>
        <w:tc>
          <w:tcPr>
            <w:tcW w:w="2855" w:type="dxa"/>
            <w:shd w:val="clear" w:color="000000" w:fill="FFFFFF"/>
            <w:vAlign w:val="center"/>
          </w:tcPr>
          <w:p w14:paraId="672B3231">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内存-32GB内存 </w:t>
            </w:r>
          </w:p>
        </w:tc>
        <w:tc>
          <w:tcPr>
            <w:tcW w:w="912" w:type="dxa"/>
            <w:shd w:val="clear" w:color="000000" w:fill="FFFFFF"/>
            <w:vAlign w:val="center"/>
          </w:tcPr>
          <w:p w14:paraId="2C651E2A">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条/月</w:t>
            </w:r>
          </w:p>
        </w:tc>
        <w:tc>
          <w:tcPr>
            <w:tcW w:w="855" w:type="dxa"/>
            <w:shd w:val="clear" w:color="000000" w:fill="FFFFFF"/>
            <w:vAlign w:val="center"/>
          </w:tcPr>
          <w:p w14:paraId="553F17C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39" w:type="dxa"/>
            <w:shd w:val="clear" w:color="000000" w:fill="FFFFFF"/>
            <w:vAlign w:val="center"/>
          </w:tcPr>
          <w:p w14:paraId="1853ED5A">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382C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0CDB69C0">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11" w:type="dxa"/>
            <w:vMerge w:val="restart"/>
            <w:shd w:val="clear" w:color="000000" w:fill="FFFFFF"/>
            <w:vAlign w:val="center"/>
          </w:tcPr>
          <w:p w14:paraId="124C85FA">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存储服务</w:t>
            </w:r>
          </w:p>
        </w:tc>
        <w:tc>
          <w:tcPr>
            <w:tcW w:w="1759" w:type="dxa"/>
            <w:shd w:val="clear" w:color="000000" w:fill="FFFFFF"/>
            <w:vAlign w:val="center"/>
          </w:tcPr>
          <w:p w14:paraId="5B93B85A">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普通性能存储</w:t>
            </w:r>
          </w:p>
        </w:tc>
        <w:tc>
          <w:tcPr>
            <w:tcW w:w="2855" w:type="dxa"/>
            <w:shd w:val="clear" w:color="000000" w:fill="FFFFFF"/>
            <w:vAlign w:val="center"/>
          </w:tcPr>
          <w:p w14:paraId="0BF15ADE">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普通存储（单盘技术指标： 单盘IOPS 2000-5000 ）</w:t>
            </w:r>
          </w:p>
        </w:tc>
        <w:tc>
          <w:tcPr>
            <w:tcW w:w="912" w:type="dxa"/>
            <w:shd w:val="clear" w:color="000000" w:fill="FFFFFF"/>
            <w:vAlign w:val="center"/>
          </w:tcPr>
          <w:p w14:paraId="450EFC27">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100GB/月</w:t>
            </w:r>
          </w:p>
        </w:tc>
        <w:tc>
          <w:tcPr>
            <w:tcW w:w="855" w:type="dxa"/>
            <w:shd w:val="clear" w:color="000000" w:fill="FFFFFF"/>
            <w:vAlign w:val="center"/>
          </w:tcPr>
          <w:p w14:paraId="1C43ACB9">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p>
        </w:tc>
        <w:tc>
          <w:tcPr>
            <w:tcW w:w="739" w:type="dxa"/>
            <w:shd w:val="clear" w:color="000000" w:fill="FFFFFF"/>
            <w:vAlign w:val="center"/>
          </w:tcPr>
          <w:p w14:paraId="4EDBDDBB">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3C7C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3B455FE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11" w:type="dxa"/>
            <w:vMerge w:val="continue"/>
            <w:shd w:val="clear" w:color="000000" w:fill="FFFFFF"/>
            <w:vAlign w:val="center"/>
          </w:tcPr>
          <w:p w14:paraId="0A223784">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293D9208">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高性能存储</w:t>
            </w:r>
          </w:p>
        </w:tc>
        <w:tc>
          <w:tcPr>
            <w:tcW w:w="2855" w:type="dxa"/>
            <w:shd w:val="clear" w:color="000000" w:fill="FFFFFF"/>
            <w:vAlign w:val="center"/>
          </w:tcPr>
          <w:p w14:paraId="7E45E7B7">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高性能存储（单盘技术指标：单盘IOPS 10000-25000 ）</w:t>
            </w:r>
          </w:p>
        </w:tc>
        <w:tc>
          <w:tcPr>
            <w:tcW w:w="912" w:type="dxa"/>
            <w:shd w:val="clear" w:color="000000" w:fill="FFFFFF"/>
            <w:vAlign w:val="center"/>
          </w:tcPr>
          <w:p w14:paraId="699921B0">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100GB/月</w:t>
            </w:r>
          </w:p>
        </w:tc>
        <w:tc>
          <w:tcPr>
            <w:tcW w:w="855" w:type="dxa"/>
            <w:shd w:val="clear" w:color="000000" w:fill="FFFFFF"/>
            <w:vAlign w:val="center"/>
          </w:tcPr>
          <w:p w14:paraId="3A4ED9F9">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629.92</w:t>
            </w:r>
          </w:p>
        </w:tc>
        <w:tc>
          <w:tcPr>
            <w:tcW w:w="739" w:type="dxa"/>
            <w:shd w:val="clear" w:color="000000" w:fill="FFFFFF"/>
            <w:vAlign w:val="center"/>
          </w:tcPr>
          <w:p w14:paraId="7DBD246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0288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5CED876F">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11" w:type="dxa"/>
            <w:vMerge w:val="continue"/>
            <w:shd w:val="clear" w:color="000000" w:fill="FFFFFF"/>
            <w:vAlign w:val="center"/>
          </w:tcPr>
          <w:p w14:paraId="42FF70EC">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4BC70FDB">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本地备份服务</w:t>
            </w:r>
          </w:p>
        </w:tc>
        <w:tc>
          <w:tcPr>
            <w:tcW w:w="2855" w:type="dxa"/>
            <w:shd w:val="clear" w:color="000000" w:fill="FFFFFF"/>
            <w:vAlign w:val="center"/>
          </w:tcPr>
          <w:p w14:paraId="34FC07E9">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通过备份策略实现文件、操作系统、数据库的本地备份（不包含备份存储空间费用）</w:t>
            </w:r>
          </w:p>
        </w:tc>
        <w:tc>
          <w:tcPr>
            <w:tcW w:w="912" w:type="dxa"/>
            <w:shd w:val="clear" w:color="000000" w:fill="FFFFFF"/>
            <w:vAlign w:val="center"/>
          </w:tcPr>
          <w:p w14:paraId="7C78C91C">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100GB/月</w:t>
            </w:r>
          </w:p>
        </w:tc>
        <w:tc>
          <w:tcPr>
            <w:tcW w:w="855" w:type="dxa"/>
            <w:shd w:val="clear" w:color="000000" w:fill="FFFFFF"/>
            <w:vAlign w:val="center"/>
          </w:tcPr>
          <w:p w14:paraId="051D2A5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150.72</w:t>
            </w:r>
          </w:p>
        </w:tc>
        <w:tc>
          <w:tcPr>
            <w:tcW w:w="739" w:type="dxa"/>
            <w:shd w:val="clear" w:color="000000" w:fill="FFFFFF"/>
            <w:vAlign w:val="center"/>
          </w:tcPr>
          <w:p w14:paraId="10A56DE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17C5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000000" w:fill="FFFFFF"/>
            <w:vAlign w:val="center"/>
          </w:tcPr>
          <w:p w14:paraId="14A51F6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11" w:type="dxa"/>
            <w:vMerge w:val="restart"/>
            <w:shd w:val="clear" w:color="000000" w:fill="FFFFFF"/>
            <w:vAlign w:val="center"/>
          </w:tcPr>
          <w:p w14:paraId="18F9757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网络服务</w:t>
            </w:r>
          </w:p>
        </w:tc>
        <w:tc>
          <w:tcPr>
            <w:tcW w:w="1759" w:type="dxa"/>
            <w:vMerge w:val="restart"/>
            <w:shd w:val="clear" w:color="000000" w:fill="FFFFFF"/>
            <w:vAlign w:val="center"/>
          </w:tcPr>
          <w:p w14:paraId="054272C6">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互联网链路服务</w:t>
            </w:r>
          </w:p>
        </w:tc>
        <w:tc>
          <w:tcPr>
            <w:tcW w:w="2855" w:type="dxa"/>
            <w:shd w:val="clear" w:color="000000" w:fill="FFFFFF"/>
            <w:vAlign w:val="center"/>
          </w:tcPr>
          <w:p w14:paraId="76865F63">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互联网链路带宽</w:t>
            </w:r>
          </w:p>
        </w:tc>
        <w:tc>
          <w:tcPr>
            <w:tcW w:w="912" w:type="dxa"/>
            <w:shd w:val="clear" w:color="000000" w:fill="FFFFFF"/>
            <w:vAlign w:val="center"/>
          </w:tcPr>
          <w:p w14:paraId="4F799B77">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Mbps/月</w:t>
            </w:r>
          </w:p>
        </w:tc>
        <w:tc>
          <w:tcPr>
            <w:tcW w:w="855" w:type="dxa"/>
            <w:shd w:val="clear" w:color="000000" w:fill="FFFFFF"/>
            <w:vAlign w:val="center"/>
          </w:tcPr>
          <w:p w14:paraId="4719E2D0">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1200</w:t>
            </w:r>
          </w:p>
        </w:tc>
        <w:tc>
          <w:tcPr>
            <w:tcW w:w="739" w:type="dxa"/>
            <w:shd w:val="clear" w:color="000000" w:fill="FFFFFF"/>
            <w:vAlign w:val="center"/>
          </w:tcPr>
          <w:p w14:paraId="4BF9442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6948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shd w:val="clear" w:color="auto" w:fill="auto"/>
            <w:vAlign w:val="center"/>
          </w:tcPr>
          <w:p w14:paraId="030E2F6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711" w:type="dxa"/>
            <w:vMerge w:val="continue"/>
            <w:shd w:val="clear" w:color="auto" w:fill="auto"/>
            <w:vAlign w:val="center"/>
          </w:tcPr>
          <w:p w14:paraId="1DFAB12A">
            <w:pPr>
              <w:spacing w:line="240" w:lineRule="auto"/>
              <w:jc w:val="center"/>
              <w:rPr>
                <w:rFonts w:ascii="宋体" w:hAnsi="宋体" w:eastAsia="宋体" w:cs="宋体"/>
                <w:color w:val="auto"/>
                <w:kern w:val="2"/>
                <w:sz w:val="21"/>
                <w:szCs w:val="21"/>
                <w:highlight w:val="none"/>
                <w:lang w:val="en-US" w:eastAsia="zh-CN" w:bidi="ar-SA"/>
              </w:rPr>
            </w:pPr>
          </w:p>
        </w:tc>
        <w:tc>
          <w:tcPr>
            <w:tcW w:w="1759" w:type="dxa"/>
            <w:vMerge w:val="continue"/>
            <w:shd w:val="clear" w:color="auto" w:fill="auto"/>
            <w:vAlign w:val="center"/>
          </w:tcPr>
          <w:p w14:paraId="7C4AC7FA">
            <w:pPr>
              <w:tabs>
                <w:tab w:val="left" w:pos="567"/>
              </w:tabs>
              <w:rPr>
                <w:rFonts w:ascii="宋体" w:hAnsi="宋体" w:eastAsia="宋体" w:cs="宋体"/>
                <w:color w:val="auto"/>
                <w:szCs w:val="21"/>
                <w:highlight w:val="none"/>
              </w:rPr>
            </w:pPr>
          </w:p>
        </w:tc>
        <w:tc>
          <w:tcPr>
            <w:tcW w:w="2855" w:type="dxa"/>
            <w:shd w:val="clear" w:color="000000" w:fill="FFFFFF"/>
            <w:vAlign w:val="center"/>
          </w:tcPr>
          <w:p w14:paraId="0A9AB9CF">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互联网IP地址租用服务、并提供备案服务</w:t>
            </w:r>
          </w:p>
        </w:tc>
        <w:tc>
          <w:tcPr>
            <w:tcW w:w="912" w:type="dxa"/>
            <w:shd w:val="clear" w:color="000000" w:fill="FFFFFF"/>
            <w:vAlign w:val="center"/>
          </w:tcPr>
          <w:p w14:paraId="218B628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IP/月</w:t>
            </w:r>
          </w:p>
        </w:tc>
        <w:tc>
          <w:tcPr>
            <w:tcW w:w="855" w:type="dxa"/>
            <w:shd w:val="clear" w:color="000000" w:fill="FFFFFF"/>
            <w:vAlign w:val="center"/>
          </w:tcPr>
          <w:p w14:paraId="7BE2A015">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739" w:type="dxa"/>
            <w:shd w:val="clear" w:color="000000" w:fill="FFFFFF"/>
            <w:vAlign w:val="center"/>
          </w:tcPr>
          <w:p w14:paraId="110F7C1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2E4D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8" w:type="dxa"/>
            <w:shd w:val="clear" w:color="auto" w:fill="auto"/>
            <w:vAlign w:val="center"/>
          </w:tcPr>
          <w:p w14:paraId="1AB7180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711" w:type="dxa"/>
            <w:vMerge w:val="continue"/>
            <w:shd w:val="clear" w:color="000000" w:fill="FFFFFF"/>
            <w:vAlign w:val="center"/>
          </w:tcPr>
          <w:p w14:paraId="7E509AEB">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514A70FD">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主机负载均衡服务</w:t>
            </w:r>
          </w:p>
        </w:tc>
        <w:tc>
          <w:tcPr>
            <w:tcW w:w="2855" w:type="dxa"/>
            <w:shd w:val="clear" w:color="000000" w:fill="FFFFFF"/>
            <w:vAlign w:val="center"/>
          </w:tcPr>
          <w:p w14:paraId="5BCF14B0">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提供主机应用集群负载均衡服务</w:t>
            </w:r>
          </w:p>
        </w:tc>
        <w:tc>
          <w:tcPr>
            <w:tcW w:w="912" w:type="dxa"/>
            <w:shd w:val="clear" w:color="000000" w:fill="FFFFFF"/>
            <w:vAlign w:val="center"/>
          </w:tcPr>
          <w:p w14:paraId="55B72DA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IP/月</w:t>
            </w:r>
          </w:p>
        </w:tc>
        <w:tc>
          <w:tcPr>
            <w:tcW w:w="855" w:type="dxa"/>
            <w:shd w:val="clear" w:color="000000" w:fill="FFFFFF"/>
            <w:vAlign w:val="center"/>
          </w:tcPr>
          <w:p w14:paraId="26AFF65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739" w:type="dxa"/>
            <w:shd w:val="clear" w:color="000000" w:fill="FFFFFF"/>
            <w:vAlign w:val="center"/>
          </w:tcPr>
          <w:p w14:paraId="05EC79E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275E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8" w:type="dxa"/>
            <w:shd w:val="clear" w:color="auto" w:fill="auto"/>
            <w:vAlign w:val="center"/>
          </w:tcPr>
          <w:p w14:paraId="602BDA9C">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711" w:type="dxa"/>
            <w:vMerge w:val="continue"/>
            <w:shd w:val="clear" w:color="000000" w:fill="FFFFFF"/>
            <w:vAlign w:val="center"/>
          </w:tcPr>
          <w:p w14:paraId="09DEC760">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626687C7">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远程接入服务</w:t>
            </w:r>
          </w:p>
        </w:tc>
        <w:tc>
          <w:tcPr>
            <w:tcW w:w="2855" w:type="dxa"/>
            <w:shd w:val="clear" w:color="000000" w:fill="FFFFFF"/>
            <w:vAlign w:val="center"/>
          </w:tcPr>
          <w:p w14:paraId="30AA0620">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每个账号结合身份验通过VPN远程接入堡垒机进行维护。</w:t>
            </w:r>
          </w:p>
        </w:tc>
        <w:tc>
          <w:tcPr>
            <w:tcW w:w="912" w:type="dxa"/>
            <w:shd w:val="clear" w:color="000000" w:fill="FFFFFF"/>
            <w:vAlign w:val="center"/>
          </w:tcPr>
          <w:p w14:paraId="11F81F4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账号/月</w:t>
            </w:r>
          </w:p>
        </w:tc>
        <w:tc>
          <w:tcPr>
            <w:tcW w:w="855" w:type="dxa"/>
            <w:shd w:val="clear" w:color="000000" w:fill="FFFFFF"/>
            <w:vAlign w:val="center"/>
          </w:tcPr>
          <w:p w14:paraId="477D034D">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739" w:type="dxa"/>
            <w:shd w:val="clear" w:color="000000" w:fill="FFFFFF"/>
            <w:vAlign w:val="center"/>
          </w:tcPr>
          <w:p w14:paraId="384B5813">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61C8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shd w:val="clear" w:color="000000" w:fill="FFFFFF"/>
            <w:vAlign w:val="center"/>
          </w:tcPr>
          <w:p w14:paraId="3F20F56A">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711" w:type="dxa"/>
            <w:vMerge w:val="continue"/>
            <w:shd w:val="clear" w:color="000000" w:fill="FFFFFF"/>
            <w:vAlign w:val="center"/>
          </w:tcPr>
          <w:p w14:paraId="3030E7CA">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779929EB">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VPN服务</w:t>
            </w:r>
          </w:p>
        </w:tc>
        <w:tc>
          <w:tcPr>
            <w:tcW w:w="2855" w:type="dxa"/>
            <w:shd w:val="clear" w:color="000000" w:fill="FFFFFF"/>
            <w:vAlign w:val="center"/>
          </w:tcPr>
          <w:p w14:paraId="5BD8F670">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SSL VPN接入，用户通过SSL VPN访问业务系统。每套10个并发用户。所需带宽参照“互联网链路带宽”购买。</w:t>
            </w:r>
          </w:p>
        </w:tc>
        <w:tc>
          <w:tcPr>
            <w:tcW w:w="912" w:type="dxa"/>
            <w:shd w:val="clear" w:color="000000" w:fill="FFFFFF"/>
            <w:vAlign w:val="center"/>
          </w:tcPr>
          <w:p w14:paraId="6684AABF">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套/月</w:t>
            </w:r>
          </w:p>
        </w:tc>
        <w:tc>
          <w:tcPr>
            <w:tcW w:w="855" w:type="dxa"/>
            <w:shd w:val="clear" w:color="000000" w:fill="FFFFFF"/>
            <w:vAlign w:val="center"/>
          </w:tcPr>
          <w:p w14:paraId="57FBCB4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5000</w:t>
            </w:r>
          </w:p>
        </w:tc>
        <w:tc>
          <w:tcPr>
            <w:tcW w:w="739" w:type="dxa"/>
            <w:shd w:val="clear" w:color="000000" w:fill="FFFFFF"/>
            <w:vAlign w:val="center"/>
          </w:tcPr>
          <w:p w14:paraId="3A998080">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4C2C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shd w:val="clear" w:color="000000" w:fill="FFFFFF"/>
            <w:vAlign w:val="center"/>
          </w:tcPr>
          <w:p w14:paraId="10C1DC47">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711" w:type="dxa"/>
            <w:vMerge w:val="continue"/>
            <w:shd w:val="clear" w:color="000000" w:fill="FFFFFF"/>
            <w:vAlign w:val="center"/>
          </w:tcPr>
          <w:p w14:paraId="62789ADA">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auto"/>
            <w:vAlign w:val="center"/>
          </w:tcPr>
          <w:p w14:paraId="3206D1E6">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web应用防火墙服务</w:t>
            </w:r>
          </w:p>
        </w:tc>
        <w:tc>
          <w:tcPr>
            <w:tcW w:w="2855" w:type="dxa"/>
            <w:shd w:val="clear" w:color="000000" w:fill="auto"/>
            <w:vAlign w:val="center"/>
          </w:tcPr>
          <w:p w14:paraId="6FA3E161">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在网站前端架设WAF防护服务，保证用户网站对已知安全隐患进行防护，实时升级漏洞补丁，配置防护策略，可起到前端防护作用。</w:t>
            </w:r>
          </w:p>
        </w:tc>
        <w:tc>
          <w:tcPr>
            <w:tcW w:w="912" w:type="dxa"/>
            <w:shd w:val="clear" w:color="000000" w:fill="auto"/>
            <w:vAlign w:val="center"/>
          </w:tcPr>
          <w:p w14:paraId="3342604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IP/月</w:t>
            </w:r>
          </w:p>
        </w:tc>
        <w:tc>
          <w:tcPr>
            <w:tcW w:w="855" w:type="dxa"/>
            <w:shd w:val="clear" w:color="000000" w:fill="auto"/>
            <w:vAlign w:val="center"/>
          </w:tcPr>
          <w:p w14:paraId="6F04B91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739" w:type="dxa"/>
            <w:shd w:val="clear" w:color="000000" w:fill="auto"/>
            <w:vAlign w:val="center"/>
          </w:tcPr>
          <w:p w14:paraId="1D8CF5A3">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3C60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8" w:type="dxa"/>
            <w:shd w:val="clear" w:color="000000" w:fill="FFFFFF"/>
            <w:vAlign w:val="center"/>
          </w:tcPr>
          <w:p w14:paraId="1CD39A7F">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711" w:type="dxa"/>
            <w:vMerge w:val="restart"/>
            <w:shd w:val="clear" w:color="000000" w:fill="FFFFFF"/>
            <w:vAlign w:val="center"/>
          </w:tcPr>
          <w:p w14:paraId="316FEB0B">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基础软件支撑服务</w:t>
            </w:r>
          </w:p>
        </w:tc>
        <w:tc>
          <w:tcPr>
            <w:tcW w:w="1759" w:type="dxa"/>
            <w:shd w:val="clear" w:color="000000" w:fill="FFFFFF"/>
            <w:vAlign w:val="center"/>
          </w:tcPr>
          <w:p w14:paraId="73479322">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商用操作系统套餐</w:t>
            </w:r>
          </w:p>
        </w:tc>
        <w:tc>
          <w:tcPr>
            <w:tcW w:w="2855" w:type="dxa"/>
            <w:shd w:val="clear" w:color="000000" w:fill="FFFFFF"/>
            <w:vAlign w:val="center"/>
          </w:tcPr>
          <w:p w14:paraId="693CE959">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提供商用操作系统套餐：商用操作系统租用、安装及维护。</w:t>
            </w:r>
          </w:p>
        </w:tc>
        <w:tc>
          <w:tcPr>
            <w:tcW w:w="912" w:type="dxa"/>
            <w:shd w:val="clear" w:color="000000" w:fill="FFFFFF"/>
            <w:vAlign w:val="center"/>
          </w:tcPr>
          <w:p w14:paraId="057C52B9">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主机/月</w:t>
            </w:r>
          </w:p>
        </w:tc>
        <w:tc>
          <w:tcPr>
            <w:tcW w:w="855" w:type="dxa"/>
            <w:shd w:val="clear" w:color="000000" w:fill="FFFFFF"/>
            <w:vAlign w:val="center"/>
          </w:tcPr>
          <w:p w14:paraId="356AF6B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39" w:type="dxa"/>
            <w:shd w:val="clear" w:color="000000" w:fill="FFFFFF"/>
            <w:vAlign w:val="center"/>
          </w:tcPr>
          <w:p w14:paraId="097ACA9B">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4DC0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8" w:type="dxa"/>
            <w:shd w:val="clear" w:color="000000" w:fill="FFFFFF"/>
            <w:vAlign w:val="center"/>
          </w:tcPr>
          <w:p w14:paraId="5952F09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p>
        </w:tc>
        <w:tc>
          <w:tcPr>
            <w:tcW w:w="711" w:type="dxa"/>
            <w:vMerge w:val="continue"/>
            <w:shd w:val="clear" w:color="000000" w:fill="FFFFFF"/>
            <w:vAlign w:val="center"/>
          </w:tcPr>
          <w:p w14:paraId="65592350">
            <w:pPr>
              <w:spacing w:line="240" w:lineRule="auto"/>
              <w:jc w:val="center"/>
              <w:rPr>
                <w:rFonts w:ascii="宋体" w:hAnsi="宋体" w:eastAsia="宋体" w:cs="宋体"/>
                <w:color w:val="auto"/>
                <w:kern w:val="2"/>
                <w:sz w:val="21"/>
                <w:szCs w:val="21"/>
                <w:highlight w:val="none"/>
                <w:lang w:val="en-US" w:eastAsia="zh-CN" w:bidi="ar-SA"/>
              </w:rPr>
            </w:pPr>
          </w:p>
        </w:tc>
        <w:tc>
          <w:tcPr>
            <w:tcW w:w="1759" w:type="dxa"/>
            <w:shd w:val="clear" w:color="000000" w:fill="FFFFFF"/>
            <w:vAlign w:val="center"/>
          </w:tcPr>
          <w:p w14:paraId="08CD0938">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符合国家要求的Linux操作系统套餐</w:t>
            </w:r>
          </w:p>
        </w:tc>
        <w:tc>
          <w:tcPr>
            <w:tcW w:w="2855" w:type="dxa"/>
            <w:shd w:val="clear" w:color="000000" w:fill="FFFFFF"/>
            <w:vAlign w:val="center"/>
          </w:tcPr>
          <w:p w14:paraId="1E7BEBD3">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符合国家要求的Linux操作系统安装和维护服务</w:t>
            </w:r>
          </w:p>
        </w:tc>
        <w:tc>
          <w:tcPr>
            <w:tcW w:w="912" w:type="dxa"/>
            <w:shd w:val="clear" w:color="000000" w:fill="FFFFFF"/>
            <w:vAlign w:val="center"/>
          </w:tcPr>
          <w:p w14:paraId="09EFD309">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主机/月</w:t>
            </w:r>
          </w:p>
        </w:tc>
        <w:tc>
          <w:tcPr>
            <w:tcW w:w="855" w:type="dxa"/>
            <w:shd w:val="clear" w:color="000000" w:fill="FFFFFF"/>
            <w:vAlign w:val="center"/>
          </w:tcPr>
          <w:p w14:paraId="0B452CD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p>
        </w:tc>
        <w:tc>
          <w:tcPr>
            <w:tcW w:w="739" w:type="dxa"/>
            <w:shd w:val="clear" w:color="000000" w:fill="FFFFFF"/>
            <w:vAlign w:val="center"/>
          </w:tcPr>
          <w:p w14:paraId="284D5A71">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00C6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8" w:type="dxa"/>
            <w:shd w:val="clear" w:color="000000" w:fill="FFFFFF"/>
            <w:vAlign w:val="center"/>
          </w:tcPr>
          <w:p w14:paraId="14C3015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p>
        </w:tc>
        <w:tc>
          <w:tcPr>
            <w:tcW w:w="711" w:type="dxa"/>
            <w:shd w:val="clear" w:color="000000" w:fill="FFFFFF"/>
            <w:vAlign w:val="center"/>
          </w:tcPr>
          <w:p w14:paraId="0F147394">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CDN加速</w:t>
            </w:r>
          </w:p>
        </w:tc>
        <w:tc>
          <w:tcPr>
            <w:tcW w:w="1759" w:type="dxa"/>
            <w:shd w:val="clear" w:color="000000" w:fill="FFFFFF"/>
            <w:vAlign w:val="center"/>
          </w:tcPr>
          <w:p w14:paraId="2093698A">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CDN加速服务</w:t>
            </w:r>
          </w:p>
        </w:tc>
        <w:tc>
          <w:tcPr>
            <w:tcW w:w="2855" w:type="dxa"/>
            <w:shd w:val="clear" w:color="000000" w:fill="FFFFFF"/>
            <w:vAlign w:val="center"/>
          </w:tcPr>
          <w:p w14:paraId="092E57E4">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提供内容加速及视频加速服务</w:t>
            </w:r>
          </w:p>
        </w:tc>
        <w:tc>
          <w:tcPr>
            <w:tcW w:w="912" w:type="dxa"/>
            <w:shd w:val="clear" w:color="000000" w:fill="auto"/>
            <w:vAlign w:val="center"/>
          </w:tcPr>
          <w:p w14:paraId="10BD1B8B">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IP/月</w:t>
            </w:r>
          </w:p>
        </w:tc>
        <w:tc>
          <w:tcPr>
            <w:tcW w:w="855" w:type="dxa"/>
            <w:shd w:val="clear" w:color="000000" w:fill="auto"/>
            <w:vAlign w:val="center"/>
          </w:tcPr>
          <w:p w14:paraId="603089A2">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39" w:type="dxa"/>
            <w:shd w:val="clear" w:color="000000" w:fill="auto"/>
            <w:vAlign w:val="center"/>
          </w:tcPr>
          <w:p w14:paraId="2B36235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4010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8" w:type="dxa"/>
            <w:shd w:val="clear" w:color="000000" w:fill="FFFFFF"/>
            <w:vAlign w:val="center"/>
          </w:tcPr>
          <w:p w14:paraId="4F99216D">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711" w:type="dxa"/>
            <w:shd w:val="clear" w:color="000000" w:fill="FFFFFF"/>
            <w:vAlign w:val="center"/>
          </w:tcPr>
          <w:p w14:paraId="50732B35">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运维管理及个性化服务</w:t>
            </w:r>
          </w:p>
        </w:tc>
        <w:tc>
          <w:tcPr>
            <w:tcW w:w="1759" w:type="dxa"/>
            <w:shd w:val="clear" w:color="000000" w:fill="FFFFFF"/>
            <w:vAlign w:val="center"/>
          </w:tcPr>
          <w:p w14:paraId="0A23AE0E">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运维管理及个性化服务</w:t>
            </w:r>
          </w:p>
        </w:tc>
        <w:tc>
          <w:tcPr>
            <w:tcW w:w="2855" w:type="dxa"/>
            <w:shd w:val="clear" w:color="000000" w:fill="FFFFFF"/>
            <w:vAlign w:val="center"/>
          </w:tcPr>
          <w:p w14:paraId="5B01C77D">
            <w:pPr>
              <w:spacing w:line="24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提供云管家服务（安全产品集中控制台）、数据库加固、脆弱性检测、渗透测试、代码审计、入侵防御、出口访问控制、X86物理主机迁移、数据迁移服务等</w:t>
            </w:r>
          </w:p>
        </w:tc>
        <w:tc>
          <w:tcPr>
            <w:tcW w:w="912" w:type="dxa"/>
            <w:shd w:val="clear" w:color="000000" w:fill="FFFFFF"/>
            <w:vAlign w:val="center"/>
          </w:tcPr>
          <w:p w14:paraId="1D1E5818">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元/月</w:t>
            </w:r>
          </w:p>
        </w:tc>
        <w:tc>
          <w:tcPr>
            <w:tcW w:w="855" w:type="dxa"/>
            <w:shd w:val="clear" w:color="000000" w:fill="FFFFFF"/>
            <w:vAlign w:val="center"/>
          </w:tcPr>
          <w:p w14:paraId="1EA6FC4E">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39" w:type="dxa"/>
            <w:shd w:val="clear" w:color="000000" w:fill="FFFFFF"/>
            <w:vAlign w:val="center"/>
          </w:tcPr>
          <w:p w14:paraId="07F455A0">
            <w:pPr>
              <w:spacing w:line="24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bookmarkEnd w:id="0"/>
    </w:tbl>
    <w:p w14:paraId="4E9EDE3E">
      <w:pPr>
        <w:rPr>
          <w:rFonts w:ascii="宋体" w:hAnsi="宋体" w:eastAsia="宋体" w:cs="宋体"/>
          <w:color w:val="auto"/>
          <w:highlight w:val="none"/>
        </w:rPr>
      </w:pPr>
    </w:p>
    <w:p w14:paraId="4D757091">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bookmarkStart w:id="1" w:name="_Toc24198"/>
      <w:r>
        <w:rPr>
          <w:rFonts w:hint="eastAsia" w:ascii="宋体" w:hAnsi="宋体" w:eastAsia="宋体" w:cs="宋体"/>
          <w:color w:val="auto"/>
          <w:kern w:val="0"/>
          <w:sz w:val="24"/>
          <w:szCs w:val="20"/>
          <w:highlight w:val="none"/>
          <w:lang w:val="en-US" w:eastAsia="zh-CN" w:bidi="ar-SA"/>
        </w:rPr>
        <w:t>2.2 服务标准</w:t>
      </w:r>
      <w:bookmarkEnd w:id="1"/>
      <w:r>
        <w:rPr>
          <w:rFonts w:hint="eastAsia" w:ascii="宋体" w:hAnsi="宋体" w:eastAsia="宋体" w:cs="宋体"/>
          <w:color w:val="auto"/>
          <w:kern w:val="0"/>
          <w:sz w:val="24"/>
          <w:szCs w:val="20"/>
          <w:highlight w:val="none"/>
          <w:lang w:val="en-US" w:eastAsia="zh-CN" w:bidi="ar-SA"/>
        </w:rPr>
        <w:t>要求</w:t>
      </w:r>
    </w:p>
    <w:p w14:paraId="7F61117C">
      <w:pPr>
        <w:keepNext/>
        <w:keepLines/>
        <w:widowControl w:val="0"/>
        <w:adjustRightInd w:val="0"/>
        <w:spacing w:before="280" w:after="290" w:line="376" w:lineRule="atLeast"/>
        <w:jc w:val="both"/>
        <w:textAlignment w:val="baseline"/>
        <w:outlineLvl w:val="4"/>
        <w:rPr>
          <w:rFonts w:ascii="宋体" w:hAnsi="宋体" w:eastAsia="宋体" w:cs="宋体"/>
          <w:b/>
          <w:color w:val="auto"/>
          <w:kern w:val="0"/>
          <w:sz w:val="28"/>
          <w:szCs w:val="20"/>
          <w:highlight w:val="none"/>
          <w:lang w:val="en-US" w:eastAsia="zh-CN" w:bidi="ar-SA"/>
        </w:rPr>
      </w:pPr>
      <w:bookmarkStart w:id="2" w:name="_Toc14505"/>
      <w:r>
        <w:rPr>
          <w:rFonts w:hint="eastAsia" w:ascii="宋体" w:hAnsi="宋体" w:eastAsia="宋体" w:cs="宋体"/>
          <w:b/>
          <w:color w:val="auto"/>
          <w:kern w:val="0"/>
          <w:sz w:val="28"/>
          <w:szCs w:val="20"/>
          <w:highlight w:val="none"/>
          <w:lang w:val="en-US" w:eastAsia="zh-CN" w:bidi="ar-SA"/>
        </w:rPr>
        <w:t>2.2.1 计算服务</w:t>
      </w:r>
      <w:bookmarkEnd w:id="2"/>
    </w:p>
    <w:p w14:paraId="6896BB76">
      <w:pPr>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2.2.1.1服务内容</w:t>
      </w:r>
    </w:p>
    <w:p w14:paraId="503416C4">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云主机服务，包括：云主机服务、x86物理服务器租用服务，按需求对CPU及内存进行动态调整，实现合理的计算资源配置。在提供政务云主机的服务过程中做好与采购人和对应项目应用开发厂商的协调沟通工作。</w:t>
      </w:r>
    </w:p>
    <w:p w14:paraId="0178B32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2.2.1.2 服务标准</w:t>
      </w:r>
    </w:p>
    <w:p w14:paraId="5E315DF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（1）云主机应实现物理机的全部功能，如具有CPU、存储、内存、网卡等资源，可以指定单独的IP地址、MAC地址等；</w:t>
      </w:r>
    </w:p>
    <w:p w14:paraId="474550A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（2）支持存储裸设备映射（RDM），可以将存储设备上的LUN直接映射给虚拟机使用，并且支持SCSI指令使用透传模式或者非透传模式；</w:t>
      </w:r>
    </w:p>
    <w:p w14:paraId="2AED8B0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（3）应满足云主机之间、CPU之间隔离保护要求；</w:t>
      </w:r>
    </w:p>
    <w:p w14:paraId="7CA6E34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（4）支持资源的动态调整，根据业务的负载情况实现业务系统虚拟机的动态扩展和回收，支持手动和自动方式，自动方式可基于主机的CPU、内存、磁盘IO、网络流量等性能参数阈值进行动态调度；</w:t>
      </w:r>
    </w:p>
    <w:p w14:paraId="561DDB4F">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（5）支持在线进行虚拟化软件版本升级，不同版本之间可以相互兼容；</w:t>
      </w:r>
    </w:p>
    <w:p w14:paraId="7DFBA6F4">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（6）云主机出现故障时，支持自动重启或者迁移，保障业务连续性；</w:t>
      </w:r>
    </w:p>
    <w:p w14:paraId="326F4FE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（7）支持虚拟机热迁移，可在不同代CPU资源池中进行虚拟机热迁移；</w:t>
      </w:r>
    </w:p>
    <w:p w14:paraId="68442D42">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（8）云计算资源性能要求包括如下：</w:t>
      </w:r>
    </w:p>
    <w:p w14:paraId="0ECBAED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物理服务器CPU主频应不低于2.0GHz；</w:t>
      </w:r>
    </w:p>
    <w:p w14:paraId="364A2E9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云主机vCPU主频不低于2.2GHz；</w:t>
      </w:r>
    </w:p>
    <w:p w14:paraId="0F7298E9">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可用性不低于99.99%。</w:t>
      </w:r>
    </w:p>
    <w:p w14:paraId="5C4A315C">
      <w:pPr>
        <w:keepNext/>
        <w:keepLines/>
        <w:widowControl w:val="0"/>
        <w:adjustRightInd w:val="0"/>
        <w:spacing w:before="280" w:after="290" w:line="376" w:lineRule="atLeast"/>
        <w:jc w:val="both"/>
        <w:textAlignment w:val="baseline"/>
        <w:outlineLvl w:val="4"/>
        <w:rPr>
          <w:rFonts w:ascii="宋体" w:hAnsi="宋体" w:eastAsia="宋体" w:cs="宋体"/>
          <w:b w:val="0"/>
          <w:color w:val="auto"/>
          <w:kern w:val="0"/>
          <w:sz w:val="28"/>
          <w:szCs w:val="20"/>
          <w:highlight w:val="none"/>
          <w:lang w:val="en-US" w:eastAsia="zh-CN" w:bidi="ar-SA"/>
        </w:rPr>
      </w:pPr>
      <w:bookmarkStart w:id="3" w:name="_Toc31277"/>
      <w:r>
        <w:rPr>
          <w:rFonts w:hint="eastAsia" w:ascii="宋体" w:hAnsi="宋体" w:eastAsia="宋体" w:cs="宋体"/>
          <w:b w:val="0"/>
          <w:color w:val="auto"/>
          <w:kern w:val="0"/>
          <w:sz w:val="28"/>
          <w:szCs w:val="20"/>
          <w:highlight w:val="none"/>
          <w:lang w:val="en-US" w:eastAsia="zh-CN" w:bidi="ar-SA"/>
        </w:rPr>
        <w:t>2.2.2存储服务</w:t>
      </w:r>
      <w:bookmarkEnd w:id="3"/>
    </w:p>
    <w:p w14:paraId="2BFDECB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2.2.2.1 服务内容</w:t>
      </w:r>
    </w:p>
    <w:p w14:paraId="1C02A94F">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按照采购人的具体需求，提供存储服务，包括：普通性能存储、高性能存储、本地备份服务，实现合理的存储资源配置。在提供政务云存储的服务过程中需做好采购人和对应项目应用开发厂商的协调沟通工作。</w:t>
      </w:r>
    </w:p>
    <w:p w14:paraId="1FF32727">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2.2.2.2 服务标准</w:t>
      </w:r>
    </w:p>
    <w:p w14:paraId="42BB9B7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（1）支持结构化数据、半结构化数据和非结构化数据等多种数据类型存储；</w:t>
      </w:r>
    </w:p>
    <w:p w14:paraId="65A1EC49">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（2）支持块存储、对象存储、文件存储等多种存储方法，满足数据备份、视频存储等不同应用场景使用要求；</w:t>
      </w:r>
    </w:p>
    <w:p w14:paraId="2482F73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（3）支持存储资源扩展能力，例如：PB级扩展；</w:t>
      </w:r>
    </w:p>
    <w:p w14:paraId="6A6C0A5E">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（4）支持磁盘容错技术，如磁盘故障后节点的自动平衡和重构、硬盘故障检测和处理、集群节点出现单盘故障时不影响业务运行等；</w:t>
      </w:r>
    </w:p>
    <w:p w14:paraId="05B62D7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（5）存储资源性能要求包括如下：</w:t>
      </w:r>
    </w:p>
    <w:p w14:paraId="34B5C831">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支持高可靠性，可靠性不低于99.99%；</w:t>
      </w:r>
    </w:p>
    <w:p w14:paraId="690A3C2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对于块存储服务，支持普通性能、高性能两类，普通存储单盘技术指标：IOPS大于等于2000，高性能存储单盘技术指标：IOPS大于等于10000。</w:t>
      </w:r>
    </w:p>
    <w:p w14:paraId="54708898">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（6）投标人须具有本地数据级备份能力，按照采购人的各个应用系统对资源的备份需求通过备份策略实现对用户数据（文件、操作系统、数据库）的本地备份。备份应满足如下要求：</w:t>
      </w:r>
    </w:p>
    <w:p w14:paraId="385048F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备份介质本身具备高可用性和冗余性。</w:t>
      </w:r>
    </w:p>
    <w:p w14:paraId="5389843E">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备份方式包括完整备份、差异备份和增量备份。</w:t>
      </w:r>
    </w:p>
    <w:p w14:paraId="09BF8CDC">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支持Windows系列操作系统、Linux主流系统操作系统、主流数据库软件、主流中间件软件、结构化数据以及非结构化数据等备份对象。</w:t>
      </w:r>
    </w:p>
    <w:p w14:paraId="4EA37878">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支持建立统一的备份管理系统，用来管理本地备份。</w:t>
      </w:r>
    </w:p>
    <w:p w14:paraId="003CDAFC">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投标人应提供对备份过程状态、备份结果提供运维监控保障服务，确保备份任务执行成功以及备份的数据完整性。</w:t>
      </w:r>
    </w:p>
    <w:p w14:paraId="6D11B67D">
      <w:pPr>
        <w:keepNext/>
        <w:keepLines/>
        <w:widowControl w:val="0"/>
        <w:adjustRightInd w:val="0"/>
        <w:spacing w:before="280" w:after="290" w:line="376" w:lineRule="atLeast"/>
        <w:jc w:val="both"/>
        <w:textAlignment w:val="baseline"/>
        <w:outlineLvl w:val="4"/>
        <w:rPr>
          <w:rFonts w:ascii="宋体" w:hAnsi="宋体" w:eastAsia="宋体" w:cs="宋体"/>
          <w:b w:val="0"/>
          <w:color w:val="auto"/>
          <w:kern w:val="0"/>
          <w:sz w:val="28"/>
          <w:szCs w:val="20"/>
          <w:highlight w:val="none"/>
          <w:lang w:val="en-US" w:eastAsia="zh-CN" w:bidi="ar-SA"/>
        </w:rPr>
      </w:pPr>
      <w:r>
        <w:rPr>
          <w:rFonts w:hint="eastAsia" w:ascii="宋体" w:hAnsi="宋体" w:eastAsia="宋体" w:cs="宋体"/>
          <w:b w:val="0"/>
          <w:color w:val="auto"/>
          <w:kern w:val="0"/>
          <w:sz w:val="28"/>
          <w:szCs w:val="20"/>
          <w:highlight w:val="none"/>
          <w:lang w:val="en-US" w:eastAsia="zh-CN" w:bidi="ar-SA"/>
        </w:rPr>
        <w:t>2.2.3 网络服务</w:t>
      </w:r>
    </w:p>
    <w:p w14:paraId="0EE6E262">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2.2.3.1 服务内容</w:t>
      </w:r>
    </w:p>
    <w:p w14:paraId="4EA5E21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（1）提供互联网链路带宽服务、互联网IP地址租用服务，并提供相应的网络域名备案服务，配合应用开发厂商提供网络策略配置服务。</w:t>
      </w:r>
    </w:p>
    <w:p w14:paraId="3427CD4D">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（2）主机负载均衡服务，通过云管理平台实现每租户按需自动分配负载均衡服务的能力。</w:t>
      </w:r>
    </w:p>
    <w:p w14:paraId="4F5ADA4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（3）远程接入服务，提供互联网远程接入服务，每个账号结合身份验证接入堡垒机维护应用系统。</w:t>
      </w:r>
    </w:p>
    <w:p w14:paraId="6907F8D9">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（4）VPN服务，SSL VPN接入，用户通过SSL VPN访问业务系统。</w:t>
      </w:r>
    </w:p>
    <w:p w14:paraId="3AC7B8A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（5）WAF防护服务，在网站前端架设WAF防护服务，保证用户网站对已知安全隐患进行防护，实时升级漏洞补丁，配置防护策略，可起到前端防护作用。</w:t>
      </w:r>
    </w:p>
    <w:p w14:paraId="471B6DED">
      <w:pPr>
        <w:widowControl w:val="0"/>
        <w:tabs>
          <w:tab w:val="left" w:pos="567"/>
        </w:tabs>
        <w:spacing w:before="120" w:line="22" w:lineRule="atLeast"/>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（6）按采购方实际需要，提供政务外网服务。</w:t>
      </w:r>
    </w:p>
    <w:p w14:paraId="56EC35F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2.2.3.2 服务标准</w:t>
      </w:r>
    </w:p>
    <w:p w14:paraId="34412DC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网络系统提供稳定的数据传输能力，要求如下：</w:t>
      </w:r>
    </w:p>
    <w:p w14:paraId="0D07327C">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（1）具备多运营商网络接入服务的能力；</w:t>
      </w:r>
    </w:p>
    <w:p w14:paraId="42029CFE">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（2）数据中心组网架构设计支持云主机无障碍动态迁移；</w:t>
      </w:r>
    </w:p>
    <w:p w14:paraId="198A92A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（3）应采用集群部署网络控制，以保障升级时业务不中断；</w:t>
      </w:r>
    </w:p>
    <w:p w14:paraId="1F1BBE7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（4）应实现自动化动态网络资源调配和隔离，支持与互联网、电子政务外网及行业部门专网的连接；</w:t>
      </w:r>
    </w:p>
    <w:p w14:paraId="3C1D729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（5）支持IPv6地址分配，满足业务系统IPv6要求；</w:t>
      </w:r>
    </w:p>
    <w:p w14:paraId="4593B5A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（6）具备边界防火墙和VPC防火墙隔离能力，分别针对不同的流量进行安全策略防护与配置；</w:t>
      </w:r>
    </w:p>
    <w:p w14:paraId="3D9C80E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（7）具备高可用虚拟IP能力，在集群或主备场景下，云主机可绑定高可用虚拟IP，达到高可用访问效果；</w:t>
      </w:r>
    </w:p>
    <w:p w14:paraId="40A1FC1D">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（8）采用双活网络架构，降低单点故障带来的稳定风险；为入云系统划分安全区域，合理制定访问规则。</w:t>
      </w:r>
    </w:p>
    <w:p w14:paraId="6EEE75BF">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（9）网络系统性能要求包括如下：</w:t>
      </w:r>
    </w:p>
    <w:p w14:paraId="7DE28CAE">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服务器业务带宽不低于10Gb/s；</w:t>
      </w:r>
    </w:p>
    <w:p w14:paraId="49BFD41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平均可用性不低于99.99%。</w:t>
      </w:r>
    </w:p>
    <w:p w14:paraId="5D8B04E5">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远程接入服务支持基于IP/IP段、用户/用户组、资产/资产组、协议、危险级别等组合策略进行访问控制，对于不合法的行为予以阻断；可基于运维账号的登录时间和资产登录时间进行访问控制；可基于运维操作命令进行访问控制；可基于主机、用户、IP地址控制审计日志的访问权限；</w:t>
      </w:r>
    </w:p>
    <w:p w14:paraId="05292584">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w:t>
      </w:r>
    </w:p>
    <w:p w14:paraId="16AC683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（12）WAF防护服务须按照采购人的具体需求，提供互联网WAF防护服务，保证用户对已知安全隐患进行防护，实时升级漏洞补丁，配置防护策略，起到前端防护作用。</w:t>
      </w:r>
    </w:p>
    <w:p w14:paraId="08D0C475">
      <w:pPr>
        <w:keepNext/>
        <w:keepLines/>
        <w:widowControl w:val="0"/>
        <w:adjustRightInd w:val="0"/>
        <w:spacing w:before="280" w:after="290" w:line="376" w:lineRule="atLeast"/>
        <w:jc w:val="both"/>
        <w:textAlignment w:val="baseline"/>
        <w:outlineLvl w:val="4"/>
        <w:rPr>
          <w:rFonts w:ascii="宋体" w:hAnsi="宋体" w:eastAsia="宋体" w:cs="宋体"/>
          <w:b w:val="0"/>
          <w:color w:val="auto"/>
          <w:kern w:val="0"/>
          <w:sz w:val="28"/>
          <w:szCs w:val="20"/>
          <w:highlight w:val="none"/>
          <w:lang w:val="en-US" w:eastAsia="zh-CN" w:bidi="ar-SA"/>
        </w:rPr>
      </w:pPr>
      <w:bookmarkStart w:id="4" w:name="_Toc1700"/>
      <w:r>
        <w:rPr>
          <w:rFonts w:hint="eastAsia" w:ascii="宋体" w:hAnsi="宋体" w:eastAsia="宋体" w:cs="宋体"/>
          <w:b w:val="0"/>
          <w:color w:val="auto"/>
          <w:kern w:val="0"/>
          <w:sz w:val="28"/>
          <w:szCs w:val="20"/>
          <w:highlight w:val="none"/>
          <w:lang w:val="en-US" w:eastAsia="zh-CN" w:bidi="ar-SA"/>
        </w:rPr>
        <w:t>2.2.4 基础软件支撑服务</w:t>
      </w:r>
      <w:bookmarkEnd w:id="4"/>
    </w:p>
    <w:p w14:paraId="5A74C969">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2.2.4.1 服务内容</w:t>
      </w:r>
    </w:p>
    <w:p w14:paraId="27872E7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按照采购人的有关管理规定及具体需求，提供商用操作系统、开源操作系统等软件支撑服务。</w:t>
      </w:r>
    </w:p>
    <w:p w14:paraId="417EC08D">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2.2.4.2 服务标准</w:t>
      </w:r>
    </w:p>
    <w:p w14:paraId="0ADF1425">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（1）商用操作系统</w:t>
      </w:r>
    </w:p>
    <w:p w14:paraId="3B0291FB">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提供主流商业操作系统服务，支持主流版本的商用操作系统，并提供操作系统的安装部署和各种故障处理。</w:t>
      </w:r>
    </w:p>
    <w:p w14:paraId="42EC006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（2）符合国家要求的Linux操作系统</w:t>
      </w:r>
    </w:p>
    <w:p w14:paraId="716D720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提供符合国家要求的主流Linux操作系统服务，支持主流Linux操作系统，并提供操作系统的安装部署和各种故障处理。</w:t>
      </w:r>
    </w:p>
    <w:p w14:paraId="2D059872">
      <w:pPr>
        <w:keepNext/>
        <w:keepLines/>
        <w:widowControl w:val="0"/>
        <w:adjustRightInd w:val="0"/>
        <w:spacing w:before="280" w:after="290" w:line="376" w:lineRule="atLeast"/>
        <w:jc w:val="both"/>
        <w:textAlignment w:val="baseline"/>
        <w:outlineLvl w:val="4"/>
        <w:rPr>
          <w:rFonts w:ascii="宋体" w:hAnsi="宋体" w:eastAsia="宋体" w:cs="宋体"/>
          <w:b w:val="0"/>
          <w:color w:val="auto"/>
          <w:kern w:val="0"/>
          <w:sz w:val="28"/>
          <w:szCs w:val="20"/>
          <w:highlight w:val="none"/>
          <w:lang w:val="en-US" w:eastAsia="zh-CN" w:bidi="ar-SA"/>
        </w:rPr>
      </w:pPr>
      <w:r>
        <w:rPr>
          <w:rFonts w:hint="eastAsia" w:ascii="宋体" w:hAnsi="宋体" w:eastAsia="宋体" w:cs="宋体"/>
          <w:b w:val="0"/>
          <w:color w:val="auto"/>
          <w:kern w:val="0"/>
          <w:sz w:val="28"/>
          <w:szCs w:val="20"/>
          <w:highlight w:val="none"/>
          <w:lang w:val="en-US" w:eastAsia="zh-CN" w:bidi="ar-SA"/>
        </w:rPr>
        <w:t>2.2.5 CDN加速服务</w:t>
      </w:r>
    </w:p>
    <w:p w14:paraId="1D81376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2.2.5.1 服务内容</w:t>
      </w:r>
    </w:p>
    <w:p w14:paraId="053238F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按照采购人的有关管理规定及具体需求，提供内容加速及视频加速服务。</w:t>
      </w:r>
    </w:p>
    <w:p w14:paraId="337AB36A">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2.2.5.2 服务标准</w:t>
      </w:r>
    </w:p>
    <w:p w14:paraId="31A9C494">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支持对静态页面、静态图片、流媒体点播直播、动态内容等内容资源，CDN核心节点从源站获取分发资源，分级分发到响应的边缘节点，保证用户能到最近及响应最好的节点中访问响应的资源。</w:t>
      </w:r>
    </w:p>
    <w:p w14:paraId="2A7B48FC">
      <w:pPr>
        <w:keepNext/>
        <w:keepLines/>
        <w:widowControl w:val="0"/>
        <w:adjustRightInd w:val="0"/>
        <w:spacing w:before="280" w:after="290" w:line="376" w:lineRule="atLeast"/>
        <w:jc w:val="both"/>
        <w:textAlignment w:val="baseline"/>
        <w:outlineLvl w:val="4"/>
        <w:rPr>
          <w:rFonts w:ascii="宋体" w:hAnsi="宋体" w:eastAsia="宋体" w:cs="宋体"/>
          <w:b w:val="0"/>
          <w:color w:val="auto"/>
          <w:kern w:val="0"/>
          <w:sz w:val="28"/>
          <w:szCs w:val="20"/>
          <w:highlight w:val="none"/>
          <w:lang w:val="en-US" w:eastAsia="zh-CN" w:bidi="ar-SA"/>
        </w:rPr>
      </w:pPr>
      <w:r>
        <w:rPr>
          <w:rFonts w:hint="eastAsia" w:ascii="宋体" w:hAnsi="宋体" w:eastAsia="宋体" w:cs="宋体"/>
          <w:b w:val="0"/>
          <w:color w:val="auto"/>
          <w:kern w:val="0"/>
          <w:sz w:val="28"/>
          <w:szCs w:val="20"/>
          <w:highlight w:val="none"/>
          <w:lang w:val="en-US" w:eastAsia="zh-CN" w:bidi="ar-SA"/>
        </w:rPr>
        <w:t>2.2.6 运维管理及个性化服务</w:t>
      </w:r>
    </w:p>
    <w:p w14:paraId="4A56F7B3">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提供云管家服务（安全产品集中控制台）、数据库加固、脆弱性检测、渗透测试、代码审计、入侵防御、出口访问控制、X86物理主机迁移、数据迁移服务等</w:t>
      </w:r>
    </w:p>
    <w:p w14:paraId="5582D324">
      <w:pPr>
        <w:keepNext/>
        <w:keepLines/>
        <w:widowControl w:val="0"/>
        <w:adjustRightInd w:val="0"/>
        <w:spacing w:before="280" w:after="290" w:line="376" w:lineRule="atLeast"/>
        <w:jc w:val="both"/>
        <w:textAlignment w:val="baseline"/>
        <w:outlineLvl w:val="4"/>
        <w:rPr>
          <w:rFonts w:ascii="宋体" w:hAnsi="宋体" w:eastAsia="宋体" w:cs="宋体"/>
          <w:b/>
          <w:color w:val="auto"/>
          <w:kern w:val="0"/>
          <w:sz w:val="28"/>
          <w:szCs w:val="20"/>
          <w:highlight w:val="none"/>
          <w:lang w:val="en-US" w:eastAsia="zh-CN" w:bidi="ar-SA"/>
        </w:rPr>
      </w:pPr>
      <w:bookmarkStart w:id="5" w:name="_Toc4542"/>
      <w:r>
        <w:rPr>
          <w:rFonts w:hint="eastAsia" w:ascii="宋体" w:hAnsi="宋体" w:eastAsia="宋体" w:cs="宋体"/>
          <w:b/>
          <w:color w:val="auto"/>
          <w:kern w:val="0"/>
          <w:sz w:val="28"/>
          <w:szCs w:val="20"/>
          <w:highlight w:val="none"/>
          <w:lang w:val="en-US" w:eastAsia="zh-CN" w:bidi="ar-SA"/>
        </w:rPr>
        <w:t>2.2.7培训服务</w:t>
      </w:r>
      <w:bookmarkEnd w:id="5"/>
    </w:p>
    <w:p w14:paraId="09C8D816">
      <w:pPr>
        <w:widowControl w:val="0"/>
        <w:snapToGrid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投标人提供云服务操作手册，并按需为采购人提供必要的使用培训，至少提供以下内容：</w:t>
      </w:r>
    </w:p>
    <w:p w14:paraId="6E8F50B5">
      <w:pPr>
        <w:widowControl/>
        <w:spacing w:before="0" w:beforeAutospacing="0" w:after="0" w:afterAutospacing="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1"/>
          <w:highlight w:val="none"/>
          <w:lang w:val="en-US" w:eastAsia="zh-CN" w:bidi="ar"/>
        </w:rPr>
        <w:t>（1）</w:t>
      </w:r>
      <w:r>
        <w:rPr>
          <w:rFonts w:hint="eastAsia" w:ascii="宋体" w:hAnsi="宋体" w:eastAsia="宋体" w:cs="宋体"/>
          <w:color w:val="auto"/>
          <w:kern w:val="2"/>
          <w:sz w:val="24"/>
          <w:szCs w:val="24"/>
          <w:highlight w:val="none"/>
          <w:lang w:val="en-US" w:eastAsia="zh-CN" w:bidi="ar"/>
        </w:rPr>
        <w:t>面向项目管理人员、系统管理人员的培训，确保此类人员能清晰地了解云平台的设计理念和设计方法，掌握云平台的整体结构，以及各类云资源的申请、审核、开通、回收等管理流程。</w:t>
      </w:r>
    </w:p>
    <w:p w14:paraId="4EEA2B35">
      <w:pPr>
        <w:widowControl/>
        <w:spacing w:before="0" w:beforeAutospacing="0" w:after="0" w:afterAutospacing="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1"/>
          <w:highlight w:val="none"/>
          <w:lang w:val="en-US" w:eastAsia="zh-CN" w:bidi="ar"/>
        </w:rPr>
        <w:t>（2）</w:t>
      </w:r>
      <w:r>
        <w:rPr>
          <w:rFonts w:hint="eastAsia" w:ascii="宋体" w:hAnsi="宋体" w:eastAsia="宋体" w:cs="宋体"/>
          <w:color w:val="auto"/>
          <w:kern w:val="2"/>
          <w:sz w:val="24"/>
          <w:szCs w:val="24"/>
          <w:highlight w:val="none"/>
          <w:lang w:val="en-US" w:eastAsia="zh-CN" w:bidi="ar"/>
        </w:rPr>
        <w:t>面向系统维护人员的培训，确保此类人员能理解和掌握云平台的相关技术知识，能够熟练地维护云平台，快速定位和解决系统出现的问题，保证云平台服务期间正常运转，并持续提高运维服务质量。</w:t>
      </w:r>
    </w:p>
    <w:p w14:paraId="6BC6C1D2">
      <w:pPr>
        <w:widowControl/>
        <w:spacing w:before="0" w:beforeAutospacing="0" w:after="0" w:afterAutospacing="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1"/>
          <w:highlight w:val="none"/>
          <w:lang w:val="en-US" w:eastAsia="zh-CN" w:bidi="ar"/>
        </w:rPr>
        <w:t>（3）对</w:t>
      </w:r>
      <w:r>
        <w:rPr>
          <w:rFonts w:hint="eastAsia" w:ascii="宋体" w:hAnsi="宋体" w:eastAsia="宋体" w:cs="宋体"/>
          <w:color w:val="auto"/>
          <w:kern w:val="2"/>
          <w:sz w:val="24"/>
          <w:szCs w:val="24"/>
          <w:highlight w:val="none"/>
          <w:lang w:val="en-US" w:eastAsia="zh-CN" w:bidi="ar"/>
        </w:rPr>
        <w:t>本单位人员的安全培训教育，确保工作人员符合岗位要求。</w:t>
      </w:r>
    </w:p>
    <w:p w14:paraId="73198BAD">
      <w:pPr>
        <w:widowControl/>
        <w:spacing w:before="0" w:beforeAutospacing="0" w:after="0" w:afterAutospacing="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1"/>
          <w:highlight w:val="none"/>
          <w:lang w:val="en-US" w:eastAsia="zh-CN" w:bidi="ar"/>
        </w:rPr>
        <w:t>（4）</w:t>
      </w:r>
      <w:r>
        <w:rPr>
          <w:rFonts w:hint="eastAsia" w:ascii="宋体" w:hAnsi="宋体" w:eastAsia="宋体" w:cs="宋体"/>
          <w:color w:val="auto"/>
          <w:kern w:val="2"/>
          <w:sz w:val="24"/>
          <w:szCs w:val="24"/>
          <w:highlight w:val="none"/>
          <w:lang w:val="en-US" w:eastAsia="zh-CN" w:bidi="ar"/>
        </w:rPr>
        <w:t>云平台维护人员的定期业务培训和保密培训，重保前的业务培训和应急保障培训等。</w:t>
      </w:r>
    </w:p>
    <w:p w14:paraId="6C18D76E">
      <w:pPr>
        <w:widowControl/>
        <w:spacing w:before="0" w:beforeAutospacing="0" w:after="0" w:afterAutospacing="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1"/>
          <w:highlight w:val="none"/>
          <w:lang w:val="en-US" w:eastAsia="zh-CN" w:bidi="ar"/>
        </w:rPr>
        <w:t>（5）</w:t>
      </w:r>
      <w:r>
        <w:rPr>
          <w:rFonts w:hint="eastAsia" w:ascii="宋体" w:hAnsi="宋体" w:eastAsia="宋体" w:cs="宋体"/>
          <w:color w:val="auto"/>
          <w:kern w:val="2"/>
          <w:sz w:val="24"/>
          <w:szCs w:val="24"/>
          <w:highlight w:val="none"/>
          <w:lang w:val="en-US" w:eastAsia="zh-CN" w:bidi="ar"/>
        </w:rPr>
        <w:t>面向管理单位的培训，确保相关人员充分了解云平台的技术架构、服务水平等。</w:t>
      </w:r>
    </w:p>
    <w:p w14:paraId="2F096F6D">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2.3云平台安全能力要求</w:t>
      </w:r>
    </w:p>
    <w:p w14:paraId="68F6181A">
      <w:pPr>
        <w:widowControl/>
        <w:spacing w:before="0" w:beforeAutospacing="0" w:after="0" w:afterAutospacing="0"/>
        <w:jc w:val="both"/>
        <w:rPr>
          <w:rFonts w:ascii="宋体" w:hAnsi="宋体" w:eastAsia="宋体" w:cs="宋体"/>
          <w:color w:val="auto"/>
          <w:kern w:val="2"/>
          <w:sz w:val="24"/>
          <w:szCs w:val="21"/>
          <w:highlight w:val="none"/>
          <w:lang w:val="en-US" w:eastAsia="zh-CN" w:bidi="ar"/>
        </w:rPr>
      </w:pPr>
      <w:r>
        <w:rPr>
          <w:rFonts w:hint="eastAsia" w:ascii="宋体" w:hAnsi="宋体" w:eastAsia="宋体" w:cs="宋体"/>
          <w:color w:val="auto"/>
          <w:kern w:val="2"/>
          <w:sz w:val="24"/>
          <w:szCs w:val="21"/>
          <w:highlight w:val="none"/>
          <w:lang w:val="en-US" w:eastAsia="zh-CN" w:bidi="ar"/>
        </w:rPr>
        <w:t>（1）投标人所投云平台具备完备的安全防护体系和安全防护设备，具有成熟的安全运维方案，应保证各业务应用系统的支撑环境，包括服务器、网络、存储以及相关物理环境，应能满足不低于网络安全等级保护（GB/T22239-2019）第三级要求，并积极配合采购人根据各业务系统具体等保需求，开展相应等保评估、检查、整改等工作。</w:t>
      </w:r>
    </w:p>
    <w:p w14:paraId="2BEDF395">
      <w:pPr>
        <w:widowControl/>
        <w:spacing w:before="0" w:beforeAutospacing="0" w:after="0" w:afterAutospacing="0"/>
        <w:jc w:val="both"/>
        <w:rPr>
          <w:rFonts w:ascii="宋体" w:hAnsi="宋体" w:eastAsia="宋体" w:cs="宋体"/>
          <w:color w:val="auto"/>
          <w:kern w:val="2"/>
          <w:sz w:val="24"/>
          <w:szCs w:val="21"/>
          <w:highlight w:val="none"/>
          <w:lang w:val="en-US" w:eastAsia="zh-CN" w:bidi="ar"/>
        </w:rPr>
      </w:pPr>
      <w:r>
        <w:rPr>
          <w:rFonts w:hint="eastAsia" w:ascii="宋体" w:hAnsi="宋体" w:eastAsia="宋体" w:cs="宋体"/>
          <w:color w:val="auto"/>
          <w:kern w:val="2"/>
          <w:sz w:val="24"/>
          <w:szCs w:val="21"/>
          <w:highlight w:val="none"/>
          <w:lang w:val="en-US" w:eastAsia="zh-CN" w:bidi="ar"/>
        </w:rPr>
        <w:t>（2）投标人需保证安全技术服务能力不低于所承载的信息系统的最高级别，并通过GB/T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61E46A1C">
      <w:pPr>
        <w:widowControl/>
        <w:spacing w:before="0" w:beforeAutospacing="0" w:after="0" w:afterAutospacing="0"/>
        <w:jc w:val="both"/>
        <w:rPr>
          <w:rFonts w:ascii="宋体" w:hAnsi="宋体" w:eastAsia="宋体" w:cs="宋体"/>
          <w:color w:val="auto"/>
          <w:kern w:val="2"/>
          <w:sz w:val="24"/>
          <w:szCs w:val="21"/>
          <w:highlight w:val="none"/>
          <w:lang w:val="en-US" w:eastAsia="zh-CN" w:bidi="ar"/>
        </w:rPr>
      </w:pPr>
      <w:r>
        <w:rPr>
          <w:rFonts w:hint="eastAsia" w:ascii="宋体" w:hAnsi="宋体" w:eastAsia="宋体" w:cs="宋体"/>
          <w:color w:val="auto"/>
          <w:kern w:val="2"/>
          <w:sz w:val="24"/>
          <w:szCs w:val="21"/>
          <w:highlight w:val="none"/>
          <w:lang w:val="en-US" w:eastAsia="zh-CN" w:bidi="ar"/>
        </w:rPr>
        <w:t>（3）投标人提供所投云平台有效的通过中共中央网络安全和信息化委员会办公室或国家互联网信息办公室云计算服务安全评估</w:t>
      </w:r>
    </w:p>
    <w:p w14:paraId="32C76DF1">
      <w:pPr>
        <w:keepNext/>
        <w:keepLines/>
        <w:widowControl w:val="0"/>
        <w:numPr>
          <w:ilvl w:val="3"/>
          <w:numId w:val="0"/>
        </w:numPr>
        <w:adjustRightInd w:val="0"/>
        <w:spacing w:before="280" w:after="290" w:line="376" w:lineRule="atLeast"/>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2.4业务正常运行保障服务要求</w:t>
      </w:r>
    </w:p>
    <w:p w14:paraId="029D4330">
      <w:pPr>
        <w:tabs>
          <w:tab w:val="left" w:pos="988"/>
          <w:tab w:val="left" w:pos="1135"/>
        </w:tabs>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本项目涉及的业务系统为采购人在用的生产系统，目前在政务云上平稳运行，因此保障业务正常运行是重要的保障需求。</w:t>
      </w:r>
    </w:p>
    <w:p w14:paraId="259B40C1">
      <w:pPr>
        <w:tabs>
          <w:tab w:val="left" w:pos="988"/>
          <w:tab w:val="left" w:pos="1135"/>
        </w:tabs>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本项目如涉及系统迁移，投标人需编制业务正常运行（迁移）保障服务方案。具体要求如下：</w:t>
      </w:r>
    </w:p>
    <w:p w14:paraId="75D3222C">
      <w:pPr>
        <w:tabs>
          <w:tab w:val="left" w:pos="988"/>
          <w:tab w:val="left" w:pos="1135"/>
        </w:tabs>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如涉及系统迁移，在连续性服务方案中需提供确实可行的迁移部署服务方案，迁移部署服务方案应包括迁移部署流程、迁移部署保障、迁移部署工具，针对系统迁移过程中容易造成业务系统中断的环节，包含互联网及政务外网IP变更割接、业务数据同步及切换上线、应急回退方案等，进行风险评估，提出详细解决方案。</w:t>
      </w:r>
    </w:p>
    <w:p w14:paraId="23653CF8">
      <w:pPr>
        <w:spacing w:line="360" w:lineRule="auto"/>
        <w:ind w:firstLine="420"/>
        <w:rPr>
          <w:rFonts w:ascii="宋体" w:hAnsi="宋体" w:eastAsia="宋体" w:cs="宋体"/>
          <w:color w:val="auto"/>
          <w:sz w:val="24"/>
          <w:highlight w:val="none"/>
        </w:rPr>
      </w:pPr>
      <w:r>
        <w:rPr>
          <w:rFonts w:ascii="宋体" w:hAnsi="宋体" w:eastAsia="宋体" w:cs="宋体"/>
          <w:color w:val="auto"/>
          <w:sz w:val="24"/>
          <w:highlight w:val="none"/>
        </w:rPr>
        <w:t>投标人</w:t>
      </w:r>
      <w:r>
        <w:rPr>
          <w:rFonts w:hint="eastAsia" w:ascii="宋体" w:hAnsi="宋体" w:eastAsia="宋体" w:cs="宋体"/>
          <w:color w:val="auto"/>
          <w:sz w:val="24"/>
          <w:highlight w:val="none"/>
        </w:rPr>
        <w:t>须</w:t>
      </w:r>
      <w:r>
        <w:rPr>
          <w:rFonts w:ascii="宋体" w:hAnsi="宋体" w:eastAsia="宋体" w:cs="宋体"/>
          <w:color w:val="auto"/>
          <w:sz w:val="24"/>
          <w:highlight w:val="none"/>
        </w:rPr>
        <w:t>承诺</w:t>
      </w:r>
      <w:r>
        <w:rPr>
          <w:rFonts w:hint="eastAsia" w:ascii="宋体" w:hAnsi="宋体" w:eastAsia="宋体" w:cs="宋体"/>
          <w:color w:val="auto"/>
          <w:sz w:val="24"/>
          <w:highlight w:val="none"/>
        </w:rPr>
        <w:t>，若涉及业务迁移，需在不中断业务的前提下，自合同生效之日起在承诺期限内完成全部系统迁移</w:t>
      </w:r>
      <w:r>
        <w:rPr>
          <w:rFonts w:ascii="宋体" w:hAnsi="宋体" w:eastAsia="宋体" w:cs="宋体"/>
          <w:color w:val="auto"/>
          <w:sz w:val="24"/>
          <w:highlight w:val="none"/>
        </w:rPr>
        <w:t>，并且不能改变和影响原有系统的功能、技术状态以及</w:t>
      </w:r>
      <w:r>
        <w:rPr>
          <w:rFonts w:hint="eastAsia" w:ascii="宋体" w:hAnsi="宋体" w:eastAsia="宋体" w:cs="宋体"/>
          <w:color w:val="auto"/>
          <w:sz w:val="24"/>
          <w:highlight w:val="none"/>
        </w:rPr>
        <w:t>采购人</w:t>
      </w:r>
      <w:r>
        <w:rPr>
          <w:rFonts w:ascii="宋体" w:hAnsi="宋体" w:eastAsia="宋体" w:cs="宋体"/>
          <w:color w:val="auto"/>
          <w:sz w:val="24"/>
          <w:highlight w:val="none"/>
        </w:rPr>
        <w:t>的使用习惯</w:t>
      </w:r>
      <w:r>
        <w:rPr>
          <w:rFonts w:hint="eastAsia" w:ascii="宋体" w:hAnsi="宋体" w:eastAsia="宋体" w:cs="宋体"/>
          <w:color w:val="auto"/>
          <w:sz w:val="24"/>
          <w:highlight w:val="none"/>
        </w:rPr>
        <w:t>，</w:t>
      </w:r>
      <w:r>
        <w:rPr>
          <w:rFonts w:hint="eastAsia" w:ascii="宋体" w:hAnsi="宋体" w:eastAsia="宋体" w:cs="宋体"/>
          <w:color w:val="auto"/>
          <w:spacing w:val="-1"/>
          <w:sz w:val="24"/>
          <w:highlight w:val="none"/>
        </w:rPr>
        <w:t>因此产生的各项费用（包括测试阶段的云资源费用，系统运维商对业务系统的部署、调试费用等）由投标人承担</w:t>
      </w:r>
      <w:r>
        <w:rPr>
          <w:rFonts w:ascii="宋体" w:hAnsi="宋体" w:eastAsia="宋体" w:cs="宋体"/>
          <w:color w:val="auto"/>
          <w:sz w:val="24"/>
          <w:highlight w:val="none"/>
        </w:rPr>
        <w:t>。迁移完成后，投标人需确保原有系统的功能、技术状态及采购人使用习惯无任何改变或影响，并提交迁移、测试及功能验证报告</w:t>
      </w:r>
      <w:r>
        <w:rPr>
          <w:rFonts w:hint="eastAsia" w:ascii="宋体" w:hAnsi="宋体" w:eastAsia="宋体" w:cs="宋体"/>
          <w:color w:val="auto"/>
          <w:sz w:val="24"/>
          <w:highlight w:val="none"/>
        </w:rPr>
        <w:t>后</w:t>
      </w:r>
      <w:r>
        <w:rPr>
          <w:rFonts w:ascii="宋体" w:hAnsi="宋体" w:eastAsia="宋体" w:cs="宋体"/>
          <w:color w:val="auto"/>
          <w:sz w:val="24"/>
          <w:highlight w:val="none"/>
        </w:rPr>
        <w:t>，</w:t>
      </w:r>
      <w:r>
        <w:rPr>
          <w:rFonts w:hint="eastAsia" w:ascii="宋体" w:hAnsi="宋体" w:eastAsia="宋体" w:cs="宋体"/>
          <w:color w:val="auto"/>
          <w:sz w:val="24"/>
          <w:highlight w:val="none"/>
        </w:rPr>
        <w:t>由</w:t>
      </w:r>
      <w:r>
        <w:rPr>
          <w:rFonts w:ascii="宋体" w:hAnsi="宋体" w:eastAsia="宋体" w:cs="宋体"/>
          <w:color w:val="auto"/>
          <w:sz w:val="24"/>
          <w:highlight w:val="none"/>
        </w:rPr>
        <w:t>采购人</w:t>
      </w:r>
      <w:r>
        <w:rPr>
          <w:rFonts w:hint="eastAsia" w:ascii="宋体" w:hAnsi="宋体" w:eastAsia="宋体" w:cs="宋体"/>
          <w:color w:val="auto"/>
          <w:sz w:val="24"/>
          <w:highlight w:val="none"/>
        </w:rPr>
        <w:t>组织</w:t>
      </w:r>
      <w:r>
        <w:rPr>
          <w:rFonts w:ascii="宋体" w:hAnsi="宋体" w:eastAsia="宋体" w:cs="宋体"/>
          <w:color w:val="auto"/>
          <w:sz w:val="24"/>
          <w:highlight w:val="none"/>
        </w:rPr>
        <w:t>验收。</w:t>
      </w:r>
    </w:p>
    <w:p w14:paraId="463ECC08">
      <w:pPr>
        <w:spacing w:line="360" w:lineRule="auto"/>
        <w:ind w:firstLine="420"/>
        <w:rPr>
          <w:rFonts w:ascii="Times New Roman" w:hAnsi="Times New Roman" w:eastAsia="宋体" w:cs="Times New Roman"/>
          <w:color w:val="auto"/>
          <w:highlight w:val="none"/>
        </w:rPr>
      </w:pPr>
      <w:r>
        <w:rPr>
          <w:rFonts w:ascii="宋体" w:hAnsi="宋体" w:eastAsia="宋体" w:cs="宋体"/>
          <w:color w:val="auto"/>
          <w:sz w:val="24"/>
          <w:highlight w:val="none"/>
        </w:rPr>
        <w:t>未按时完成迁移或验收不合格且逾期未整改的，每逾期 1 日，投标人应向采购人支付合同总金额 0.3% 的违约金；逾期超过 7 日的，采购人有权解除合同，投标人应向采购人支付合同总金额 20% 的违约金，并赔偿采购人因此造成的全部实际损失（包括业务中断损失、重新招标成本、第三方索赔等）。</w:t>
      </w:r>
    </w:p>
    <w:p w14:paraId="5C136B24">
      <w:pPr>
        <w:keepNext/>
        <w:keepLines/>
        <w:widowControl w:val="0"/>
        <w:numPr>
          <w:ilvl w:val="3"/>
          <w:numId w:val="0"/>
        </w:numPr>
        <w:adjustRightInd w:val="0"/>
        <w:spacing w:before="280" w:after="290" w:line="376" w:lineRule="atLeast"/>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2.5运维保障服务要求 </w:t>
      </w:r>
    </w:p>
    <w:p w14:paraId="5EFD17F4">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2.5.1 运维能力要求</w:t>
      </w:r>
    </w:p>
    <w:p w14:paraId="0629D0FC">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投标人须具有的运维管理能力</w:t>
      </w:r>
    </w:p>
    <w:p w14:paraId="0230254C">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（1）后台任务性能分析能力：能够对后台任务慢追踪，包括时间、后台任务名称、平均响应时间；提供后台任务性能分析能力截图；</w:t>
      </w:r>
    </w:p>
    <w:p w14:paraId="1131A665">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（2）同时间轴数据分析能力；能够对用户体验层、应用程序层、IT架构层进行同时间轴分析，找到引起业务总分降低的关键指标；提供同时间轴数据分析能力截图；</w:t>
      </w:r>
    </w:p>
    <w:p w14:paraId="793C7D87">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（3）具有数据库运维知识库，实现智能诊断分析功能：当某个运维场景告警时，可以通过知识图谱推荐的诊断路径进行自动化分析，并输出诊断报告；提供智能诊断分析功能和诊断分析报告能力截图；</w:t>
      </w:r>
    </w:p>
    <w:p w14:paraId="3C950456">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（4）具有数据库健康模型和性能模型：通过模型，可以随时了解数据库的运行状态和系统的当前负载及性能情况；提供健康模型和性能模型能力截图；</w:t>
      </w:r>
    </w:p>
    <w:p w14:paraId="457ABF49">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2.5.2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运维要求</w:t>
      </w:r>
    </w:p>
    <w:p w14:paraId="1EF87985">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投标人需利用监控系统或人工对机房环境、硬件设备及应用系统的运行情况进行7*24小时的监控，及时发现安全隐患，通知相关人员及时处理，并形成监控报告。</w:t>
      </w:r>
    </w:p>
    <w:p w14:paraId="69111463">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3A13B627">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投标人应提供每月不少于1次的云主机巡检服务。</w:t>
      </w:r>
    </w:p>
    <w:p w14:paraId="4D8633B9">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2.5.3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响应的及时性要求</w:t>
      </w:r>
    </w:p>
    <w:p w14:paraId="29BE773F">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投标人应当提供高效的系统维护服务，有效防范系统风险，系统对应负责人7*24小时电话畅通，能够在系统发生除宕机外的其他故障问题时，投标人应在5分钟内响应，在</w:t>
      </w: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val="zh-CN"/>
        </w:rPr>
        <w:t>分钟之内开始处理故障，能够协调人力资源在1小时内到达运维现场提供服务。系统发生宕机问题时，投标人应在</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分钟内响应，在4个小时之内使系统恢复正常，故障处理完毕后提供相关系统宕机报告。</w:t>
      </w:r>
    </w:p>
    <w:p w14:paraId="3B5058F9">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2.5.4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重点保障要求</w:t>
      </w:r>
    </w:p>
    <w:p w14:paraId="5FFBC104">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为保障五一、十一、春节、两会等重要时期以及业务高峰期内系统平稳运行，缓解系统高峰期内因业务发生量增大而带来系统压力风险，要求投标人根据业务周期性特点，加大运维保障力度，保证在业务高峰期内系统平稳运行。</w:t>
      </w:r>
    </w:p>
    <w:p w14:paraId="170959B3">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2.5.5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应急保障和风险防控措施</w:t>
      </w:r>
    </w:p>
    <w:p w14:paraId="131E393E">
      <w:pPr>
        <w:spacing w:line="360" w:lineRule="auto"/>
        <w:ind w:firstLine="480" w:firstLineChars="200"/>
        <w:rPr>
          <w:rFonts w:ascii="Times New Roman" w:hAnsi="Times New Roman" w:eastAsia="宋体" w:cs="Times New Roman"/>
          <w:color w:val="auto"/>
          <w:highlight w:val="none"/>
          <w:lang w:val="zh-CN"/>
        </w:rPr>
      </w:pPr>
      <w:r>
        <w:rPr>
          <w:rFonts w:hint="eastAsia" w:ascii="宋体" w:hAnsi="宋体" w:eastAsia="宋体" w:cs="宋体"/>
          <w:color w:val="auto"/>
          <w:sz w:val="24"/>
          <w:highlight w:val="none"/>
          <w:lang w:val="zh-CN"/>
        </w:rPr>
        <w:t>云平台应具备相应的应急预案与风险防控措施，在云平台运行维护期间，出现应急情况和风险状况时，按照预案处置，快速解决问题。</w:t>
      </w:r>
    </w:p>
    <w:p w14:paraId="372D70A5">
      <w:pPr>
        <w:keepNext/>
        <w:keepLines/>
        <w:widowControl w:val="0"/>
        <w:numPr>
          <w:ilvl w:val="3"/>
          <w:numId w:val="0"/>
        </w:numPr>
        <w:adjustRightInd w:val="0"/>
        <w:spacing w:before="280" w:after="290" w:line="376" w:lineRule="atLeast"/>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2.6服务团队要求</w:t>
      </w:r>
    </w:p>
    <w:p w14:paraId="3B02B73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服务期内，投标人须设有7×24小时电话响应服务、具备运维团队，提供售后服务保障。团队成员应明确职责，架构清晰，岗位设置合理，且具备与本项目相关的项目经验。</w:t>
      </w:r>
    </w:p>
    <w:p w14:paraId="7E23E43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投标人须提供1名项目经理、1名安全技术负责人及</w:t>
      </w:r>
      <w:r>
        <w:rPr>
          <w:rFonts w:hint="eastAsia" w:ascii="宋体" w:hAnsi="宋体" w:eastAsia="宋体" w:cs="宋体"/>
          <w:color w:val="auto"/>
          <w:sz w:val="24"/>
          <w:highlight w:val="none"/>
          <w:lang w:val="en-US" w:eastAsia="zh-CN"/>
        </w:rPr>
        <w:t>6人（含）以上</w:t>
      </w:r>
      <w:r>
        <w:rPr>
          <w:rFonts w:hint="eastAsia" w:ascii="宋体" w:hAnsi="宋体" w:eastAsia="宋体" w:cs="宋体"/>
          <w:color w:val="auto"/>
          <w:sz w:val="24"/>
          <w:highlight w:val="none"/>
        </w:rPr>
        <w:t>项目团队专职人员，其中包含1名驻场运维工程师，为本项目提供服务。项目经理及安全负责人需按照采购人要求，承担云资源服务保障具体工作，技术支持人员要求如下：</w:t>
      </w:r>
    </w:p>
    <w:p w14:paraId="2C869F0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服务团队人员要求</w:t>
      </w:r>
    </w:p>
    <w:tbl>
      <w:tblPr>
        <w:tblStyle w:val="2"/>
        <w:tblpPr w:leftFromText="180" w:rightFromText="180" w:vertAnchor="text" w:tblpX="112" w:tblpY="1"/>
        <w:tblOverlap w:val="never"/>
        <w:tblW w:w="8532" w:type="dxa"/>
        <w:tblInd w:w="0" w:type="dxa"/>
        <w:tblLayout w:type="fixed"/>
        <w:tblCellMar>
          <w:top w:w="0" w:type="dxa"/>
          <w:left w:w="108" w:type="dxa"/>
          <w:bottom w:w="0" w:type="dxa"/>
          <w:right w:w="108" w:type="dxa"/>
        </w:tblCellMar>
      </w:tblPr>
      <w:tblGrid>
        <w:gridCol w:w="825"/>
        <w:gridCol w:w="850"/>
        <w:gridCol w:w="700"/>
        <w:gridCol w:w="1739"/>
        <w:gridCol w:w="4418"/>
      </w:tblGrid>
      <w:tr w14:paraId="068313A2">
        <w:tblPrEx>
          <w:tblCellMar>
            <w:top w:w="0" w:type="dxa"/>
            <w:left w:w="108" w:type="dxa"/>
            <w:bottom w:w="0" w:type="dxa"/>
            <w:right w:w="108" w:type="dxa"/>
          </w:tblCellMar>
        </w:tblPrEx>
        <w:trPr>
          <w:trHeight w:val="700" w:hRule="atLeast"/>
        </w:trPr>
        <w:tc>
          <w:tcPr>
            <w:tcW w:w="825" w:type="dxa"/>
            <w:tcBorders>
              <w:top w:val="single" w:color="auto" w:sz="4" w:space="0"/>
              <w:left w:val="single" w:color="auto" w:sz="4" w:space="0"/>
              <w:bottom w:val="single" w:color="auto" w:sz="4" w:space="0"/>
              <w:right w:val="single" w:color="auto" w:sz="4" w:space="0"/>
            </w:tcBorders>
            <w:vAlign w:val="center"/>
          </w:tcPr>
          <w:p w14:paraId="28867C0C">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岗位</w:t>
            </w:r>
          </w:p>
        </w:tc>
        <w:tc>
          <w:tcPr>
            <w:tcW w:w="850" w:type="dxa"/>
            <w:tcBorders>
              <w:top w:val="single" w:color="auto" w:sz="4" w:space="0"/>
              <w:left w:val="single" w:color="auto" w:sz="4" w:space="0"/>
              <w:bottom w:val="single" w:color="auto" w:sz="4" w:space="0"/>
              <w:right w:val="single" w:color="auto" w:sz="4" w:space="0"/>
            </w:tcBorders>
            <w:vAlign w:val="center"/>
          </w:tcPr>
          <w:p w14:paraId="4334B097">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700" w:type="dxa"/>
            <w:tcBorders>
              <w:top w:val="single" w:color="auto" w:sz="4" w:space="0"/>
              <w:left w:val="single" w:color="auto" w:sz="4" w:space="0"/>
              <w:bottom w:val="single" w:color="auto" w:sz="4" w:space="0"/>
              <w:right w:val="single" w:color="auto" w:sz="4" w:space="0"/>
            </w:tcBorders>
            <w:vAlign w:val="center"/>
          </w:tcPr>
          <w:p w14:paraId="738AE7AE">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学历</w:t>
            </w:r>
          </w:p>
        </w:tc>
        <w:tc>
          <w:tcPr>
            <w:tcW w:w="1739" w:type="dxa"/>
            <w:tcBorders>
              <w:top w:val="single" w:color="auto" w:sz="6" w:space="0"/>
              <w:left w:val="single" w:color="auto" w:sz="4" w:space="0"/>
              <w:bottom w:val="single" w:color="auto" w:sz="6" w:space="0"/>
              <w:right w:val="single" w:color="auto" w:sz="6" w:space="0"/>
            </w:tcBorders>
            <w:vAlign w:val="center"/>
          </w:tcPr>
          <w:p w14:paraId="20BEC031">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2733C509">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color w:val="auto"/>
                <w:szCs w:val="21"/>
                <w:highlight w:val="none"/>
              </w:rPr>
              <w:t>岗位须具备的上岗资格证等要求</w:t>
            </w:r>
          </w:p>
        </w:tc>
      </w:tr>
      <w:tr w14:paraId="3D1E2731">
        <w:tblPrEx>
          <w:tblCellMar>
            <w:top w:w="0" w:type="dxa"/>
            <w:left w:w="108" w:type="dxa"/>
            <w:bottom w:w="0" w:type="dxa"/>
            <w:right w:w="108" w:type="dxa"/>
          </w:tblCellMar>
        </w:tblPrEx>
        <w:trPr>
          <w:trHeight w:val="700" w:hRule="atLeast"/>
        </w:trPr>
        <w:tc>
          <w:tcPr>
            <w:tcW w:w="825" w:type="dxa"/>
            <w:tcBorders>
              <w:top w:val="single" w:color="auto" w:sz="4" w:space="0"/>
              <w:left w:val="single" w:color="auto" w:sz="4" w:space="0"/>
              <w:bottom w:val="single" w:color="auto" w:sz="4" w:space="0"/>
              <w:right w:val="single" w:color="auto" w:sz="4" w:space="0"/>
            </w:tcBorders>
            <w:vAlign w:val="center"/>
          </w:tcPr>
          <w:p w14:paraId="152145AA">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项目</w:t>
            </w:r>
          </w:p>
          <w:p w14:paraId="66F20482">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经理</w:t>
            </w:r>
          </w:p>
        </w:tc>
        <w:tc>
          <w:tcPr>
            <w:tcW w:w="850" w:type="dxa"/>
            <w:tcBorders>
              <w:top w:val="single" w:color="auto" w:sz="4" w:space="0"/>
              <w:left w:val="single" w:color="auto" w:sz="4" w:space="0"/>
              <w:bottom w:val="single" w:color="auto" w:sz="4" w:space="0"/>
              <w:right w:val="single" w:color="auto" w:sz="4" w:space="0"/>
            </w:tcBorders>
            <w:vAlign w:val="center"/>
          </w:tcPr>
          <w:p w14:paraId="67A6147E">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00" w:type="dxa"/>
            <w:tcBorders>
              <w:top w:val="single" w:color="auto" w:sz="4" w:space="0"/>
              <w:left w:val="single" w:color="auto" w:sz="4" w:space="0"/>
              <w:bottom w:val="single" w:color="auto" w:sz="4" w:space="0"/>
              <w:right w:val="single" w:color="auto" w:sz="4" w:space="0"/>
            </w:tcBorders>
            <w:vAlign w:val="center"/>
          </w:tcPr>
          <w:p w14:paraId="3F67209B">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本科及以上</w:t>
            </w:r>
          </w:p>
        </w:tc>
        <w:tc>
          <w:tcPr>
            <w:tcW w:w="1739" w:type="dxa"/>
            <w:tcBorders>
              <w:top w:val="single" w:color="auto" w:sz="6" w:space="0"/>
              <w:left w:val="single" w:color="auto" w:sz="4" w:space="0"/>
              <w:bottom w:val="single" w:color="auto" w:sz="6" w:space="0"/>
              <w:right w:val="single" w:color="auto" w:sz="6" w:space="0"/>
            </w:tcBorders>
            <w:vAlign w:val="center"/>
          </w:tcPr>
          <w:p w14:paraId="07C17ED8">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46C3887F">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1.信息系统项目管理师</w:t>
            </w:r>
          </w:p>
          <w:p w14:paraId="45B64D21">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2.信息安全保障人员认证证书（安全运维专业级或以上）</w:t>
            </w:r>
          </w:p>
          <w:p w14:paraId="34023212">
            <w:pPr>
              <w:adjustRightInd w:val="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3.信息安全保障人员认证证书（应急服务专业级或以上）</w:t>
            </w:r>
          </w:p>
        </w:tc>
      </w:tr>
      <w:tr w14:paraId="58318368">
        <w:tblPrEx>
          <w:tblCellMar>
            <w:top w:w="0" w:type="dxa"/>
            <w:left w:w="108" w:type="dxa"/>
            <w:bottom w:w="0" w:type="dxa"/>
            <w:right w:w="108" w:type="dxa"/>
          </w:tblCellMar>
        </w:tblPrEx>
        <w:trPr>
          <w:trHeight w:val="700" w:hRule="atLeast"/>
        </w:trPr>
        <w:tc>
          <w:tcPr>
            <w:tcW w:w="825" w:type="dxa"/>
            <w:tcBorders>
              <w:top w:val="single" w:color="auto" w:sz="4" w:space="0"/>
              <w:left w:val="single" w:color="auto" w:sz="4" w:space="0"/>
              <w:bottom w:val="single" w:color="auto" w:sz="4" w:space="0"/>
              <w:right w:val="single" w:color="auto" w:sz="4" w:space="0"/>
            </w:tcBorders>
            <w:vAlign w:val="center"/>
          </w:tcPr>
          <w:p w14:paraId="58DA36FE">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安全技术负责人</w:t>
            </w:r>
          </w:p>
        </w:tc>
        <w:tc>
          <w:tcPr>
            <w:tcW w:w="850" w:type="dxa"/>
            <w:tcBorders>
              <w:top w:val="single" w:color="auto" w:sz="4" w:space="0"/>
              <w:left w:val="single" w:color="auto" w:sz="4" w:space="0"/>
              <w:bottom w:val="single" w:color="auto" w:sz="4" w:space="0"/>
              <w:right w:val="single" w:color="auto" w:sz="4" w:space="0"/>
            </w:tcBorders>
            <w:vAlign w:val="center"/>
          </w:tcPr>
          <w:p w14:paraId="7FDBD761">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00" w:type="dxa"/>
            <w:tcBorders>
              <w:top w:val="single" w:color="auto" w:sz="4" w:space="0"/>
              <w:left w:val="single" w:color="auto" w:sz="4" w:space="0"/>
              <w:bottom w:val="single" w:color="auto" w:sz="4" w:space="0"/>
              <w:right w:val="single" w:color="auto" w:sz="4" w:space="0"/>
            </w:tcBorders>
            <w:vAlign w:val="center"/>
          </w:tcPr>
          <w:p w14:paraId="1D4ABDD9">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本科及以上</w:t>
            </w:r>
          </w:p>
        </w:tc>
        <w:tc>
          <w:tcPr>
            <w:tcW w:w="1739" w:type="dxa"/>
            <w:tcBorders>
              <w:top w:val="single" w:color="auto" w:sz="6" w:space="0"/>
              <w:left w:val="single" w:color="auto" w:sz="4" w:space="0"/>
              <w:bottom w:val="single" w:color="auto" w:sz="6" w:space="0"/>
              <w:right w:val="single" w:color="auto" w:sz="6" w:space="0"/>
            </w:tcBorders>
            <w:vAlign w:val="center"/>
          </w:tcPr>
          <w:p w14:paraId="45BDD2AC">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6D8F903B">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1.信息安全保障人员认证证书（安全集成专业级或以上）</w:t>
            </w:r>
          </w:p>
          <w:p w14:paraId="475EA87E">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2.信息安全保障人员认证证书（应急服务专业级或以上）</w:t>
            </w:r>
          </w:p>
        </w:tc>
      </w:tr>
      <w:tr w14:paraId="3CAEE359">
        <w:tblPrEx>
          <w:tblCellMar>
            <w:top w:w="0" w:type="dxa"/>
            <w:left w:w="108" w:type="dxa"/>
            <w:bottom w:w="0" w:type="dxa"/>
            <w:right w:w="108" w:type="dxa"/>
          </w:tblCellMar>
        </w:tblPrEx>
        <w:trPr>
          <w:trHeight w:val="700" w:hRule="atLeast"/>
        </w:trPr>
        <w:tc>
          <w:tcPr>
            <w:tcW w:w="825" w:type="dxa"/>
            <w:tcBorders>
              <w:top w:val="single" w:color="auto" w:sz="4" w:space="0"/>
              <w:left w:val="single" w:color="auto" w:sz="4" w:space="0"/>
              <w:bottom w:val="single" w:color="auto" w:sz="4" w:space="0"/>
              <w:right w:val="single" w:color="auto" w:sz="4" w:space="0"/>
            </w:tcBorders>
            <w:vAlign w:val="center"/>
          </w:tcPr>
          <w:p w14:paraId="7800BA69">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项目</w:t>
            </w:r>
          </w:p>
          <w:p w14:paraId="49347180">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人员</w:t>
            </w:r>
          </w:p>
        </w:tc>
        <w:tc>
          <w:tcPr>
            <w:tcW w:w="850" w:type="dxa"/>
            <w:tcBorders>
              <w:top w:val="single" w:color="auto" w:sz="4" w:space="0"/>
              <w:left w:val="single" w:color="auto" w:sz="4" w:space="0"/>
              <w:bottom w:val="single" w:color="auto" w:sz="4" w:space="0"/>
              <w:right w:val="single" w:color="auto" w:sz="4" w:space="0"/>
            </w:tcBorders>
            <w:vAlign w:val="center"/>
          </w:tcPr>
          <w:p w14:paraId="3ACD57DD">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6人（含）以上</w:t>
            </w:r>
            <w:r>
              <w:rPr>
                <w:rFonts w:hint="eastAsia" w:ascii="宋体" w:hAnsi="宋体" w:eastAsia="宋体" w:cs="宋体"/>
                <w:bCs/>
                <w:color w:val="auto"/>
                <w:szCs w:val="21"/>
                <w:highlight w:val="none"/>
              </w:rPr>
              <w:t>（包含1名驻场工程师）</w:t>
            </w:r>
          </w:p>
        </w:tc>
        <w:tc>
          <w:tcPr>
            <w:tcW w:w="700" w:type="dxa"/>
            <w:tcBorders>
              <w:top w:val="single" w:color="auto" w:sz="4" w:space="0"/>
              <w:left w:val="single" w:color="auto" w:sz="4" w:space="0"/>
              <w:bottom w:val="single" w:color="auto" w:sz="4" w:space="0"/>
              <w:right w:val="single" w:color="auto" w:sz="4" w:space="0"/>
            </w:tcBorders>
            <w:vAlign w:val="center"/>
          </w:tcPr>
          <w:p w14:paraId="23FE0A53">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本科及以上</w:t>
            </w:r>
          </w:p>
        </w:tc>
        <w:tc>
          <w:tcPr>
            <w:tcW w:w="1739" w:type="dxa"/>
            <w:tcBorders>
              <w:top w:val="single" w:color="auto" w:sz="6" w:space="0"/>
              <w:left w:val="single" w:color="auto" w:sz="4" w:space="0"/>
              <w:bottom w:val="single" w:color="auto" w:sz="6" w:space="0"/>
              <w:right w:val="single" w:color="auto" w:sz="6" w:space="0"/>
            </w:tcBorders>
            <w:vAlign w:val="center"/>
          </w:tcPr>
          <w:p w14:paraId="5FDB2BFB">
            <w:pPr>
              <w:adjustRightInd w:val="0"/>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06666DEC">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1.系统规划与管理师资质证书（高级）</w:t>
            </w:r>
          </w:p>
          <w:p w14:paraId="595F45BE">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2.系统分析师资质证书（高级）</w:t>
            </w:r>
          </w:p>
          <w:p w14:paraId="5FD63AEA">
            <w:pPr>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3.系统架构设计师证书（高级）</w:t>
            </w:r>
          </w:p>
          <w:p w14:paraId="69A47BE8">
            <w:pPr>
              <w:adjustRightInd w:val="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4.注册信息安全专业人员（CISP）</w:t>
            </w:r>
          </w:p>
          <w:p w14:paraId="745389F2">
            <w:pPr>
              <w:adjustRightInd w:val="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5.网络规划设计师证书</w:t>
            </w:r>
          </w:p>
          <w:p w14:paraId="462E8C1C">
            <w:pPr>
              <w:adjustRightInd w:val="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6.数据库系统工程师证书</w:t>
            </w:r>
          </w:p>
        </w:tc>
      </w:tr>
    </w:tbl>
    <w:p w14:paraId="4EE07DFA">
      <w:pPr>
        <w:spacing w:line="360" w:lineRule="auto"/>
        <w:ind w:firstLine="480" w:firstLineChars="200"/>
        <w:rPr>
          <w:rFonts w:ascii="宋体" w:hAnsi="宋体" w:eastAsia="宋体" w:cs="宋体"/>
          <w:color w:val="auto"/>
          <w:sz w:val="24"/>
          <w:highlight w:val="none"/>
        </w:rPr>
      </w:pPr>
    </w:p>
    <w:p w14:paraId="146BFBBC">
      <w:pPr>
        <w:keepNext/>
        <w:keepLines/>
        <w:widowControl w:val="0"/>
        <w:autoSpaceDE w:val="0"/>
        <w:autoSpaceDN w:val="0"/>
        <w:adjustRightInd w:val="0"/>
        <w:spacing w:before="360" w:after="120"/>
        <w:jc w:val="left"/>
        <w:outlineLvl w:val="2"/>
        <w:rPr>
          <w:rFonts w:ascii="宋体" w:hAnsi="宋体" w:eastAsia="宋体" w:cs="宋体"/>
          <w:b/>
          <w:color w:val="auto"/>
          <w:kern w:val="0"/>
          <w:sz w:val="24"/>
          <w:szCs w:val="20"/>
          <w:highlight w:val="none"/>
          <w:u w:val="none"/>
          <w:lang w:val="en-US" w:eastAsia="zh-CN" w:bidi="ar-SA"/>
        </w:rPr>
      </w:pPr>
      <w:r>
        <w:rPr>
          <w:rFonts w:hint="eastAsia" w:ascii="宋体" w:hAnsi="宋体" w:eastAsia="宋体" w:cs="宋体"/>
          <w:b/>
          <w:color w:val="auto"/>
          <w:kern w:val="0"/>
          <w:sz w:val="24"/>
          <w:szCs w:val="20"/>
          <w:highlight w:val="none"/>
          <w:u w:val="none"/>
          <w:lang w:val="en-US" w:eastAsia="zh-CN" w:bidi="ar-SA"/>
        </w:rPr>
        <w:t>3. 验收标准</w:t>
      </w:r>
    </w:p>
    <w:p w14:paraId="5B075A32">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3.1服务绩效指标</w:t>
      </w:r>
    </w:p>
    <w:p w14:paraId="75DE2806">
      <w:pPr>
        <w:snapToGrid w:val="0"/>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（1）云服务全年整体可用性≥99.9%；</w:t>
      </w:r>
    </w:p>
    <w:p w14:paraId="2B989EC3">
      <w:pPr>
        <w:snapToGrid w:val="0"/>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（2）故障响应率100%；</w:t>
      </w:r>
    </w:p>
    <w:p w14:paraId="5B640ED1">
      <w:pPr>
        <w:snapToGrid w:val="0"/>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（3）应急响应时间≤5分钟（重大事件1分钟内响应）；</w:t>
      </w:r>
    </w:p>
    <w:p w14:paraId="2354F245">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3.2项目验收要求</w:t>
      </w:r>
    </w:p>
    <w:p w14:paraId="4E970675">
      <w:pPr>
        <w:snapToGrid w:val="0"/>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（1）投标人所提供的北京市市级政务云服务应遵循客观、科学、合理的原则，符合《北京市市级政务云管理办法》的相关标准及要求。</w:t>
      </w:r>
    </w:p>
    <w:p w14:paraId="0773D4DB">
      <w:pPr>
        <w:snapToGrid w:val="0"/>
        <w:ind w:firstLine="48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（2）投标人所提供资源应满足采购文件规定的要求。保证合同期内系统安全稳定运行，不因硬件故障导致服务中断4小时及以上。</w:t>
      </w:r>
    </w:p>
    <w:p w14:paraId="73ECC5BD">
      <w:pPr>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1"/>
          <w:highlight w:val="none"/>
        </w:rPr>
        <w:t>（</w:t>
      </w:r>
      <w:r>
        <w:rPr>
          <w:rFonts w:hint="eastAsia" w:ascii="宋体" w:hAnsi="宋体" w:eastAsia="宋体" w:cs="宋体"/>
          <w:color w:val="auto"/>
          <w:sz w:val="24"/>
          <w:highlight w:val="none"/>
        </w:rPr>
        <w:t>3）服务期届满后，投标人按照采购人要求完成所有项目，各项记录、报告等文档齐全，无任何系统遗留问题，并通过由采购人组织的专家验收评审，方可通过验收。</w:t>
      </w:r>
    </w:p>
    <w:p w14:paraId="1B6F4576">
      <w:pPr>
        <w:keepNext/>
        <w:keepLines/>
        <w:widowControl w:val="0"/>
        <w:autoSpaceDE w:val="0"/>
        <w:autoSpaceDN w:val="0"/>
        <w:adjustRightInd w:val="0"/>
        <w:spacing w:before="360" w:after="120"/>
        <w:jc w:val="left"/>
        <w:outlineLvl w:val="2"/>
        <w:rPr>
          <w:rFonts w:ascii="宋体" w:hAnsi="宋体" w:eastAsia="宋体" w:cs="宋体"/>
          <w:b/>
          <w:color w:val="auto"/>
          <w:kern w:val="0"/>
          <w:sz w:val="24"/>
          <w:szCs w:val="20"/>
          <w:highlight w:val="none"/>
          <w:u w:val="none"/>
          <w:lang w:val="en-US" w:eastAsia="zh-CN" w:bidi="ar-SA"/>
        </w:rPr>
      </w:pPr>
      <w:r>
        <w:rPr>
          <w:rFonts w:hint="eastAsia" w:ascii="宋体" w:hAnsi="宋体" w:eastAsia="宋体" w:cs="宋体"/>
          <w:b/>
          <w:color w:val="auto"/>
          <w:kern w:val="0"/>
          <w:sz w:val="24"/>
          <w:szCs w:val="20"/>
          <w:highlight w:val="none"/>
          <w:u w:val="none"/>
          <w:lang w:val="en-US" w:eastAsia="zh-CN" w:bidi="ar-SA"/>
        </w:rPr>
        <w:t>4. 其他要求</w:t>
      </w:r>
    </w:p>
    <w:p w14:paraId="08A986F7">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4.1保密要求</w:t>
      </w:r>
    </w:p>
    <w:p w14:paraId="558CA4B8">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露给第三方。</w:t>
      </w:r>
    </w:p>
    <w:p w14:paraId="7230B51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0A45E092">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（3）投标人保证将保密信息的披露范围严格控制在直接从事该项目工作且因工作需要有必要知悉保密信息的工作人员范围内，对投标人非从事该项目的人员一律严格保密。</w:t>
      </w:r>
    </w:p>
    <w:p w14:paraId="16A4CAA0">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4BF5EB71">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（5）任何时间内，一经采购人提出要求，投标人应按照采购人指示在收到采购人书面通知后 5 日内将含有保密信息的所有文件或其他资料归还采购人，且不得擅自复制留存。</w:t>
      </w:r>
    </w:p>
    <w:p w14:paraId="742ECDD8">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（6）非经采购人特别授权，采购人向投标人提供的任何保密信息并不包括授予投标人该保密信息包含的任何专利权、商标权、著作权、商业秘密或其他类型的知识产权。</w:t>
      </w:r>
    </w:p>
    <w:p w14:paraId="1EAD876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（7）投标人承担上述保密义务的期限为合同有效期间及合同终止后2年，承担上述保密义务的责任主体为投标人（含投标人服务人员）。</w:t>
      </w:r>
    </w:p>
    <w:p w14:paraId="7E912C4E">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33A425A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（9）投标人应当对获悉的政务数据、个人信息等予以保密，不得用于其他用途，不得泄露、出售或者非法向他人提供。</w:t>
      </w:r>
    </w:p>
    <w:p w14:paraId="42B3D993">
      <w:pPr>
        <w:keepNext/>
        <w:keepLines/>
        <w:widowControl w:val="0"/>
        <w:adjustRightInd w:val="0"/>
        <w:spacing w:before="0" w:after="0" w:line="360" w:lineRule="auto"/>
        <w:jc w:val="both"/>
        <w:textAlignment w:val="baseline"/>
        <w:outlineLvl w:val="3"/>
        <w:rPr>
          <w:rFonts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4.2知识产权要求</w:t>
      </w:r>
    </w:p>
    <w:p w14:paraId="3BBEEEB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（1）投标人应确保本项目所提交成果无知识产权纠纷，项目成果的知识产权属于项目委托方。须在响应文件中对此项作出专项承诺，格式自拟。</w:t>
      </w:r>
    </w:p>
    <w:p w14:paraId="1D70A5F9">
      <w:pPr>
        <w:rPr>
          <w:rFonts w:ascii="宋体" w:hAnsi="宋体" w:eastAsia="宋体" w:cs="宋体"/>
          <w:color w:val="auto"/>
          <w:sz w:val="24"/>
          <w:highlight w:val="none"/>
        </w:rPr>
      </w:pPr>
      <w:r>
        <w:rPr>
          <w:rFonts w:hint="eastAsia" w:ascii="宋体" w:hAnsi="宋体" w:eastAsia="宋体" w:cs="宋体"/>
          <w:color w:val="auto"/>
          <w:sz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7FE4964E">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p>
    <w:p w14:paraId="5EBB79E6">
      <w:pPr>
        <w:rPr>
          <w:rFonts w:ascii="Times New Roman" w:hAnsi="Times New Roman" w:eastAsia="宋体" w:cs="Times New Roman"/>
          <w:color w:val="auto"/>
          <w:highlight w:val="none"/>
        </w:rPr>
      </w:pPr>
    </w:p>
    <w:p w14:paraId="500782D3">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p>
    <w:p w14:paraId="2DAE91E2">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p>
    <w:p w14:paraId="25159977">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r>
        <w:rPr>
          <w:rFonts w:hint="eastAsia" w:ascii="宋体" w:hAnsi="Times New Roman" w:eastAsia="宋体" w:cs="Times New Roman"/>
          <w:b/>
          <w:color w:val="auto"/>
          <w:kern w:val="44"/>
          <w:sz w:val="32"/>
          <w:szCs w:val="20"/>
          <w:highlight w:val="none"/>
          <w:lang w:val="en-US" w:eastAsia="zh-CN" w:bidi="ar-SA"/>
        </w:rPr>
        <w:t>政务云服务二包</w:t>
      </w:r>
    </w:p>
    <w:p w14:paraId="4168C7D8">
      <w:pPr>
        <w:widowControl w:val="0"/>
        <w:numPr>
          <w:ilvl w:val="0"/>
          <w:numId w:val="1"/>
        </w:numPr>
        <w:spacing w:line="360" w:lineRule="auto"/>
        <w:ind w:left="500" w:hanging="500" w:firstLineChars="0"/>
        <w:contextualSpacing/>
        <w:jc w:val="both"/>
        <w:rPr>
          <w:rFonts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采购标的</w:t>
      </w:r>
    </w:p>
    <w:p w14:paraId="03A6998C">
      <w:pPr>
        <w:numPr>
          <w:ilvl w:val="0"/>
          <w:numId w:val="2"/>
        </w:num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采购标的</w:t>
      </w:r>
    </w:p>
    <w:tbl>
      <w:tblPr>
        <w:tblStyle w:val="2"/>
        <w:tblW w:w="8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045"/>
        <w:gridCol w:w="1901"/>
      </w:tblGrid>
      <w:tr w14:paraId="397F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4C75076B">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序号</w:t>
            </w:r>
          </w:p>
        </w:tc>
        <w:tc>
          <w:tcPr>
            <w:tcW w:w="2343" w:type="dxa"/>
            <w:vAlign w:val="center"/>
          </w:tcPr>
          <w:p w14:paraId="71217A75">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货物或服务名称</w:t>
            </w:r>
          </w:p>
        </w:tc>
        <w:tc>
          <w:tcPr>
            <w:tcW w:w="1702" w:type="dxa"/>
            <w:vAlign w:val="center"/>
          </w:tcPr>
          <w:p w14:paraId="5BCFD9ED">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数量</w:t>
            </w:r>
          </w:p>
        </w:tc>
        <w:tc>
          <w:tcPr>
            <w:tcW w:w="1045" w:type="dxa"/>
            <w:vAlign w:val="center"/>
          </w:tcPr>
          <w:p w14:paraId="779A45EC">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单位</w:t>
            </w:r>
          </w:p>
        </w:tc>
        <w:tc>
          <w:tcPr>
            <w:tcW w:w="1901" w:type="dxa"/>
            <w:vAlign w:val="center"/>
          </w:tcPr>
          <w:p w14:paraId="0221DAC1">
            <w:pPr>
              <w:widowControl w:val="0"/>
              <w:tabs>
                <w:tab w:val="left" w:pos="0"/>
              </w:tabs>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最高限价（万元）</w:t>
            </w:r>
          </w:p>
        </w:tc>
      </w:tr>
      <w:tr w14:paraId="48EC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08BE0B32">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343" w:type="dxa"/>
            <w:vAlign w:val="center"/>
          </w:tcPr>
          <w:p w14:paraId="088DAE57">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政务云服务二包</w:t>
            </w:r>
          </w:p>
        </w:tc>
        <w:tc>
          <w:tcPr>
            <w:tcW w:w="1702" w:type="dxa"/>
            <w:vAlign w:val="center"/>
          </w:tcPr>
          <w:p w14:paraId="3B0FBED1">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45" w:type="dxa"/>
            <w:vAlign w:val="center"/>
          </w:tcPr>
          <w:p w14:paraId="012DB735">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1901" w:type="dxa"/>
            <w:vAlign w:val="center"/>
          </w:tcPr>
          <w:p w14:paraId="176DB4B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bCs/>
                <w:color w:val="auto"/>
                <w:kern w:val="2"/>
                <w:sz w:val="24"/>
                <w:szCs w:val="21"/>
                <w:highlight w:val="none"/>
                <w:lang w:val="en-US" w:eastAsia="zh-CN" w:bidi="ar-SA"/>
              </w:rPr>
              <w:t>2445.892613</w:t>
            </w:r>
          </w:p>
        </w:tc>
      </w:tr>
    </w:tbl>
    <w:p w14:paraId="4DCB3F4C">
      <w:pPr>
        <w:spacing w:line="360" w:lineRule="auto"/>
        <w:contextualSpacing/>
        <w:rPr>
          <w:rFonts w:ascii="Times New Roman" w:hAnsi="Times New Roman" w:eastAsia="宋体" w:cs="Times New Roman"/>
          <w:color w:val="auto"/>
          <w:highlight w:val="none"/>
        </w:rPr>
      </w:pPr>
    </w:p>
    <w:p w14:paraId="77DEC0D4">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2. 项目背景</w:t>
      </w:r>
    </w:p>
    <w:p w14:paraId="662CE893">
      <w:pPr>
        <w:widowControl/>
        <w:spacing w:before="100" w:beforeAutospacing="1" w:after="100" w:afterAutospacing="1" w:line="360" w:lineRule="auto"/>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北京市大数据和云计算发展行动计划（2016—2020年）》（京政发〔2016〕32号）和《北京市市级政务云管理办法》等相关政策要求，为持续提升公共服务水平和能力，进一步提供安全、稳定的扩展服务，现将北京市免疫规划信息管理系统、北京市传染病智慧化多点监测触发预警平台和北京市卫生防病监测信息资源整合分析平台等十几个业务系统部署至政务云环境运行，并采购云上计算、存储、网络及相关安全服务，完成业务系统基础设施日常运维服务工作和安全运维服务工作（包括日常技术支持、系统日常维护、系统状态运行监控、系统事故处理、安全运维服务相关的工作以及其他运维工作），确保各项业务顺利开展，提升云上系统的安全保障能力。</w:t>
      </w:r>
    </w:p>
    <w:p w14:paraId="573B5E32">
      <w:pPr>
        <w:widowControl w:val="0"/>
        <w:spacing w:line="360" w:lineRule="auto"/>
        <w:ind w:firstLine="482" w:firstLineChars="200"/>
        <w:contextualSpacing/>
        <w:jc w:val="both"/>
        <w:rPr>
          <w:rFonts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二、商务要求</w:t>
      </w:r>
    </w:p>
    <w:p w14:paraId="0351C93C">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1 交付</w:t>
      </w:r>
      <w:bookmarkStart w:id="6" w:name="OLE_LINK4"/>
      <w:r>
        <w:rPr>
          <w:rFonts w:hint="eastAsia" w:ascii="宋体" w:hAnsi="宋体" w:eastAsia="宋体" w:cs="宋体"/>
          <w:bCs/>
          <w:color w:val="auto"/>
          <w:sz w:val="24"/>
          <w:highlight w:val="none"/>
        </w:rPr>
        <w:t>（实施）</w:t>
      </w:r>
      <w:bookmarkEnd w:id="6"/>
      <w:r>
        <w:rPr>
          <w:rFonts w:hint="eastAsia" w:ascii="宋体" w:hAnsi="宋体" w:eastAsia="宋体" w:cs="宋体"/>
          <w:bCs/>
          <w:color w:val="auto"/>
          <w:sz w:val="24"/>
          <w:highlight w:val="none"/>
        </w:rPr>
        <w:t>的时间（期限）和</w:t>
      </w:r>
      <w:bookmarkStart w:id="7" w:name="OLE_LINK3"/>
      <w:r>
        <w:rPr>
          <w:rFonts w:hint="eastAsia" w:ascii="宋体" w:hAnsi="宋体" w:eastAsia="宋体" w:cs="宋体"/>
          <w:bCs/>
          <w:color w:val="auto"/>
          <w:sz w:val="24"/>
          <w:highlight w:val="none"/>
        </w:rPr>
        <w:t>地点（范围）</w:t>
      </w:r>
      <w:bookmarkEnd w:id="7"/>
    </w:p>
    <w:p w14:paraId="7DCB29ED">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交付（实施）的时间（期限）：12个月</w:t>
      </w:r>
    </w:p>
    <w:p w14:paraId="47483852">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交付（实施）的地点（范围）：北京市政务云机房</w:t>
      </w:r>
    </w:p>
    <w:p w14:paraId="640CF7BD">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2.付款条件（进度和方式）</w:t>
      </w:r>
    </w:p>
    <w:p w14:paraId="28CCFFE1">
      <w:pPr>
        <w:numPr>
          <w:ilvl w:val="0"/>
          <w:numId w:val="0"/>
        </w:numPr>
        <w:tabs>
          <w:tab w:val="left" w:pos="1440"/>
        </w:tabs>
        <w:spacing w:line="360" w:lineRule="auto"/>
        <w:ind w:firstLine="400"/>
        <w:rPr>
          <w:rFonts w:ascii="宋体" w:hAnsi="宋体" w:eastAsia="宋体" w:cs="Times New Roman"/>
          <w:color w:val="auto"/>
          <w:szCs w:val="21"/>
          <w:highlight w:val="none"/>
        </w:rPr>
      </w:pPr>
      <w:r>
        <w:rPr>
          <w:rFonts w:hint="eastAsia" w:ascii="宋体" w:hAnsi="宋体" w:eastAsia="宋体" w:cs="宋体"/>
          <w:bCs/>
          <w:color w:val="auto"/>
          <w:sz w:val="24"/>
          <w:highlight w:val="none"/>
        </w:rPr>
        <w:t>采购人待合同签署</w:t>
      </w:r>
      <w:r>
        <w:rPr>
          <w:rFonts w:hint="eastAsia" w:ascii="宋体" w:hAnsi="宋体" w:eastAsia="宋体" w:cs="宋体"/>
          <w:bCs/>
          <w:color w:val="auto"/>
          <w:sz w:val="24"/>
          <w:highlight w:val="none"/>
          <w:lang w:val="en-US" w:eastAsia="zh-CN"/>
        </w:rPr>
        <w:t>生效且财政资金拨付到位后，于</w:t>
      </w:r>
      <w:r>
        <w:rPr>
          <w:rFonts w:hint="eastAsia" w:ascii="宋体" w:hAnsi="宋体" w:eastAsia="宋体" w:cs="宋体"/>
          <w:bCs/>
          <w:color w:val="auto"/>
          <w:sz w:val="24"/>
          <w:highlight w:val="none"/>
        </w:rPr>
        <w:t>20个工作日内支付合同首款（合同额50%）；</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lang w:val="en-US" w:eastAsia="zh-CN"/>
        </w:rPr>
        <w:t>结束</w:t>
      </w:r>
      <w:r>
        <w:rPr>
          <w:rFonts w:hint="eastAsia" w:ascii="宋体" w:hAnsi="宋体" w:eastAsia="宋体" w:cs="宋体"/>
          <w:bCs/>
          <w:color w:val="auto"/>
          <w:sz w:val="24"/>
          <w:highlight w:val="none"/>
        </w:rPr>
        <w:t>且</w:t>
      </w:r>
      <w:r>
        <w:rPr>
          <w:rFonts w:hint="eastAsia" w:ascii="宋体" w:hAnsi="宋体" w:eastAsia="宋体" w:cs="宋体"/>
          <w:bCs/>
          <w:color w:val="auto"/>
          <w:sz w:val="24"/>
          <w:highlight w:val="none"/>
          <w:lang w:val="en-US" w:eastAsia="zh-CN"/>
        </w:rPr>
        <w:t>项目通过验收后，待财政资金拨付到位</w:t>
      </w:r>
      <w:r>
        <w:rPr>
          <w:rFonts w:hint="eastAsia" w:ascii="宋体" w:hAnsi="宋体" w:eastAsia="宋体" w:cs="宋体"/>
          <w:bCs/>
          <w:color w:val="auto"/>
          <w:sz w:val="24"/>
          <w:highlight w:val="none"/>
        </w:rPr>
        <w:t>，采购人支付</w:t>
      </w:r>
      <w:r>
        <w:rPr>
          <w:rFonts w:hint="eastAsia" w:ascii="宋体" w:hAnsi="宋体" w:eastAsia="宋体" w:cs="宋体"/>
          <w:bCs/>
          <w:color w:val="auto"/>
          <w:sz w:val="24"/>
          <w:highlight w:val="none"/>
          <w:lang w:val="en-US" w:eastAsia="zh-CN"/>
        </w:rPr>
        <w:t>合同</w:t>
      </w:r>
      <w:r>
        <w:rPr>
          <w:rFonts w:hint="eastAsia" w:ascii="宋体" w:hAnsi="宋体" w:eastAsia="宋体" w:cs="宋体"/>
          <w:bCs/>
          <w:color w:val="auto"/>
          <w:sz w:val="24"/>
          <w:highlight w:val="none"/>
        </w:rPr>
        <w:t>尾款（合同额50%）。</w:t>
      </w:r>
    </w:p>
    <w:p w14:paraId="37C71759">
      <w:pPr>
        <w:spacing w:line="360" w:lineRule="auto"/>
        <w:ind w:firstLine="480" w:firstLineChars="200"/>
        <w:contextualSpacing/>
        <w:rPr>
          <w:rFonts w:ascii="宋体" w:hAnsi="宋体" w:eastAsia="宋体" w:cs="宋体"/>
          <w:bCs/>
          <w:color w:val="auto"/>
          <w:sz w:val="24"/>
          <w:highlight w:val="none"/>
        </w:rPr>
      </w:pPr>
      <w:bookmarkStart w:id="26" w:name="_GoBack"/>
      <w:bookmarkEnd w:id="26"/>
    </w:p>
    <w:p w14:paraId="56324DC6">
      <w:pPr>
        <w:widowControl w:val="0"/>
        <w:spacing w:line="360" w:lineRule="auto"/>
        <w:ind w:firstLine="482" w:firstLineChars="200"/>
        <w:contextualSpacing/>
        <w:jc w:val="both"/>
        <w:rPr>
          <w:rFonts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三、技术要求</w:t>
      </w:r>
    </w:p>
    <w:p w14:paraId="59B05443">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基本要求</w:t>
      </w:r>
    </w:p>
    <w:p w14:paraId="5191436B">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1.1 采购标的需实现的功能或者目标</w:t>
      </w:r>
    </w:p>
    <w:p w14:paraId="106A3738">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本项目的总体目标是通过租用政务云平台基础服务，对入云业务系统的运行环境进行持续优化，提供可靠、稳定、安全的政务云基础服务，具体包括：</w:t>
      </w:r>
    </w:p>
    <w:p w14:paraId="0800467F">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提供政务云基础服务，包括</w:t>
      </w:r>
      <w:r>
        <w:rPr>
          <w:rFonts w:hint="eastAsia" w:ascii="宋体" w:hAnsi="宋体" w:eastAsia="宋体" w:cs="宋体"/>
          <w:color w:val="auto"/>
          <w:sz w:val="24"/>
          <w:highlight w:val="none"/>
        </w:rPr>
        <w:t>计算服务、存储服务和网络服务等基础环境日常维护、应急响应等工作。</w:t>
      </w:r>
    </w:p>
    <w:p w14:paraId="139B7A14">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提供7*24运维保障，做好重大活动和节假日应急值守保障服务，确保各系统在政务云环境中可靠稳定运行。</w:t>
      </w:r>
    </w:p>
    <w:p w14:paraId="0E660A5B">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服务期内，投标人须完成信息系统的日常运维和安全运维服务工作（包括：云平台服务、日常技术支持、系统日常维护、服务规范、安全及保密要求、响应的及时性），确保入云系统安全、稳定地运行。</w:t>
      </w:r>
    </w:p>
    <w:p w14:paraId="37727893">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 需执行的国家相关标准、行业标准、地方标准或者其他标准、规范</w:t>
      </w:r>
    </w:p>
    <w:p w14:paraId="0C8F19BB">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1.2.1国家及北京市有关政策</w:t>
      </w:r>
    </w:p>
    <w:p w14:paraId="6EED9D95">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《关键信息基础设施安全保护条例》（中华人民共和国国务院令第745号）</w:t>
      </w:r>
    </w:p>
    <w:p w14:paraId="2B3BFB64">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《国家政务信息化项目建设管理办法》（国办发〔2019〕57号）</w:t>
      </w:r>
    </w:p>
    <w:p w14:paraId="05E14C16">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《政府采购需求管理办法》（财库〔2021〕22号）</w:t>
      </w:r>
    </w:p>
    <w:p w14:paraId="49F2EF16">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《关于促进政府采购公平竞争优化营商环境的通知》（财库〔2019〕38号）</w:t>
      </w:r>
    </w:p>
    <w:p w14:paraId="416FFAC0">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《关于进一步提高政府采购透明度和采购效率相关事项的通知》（财办库〔2023〕243号）</w:t>
      </w:r>
    </w:p>
    <w:p w14:paraId="4A54A23D">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《工业和信息化部信息通信管理局关于督促互联网网络接入服务企业依法持证经营的通知》（工信管函〔2018〕84号）</w:t>
      </w:r>
    </w:p>
    <w:p w14:paraId="36EBA534">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《云计算服务安全评估办法》（国家互联网信息办公室、国家发展和改革委员会、工业和信息化部、财政部公告2019年第2号）</w:t>
      </w:r>
    </w:p>
    <w:p w14:paraId="53AB1A10">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《关于加强党政部门云计算服务网络安全管理的意见》（中网办发文〔2014〕14号）</w:t>
      </w:r>
    </w:p>
    <w:p w14:paraId="71542453">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《基于云计算的电子政务公共平台顶层设计指南》</w:t>
      </w:r>
    </w:p>
    <w:p w14:paraId="10D9BF83">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《北京市财政局关于印发〈北京市政府采购负面清单〉的通知》（京财采购〔2020〕1345号）</w:t>
      </w:r>
    </w:p>
    <w:p w14:paraId="3543DF42">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《北京市财政局关于落实好政府采购支持中小企业发展的通知（京财采购〔2022〕1143号）</w:t>
      </w:r>
    </w:p>
    <w:p w14:paraId="1900DDE7">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《关于印发〈关于推进我市政务信息系统整合共享的实施方案〉的通知》（京经信委发〔2017〕89号）</w:t>
      </w:r>
    </w:p>
    <w:p w14:paraId="0FC04E92">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《北京市人民政府关于印发〈北京市政务信息资源管理办法（试行）〉的通知》（京政发〔2017〕37号）</w:t>
      </w:r>
    </w:p>
    <w:p w14:paraId="207F7A95">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《关于印发〈北京市市级政务云管理办法〉的通知》（京经信函〔2019〕150号）</w:t>
      </w:r>
    </w:p>
    <w:p w14:paraId="33E39102">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《北京市政务网络和数据安全管理办法》（京经信发〔2023〕57号）</w:t>
      </w:r>
    </w:p>
    <w:p w14:paraId="2CB95A46">
      <w:pPr>
        <w:numPr>
          <w:ilvl w:val="0"/>
          <w:numId w:val="4"/>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《北京市“十四五”时期智慧城市建设控制性规划要求（试行）》（京大数据发〔2021〕2号）</w:t>
      </w:r>
    </w:p>
    <w:p w14:paraId="73408FF1">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1.2.2国家相关标准</w:t>
      </w:r>
    </w:p>
    <w:p w14:paraId="4E842071">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《国家电子政务外网安全接入平台技术规范》</w:t>
      </w:r>
    </w:p>
    <w:p w14:paraId="1A55C896">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《信息技术—云计算—云服务质量评价指标》（GB/T 37738-2019）</w:t>
      </w:r>
    </w:p>
    <w:p w14:paraId="3B502F1D">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《信息技术—云计算—云服务计量指标》（GB/T 37735-2019）</w:t>
      </w:r>
    </w:p>
    <w:p w14:paraId="10854653">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《信息技术—云计算—云服务采购指南》（GB/T 37734-2019）</w:t>
      </w:r>
    </w:p>
    <w:p w14:paraId="06EE6356">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《信息技术—云计算—云存储系统服务接口功能》（GB/T 37732-2019）</w:t>
      </w:r>
    </w:p>
    <w:p w14:paraId="0BC7AE8D">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《信息技术—云计算—云资源监控通用要求》（GB/T 37736-2019）</w:t>
      </w:r>
    </w:p>
    <w:p w14:paraId="2D29AC07">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《信息技术—云计算—云平台间应用和数据迁移指南》（GB/T 37740-2019）</w:t>
      </w:r>
    </w:p>
    <w:p w14:paraId="08671B18">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《信息技术—云计算—云服务交付要求》（GB/T 37741-2019）</w:t>
      </w:r>
    </w:p>
    <w:p w14:paraId="173D237C">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《信息系统灾难恢复规范》（GB/T 20988-2007）</w:t>
      </w:r>
    </w:p>
    <w:p w14:paraId="0E8164B8">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云计算服务安全能力要求》（GB/T 31168-2014）</w:t>
      </w:r>
    </w:p>
    <w:p w14:paraId="3A67E1B3">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网络安全等级保护定级指南》（GB/T 22240-2020）</w:t>
      </w:r>
    </w:p>
    <w:p w14:paraId="7915068A">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网络安全等级保护基本要求》（GB/T 22239-2019）</w:t>
      </w:r>
    </w:p>
    <w:p w14:paraId="178FF737">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网络安全等级保护测评要求》（GB/T 28448-2019）</w:t>
      </w:r>
    </w:p>
    <w:p w14:paraId="0457A323">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信息系统密码应用基本要求》（GB/T39786-2021）</w:t>
      </w:r>
    </w:p>
    <w:p w14:paraId="0D2E6D2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信息安全风险评估方法》（GB/T 20984-2022）</w:t>
      </w:r>
    </w:p>
    <w:p w14:paraId="75C4236A">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云计算服务安全指南》（GB/T 31167-2014）</w:t>
      </w:r>
    </w:p>
    <w:p w14:paraId="451CAC0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政府网站云计算服务安全指南》（GB/T 38249—2019）</w:t>
      </w:r>
    </w:p>
    <w:p w14:paraId="3B94EC37">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云计算安全参考架构》（GB/T 35279—2017）</w:t>
      </w:r>
    </w:p>
    <w:p w14:paraId="492EF383">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云计算服务安全能力评估方法》GB/T 34942—2017</w:t>
      </w:r>
    </w:p>
    <w:p w14:paraId="0D982B4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云计算服务运行监管框架》（GB/T 37972—2019）</w:t>
      </w:r>
    </w:p>
    <w:p w14:paraId="5B49416A">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 云资源监控指标体系》（GB/T 37938-2019）</w:t>
      </w:r>
    </w:p>
    <w:p w14:paraId="5EA5F366">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《电子信息系统机房设计规范》（GB50174-2017）</w:t>
      </w:r>
    </w:p>
    <w:p w14:paraId="6CBABA7D">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《数据中心电信基础设施标准》（ANSI/TIA-942）</w:t>
      </w:r>
    </w:p>
    <w:p w14:paraId="1CDEACB9">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《综合布线系统工程设计规范》（GB 50311—2016）</w:t>
      </w:r>
    </w:p>
    <w:p w14:paraId="12FE0940">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《云计算关键领域安全指南V4.0》</w:t>
      </w:r>
    </w:p>
    <w:p w14:paraId="06B6E62E">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1.2.3北京市相关标准</w:t>
      </w:r>
    </w:p>
    <w:p w14:paraId="08D112C6">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《政务云平台建设技术要求》（DB11/T 2169-2023）</w:t>
      </w:r>
    </w:p>
    <w:p w14:paraId="7B3F8C05">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IaaS云计算平台分册》</w:t>
      </w:r>
    </w:p>
    <w:p w14:paraId="0EA62D55">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IaaS云计算平台安全监管接口分册》</w:t>
      </w:r>
    </w:p>
    <w:p w14:paraId="1FA18195">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信息安全服务接口分册》</w:t>
      </w:r>
    </w:p>
    <w:p w14:paraId="04190FFB">
      <w:pPr>
        <w:tabs>
          <w:tab w:val="left" w:pos="1060"/>
        </w:tabs>
        <w:snapToGrid w:val="0"/>
        <w:spacing w:line="360" w:lineRule="auto"/>
        <w:ind w:left="420" w:leftChars="200" w:firstLine="241" w:firstLineChars="100"/>
        <w:jc w:val="left"/>
        <w:rPr>
          <w:rFonts w:ascii="宋体" w:hAnsi="宋体" w:eastAsia="宋体" w:cs="宋体"/>
          <w:bCs/>
          <w:color w:val="auto"/>
          <w:sz w:val="24"/>
          <w:highlight w:val="none"/>
        </w:rPr>
      </w:pPr>
      <w:r>
        <w:rPr>
          <w:rFonts w:hint="eastAsia" w:ascii="宋体" w:hAnsi="宋体" w:eastAsia="宋体" w:cs="宋体"/>
          <w:b/>
          <w:bCs/>
          <w:color w:val="auto"/>
          <w:sz w:val="24"/>
          <w:highlight w:val="none"/>
        </w:rPr>
        <w:t>注：服务标准涉及的国家标准及北京市标准有更新的，执行最新标准。</w:t>
      </w:r>
    </w:p>
    <w:p w14:paraId="775293AB">
      <w:pPr>
        <w:numPr>
          <w:ilvl w:val="0"/>
          <w:numId w:val="2"/>
        </w:num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服务内容及要求/货物技术要求</w:t>
      </w:r>
    </w:p>
    <w:tbl>
      <w:tblPr>
        <w:tblStyle w:val="2"/>
        <w:tblW w:w="8517" w:type="dxa"/>
        <w:tblInd w:w="0" w:type="dxa"/>
        <w:tblLayout w:type="fixed"/>
        <w:tblCellMar>
          <w:top w:w="0" w:type="dxa"/>
          <w:left w:w="108" w:type="dxa"/>
          <w:bottom w:w="0" w:type="dxa"/>
          <w:right w:w="108" w:type="dxa"/>
        </w:tblCellMar>
      </w:tblPr>
      <w:tblGrid>
        <w:gridCol w:w="427"/>
        <w:gridCol w:w="894"/>
        <w:gridCol w:w="1117"/>
        <w:gridCol w:w="3666"/>
        <w:gridCol w:w="816"/>
        <w:gridCol w:w="882"/>
        <w:gridCol w:w="715"/>
      </w:tblGrid>
      <w:tr w14:paraId="0319CAB6">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2B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2D8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服务类别</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AFC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服务子类</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10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服务项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1CF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计价单位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125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87FB">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期限（月）</w:t>
            </w:r>
          </w:p>
        </w:tc>
      </w:tr>
      <w:tr w14:paraId="276595C9">
        <w:tblPrEx>
          <w:tblCellMar>
            <w:top w:w="0" w:type="dxa"/>
            <w:left w:w="108" w:type="dxa"/>
            <w:bottom w:w="0" w:type="dxa"/>
            <w:right w:w="108" w:type="dxa"/>
          </w:tblCellMar>
        </w:tblPrEx>
        <w:trPr>
          <w:trHeight w:val="79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875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6CD9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计算服务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899AD">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平台云主机服务（包含</w:t>
            </w:r>
            <w:r>
              <w:rPr>
                <w:rFonts w:hint="default" w:ascii="Times New Roman" w:hAnsi="Times New Roman" w:eastAsia="宋体" w:cs="Times New Roman"/>
                <w:color w:val="auto"/>
                <w:sz w:val="20"/>
                <w:szCs w:val="20"/>
                <w:highlight w:val="none"/>
                <w:u w:val="none"/>
                <w:lang w:bidi="ar"/>
              </w:rPr>
              <w:t>X86</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ARM</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C86</w:t>
            </w:r>
            <w:r>
              <w:rPr>
                <w:rFonts w:hint="default" w:ascii="宋体" w:hAnsi="宋体" w:eastAsia="宋体" w:cs="宋体"/>
                <w:color w:val="auto"/>
                <w:sz w:val="20"/>
                <w:szCs w:val="20"/>
                <w:highlight w:val="none"/>
                <w:u w:val="none"/>
                <w:lang w:bidi="ar"/>
              </w:rPr>
              <w:t>）</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57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vCPU（vCPU ARM架构主频不低于2.4GHz，C86和x86主频不低于2.2GHz，平均虚拟化率，即物理CPU/虚拟CPU≥1/4，虚拟CPU利用率不低于物理CPU的25%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F2B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8FA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6849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66C">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6B040D0B">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08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ADCF">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77DD">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69B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内存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0E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1GB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36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22855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659">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23721D67">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23D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2175">
            <w:pPr>
              <w:jc w:val="center"/>
              <w:rPr>
                <w:rFonts w:ascii="宋体" w:hAnsi="宋体" w:eastAsia="宋体" w:cs="宋体"/>
                <w:color w:val="auto"/>
                <w:sz w:val="20"/>
                <w:szCs w:val="20"/>
                <w:highlight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3C3EB">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物理服务器租用服务（包含</w:t>
            </w:r>
            <w:r>
              <w:rPr>
                <w:rFonts w:hint="default" w:ascii="Times New Roman" w:hAnsi="Times New Roman" w:eastAsia="宋体" w:cs="Times New Roman"/>
                <w:color w:val="auto"/>
                <w:sz w:val="20"/>
                <w:szCs w:val="20"/>
                <w:highlight w:val="none"/>
                <w:u w:val="none"/>
                <w:lang w:bidi="ar"/>
              </w:rPr>
              <w:t>X86</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ARM</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C86</w:t>
            </w:r>
            <w:r>
              <w:rPr>
                <w:rFonts w:hint="default" w:ascii="宋体" w:hAnsi="宋体" w:eastAsia="宋体" w:cs="宋体"/>
                <w:color w:val="auto"/>
                <w:sz w:val="20"/>
                <w:szCs w:val="20"/>
                <w:highlight w:val="none"/>
                <w:u w:val="none"/>
                <w:lang w:bidi="ar"/>
              </w:rPr>
              <w:t>）</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E2E3">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配置</w:t>
            </w:r>
            <w:r>
              <w:rPr>
                <w:rFonts w:hint="default" w:ascii="Times New Roman" w:hAnsi="Times New Roman" w:eastAsia="宋体" w:cs="Times New Roman"/>
                <w:color w:val="auto"/>
                <w:sz w:val="20"/>
                <w:szCs w:val="20"/>
                <w:highlight w:val="none"/>
                <w:u w:val="none"/>
                <w:lang w:bidi="ar"/>
              </w:rPr>
              <w:t>1</w:t>
            </w:r>
            <w:r>
              <w:rPr>
                <w:rFonts w:hint="default" w:ascii="宋体" w:hAnsi="宋体" w:eastAsia="宋体" w:cs="宋体"/>
                <w:color w:val="auto"/>
                <w:sz w:val="20"/>
                <w:szCs w:val="20"/>
                <w:highlight w:val="none"/>
                <w:u w:val="none"/>
                <w:lang w:bidi="ar"/>
              </w:rPr>
              <w:t>：双路每</w:t>
            </w:r>
            <w:r>
              <w:rPr>
                <w:rFonts w:hint="default" w:ascii="Times New Roman" w:hAnsi="Times New Roman" w:eastAsia="宋体" w:cs="Times New Roman"/>
                <w:color w:val="auto"/>
                <w:sz w:val="20"/>
                <w:szCs w:val="20"/>
                <w:highlight w:val="none"/>
                <w:u w:val="none"/>
                <w:lang w:bidi="ar"/>
              </w:rPr>
              <w:t>CPU</w:t>
            </w:r>
            <w:r>
              <w:rPr>
                <w:rFonts w:hint="default" w:ascii="宋体" w:hAnsi="宋体" w:eastAsia="宋体" w:cs="宋体"/>
                <w:color w:val="auto"/>
                <w:sz w:val="20"/>
                <w:szCs w:val="20"/>
                <w:highlight w:val="none"/>
                <w:u w:val="none"/>
                <w:lang w:bidi="ar"/>
              </w:rPr>
              <w:t>核数≥</w:t>
            </w:r>
            <w:r>
              <w:rPr>
                <w:rFonts w:hint="default" w:ascii="Times New Roman" w:hAnsi="Times New Roman" w:eastAsia="宋体" w:cs="Times New Roman"/>
                <w:color w:val="auto"/>
                <w:sz w:val="20"/>
                <w:szCs w:val="20"/>
                <w:highlight w:val="none"/>
                <w:u w:val="none"/>
                <w:lang w:bidi="ar"/>
              </w:rPr>
              <w:t>32</w:t>
            </w:r>
            <w:r>
              <w:rPr>
                <w:rFonts w:hint="default" w:ascii="宋体" w:hAnsi="宋体" w:eastAsia="宋体" w:cs="宋体"/>
                <w:color w:val="auto"/>
                <w:sz w:val="20"/>
                <w:szCs w:val="20"/>
                <w:highlight w:val="none"/>
                <w:u w:val="none"/>
                <w:lang w:bidi="ar"/>
              </w:rPr>
              <w:t>核，主频≥</w:t>
            </w:r>
            <w:r>
              <w:rPr>
                <w:rFonts w:hint="default" w:ascii="Times New Roman" w:hAnsi="Times New Roman" w:eastAsia="宋体" w:cs="Times New Roman"/>
                <w:color w:val="auto"/>
                <w:sz w:val="20"/>
                <w:szCs w:val="20"/>
                <w:highlight w:val="none"/>
                <w:u w:val="none"/>
                <w:lang w:bidi="ar"/>
              </w:rPr>
              <w:t>2.0GHz</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128G</w:t>
            </w:r>
            <w:r>
              <w:rPr>
                <w:rFonts w:hint="default" w:ascii="宋体" w:hAnsi="宋体" w:eastAsia="宋体" w:cs="宋体"/>
                <w:color w:val="auto"/>
                <w:sz w:val="20"/>
                <w:szCs w:val="20"/>
                <w:highlight w:val="none"/>
                <w:u w:val="none"/>
                <w:lang w:bidi="ar"/>
              </w:rPr>
              <w:t>内存，</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块</w:t>
            </w:r>
            <w:r>
              <w:rPr>
                <w:rFonts w:hint="default" w:ascii="Times New Roman" w:hAnsi="Times New Roman" w:eastAsia="宋体" w:cs="Times New Roman"/>
                <w:color w:val="auto"/>
                <w:sz w:val="20"/>
                <w:szCs w:val="20"/>
                <w:highlight w:val="none"/>
                <w:u w:val="none"/>
                <w:lang w:bidi="ar"/>
              </w:rPr>
              <w:t>600GSAS</w:t>
            </w:r>
            <w:r>
              <w:rPr>
                <w:rFonts w:hint="default" w:ascii="宋体" w:hAnsi="宋体" w:eastAsia="宋体" w:cs="宋体"/>
                <w:color w:val="auto"/>
                <w:sz w:val="20"/>
                <w:szCs w:val="20"/>
                <w:highlight w:val="none"/>
                <w:u w:val="none"/>
                <w:lang w:bidi="ar"/>
              </w:rPr>
              <w:t>硕盘，</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个</w:t>
            </w:r>
            <w:r>
              <w:rPr>
                <w:rFonts w:hint="default" w:ascii="Times New Roman" w:hAnsi="Times New Roman" w:eastAsia="宋体" w:cs="Times New Roman"/>
                <w:color w:val="auto"/>
                <w:sz w:val="20"/>
                <w:szCs w:val="20"/>
                <w:highlight w:val="none"/>
                <w:u w:val="none"/>
                <w:lang w:bidi="ar"/>
              </w:rPr>
              <w:t>HBA</w:t>
            </w:r>
            <w:r>
              <w:rPr>
                <w:rFonts w:hint="default" w:ascii="宋体" w:hAnsi="宋体" w:eastAsia="宋体" w:cs="宋体"/>
                <w:color w:val="auto"/>
                <w:sz w:val="20"/>
                <w:szCs w:val="20"/>
                <w:highlight w:val="none"/>
                <w:u w:val="none"/>
                <w:lang w:bidi="ar"/>
              </w:rPr>
              <w:t>卡，</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个万兆端口</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A929">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1B7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30DB">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5E998A60">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2F3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0C20">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8C85">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44AF">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配置</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：四路每</w:t>
            </w:r>
            <w:r>
              <w:rPr>
                <w:rFonts w:hint="default" w:ascii="Times New Roman" w:hAnsi="Times New Roman" w:eastAsia="宋体" w:cs="Times New Roman"/>
                <w:color w:val="auto"/>
                <w:sz w:val="20"/>
                <w:szCs w:val="20"/>
                <w:highlight w:val="none"/>
                <w:u w:val="none"/>
                <w:lang w:bidi="ar"/>
              </w:rPr>
              <w:t>CPU</w:t>
            </w:r>
            <w:r>
              <w:rPr>
                <w:rFonts w:hint="default" w:ascii="宋体" w:hAnsi="宋体" w:eastAsia="宋体" w:cs="宋体"/>
                <w:color w:val="auto"/>
                <w:sz w:val="20"/>
                <w:szCs w:val="20"/>
                <w:highlight w:val="none"/>
                <w:u w:val="none"/>
                <w:lang w:bidi="ar"/>
              </w:rPr>
              <w:t>核数≥</w:t>
            </w:r>
            <w:r>
              <w:rPr>
                <w:rFonts w:hint="default" w:ascii="Times New Roman" w:hAnsi="Times New Roman" w:eastAsia="宋体" w:cs="Times New Roman"/>
                <w:color w:val="auto"/>
                <w:sz w:val="20"/>
                <w:szCs w:val="20"/>
                <w:highlight w:val="none"/>
                <w:u w:val="none"/>
                <w:lang w:bidi="ar"/>
              </w:rPr>
              <w:t>48</w:t>
            </w:r>
            <w:r>
              <w:rPr>
                <w:rFonts w:hint="default" w:ascii="宋体" w:hAnsi="宋体" w:eastAsia="宋体" w:cs="宋体"/>
                <w:color w:val="auto"/>
                <w:sz w:val="20"/>
                <w:szCs w:val="20"/>
                <w:highlight w:val="none"/>
                <w:u w:val="none"/>
                <w:lang w:bidi="ar"/>
              </w:rPr>
              <w:t>核，主频≥</w:t>
            </w:r>
            <w:r>
              <w:rPr>
                <w:rFonts w:hint="default" w:ascii="Times New Roman" w:hAnsi="Times New Roman" w:eastAsia="宋体" w:cs="Times New Roman"/>
                <w:color w:val="auto"/>
                <w:sz w:val="20"/>
                <w:szCs w:val="20"/>
                <w:highlight w:val="none"/>
                <w:u w:val="none"/>
                <w:lang w:bidi="ar"/>
              </w:rPr>
              <w:t>2.6Ghz</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256G</w:t>
            </w:r>
            <w:r>
              <w:rPr>
                <w:rFonts w:hint="default" w:ascii="宋体" w:hAnsi="宋体" w:eastAsia="宋体" w:cs="宋体"/>
                <w:color w:val="auto"/>
                <w:sz w:val="20"/>
                <w:szCs w:val="20"/>
                <w:highlight w:val="none"/>
                <w:u w:val="none"/>
                <w:lang w:bidi="ar"/>
              </w:rPr>
              <w:t>内存，</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块</w:t>
            </w:r>
            <w:r>
              <w:rPr>
                <w:rFonts w:hint="default" w:ascii="Times New Roman" w:hAnsi="Times New Roman" w:eastAsia="宋体" w:cs="Times New Roman"/>
                <w:color w:val="auto"/>
                <w:sz w:val="20"/>
                <w:szCs w:val="20"/>
                <w:highlight w:val="none"/>
                <w:u w:val="none"/>
                <w:lang w:bidi="ar"/>
              </w:rPr>
              <w:t>600SAS</w:t>
            </w:r>
            <w:r>
              <w:rPr>
                <w:rFonts w:hint="default" w:ascii="宋体" w:hAnsi="宋体" w:eastAsia="宋体" w:cs="宋体"/>
                <w:color w:val="auto"/>
                <w:sz w:val="20"/>
                <w:szCs w:val="20"/>
                <w:highlight w:val="none"/>
                <w:u w:val="none"/>
                <w:lang w:bidi="ar"/>
              </w:rPr>
              <w:t>硬盘，</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个</w:t>
            </w:r>
            <w:r>
              <w:rPr>
                <w:rFonts w:hint="default" w:ascii="Times New Roman" w:hAnsi="Times New Roman" w:eastAsia="宋体" w:cs="Times New Roman"/>
                <w:color w:val="auto"/>
                <w:sz w:val="20"/>
                <w:szCs w:val="20"/>
                <w:highlight w:val="none"/>
                <w:u w:val="none"/>
                <w:lang w:bidi="ar"/>
              </w:rPr>
              <w:t>HBA</w:t>
            </w:r>
            <w:r>
              <w:rPr>
                <w:rFonts w:hint="default" w:ascii="宋体" w:hAnsi="宋体" w:eastAsia="宋体" w:cs="宋体"/>
                <w:color w:val="auto"/>
                <w:sz w:val="20"/>
                <w:szCs w:val="20"/>
                <w:highlight w:val="none"/>
                <w:u w:val="none"/>
                <w:lang w:bidi="ar"/>
              </w:rPr>
              <w:t>卡，</w:t>
            </w:r>
            <w:r>
              <w:rPr>
                <w:rFonts w:hint="default" w:ascii="Times New Roman" w:hAnsi="Times New Roman" w:eastAsia="宋体" w:cs="Times New Roman"/>
                <w:color w:val="auto"/>
                <w:sz w:val="20"/>
                <w:szCs w:val="20"/>
                <w:highlight w:val="none"/>
                <w:u w:val="none"/>
                <w:lang w:bidi="ar"/>
              </w:rPr>
              <w:t>2</w:t>
            </w:r>
            <w:r>
              <w:rPr>
                <w:rFonts w:hint="default" w:ascii="宋体" w:hAnsi="宋体" w:eastAsia="宋体" w:cs="宋体"/>
                <w:color w:val="auto"/>
                <w:sz w:val="20"/>
                <w:szCs w:val="20"/>
                <w:highlight w:val="none"/>
                <w:u w:val="none"/>
                <w:lang w:bidi="ar"/>
              </w:rPr>
              <w:t>个万兆端口</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A11E">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813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631">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4CB51023">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98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BB5D">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79E9">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62D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配置3:8路10核2.0Ghz，256G内存 ，2块600 SAS硬盘，2个HBA卡，2个万兆端口</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CB0">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18E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590">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129B07CC">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B1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30BD">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EDA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物理服务器增配服务（包含X86、ARM、C86）</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4874">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内存</w:t>
            </w:r>
            <w:r>
              <w:rPr>
                <w:rFonts w:hint="default" w:ascii="Times New Roman" w:hAnsi="Times New Roman" w:eastAsia="宋体" w:cs="Times New Roman"/>
                <w:color w:val="auto"/>
                <w:sz w:val="20"/>
                <w:szCs w:val="20"/>
                <w:highlight w:val="none"/>
                <w:u w:val="none"/>
                <w:lang w:bidi="ar"/>
              </w:rPr>
              <w:t>-32GB</w:t>
            </w:r>
            <w:r>
              <w:rPr>
                <w:rFonts w:hint="default" w:ascii="宋体" w:hAnsi="宋体" w:eastAsia="宋体" w:cs="宋体"/>
                <w:color w:val="auto"/>
                <w:sz w:val="20"/>
                <w:szCs w:val="20"/>
                <w:highlight w:val="none"/>
                <w:u w:val="none"/>
                <w:lang w:bidi="ar"/>
              </w:rPr>
              <w:t>内存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E202">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B8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961">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62AAA571">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B4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AE21B">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存储服务（兼容</w:t>
            </w:r>
            <w:r>
              <w:rPr>
                <w:rFonts w:hint="default" w:ascii="Times New Roman" w:hAnsi="Times New Roman" w:eastAsia="宋体" w:cs="Times New Roman"/>
                <w:color w:val="auto"/>
                <w:sz w:val="20"/>
                <w:szCs w:val="20"/>
                <w:highlight w:val="none"/>
                <w:u w:val="none"/>
                <w:lang w:bidi="ar"/>
              </w:rPr>
              <w:t>X86</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ARM</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C86</w:t>
            </w:r>
            <w:r>
              <w:rPr>
                <w:rFonts w:hint="default" w:ascii="宋体" w:hAnsi="宋体" w:eastAsia="宋体" w:cs="宋体"/>
                <w:color w:val="auto"/>
                <w:sz w:val="20"/>
                <w:szCs w:val="20"/>
                <w:highlight w:val="none"/>
                <w:u w:val="none"/>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A5F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普通性能存储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0A58">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普通存储（单盘技术指标：单盘</w:t>
            </w:r>
            <w:r>
              <w:rPr>
                <w:rFonts w:hint="default" w:ascii="Times New Roman" w:hAnsi="Times New Roman" w:eastAsia="宋体" w:cs="Times New Roman"/>
                <w:color w:val="auto"/>
                <w:sz w:val="20"/>
                <w:szCs w:val="20"/>
                <w:highlight w:val="none"/>
                <w:u w:val="none"/>
                <w:lang w:bidi="ar"/>
              </w:rPr>
              <w:t>IOPS2000-5000</w:t>
            </w:r>
            <w:r>
              <w:rPr>
                <w:rFonts w:hint="default" w:ascii="宋体" w:hAnsi="宋体" w:eastAsia="宋体" w:cs="宋体"/>
                <w:color w:val="auto"/>
                <w:sz w:val="20"/>
                <w:szCs w:val="20"/>
                <w:highlight w:val="none"/>
                <w:u w:val="none"/>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880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1GB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72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177136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AC3">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38E2B1C7">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454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B21C">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8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高性能存储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3BE">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高性能存储（单盘技术指标：单盘</w:t>
            </w:r>
            <w:r>
              <w:rPr>
                <w:rFonts w:hint="default" w:ascii="Times New Roman" w:hAnsi="Times New Roman" w:eastAsia="宋体" w:cs="Times New Roman"/>
                <w:color w:val="auto"/>
                <w:sz w:val="20"/>
                <w:szCs w:val="20"/>
                <w:highlight w:val="none"/>
                <w:u w:val="none"/>
                <w:lang w:bidi="ar"/>
              </w:rPr>
              <w:t>IOPS10000-25000</w:t>
            </w:r>
            <w:r>
              <w:rPr>
                <w:rFonts w:hint="default" w:ascii="宋体" w:hAnsi="宋体" w:eastAsia="宋体" w:cs="宋体"/>
                <w:color w:val="auto"/>
                <w:sz w:val="20"/>
                <w:szCs w:val="20"/>
                <w:highlight w:val="none"/>
                <w:u w:val="none"/>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A6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1GB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1BB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380463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D5BA">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F1C59C5">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BA1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D8A3">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7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本地备份服务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AA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本地备份服务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BA1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1GB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B36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111458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AAB">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795EB7B">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D54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A7E8">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D64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异地备份服务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7FB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异地备份服务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287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1GB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440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43254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3189">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153D6EE">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F3A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7276">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网络服务（兼容</w:t>
            </w:r>
            <w:r>
              <w:rPr>
                <w:rFonts w:hint="default" w:ascii="Times New Roman" w:hAnsi="Times New Roman" w:eastAsia="宋体" w:cs="Times New Roman"/>
                <w:color w:val="auto"/>
                <w:sz w:val="20"/>
                <w:szCs w:val="20"/>
                <w:highlight w:val="none"/>
                <w:u w:val="none"/>
                <w:lang w:bidi="ar"/>
              </w:rPr>
              <w:t>X86</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ARM</w:t>
            </w:r>
            <w:r>
              <w:rPr>
                <w:rFonts w:hint="default" w:ascii="宋体" w:hAnsi="宋体" w:eastAsia="宋体" w:cs="宋体"/>
                <w:color w:val="auto"/>
                <w:sz w:val="20"/>
                <w:szCs w:val="20"/>
                <w:highlight w:val="none"/>
                <w:u w:val="none"/>
                <w:lang w:bidi="ar"/>
              </w:rPr>
              <w:t>、</w:t>
            </w:r>
            <w:r>
              <w:rPr>
                <w:rFonts w:hint="default" w:ascii="Times New Roman" w:hAnsi="Times New Roman" w:eastAsia="宋体" w:cs="Times New Roman"/>
                <w:color w:val="auto"/>
                <w:sz w:val="20"/>
                <w:szCs w:val="20"/>
                <w:highlight w:val="none"/>
                <w:u w:val="none"/>
                <w:lang w:bidi="ar"/>
              </w:rPr>
              <w:t>C86</w:t>
            </w:r>
            <w:r>
              <w:rPr>
                <w:rFonts w:hint="default" w:ascii="宋体" w:hAnsi="宋体" w:eastAsia="宋体" w:cs="宋体"/>
                <w:color w:val="auto"/>
                <w:sz w:val="20"/>
                <w:szCs w:val="20"/>
                <w:highlight w:val="none"/>
                <w:u w:val="none"/>
                <w:lang w:bidi="ar"/>
              </w:rPr>
              <w:t>）</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03F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互联网链路服务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090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互联网链路带宽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23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1Mb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451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A655">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49FAD9E4">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D92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6E56">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C299">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0BC5">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互联网</w:t>
            </w:r>
            <w:r>
              <w:rPr>
                <w:rFonts w:hint="default" w:ascii="Times New Roman" w:hAnsi="Times New Roman" w:eastAsia="宋体" w:cs="Times New Roman"/>
                <w:color w:val="auto"/>
                <w:sz w:val="20"/>
                <w:szCs w:val="20"/>
                <w:highlight w:val="none"/>
                <w:u w:val="none"/>
                <w:lang w:bidi="ar"/>
              </w:rPr>
              <w:t>IP</w:t>
            </w:r>
            <w:r>
              <w:rPr>
                <w:rFonts w:hint="default" w:ascii="宋体" w:hAnsi="宋体" w:eastAsia="宋体" w:cs="宋体"/>
                <w:color w:val="auto"/>
                <w:sz w:val="20"/>
                <w:szCs w:val="20"/>
                <w:highlight w:val="none"/>
                <w:u w:val="none"/>
                <w:lang w:bidi="ar"/>
              </w:rPr>
              <w:t>地址租用服务、并提供备案服务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A1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1IP</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F6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06D3">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48D9D351">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A1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5EC7">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778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主机负载均衡服务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BDD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主机负载均衡服务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37F">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1IP（内网）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D1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A3CA">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3C1B8FCD">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11C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0DBE">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74B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远程接入服务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846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远程接入服务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F445">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1账号</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A9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5301">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3513DB5D">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12F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3E04">
            <w:pPr>
              <w:jc w:val="center"/>
              <w:rPr>
                <w:rFonts w:ascii="宋体" w:hAnsi="宋体" w:eastAsia="宋体" w:cs="宋体"/>
                <w:color w:val="auto"/>
                <w:sz w:val="20"/>
                <w:szCs w:val="20"/>
                <w:highlight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0CBF4">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VPN服务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9237">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SSL VPN接入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8E0">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99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1046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9BC6">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68FD1DB7">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B4A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FEC7">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4509">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457">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IPSec VPN接入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7BC">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1Mb带宽</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28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8E8E">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7855EE60">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ED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4260">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7C71">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Web应用防火墙（</w:t>
            </w:r>
            <w:r>
              <w:rPr>
                <w:rFonts w:hint="default" w:ascii="Times New Roman" w:hAnsi="Times New Roman" w:eastAsia="宋体" w:cs="Times New Roman"/>
                <w:color w:val="auto"/>
                <w:sz w:val="20"/>
                <w:szCs w:val="20"/>
                <w:highlight w:val="none"/>
                <w:u w:val="none"/>
                <w:lang w:bidi="ar"/>
              </w:rPr>
              <w:t>WAF</w:t>
            </w:r>
            <w:r>
              <w:rPr>
                <w:rFonts w:hint="default" w:ascii="宋体" w:hAnsi="宋体" w:eastAsia="宋体" w:cs="宋体"/>
                <w:color w:val="auto"/>
                <w:sz w:val="20"/>
                <w:szCs w:val="20"/>
                <w:highlight w:val="none"/>
                <w:u w:val="none"/>
                <w:lang w:bidi="ar"/>
              </w:rPr>
              <w:t>）</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915C">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针对网站及</w:t>
            </w:r>
            <w:r>
              <w:rPr>
                <w:rFonts w:hint="default" w:ascii="Times New Roman" w:hAnsi="Times New Roman" w:eastAsia="宋体" w:cs="Times New Roman"/>
                <w:color w:val="auto"/>
                <w:sz w:val="20"/>
                <w:szCs w:val="20"/>
                <w:highlight w:val="none"/>
                <w:u w:val="none"/>
                <w:lang w:bidi="ar"/>
              </w:rPr>
              <w:t>Web</w:t>
            </w:r>
            <w:r>
              <w:rPr>
                <w:rFonts w:hint="default" w:ascii="宋体" w:hAnsi="宋体" w:eastAsia="宋体" w:cs="宋体"/>
                <w:color w:val="auto"/>
                <w:sz w:val="20"/>
                <w:szCs w:val="20"/>
                <w:highlight w:val="none"/>
                <w:u w:val="none"/>
                <w:lang w:bidi="ar"/>
              </w:rPr>
              <w:t>应用系统提供应用层安全防护，支持各类</w:t>
            </w:r>
            <w:r>
              <w:rPr>
                <w:rFonts w:hint="default" w:ascii="Times New Roman" w:hAnsi="Times New Roman" w:eastAsia="宋体" w:cs="Times New Roman"/>
                <w:color w:val="auto"/>
                <w:sz w:val="20"/>
                <w:szCs w:val="20"/>
                <w:highlight w:val="none"/>
                <w:u w:val="none"/>
                <w:lang w:bidi="ar"/>
              </w:rPr>
              <w:t>SQL</w:t>
            </w:r>
            <w:r>
              <w:rPr>
                <w:rFonts w:hint="default" w:ascii="宋体" w:hAnsi="宋体" w:eastAsia="宋体" w:cs="宋体"/>
                <w:color w:val="auto"/>
                <w:sz w:val="20"/>
                <w:szCs w:val="20"/>
                <w:highlight w:val="none"/>
                <w:u w:val="none"/>
                <w:lang w:bidi="ar"/>
              </w:rPr>
              <w:t>注入、</w:t>
            </w:r>
            <w:r>
              <w:rPr>
                <w:rFonts w:hint="default" w:ascii="Times New Roman" w:hAnsi="Times New Roman" w:eastAsia="宋体" w:cs="Times New Roman"/>
                <w:color w:val="auto"/>
                <w:sz w:val="20"/>
                <w:szCs w:val="20"/>
                <w:highlight w:val="none"/>
                <w:u w:val="none"/>
                <w:lang w:bidi="ar"/>
              </w:rPr>
              <w:t>XSS</w:t>
            </w:r>
            <w:r>
              <w:rPr>
                <w:rFonts w:hint="default" w:ascii="宋体" w:hAnsi="宋体" w:eastAsia="宋体" w:cs="宋体"/>
                <w:color w:val="auto"/>
                <w:sz w:val="20"/>
                <w:szCs w:val="20"/>
                <w:highlight w:val="none"/>
                <w:u w:val="none"/>
                <w:lang w:bidi="ar"/>
              </w:rPr>
              <w:t>攻击、网页木马、</w:t>
            </w:r>
            <w:r>
              <w:rPr>
                <w:rFonts w:hint="default" w:ascii="Times New Roman" w:hAnsi="Times New Roman" w:eastAsia="宋体" w:cs="Times New Roman"/>
                <w:color w:val="auto"/>
                <w:sz w:val="20"/>
                <w:szCs w:val="20"/>
                <w:highlight w:val="none"/>
                <w:u w:val="none"/>
                <w:lang w:bidi="ar"/>
              </w:rPr>
              <w:t>WEBSHELL</w:t>
            </w:r>
            <w:r>
              <w:rPr>
                <w:rFonts w:hint="default" w:ascii="宋体" w:hAnsi="宋体" w:eastAsia="宋体" w:cs="宋体"/>
                <w:color w:val="auto"/>
                <w:sz w:val="20"/>
                <w:szCs w:val="20"/>
                <w:highlight w:val="none"/>
                <w:u w:val="none"/>
                <w:lang w:bidi="ar"/>
              </w:rPr>
              <w:t>等</w:t>
            </w:r>
            <w:r>
              <w:rPr>
                <w:rFonts w:hint="default" w:ascii="Times New Roman" w:hAnsi="Times New Roman" w:eastAsia="宋体" w:cs="Times New Roman"/>
                <w:color w:val="auto"/>
                <w:sz w:val="20"/>
                <w:szCs w:val="20"/>
                <w:highlight w:val="none"/>
                <w:u w:val="none"/>
                <w:lang w:bidi="ar"/>
              </w:rPr>
              <w:t>Web</w:t>
            </w:r>
            <w:r>
              <w:rPr>
                <w:rFonts w:hint="default" w:ascii="宋体" w:hAnsi="宋体" w:eastAsia="宋体" w:cs="宋体"/>
                <w:color w:val="auto"/>
                <w:sz w:val="20"/>
                <w:szCs w:val="20"/>
                <w:highlight w:val="none"/>
                <w:u w:val="none"/>
                <w:lang w:bidi="ar"/>
              </w:rPr>
              <w:t>威胁防护（</w:t>
            </w:r>
            <w:r>
              <w:rPr>
                <w:rFonts w:hint="default" w:ascii="Times New Roman" w:hAnsi="Times New Roman" w:eastAsia="宋体" w:cs="Times New Roman"/>
                <w:color w:val="auto"/>
                <w:sz w:val="20"/>
                <w:szCs w:val="20"/>
                <w:highlight w:val="none"/>
                <w:u w:val="none"/>
                <w:lang w:bidi="ar"/>
              </w:rPr>
              <w:t>200Mbps</w:t>
            </w:r>
            <w:r>
              <w:rPr>
                <w:rFonts w:hint="default" w:ascii="宋体" w:hAnsi="宋体" w:eastAsia="宋体" w:cs="宋体"/>
                <w:color w:val="auto"/>
                <w:sz w:val="20"/>
                <w:szCs w:val="20"/>
                <w:highlight w:val="none"/>
                <w:u w:val="none"/>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D547">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17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140C">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1DC1882B">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BB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A613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基础软件支撑服务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8A6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商用操作系统套餐</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8B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商用操作系统套餐：商用操作系统租用、安装及维护。</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021">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A6A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B046">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5C221909">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64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A900">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1F72">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674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国产Linux套餐：国产Linux操作系统服务租用、安装及维护。</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6F1">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9F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4696">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8BFECD8">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99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76D6">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E92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Linux操作系统套餐</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F5C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由云服务商提供安装、排错，技术支持服务。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FCA">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5B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4E7">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63D8BDD">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D2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F2E3">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CA8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开源应用中间件套餐</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722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由云服务商提供安装，排错，技术支持服务。（1套包括1种开源中间件软件）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9654">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6B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3B7">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F5CA71E">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B5B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3A5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安全服务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92C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云端抗DDOS服务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8D6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根据流量提供云端抗DDOS服务，避免业务遭受拒绝服务攻击（攻击流量在20G以内）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4F8">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4EF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0A2D">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3CD16484">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730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E670">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AE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云端APT防护服务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62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对未知攻击威胁进行检测和防护，发现隐蔽威胁、木马后门等异常威胁。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FCFA">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B2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46E0">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51BA3A7F">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2C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D471">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8E8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主机杀毒服务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AD1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对云主机进行定期的病毒查杀，杀毒软件集中控制，对网络性能无影响。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BD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A94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455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E9F">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515A1381">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14F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C793">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89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主机防护</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AB2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主机防护：提供符合等保三级要求的主机权限管理及安全防护。</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098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F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1CA3">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4D9F51B5">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84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538AD">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12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主机安全加固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80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针对漏扫或等级测评结果对操作系统进行安全加固，用以解决等级测评结果中所显示的漏洞。</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2CC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6E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4D7">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761C4975">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B5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B266">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88E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网页防篡改服务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636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提供网页防篡改服务。通过防篡改软件对用户页面进行实时防护，减少用户页面被恶意篡改的可能性。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1AB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1站点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A5F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E59">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07695433">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D62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5020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安全检测监测、审计服务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22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主机漏洞扫描</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C9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为用户提供针对主机层面的安全扫描服务，并反馈相关结果。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CD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B80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548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86D">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74158C01">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CD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3D74">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136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主机日志审计服务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F6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针对操作系统进行日志收集，用于了解主机安全情况及资源使用情况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FA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24B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8D2">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5AFAAB86">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26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9063">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032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数据库审计服务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BF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支持Oracle、SQL-Server、DB2、MySQL等数据库审计。（1套为1个数据库实例）。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AA9B">
            <w:pPr>
              <w:widowControl/>
              <w:jc w:val="center"/>
              <w:textAlignment w:val="center"/>
              <w:rPr>
                <w:rFonts w:ascii="宋体" w:hAnsi="宋体" w:eastAsia="宋体" w:cs="宋体"/>
                <w:color w:val="auto"/>
                <w:sz w:val="20"/>
                <w:szCs w:val="20"/>
                <w:highlight w:val="none"/>
              </w:rPr>
            </w:pPr>
            <w:r>
              <w:rPr>
                <w:rFonts w:hint="default" w:ascii="宋体" w:hAnsi="宋体" w:eastAsia="宋体" w:cs="宋体"/>
                <w:color w:val="auto"/>
                <w:sz w:val="20"/>
                <w:szCs w:val="20"/>
                <w:highlight w:val="none"/>
                <w:u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6D6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C98">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73B541F0">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A2E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7056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其他服务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7B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CDN加速</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C58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提供内容加速及视频加速服务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24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23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D80A">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3CA991E2">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B2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6A8A">
            <w:pPr>
              <w:jc w:val="center"/>
              <w:rPr>
                <w:rFonts w:ascii="宋体" w:hAnsi="宋体" w:eastAsia="宋体" w:cs="宋体"/>
                <w:color w:val="auto"/>
                <w:sz w:val="20"/>
                <w:szCs w:val="20"/>
                <w:highlight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E3C9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基础软件支撑服务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55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商用应用中间件套餐（Weblogic11G）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6D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750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032F">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4C3451D8">
        <w:tblPrEx>
          <w:tblCellMar>
            <w:top w:w="0" w:type="dxa"/>
            <w:left w:w="108" w:type="dxa"/>
            <w:bottom w:w="0" w:type="dxa"/>
            <w:right w:w="108" w:type="dxa"/>
          </w:tblCellMar>
        </w:tblPrEx>
        <w:trPr>
          <w:trHeight w:val="532"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0F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7AAA">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7509">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CB4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应用服务器 东方通 Tong Web 租用服务（提供正版安装介质及授权），12套应用服务器所需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1D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3B6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8E7E">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62E5DBB8">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AF5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02A1">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D94F">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50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商用数据库租用服务（Oracle不含rac）</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23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B7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897">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260D1C96">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16D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BC28">
            <w:pPr>
              <w:jc w:val="center"/>
              <w:rPr>
                <w:rFonts w:ascii="宋体" w:hAnsi="宋体" w:eastAsia="宋体" w:cs="宋体"/>
                <w:color w:val="auto"/>
                <w:sz w:val="20"/>
                <w:szCs w:val="20"/>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D1A3">
            <w:pPr>
              <w:jc w:val="center"/>
              <w:rPr>
                <w:rFonts w:ascii="宋体" w:hAnsi="宋体" w:eastAsia="宋体" w:cs="宋体"/>
                <w:color w:val="auto"/>
                <w:sz w:val="20"/>
                <w:szCs w:val="20"/>
                <w:highlight w:val="none"/>
              </w:rPr>
            </w:pP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18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商用数据库租用服务（Oracle含rac）</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80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0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8D01">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6A30F61B">
        <w:tblPrEx>
          <w:tblCellMar>
            <w:top w:w="0" w:type="dxa"/>
            <w:left w:w="108" w:type="dxa"/>
            <w:bottom w:w="0" w:type="dxa"/>
            <w:right w:w="108" w:type="dxa"/>
          </w:tblCellMar>
        </w:tblPrEx>
        <w:trPr>
          <w:trHeight w:val="1861"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D0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04D8">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C1F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数字签名验签服务器设备租用服务</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39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外提供基于数字证书的身份认证服务、数据签名与签名验证服务、加解密服务和数字信封服务；支持Windows、Linux、AIX等主流应用平台；支持Java、COM、C等应用集成接口；支持RSA、SM2等签名算法。硬件规格：2U；2个100/1000M自适应网口；双电源。主要性能参数：RSA签名4500次/秒，SM2签名4000次/秒。（分别部署在互联网区和政务外网区，互联网区为互联网接入的学校查验证业务和接种单位用户提供CA数字证书认证；政务外网区为经政务外网接入的接种单位终端提供CA数字证书认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C5F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702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F834">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r w14:paraId="18CAE24C">
        <w:tblPrEx>
          <w:tblCellMar>
            <w:top w:w="0" w:type="dxa"/>
            <w:left w:w="108" w:type="dxa"/>
            <w:bottom w:w="0" w:type="dxa"/>
            <w:right w:w="108" w:type="dxa"/>
          </w:tblCellMar>
        </w:tblPrEx>
        <w:trPr>
          <w:trHeight w:val="28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6F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F8F1">
            <w:pPr>
              <w:jc w:val="center"/>
              <w:rPr>
                <w:rFonts w:ascii="宋体" w:hAnsi="宋体" w:eastAsia="宋体" w:cs="宋体"/>
                <w:color w:val="auto"/>
                <w:sz w:val="20"/>
                <w:szCs w:val="20"/>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20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安全软件及数字证书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92A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BJCA认证服务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949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62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DBDC">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r>
    </w:tbl>
    <w:p w14:paraId="30EE95A1">
      <w:pPr>
        <w:widowControl/>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2.1采购标的需满足的服务标准、期限、效率等要求</w:t>
      </w:r>
    </w:p>
    <w:p w14:paraId="14F1025C">
      <w:pPr>
        <w:widowControl/>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2.1.1计算服务</w:t>
      </w:r>
    </w:p>
    <w:p w14:paraId="15BD90C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2.1.1.1 服务内容</w:t>
      </w:r>
    </w:p>
    <w:p w14:paraId="15469D32">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主机服务，包括：云主机和x86物理服务器服务，按需求对CPU及内存进行动态调整，实现合理的计算资源配置。在提供政务云主机的服务过程中做好与采购人和对应项目应用开发厂商的协调沟通工作。</w:t>
      </w:r>
    </w:p>
    <w:p w14:paraId="786FD69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2.1.1.2服务标准</w:t>
      </w:r>
    </w:p>
    <w:p w14:paraId="3DC8C962">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云主机应实现物理机的全部功能，如具有CPU、存储、内存、网卡等资源，可以指定单独的IP地址等；</w:t>
      </w:r>
    </w:p>
    <w:p w14:paraId="097319CB">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支持存储裸设备映射（RDM），可以将存储设备上的LUN直接映射给虚拟机使用，并且支持SCSI指令使用透传模式或者非透传模式；</w:t>
      </w:r>
    </w:p>
    <w:p w14:paraId="23101A1B">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应满足云主机之间、CPU之间隔离保护要求；</w:t>
      </w:r>
    </w:p>
    <w:p w14:paraId="508A3382">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支持资源的动态调整，根据业务的负载情况实现业务系统虚拟机的动态扩展和回收；</w:t>
      </w:r>
    </w:p>
    <w:p w14:paraId="3EA639F0">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支持异构虚拟化能力，如KVM多种虚拟化技术；</w:t>
      </w:r>
    </w:p>
    <w:p w14:paraId="1E540170">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云主机出现故障时，支持自动重启或者迁移，保障业务连续性；</w:t>
      </w:r>
    </w:p>
    <w:p w14:paraId="6FB36091">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支持虚拟机热迁移，可在不同代CPU资源池中进行虚拟机热迁移；</w:t>
      </w:r>
    </w:p>
    <w:p w14:paraId="4D61BD6F">
      <w:pPr>
        <w:widowControl w:val="0"/>
        <w:numPr>
          <w:ilvl w:val="255"/>
          <w:numId w:val="0"/>
        </w:numPr>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云计算资源性能要求包括如下：</w:t>
      </w:r>
    </w:p>
    <w:p w14:paraId="5EC5D46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2.1.1.2.1 物理服务器 CPU 主频应不低于2.40GHz；</w:t>
      </w:r>
    </w:p>
    <w:p w14:paraId="27F2F2C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2.1.1.2.2 主机内存硬件配置不低于DDR4-2400MHz；</w:t>
      </w:r>
    </w:p>
    <w:p w14:paraId="7591900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2.1.1.2.3 可用性不低于99.99%。</w:t>
      </w:r>
    </w:p>
    <w:p w14:paraId="7ADA5ACC">
      <w:pPr>
        <w:widowControl/>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2.1.2存储服务</w:t>
      </w:r>
    </w:p>
    <w:p w14:paraId="440C24D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2.1.2.1 服务内容</w:t>
      </w:r>
    </w:p>
    <w:p w14:paraId="1E4CBA82">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提供存储服务，包括：普通性能存储、高性能存储、本地备份服务和异地备份服务，实现合理的存储资源配置。在提供政务云存储的服务过程中需做好采购人和对应项目应用开发厂商的协调沟通工作。</w:t>
      </w:r>
    </w:p>
    <w:p w14:paraId="68C0B79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2.1.2.2 服务标准</w:t>
      </w:r>
    </w:p>
    <w:p w14:paraId="1ECBB45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2.1.2.2.</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支持结构化数据、半结构化数据和非结构化数据等多种数据类型存储；</w:t>
      </w:r>
    </w:p>
    <w:p w14:paraId="700D3592">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支持块存储、对象存储、文件存储等多种存储方法，满足数据备份、视频存储等不同应用场景使用要求；</w:t>
      </w:r>
    </w:p>
    <w:p w14:paraId="03850DB4">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支持存储资源扩展能力，例如：PB级扩展；</w:t>
      </w:r>
    </w:p>
    <w:p w14:paraId="135CDB98">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2.1.2.2.</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支持磁盘容错技术，如磁盘故障后节点的自动平衡和重构、硬盘故障检测和处理、集群节点出现单盘故障时不影响业务运行等；</w:t>
      </w:r>
    </w:p>
    <w:p w14:paraId="3AF3B6D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2.1.2.2.5 存储资源性能要求包括如下：</w:t>
      </w:r>
    </w:p>
    <w:p w14:paraId="795EB1C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（1）吞吐量：高性能存储系统的读写带宽应不低于1000MB/s,IOPS不低于10000；普通性能存储系统的读写带宽应不低于200MB/s，IOPS不低于1000。</w:t>
      </w:r>
    </w:p>
    <w:p w14:paraId="4D9B210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（2）支持高可靠性，可靠性不低于99.9999%；</w:t>
      </w:r>
    </w:p>
    <w:p w14:paraId="35112B28">
      <w:pPr>
        <w:widowControl w:val="0"/>
        <w:autoSpaceDE w:val="0"/>
        <w:autoSpaceDN w:val="0"/>
        <w:adjustRightInd w:val="0"/>
        <w:snapToGrid w:val="0"/>
        <w:spacing w:line="360" w:lineRule="auto"/>
        <w:ind w:firstLine="480"/>
        <w:jc w:val="left"/>
        <w:rPr>
          <w:rFonts w:ascii="宋体" w:hAnsi="宋体" w:eastAsia="宋体" w:cs="宋体"/>
          <w:color w:val="auto"/>
          <w:kern w:val="2"/>
          <w:sz w:val="24"/>
          <w:szCs w:val="24"/>
          <w:highlight w:val="none"/>
          <w:lang w:val="en-US" w:eastAsia="zh-CN" w:bidi="ar-SA"/>
        </w:rPr>
      </w:pPr>
      <w:bookmarkStart w:id="8" w:name="_Toc23192"/>
      <w:r>
        <w:rPr>
          <w:rFonts w:hint="eastAsia" w:ascii="宋体" w:hAnsi="宋体" w:eastAsia="宋体" w:cs="宋体"/>
          <w:color w:val="auto"/>
          <w:kern w:val="2"/>
          <w:sz w:val="24"/>
          <w:szCs w:val="24"/>
          <w:highlight w:val="none"/>
          <w:lang w:val="en-US" w:eastAsia="zh-CN" w:bidi="ar-SA"/>
        </w:rPr>
        <w:t>2.1.3网络服务</w:t>
      </w:r>
      <w:bookmarkEnd w:id="8"/>
    </w:p>
    <w:p w14:paraId="113483B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2.1.3.1服务内容</w:t>
      </w:r>
    </w:p>
    <w:p w14:paraId="5DE63C7F">
      <w:pPr>
        <w:widowControl w:val="0"/>
        <w:autoSpaceDE/>
        <w:autoSpaceDN/>
        <w:adjustRightInd w:val="0"/>
        <w:snapToGrid w:val="0"/>
        <w:spacing w:line="360" w:lineRule="auto"/>
        <w:ind w:left="419"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提供互联网链路带宽服务、互联网IP地址租用服务，并提供相应的网络域名备案服务，配合应用开发厂商提供网络策略配置服务。</w:t>
      </w:r>
    </w:p>
    <w:p w14:paraId="656D96B2">
      <w:pPr>
        <w:widowControl w:val="0"/>
        <w:autoSpaceDE/>
        <w:autoSpaceDN/>
        <w:adjustRightInd w:val="0"/>
        <w:snapToGrid w:val="0"/>
        <w:spacing w:line="360" w:lineRule="auto"/>
        <w:ind w:left="419"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主机负载均衡服务，通过云管理平台实现每租户按需自动分配负载均衡服务的能力。</w:t>
      </w:r>
    </w:p>
    <w:p w14:paraId="66C792B8">
      <w:pPr>
        <w:widowControl w:val="0"/>
        <w:autoSpaceDE/>
        <w:autoSpaceDN/>
        <w:adjustRightInd w:val="0"/>
        <w:snapToGrid w:val="0"/>
        <w:spacing w:line="360" w:lineRule="auto"/>
        <w:ind w:left="419"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远程接入服务，提供互联网远程接入服务，每个账号结合身份验证接入堡垒机维护应用系统。</w:t>
      </w:r>
    </w:p>
    <w:p w14:paraId="283ED9BC">
      <w:pPr>
        <w:widowControl w:val="0"/>
        <w:autoSpaceDE/>
        <w:autoSpaceDN/>
        <w:adjustRightInd w:val="0"/>
        <w:snapToGrid w:val="0"/>
        <w:spacing w:line="360" w:lineRule="auto"/>
        <w:ind w:left="419"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VPN服务，用户通过SSL VPN和IPSec VPN访问业务系统。</w:t>
      </w:r>
    </w:p>
    <w:p w14:paraId="0A53D4F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2.1.3.2服务标准</w:t>
      </w:r>
    </w:p>
    <w:p w14:paraId="2A68959B">
      <w:pPr>
        <w:widowControl w:val="0"/>
        <w:autoSpaceDE w:val="0"/>
        <w:autoSpaceDN w:val="0"/>
        <w:adjustRightInd w:val="0"/>
        <w:snapToGrid w:val="0"/>
        <w:spacing w:line="360" w:lineRule="auto"/>
        <w:ind w:firstLine="48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网络系统提供稳定的数据传输能力，一般要求如下：</w:t>
      </w:r>
    </w:p>
    <w:p w14:paraId="7730B753">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具备多运营商网络接入服务的能力；</w:t>
      </w:r>
    </w:p>
    <w:p w14:paraId="2FEC7A43">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数据中心组网架构设计可采用大二层网络架构，支持云主机无障碍动态迁移；</w:t>
      </w:r>
    </w:p>
    <w:p w14:paraId="4F2D6E92">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应采用集群部署网络控制，以保障升级时业务不中断；</w:t>
      </w:r>
    </w:p>
    <w:p w14:paraId="79103D2D">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应实现自动化动态网络资源调配和隔离，支持与互联网、电子政务外网及行业部门专网的连接；</w:t>
      </w:r>
    </w:p>
    <w:p w14:paraId="4E3036BD">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可支持IPv6地址分配，满足业务系统IPv6要求；</w:t>
      </w:r>
    </w:p>
    <w:p w14:paraId="40B597E5">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具备边界防火墙和VPC防火墙隔离能力，分别针对不同的流量进行安全策略防护与配置；</w:t>
      </w:r>
    </w:p>
    <w:p w14:paraId="0373D4D7">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具备高可用虚拟IP能力，在集群或主备场景下，云主机可绑定高可用虚拟IP，达到高可用访问效果；</w:t>
      </w:r>
    </w:p>
    <w:p w14:paraId="6F002FEE">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采用双活网络架构，降低单点故障带来的稳定风险；为入云系统划分安全区域，合理制定访问规则。</w:t>
      </w:r>
    </w:p>
    <w:p w14:paraId="15B7A515">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网络系统性能要求包括如下：</w:t>
      </w:r>
    </w:p>
    <w:p w14:paraId="30820275">
      <w:pPr>
        <w:spacing w:line="360" w:lineRule="auto"/>
        <w:ind w:left="42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1）云内骨干线路带宽不低于10Gb/s；</w:t>
      </w:r>
    </w:p>
    <w:p w14:paraId="17AA152C">
      <w:pPr>
        <w:spacing w:line="360" w:lineRule="auto"/>
        <w:ind w:left="42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2）服务器业务带宽不低于1Gb/s；</w:t>
      </w:r>
    </w:p>
    <w:p w14:paraId="36E48314">
      <w:pPr>
        <w:spacing w:line="360" w:lineRule="auto"/>
        <w:ind w:left="42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3）平均可用性不低于99.9%。</w:t>
      </w:r>
    </w:p>
    <w:p w14:paraId="1E20FB5E">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远程接入服务支持基于IP/IP段、用户/用户组、资产/资产组、协议、危险级别等组合策略进行访问控制，对于不合法的行为予以阻断；可基于运维账号的登录时间和资产登录时间进行访问控制；可基于运维操作命令进行访问控制；可基于主机、用户、IP地址控制审计日志的访问权限；</w:t>
      </w:r>
    </w:p>
    <w:p w14:paraId="08CD4EBE">
      <w:pPr>
        <w:widowControl w:val="0"/>
        <w:autoSpaceDE/>
        <w:autoSpaceDN/>
        <w:adjustRightInd w:val="0"/>
        <w:snapToGrid w:val="0"/>
        <w:spacing w:line="360" w:lineRule="auto"/>
        <w:ind w:left="420"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14:paraId="719CAA88">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2.1.4基础软件支撑服务</w:t>
      </w:r>
    </w:p>
    <w:p w14:paraId="0102FAC3">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2.1.4</w:t>
      </w:r>
      <w:r>
        <w:rPr>
          <w:rFonts w:hint="eastAsia" w:ascii="宋体" w:hAnsi="宋体" w:eastAsia="宋体" w:cs="宋体"/>
          <w:color w:val="auto"/>
          <w:sz w:val="24"/>
          <w:highlight w:val="none"/>
        </w:rPr>
        <w:t>.1 服务内容</w:t>
      </w:r>
    </w:p>
    <w:p w14:paraId="363BD0E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按照采购人的有关管理规定及具体需求，提供商用操作系统、商用应用中间件、商用数据库等软件支撑服务。</w:t>
      </w:r>
    </w:p>
    <w:p w14:paraId="07F41D30">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2.1.4</w:t>
      </w:r>
      <w:r>
        <w:rPr>
          <w:rFonts w:hint="eastAsia" w:ascii="宋体" w:hAnsi="宋体" w:eastAsia="宋体" w:cs="宋体"/>
          <w:color w:val="auto"/>
          <w:sz w:val="24"/>
          <w:highlight w:val="none"/>
        </w:rPr>
        <w:t>.2 服务标准</w:t>
      </w:r>
    </w:p>
    <w:p w14:paraId="6CB8D87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w:t>
      </w:r>
      <w:r>
        <w:rPr>
          <w:rFonts w:hint="eastAsia" w:ascii="宋体" w:hAnsi="宋体" w:eastAsia="宋体" w:cs="宋体"/>
          <w:b/>
          <w:bCs/>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商用操作系统套餐</w:t>
      </w:r>
    </w:p>
    <w:p w14:paraId="105A6E68">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提供主流商业操作系统服务，支持主流商用操作系统的各种主流版本，并提供操作系统的安装部署和各种故障处理。</w:t>
      </w:r>
    </w:p>
    <w:p w14:paraId="3C506819">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w:t>
      </w:r>
      <w:r>
        <w:rPr>
          <w:rFonts w:hint="eastAsia" w:ascii="宋体" w:hAnsi="宋体" w:eastAsia="宋体" w:cs="宋体"/>
          <w:b/>
          <w:bCs/>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开源操作系统套餐</w:t>
      </w:r>
    </w:p>
    <w:p w14:paraId="07913669">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提供开源操作系统安装和维护服务。</w:t>
      </w:r>
    </w:p>
    <w:p w14:paraId="62A9650E">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w:t>
      </w:r>
      <w:r>
        <w:rPr>
          <w:rFonts w:hint="eastAsia" w:ascii="宋体" w:hAnsi="宋体" w:eastAsia="宋体" w:cs="宋体"/>
          <w:b/>
          <w:bCs/>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商用应用中间件套餐</w:t>
      </w:r>
    </w:p>
    <w:p w14:paraId="7785CEF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提供主流商用中间件服务，并提供中间件的安装部署以及各种故障处理和日常维护。</w:t>
      </w:r>
    </w:p>
    <w:p w14:paraId="0AC37F4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w:t>
      </w:r>
      <w:r>
        <w:rPr>
          <w:rFonts w:hint="eastAsia" w:ascii="宋体" w:hAnsi="宋体" w:eastAsia="宋体" w:cs="宋体"/>
          <w:b/>
          <w:bCs/>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开源中间件套餐</w:t>
      </w:r>
    </w:p>
    <w:p w14:paraId="4EEF9F5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提供开源中间件，并提供中间件的安装部署服务。</w:t>
      </w:r>
    </w:p>
    <w:p w14:paraId="14D0D7CE">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w:t>
      </w:r>
      <w:r>
        <w:rPr>
          <w:rFonts w:hint="eastAsia" w:ascii="宋体" w:hAnsi="宋体" w:eastAsia="宋体" w:cs="宋体"/>
          <w:b/>
          <w:bCs/>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商用数据库套餐</w:t>
      </w:r>
    </w:p>
    <w:p w14:paraId="61B40E4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提供商用数据库服务，提供数据库的安装部署和各种故障处理及日常维护。</w:t>
      </w:r>
    </w:p>
    <w:p w14:paraId="12438565">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bookmarkStart w:id="9" w:name="_Toc24264"/>
      <w:r>
        <w:rPr>
          <w:rFonts w:hint="eastAsia" w:ascii="宋体" w:hAnsi="宋体" w:eastAsia="宋体" w:cs="宋体"/>
          <w:color w:val="auto"/>
          <w:kern w:val="2"/>
          <w:sz w:val="24"/>
          <w:szCs w:val="24"/>
          <w:highlight w:val="none"/>
          <w:lang w:val="en-US" w:eastAsia="zh-CN" w:bidi="ar-SA"/>
        </w:rPr>
        <w:t>2.1.5安全服务</w:t>
      </w:r>
      <w:bookmarkEnd w:id="9"/>
    </w:p>
    <w:p w14:paraId="0AEB25A5">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2.1.5.</w:t>
      </w:r>
      <w:r>
        <w:rPr>
          <w:rFonts w:hint="eastAsia" w:ascii="宋体" w:hAnsi="宋体" w:eastAsia="宋体" w:cs="宋体"/>
          <w:color w:val="auto"/>
          <w:sz w:val="24"/>
          <w:highlight w:val="none"/>
        </w:rPr>
        <w:t>1 服务内容</w:t>
      </w:r>
    </w:p>
    <w:p w14:paraId="1814FF6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安全是政务云的红线，应按照网络安全等级保护要求建设安全技术防护体系和安全管理体系，加强数据的安全管理，防止重要或敏感数据泄露或被滥用，并建立应急处置体系。安全服务主要内容包含：</w:t>
      </w:r>
    </w:p>
    <w:p w14:paraId="5679C15B">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.1 WAF防护服务</w:t>
      </w:r>
    </w:p>
    <w:p w14:paraId="014A2CC2">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按照采购人的具体需求，提供互联网WAF防护服务，保证用户对已知安全隐患进行防护，实时升级漏洞补丁，配置防护策略，起到前端防护作用。</w:t>
      </w:r>
    </w:p>
    <w:p w14:paraId="5AA740DE">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云端抗DDOS服务</w:t>
      </w:r>
    </w:p>
    <w:p w14:paraId="2AB2A1B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按照采购人的具体需求，根据流量提供云端抗DDOS服务，为云内应用系统抵御大流量分布式拒绝服务攻击。在提供服务的过程中需做好与采购人和对应项目的应用开发厂商的协调沟通工作。</w:t>
      </w:r>
    </w:p>
    <w:p w14:paraId="35C781A5">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云端APT防护服务</w:t>
      </w:r>
    </w:p>
    <w:p w14:paraId="79FAACA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按照采购人的具体需求，提供云端APT防护服务，对未知攻击威胁进行检测和防护，发现隐蔽威胁、木马后门等异常威胁。</w:t>
      </w:r>
    </w:p>
    <w:p w14:paraId="106E899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主机杀毒服务</w:t>
      </w:r>
    </w:p>
    <w:p w14:paraId="1717B019">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提供主机杀毒服务，对云主机进行定期的病毒查杀，实施杀毒软件集中控制。</w:t>
      </w:r>
    </w:p>
    <w:p w14:paraId="5E4487F0">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主机安全加固</w:t>
      </w:r>
    </w:p>
    <w:p w14:paraId="302155C6">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提供主机安全加固服务，针对预警自查、漏洞扫描或等级测评结果对操作系统进行安全加固，用以解决等级测评结果中所显示的漏洞。</w:t>
      </w:r>
    </w:p>
    <w:p w14:paraId="19443B44">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 xml:space="preserve"> 网页防篡改服务</w:t>
      </w:r>
    </w:p>
    <w:p w14:paraId="2AEEA12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按照采购人的具体需求，提供网页防篡改服务。通过防篡改软件对用户页面进行实时防护，减少用户页面被恶意篡改的可能性。</w:t>
      </w:r>
    </w:p>
    <w:p w14:paraId="79C2C584">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.7 主机防护服务</w:t>
      </w:r>
    </w:p>
    <w:p w14:paraId="2186CA91">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提供符合等保三级要求的主机权限管理及安全防护。可对主机系统安全涉及的控制点形成立体防护。</w:t>
      </w:r>
    </w:p>
    <w:p w14:paraId="2349ED8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xml:space="preserve"> 数据库审计服务</w:t>
      </w:r>
    </w:p>
    <w:p w14:paraId="3D31E0B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按照采购人的具体需求，提供数据库审计服务。可支持对主流数据库的审计。</w:t>
      </w:r>
    </w:p>
    <w:p w14:paraId="46221F7C">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 xml:space="preserve"> 主机漏洞扫描</w:t>
      </w:r>
    </w:p>
    <w:p w14:paraId="1F2EF3F3">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基于漏洞数据库，通过扫描等手段对主机安全脆弱性进行检测。</w:t>
      </w:r>
    </w:p>
    <w:p w14:paraId="4632E7BB">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2.1.5</w:t>
      </w:r>
      <w:r>
        <w:rPr>
          <w:rFonts w:hint="eastAsia" w:ascii="宋体" w:hAnsi="宋体" w:eastAsia="宋体" w:cs="宋体"/>
          <w:color w:val="auto"/>
          <w:sz w:val="24"/>
          <w:highlight w:val="none"/>
        </w:rPr>
        <w:t>.2服务标准</w:t>
      </w:r>
    </w:p>
    <w:p w14:paraId="7AAB307A">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投标人所投云平台具备完备的安全防护体系和安全防护设备，具有成熟的安全运维方案，应保证各业务应用系统的支撑环境，包括服务器、网络、存储以及相关物理环境，应能满足不低于网络安全等级保护（GB/T22239-2019）第三级要求，并积极配合采购人根据各业务系统具体等保需求，开展相应等保评估、检查、整改等工作。</w:t>
      </w:r>
    </w:p>
    <w:p w14:paraId="33F11A54">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投标人需利用监控系统或人工对机房环境、硬件设备及应用系统的运行情况进行7*24小时的不间断巡检监控，及时发现安全隐患，通知相关人员及时处理，并形成监控报告。</w:t>
      </w:r>
    </w:p>
    <w:p w14:paraId="2A4F529F">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投标人需纳入行业监管部门网络安全保障整体工作体系，在涉及重保、安全事件、威胁情报等方面，配合安全服务商开展研判、处置、分析等工作。</w:t>
      </w:r>
    </w:p>
    <w:p w14:paraId="12C60A76">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1D371B3C">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38CD771C">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w:t>
      </w:r>
      <w:r>
        <w:rPr>
          <w:rFonts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 xml:space="preserve"> 投标人应坚持制度和技术并重，建立健全网络和数据安全管理制度，落实网络和数据安全管理要求。采取相应技术措施，保障网络免受干扰、破坏或者未经授权的访问。</w:t>
      </w:r>
    </w:p>
    <w:p w14:paraId="3BD7BFE2">
      <w:pPr>
        <w:widowControl w:val="0"/>
        <w:autoSpaceDE w:val="0"/>
        <w:autoSpaceDN w:val="0"/>
        <w:adjustRightInd w:val="0"/>
        <w:snapToGrid w:val="0"/>
        <w:spacing w:line="360" w:lineRule="auto"/>
        <w:ind w:firstLine="720" w:firstLineChars="300"/>
        <w:jc w:val="left"/>
        <w:rPr>
          <w:rFonts w:ascii="宋体" w:hAnsi="宋体" w:eastAsia="宋体" w:cs="宋体"/>
          <w:color w:val="auto"/>
          <w:kern w:val="2"/>
          <w:sz w:val="24"/>
          <w:szCs w:val="24"/>
          <w:highlight w:val="none"/>
          <w:lang w:val="en-US" w:eastAsia="zh-CN" w:bidi="ar-SA"/>
        </w:rPr>
      </w:pPr>
      <w:bookmarkStart w:id="10" w:name="_Toc19279"/>
      <w:r>
        <w:rPr>
          <w:rFonts w:hint="eastAsia" w:ascii="宋体" w:hAnsi="宋体" w:eastAsia="宋体" w:cs="宋体"/>
          <w:color w:val="auto"/>
          <w:kern w:val="2"/>
          <w:sz w:val="24"/>
          <w:szCs w:val="24"/>
          <w:highlight w:val="none"/>
          <w:lang w:val="en-US" w:eastAsia="zh-CN" w:bidi="ar-SA"/>
        </w:rPr>
        <w:t>2.1.6运维服务</w:t>
      </w:r>
      <w:bookmarkEnd w:id="10"/>
    </w:p>
    <w:p w14:paraId="57DCB87A">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2.1.6</w:t>
      </w:r>
      <w:r>
        <w:rPr>
          <w:rFonts w:hint="eastAsia" w:ascii="宋体" w:hAnsi="宋体" w:eastAsia="宋体" w:cs="宋体"/>
          <w:color w:val="auto"/>
          <w:sz w:val="24"/>
          <w:highlight w:val="none"/>
        </w:rPr>
        <w:t>.1 服务内容</w:t>
      </w:r>
    </w:p>
    <w:p w14:paraId="13B11A21">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2.1.6.1.</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负责机房环境资源、云平台硬件资产、虚拟化资产的管理工作；</w:t>
      </w:r>
    </w:p>
    <w:p w14:paraId="50CCB25C">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2.1.6.1.</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信息系统入云、上线、变更、退出等各阶段的备案与信息变更等工作；</w:t>
      </w:r>
    </w:p>
    <w:p w14:paraId="25ABF89B">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2.1.6.1.</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执行云平台变更申请、审批流程；</w:t>
      </w:r>
    </w:p>
    <w:p w14:paraId="0FD921C0">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2.1.6.1.</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云平台网络资源管理，针对内部地址使用情况、云平台专线接入情况、政务外网资源使用情况等做好统计工作；</w:t>
      </w:r>
    </w:p>
    <w:p w14:paraId="25F7C696">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2.1.6.1.</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服务期内，投标人须配备运维团队，提供可靠的售后服务保障。投标人针对采购人要求的云平台运维服务相关内容，需指定专业技术能力较强的工程师，根据采购人要求配合开展相关维护服务。</w:t>
      </w:r>
    </w:p>
    <w:p w14:paraId="101D3955">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2.1.6</w:t>
      </w:r>
      <w:r>
        <w:rPr>
          <w:rFonts w:hint="eastAsia" w:ascii="宋体" w:hAnsi="宋体" w:eastAsia="宋体" w:cs="宋体"/>
          <w:color w:val="auto"/>
          <w:sz w:val="24"/>
          <w:highlight w:val="none"/>
        </w:rPr>
        <w:t>.2 服务标准</w:t>
      </w:r>
    </w:p>
    <w:p w14:paraId="5DD96EE6">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14:paraId="087155CA">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为保障业务高峰期内系统平稳运行，缓解系统高峰期内因业务发生量增大而带来系统压力风险，要求投标人根据业务周期性特点，加大运维保障力度，保证在业务高峰期内系统平稳运行。</w:t>
      </w:r>
    </w:p>
    <w:p w14:paraId="3D2DF1F5">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11CD6414">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按照国家、北京市相关规定和信息安全技术标准及规范要求， 落实安全保障措施， 通过信息安全测评机构的测评和政务云安全审查 。</w:t>
      </w:r>
    </w:p>
    <w:p w14:paraId="31327BD6">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7AF24FB6">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 xml:space="preserve"> 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7452FD9F">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 xml:space="preserve"> 投标人应保障政务云规范运行。入云系统应开展网络安全测评及备案。应对数据进行分类分级管理，根据数据分级保护要求采取相应级别的安全防护措施。</w:t>
      </w:r>
    </w:p>
    <w:p w14:paraId="01937048">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2.1.6.2.</w:t>
      </w:r>
      <w:r>
        <w:rPr>
          <w:rFonts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xml:space="preserve"> 除不可抗力或计划内维护作业造成的政务云服务中断外，政务云实行24小时不间断运行。</w:t>
      </w:r>
    </w:p>
    <w:p w14:paraId="2ACB67EC">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bookmarkStart w:id="11" w:name="_Toc28361"/>
      <w:r>
        <w:rPr>
          <w:rFonts w:hint="eastAsia" w:ascii="宋体" w:hAnsi="宋体" w:eastAsia="宋体" w:cs="宋体"/>
          <w:color w:val="auto"/>
          <w:kern w:val="2"/>
          <w:sz w:val="24"/>
          <w:szCs w:val="24"/>
          <w:highlight w:val="none"/>
          <w:lang w:val="en-US" w:eastAsia="zh-CN" w:bidi="ar-SA"/>
        </w:rPr>
        <w:t>2.1.7备份服务</w:t>
      </w:r>
      <w:bookmarkEnd w:id="11"/>
    </w:p>
    <w:p w14:paraId="27BF5E68">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2.1.7.</w:t>
      </w:r>
      <w:r>
        <w:rPr>
          <w:rFonts w:hint="eastAsia" w:ascii="宋体" w:hAnsi="宋体" w:eastAsia="宋体" w:cs="宋体"/>
          <w:color w:val="auto"/>
          <w:sz w:val="24"/>
          <w:highlight w:val="none"/>
        </w:rPr>
        <w:t>1 服务内容</w:t>
      </w:r>
    </w:p>
    <w:p w14:paraId="6BB87A0B">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投标人须具有本地和同城异地数据级备份能力，并配合采购人完成数据级容灾演练及恢复等工作。</w:t>
      </w:r>
    </w:p>
    <w:p w14:paraId="16E27A7D">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2.1.7.</w:t>
      </w:r>
      <w:r>
        <w:rPr>
          <w:rFonts w:hint="eastAsia" w:ascii="宋体" w:hAnsi="宋体" w:eastAsia="宋体" w:cs="宋体"/>
          <w:color w:val="auto"/>
          <w:sz w:val="24"/>
          <w:highlight w:val="none"/>
        </w:rPr>
        <w:t>2 服务标准</w:t>
      </w:r>
    </w:p>
    <w:p w14:paraId="2CF02E21">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48C0CBB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2.1.7.2.</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备份介质本身具备高可用性和冗余性。</w:t>
      </w:r>
    </w:p>
    <w:p w14:paraId="0470DFBA">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备份方式包括完整备份、差异备份和增量备份。</w:t>
      </w:r>
    </w:p>
    <w:p w14:paraId="0AAD3FAB">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支持Windows系列操作系统、Linux主流系统操作系统、主流数据库软件、主流中间件软件、结构化数据以及非结构化数据等备份对象。</w:t>
      </w:r>
    </w:p>
    <w:p w14:paraId="0E2D48EF">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2.1.7.2.</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支持建立统一的备份管理系统，用来管理本地备份。</w:t>
      </w:r>
    </w:p>
    <w:p w14:paraId="7EC1E777">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2.1.7.2.</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投标人应提供对备份过程状态、备份结果提供运维监控保障服务，确保备份任务执行成功以及备份的数据完整性。</w:t>
      </w:r>
    </w:p>
    <w:p w14:paraId="2F23CD99">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bookmarkStart w:id="12" w:name="_Toc4320"/>
      <w:r>
        <w:rPr>
          <w:rFonts w:hint="eastAsia" w:ascii="宋体" w:hAnsi="宋体" w:eastAsia="宋体" w:cs="宋体"/>
          <w:color w:val="auto"/>
          <w:kern w:val="2"/>
          <w:sz w:val="24"/>
          <w:szCs w:val="24"/>
          <w:highlight w:val="none"/>
          <w:lang w:val="en-US" w:eastAsia="zh-CN" w:bidi="ar-SA"/>
        </w:rPr>
        <w:t>2.1.8日志服务</w:t>
      </w:r>
      <w:bookmarkEnd w:id="12"/>
    </w:p>
    <w:p w14:paraId="68A3E8BE">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2.1.8</w:t>
      </w:r>
      <w:r>
        <w:rPr>
          <w:rFonts w:hint="eastAsia" w:ascii="宋体" w:hAnsi="宋体" w:eastAsia="宋体" w:cs="宋体"/>
          <w:color w:val="auto"/>
          <w:sz w:val="24"/>
          <w:highlight w:val="none"/>
        </w:rPr>
        <w:t>.1 服务内容</w:t>
      </w:r>
    </w:p>
    <w:p w14:paraId="054793DB">
      <w:pPr>
        <w:widowControl w:val="0"/>
        <w:autoSpaceDE w:val="0"/>
        <w:autoSpaceDN w:val="0"/>
        <w:adjustRightInd w:val="0"/>
        <w:snapToGrid w:val="0"/>
        <w:spacing w:line="360" w:lineRule="auto"/>
        <w:ind w:firstLine="48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日志是发现问题、定位问题的重要信息，投标人提供统一的日志平台服务，针对操作系统进行日志收集，用于了解主机安全情况及资源使用情况，具体内容如下：</w:t>
      </w:r>
    </w:p>
    <w:p w14:paraId="39FEB356">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2.1.8.1.</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提供收集面向主机的日志服务；</w:t>
      </w:r>
    </w:p>
    <w:p w14:paraId="081B69DD">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2.1.8.1.</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提供对日志的可视化管理、组合过滤查询的能力；</w:t>
      </w:r>
    </w:p>
    <w:p w14:paraId="59E6A998">
      <w:pPr>
        <w:widowControl w:val="0"/>
        <w:autoSpaceDE/>
        <w:autoSpaceDN/>
        <w:adjustRightInd w:val="0"/>
        <w:snapToGrid w:val="0"/>
        <w:spacing w:line="360" w:lineRule="auto"/>
        <w:ind w:firstLine="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2.1.8.1.</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支持用户自定义解析规则和解析规则组，并预置多种解析规则实现日志数据解析。</w:t>
      </w:r>
    </w:p>
    <w:p w14:paraId="71900048">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2.1.8</w:t>
      </w:r>
      <w:r>
        <w:rPr>
          <w:rFonts w:hint="eastAsia" w:ascii="宋体" w:hAnsi="宋体" w:eastAsia="宋体" w:cs="宋体"/>
          <w:color w:val="auto"/>
          <w:sz w:val="24"/>
          <w:highlight w:val="none"/>
        </w:rPr>
        <w:t>.2 服务标准</w:t>
      </w:r>
    </w:p>
    <w:p w14:paraId="5BFD596C">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对主机系统日志进行采集分析处理，用于发现各种安全威胁、异常行为事件。主机系统日志应集中存储，且日志存储时间不低于6个月。</w:t>
      </w:r>
    </w:p>
    <w:p w14:paraId="78C1E505">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bookmarkStart w:id="13" w:name="_Toc28153"/>
      <w:r>
        <w:rPr>
          <w:rFonts w:hint="eastAsia" w:ascii="宋体" w:hAnsi="宋体" w:eastAsia="宋体" w:cs="宋体"/>
          <w:color w:val="auto"/>
          <w:kern w:val="2"/>
          <w:sz w:val="24"/>
          <w:szCs w:val="24"/>
          <w:highlight w:val="none"/>
          <w:lang w:val="en-US" w:eastAsia="zh-CN" w:bidi="ar-SA"/>
        </w:rPr>
        <w:t>2.1.9迁移服务</w:t>
      </w:r>
      <w:bookmarkEnd w:id="13"/>
    </w:p>
    <w:p w14:paraId="06C111C3">
      <w:pPr>
        <w:spacing w:line="360" w:lineRule="auto"/>
        <w:ind w:firstLine="420" w:firstLineChars="200"/>
        <w:rPr>
          <w:rFonts w:ascii="宋体" w:hAnsi="宋体" w:eastAsia="宋体" w:cs="宋体"/>
          <w:color w:val="auto"/>
          <w:sz w:val="24"/>
          <w:highlight w:val="none"/>
        </w:rPr>
      </w:pPr>
      <w:r>
        <w:rPr>
          <w:rFonts w:hint="eastAsia" w:ascii="宋体" w:hAnsi="宋体" w:eastAsia="宋体" w:cs="宋体"/>
          <w:color w:val="auto"/>
          <w:highlight w:val="none"/>
        </w:rPr>
        <w:t>2.1.9</w:t>
      </w:r>
      <w:r>
        <w:rPr>
          <w:rFonts w:hint="eastAsia" w:ascii="宋体" w:hAnsi="宋体" w:eastAsia="宋体" w:cs="宋体"/>
          <w:color w:val="auto"/>
          <w:sz w:val="24"/>
          <w:highlight w:val="none"/>
        </w:rPr>
        <w:t>.1 服务内容</w:t>
      </w:r>
    </w:p>
    <w:p w14:paraId="44095140">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投标人需提供整体的业务上云迁移服务，应支持X86云主机迁移、X86物理主机迁移、单机数据库迁移、高可用数据库迁移等迁移场景。负责需求调研、架构规划设计、应用迁移部署等工作。</w:t>
      </w:r>
    </w:p>
    <w:p w14:paraId="031C969F">
      <w:pPr>
        <w:spacing w:line="360" w:lineRule="auto"/>
        <w:ind w:firstLine="420" w:firstLineChars="200"/>
        <w:rPr>
          <w:rFonts w:ascii="宋体" w:hAnsi="宋体" w:eastAsia="宋体" w:cs="宋体"/>
          <w:color w:val="auto"/>
          <w:sz w:val="24"/>
          <w:highlight w:val="none"/>
          <w:lang w:bidi="ar"/>
        </w:rPr>
      </w:pPr>
      <w:r>
        <w:rPr>
          <w:rFonts w:hint="eastAsia" w:ascii="宋体" w:hAnsi="宋体" w:eastAsia="宋体" w:cs="宋体"/>
          <w:color w:val="auto"/>
          <w:highlight w:val="none"/>
        </w:rPr>
        <w:t>2.1.9</w:t>
      </w:r>
      <w:r>
        <w:rPr>
          <w:rFonts w:hint="eastAsia" w:ascii="宋体" w:hAnsi="宋体" w:eastAsia="宋体" w:cs="宋体"/>
          <w:color w:val="auto"/>
          <w:sz w:val="24"/>
          <w:highlight w:val="none"/>
        </w:rPr>
        <w:t>.2 服务标准</w:t>
      </w:r>
    </w:p>
    <w:p w14:paraId="10DED065">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本项目涉及的业务系统为采购人在用的生产系统，目前在政务云上平稳运行，因此保障业务连续性是重要的保障需求。迁移服务具体要求如下：</w:t>
      </w:r>
    </w:p>
    <w:p w14:paraId="50C8DEEE">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2.1.9</w:t>
      </w:r>
      <w:r>
        <w:rPr>
          <w:rFonts w:hint="eastAsia" w:ascii="宋体" w:hAnsi="宋体" w:eastAsia="宋体" w:cs="宋体"/>
          <w:color w:val="auto"/>
          <w:sz w:val="24"/>
          <w:highlight w:val="none"/>
        </w:rPr>
        <w:t>.2.</w:t>
      </w:r>
      <w:r>
        <w:rPr>
          <w:rFonts w:ascii="宋体" w:hAnsi="宋体" w:eastAsia="宋体" w:cs="宋体"/>
          <w:color w:val="auto"/>
          <w:sz w:val="24"/>
          <w:highlight w:val="none"/>
        </w:rPr>
        <w:t>1</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投标人需编制业务连续性服务方案。</w:t>
      </w:r>
    </w:p>
    <w:p w14:paraId="4790D18B">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2.1.9.2.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本项目如涉及系统迁移，在连续性服务方案中需提供确实可行的迁移部署服务子方案，迁移部署服务子方案应包括迁移部署流程（包含应用、虚拟机和数据类迁移）、业务系统部署迁移方案。迁移部署服务子方案应明确需要采购人配合的具体工作内容及时长，针对系统迁移过程中容易造成业务系统中断的环节，包含互联网及政务外网IP变更割接、业务数据同步及切换上线、应急回退方案等，进行风险评估，提出详细解决方案。</w:t>
      </w:r>
    </w:p>
    <w:p w14:paraId="6BFDAD05">
      <w:pPr>
        <w:widowControl w:val="0"/>
        <w:autoSpaceDE w:val="0"/>
        <w:autoSpaceDN w:val="0"/>
        <w:adjustRightInd w:val="0"/>
        <w:snapToGrid w:val="0"/>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2.1.9.2.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投标人须承诺，若涉及业务迁移，需在不中断业务的前提下，自合同生效之日起承诺期限内完成全部系统迁移，并且不能改变和影响原有系统的功能、技术状态以及采购人的使用习惯，因此产生的各项费用（包括测试阶段的云资源费用，系统运维商对业务系统的部署、调试费用等）由投标人承担。迁移完成后，投标人需确保原有系统的功能、技术状态及采购人使用习惯无任何改变或影响，并提交迁移、测试及功能验证报告后，由采购人组织验收。</w:t>
      </w:r>
    </w:p>
    <w:p w14:paraId="48DDAF37">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按时完成迁移或验收不合格且逾期未整改的，每逾期1日，投标人应向采购人支付合同总金额0.3%的违约金；逾期超过7日的，采购人有权解除合同，投标人应向采购人支付合同总金额20%的违约金，并赔偿采购人因此造成的全部实际损失（包括业务中断损失、重新招标成本、第三方索赔等）。</w:t>
      </w:r>
    </w:p>
    <w:p w14:paraId="1DA3D49A">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 培训服务</w:t>
      </w:r>
    </w:p>
    <w:p w14:paraId="2A0B4EB5">
      <w:pPr>
        <w:widowControl w:val="0"/>
        <w:snapToGrid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投标人提供云服务操作手册，并按需为采购人提供必要的使用培训，至少提供以下内容：</w:t>
      </w:r>
    </w:p>
    <w:p w14:paraId="7EF186CB">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面向项目管理人员、系统管理人员的培训，确保此类人员能清晰地了解云平台的设计理念和设计方法，掌握云平台的整体结构，以及各类云资源的申请、审核、开通、回收等管理流程。</w:t>
      </w:r>
    </w:p>
    <w:p w14:paraId="2CF3BB22">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面向系统维护人员的培训，确保此类人员能理解和掌握云平台的相关技术知识，能够熟练地维护云平台，快速定位和解决系统出现的问题，保证云平台服务期间正常运转，并持续提高运维服务质量。</w:t>
      </w:r>
    </w:p>
    <w:p w14:paraId="445C1DC2">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本单位人员的安全培训教育，确保工作人员符合岗位要求。</w:t>
      </w:r>
    </w:p>
    <w:p w14:paraId="5C13E9D6">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云平台维护人员的定期业务培训和保密培训，重保前的业务培训和应急保障培训等。</w:t>
      </w:r>
    </w:p>
    <w:p w14:paraId="04E47E91">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2.1.10.</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面向管理单位的培训，确保此类人员充分了解云平台的技术架构、服务水平等。</w:t>
      </w:r>
    </w:p>
    <w:p w14:paraId="21CD34AF">
      <w:pPr>
        <w:widowControl w:val="0"/>
        <w:autoSpaceDE w:val="0"/>
        <w:autoSpaceDN w:val="0"/>
        <w:adjustRightInd w:val="0"/>
        <w:snapToGrid w:val="0"/>
        <w:spacing w:line="360" w:lineRule="auto"/>
        <w:ind w:firstLine="720" w:firstLineChars="300"/>
        <w:jc w:val="left"/>
        <w:rPr>
          <w:rFonts w:ascii="宋体" w:hAnsi="宋体" w:eastAsia="宋体" w:cs="宋体"/>
          <w:color w:val="auto"/>
          <w:kern w:val="2"/>
          <w:sz w:val="24"/>
          <w:szCs w:val="24"/>
          <w:highlight w:val="none"/>
          <w:lang w:val="en-US" w:eastAsia="zh-CN" w:bidi="ar-SA"/>
        </w:rPr>
      </w:pPr>
      <w:bookmarkStart w:id="14" w:name="_Toc9644"/>
      <w:r>
        <w:rPr>
          <w:rFonts w:hint="eastAsia" w:ascii="宋体" w:hAnsi="宋体" w:eastAsia="宋体" w:cs="宋体"/>
          <w:color w:val="auto"/>
          <w:kern w:val="2"/>
          <w:sz w:val="24"/>
          <w:szCs w:val="24"/>
          <w:highlight w:val="none"/>
          <w:lang w:val="en-US" w:eastAsia="zh-CN" w:bidi="ar-SA"/>
        </w:rPr>
        <w:t>2.1.11 其他服务</w:t>
      </w:r>
      <w:bookmarkEnd w:id="14"/>
    </w:p>
    <w:p w14:paraId="30A84827">
      <w:pPr>
        <w:widowControl w:val="0"/>
        <w:snapToGrid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按照采购人的有关管理规定及具体需求提供个性化服务，包括CDN和密码服务。</w:t>
      </w:r>
    </w:p>
    <w:p w14:paraId="6DEAED6A">
      <w:pPr>
        <w:widowControl w:val="0"/>
        <w:autoSpaceDE w:val="0"/>
        <w:autoSpaceDN w:val="0"/>
        <w:adjustRightInd w:val="0"/>
        <w:snapToGrid w:val="0"/>
        <w:spacing w:line="360" w:lineRule="auto"/>
        <w:ind w:left="845" w:hanging="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2.1.11.</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CDN加速服务</w:t>
      </w:r>
    </w:p>
    <w:p w14:paraId="3537299A">
      <w:pPr>
        <w:widowControl w:val="0"/>
        <w:snapToGrid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支持对静态页面、静态图片、流媒体点播直播、动态内容等内容资源，CDN核心节点从源站获取分发资源，分级分发到响应的边缘节点，保证用户能到最近及响应最好的节点中访问响应的资源。</w:t>
      </w:r>
    </w:p>
    <w:p w14:paraId="4A55F894">
      <w:pPr>
        <w:widowControl w:val="0"/>
        <w:autoSpaceDE w:val="0"/>
        <w:autoSpaceDN w:val="0"/>
        <w:adjustRightInd w:val="0"/>
        <w:snapToGrid w:val="0"/>
        <w:spacing w:line="360" w:lineRule="auto"/>
        <w:ind w:left="845" w:hanging="425"/>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2.1.11.</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密码服务</w:t>
      </w:r>
    </w:p>
    <w:p w14:paraId="0EF37EE5">
      <w:pPr>
        <w:widowControl/>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按照采购人的相关需求，提供数字签名验签服务器设备租用和安全软件及数字证书服务。</w:t>
      </w:r>
    </w:p>
    <w:p w14:paraId="0E7A263A">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2.2.1服务规范</w:t>
      </w:r>
    </w:p>
    <w:p w14:paraId="46E4D024">
      <w:pPr>
        <w:widowControl w:val="0"/>
        <w:snapToGrid w:val="0"/>
        <w:spacing w:before="0" w:beforeAutospacing="0" w:after="0" w:afterAutospacing="0" w:line="360" w:lineRule="auto"/>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投标人须严格按照采购人制定的管理办法、流程及其他汇报制度、应急制度、文档管理、资产管理、基线管理、人员管理、培训与考试、知识库管理、安全管理等相关制度，开展标准化运维工作。</w:t>
      </w:r>
    </w:p>
    <w:p w14:paraId="0D7E5D46">
      <w:pPr>
        <w:widowControl w:val="0"/>
        <w:snapToGrid w:val="0"/>
        <w:spacing w:before="0" w:beforeAutospacing="0" w:after="0" w:afterAutospacing="0" w:line="360" w:lineRule="auto"/>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投标人应遵从政务云管理单位的日常管理要求，包括使用政务云管理单位指定的安全通信工具，确保通信和协调信息处于可控范围。</w:t>
      </w:r>
    </w:p>
    <w:p w14:paraId="1381BC8E">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2.2.2保密要求</w:t>
      </w:r>
    </w:p>
    <w:p w14:paraId="58F9182A">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露给第三方。</w:t>
      </w:r>
    </w:p>
    <w:p w14:paraId="2F9F7349">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52FE63E7">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投标人保证将保密信息的披露范围严格控制在直接从事该项目工作且因工作需要有必要知悉保密信息的工作人员范围内，对投标人非从事该项目的人员一律严格保密。</w:t>
      </w:r>
    </w:p>
    <w:p w14:paraId="172DA09E">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11E9D434">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任何时间内，一经采购人提出要求，投标人应按照采购人指示在收到采购人书面通知后 5 日内将含有保密信息的所有文件或其他资料归还采购人，且不得擅自复制留存。</w:t>
      </w:r>
    </w:p>
    <w:p w14:paraId="72EB6CBF">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 xml:space="preserve"> 非经采购人特别授权，采购人向投标人提供的任何保密信息并不包括授予投标人该保密信息包含的任何专利权、商标权、著作权、商业秘密或其他类型的知识产权。</w:t>
      </w:r>
    </w:p>
    <w:p w14:paraId="0DCD8CED">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 xml:space="preserve"> 投标人承担上述保密义务的期限为合同有效期间及合同终止后2年，承担上述保密义务的责任主体为投标人（含投标人服务人员）。</w:t>
      </w:r>
    </w:p>
    <w:p w14:paraId="1F7E9C2E">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xml:space="preserve"> 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72E228DA">
      <w:pPr>
        <w:widowControl w:val="0"/>
        <w:autoSpaceDE/>
        <w:autoSpaceDN/>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w:t>
      </w:r>
      <w:r>
        <w:rPr>
          <w:rFonts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 xml:space="preserve"> 投标人应当对获悉的政务数据、个人信息等予以保密，不得用于其他用途，不得泄露、出售或者非法向他人提供。</w:t>
      </w:r>
    </w:p>
    <w:p w14:paraId="217528C2">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3.验收标准</w:t>
      </w:r>
    </w:p>
    <w:p w14:paraId="61C5B11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3.1服务绩效指标</w:t>
      </w:r>
    </w:p>
    <w:p w14:paraId="145D4FAD">
      <w:pPr>
        <w:widowControl w:val="0"/>
        <w:tabs>
          <w:tab w:val="left" w:pos="567"/>
        </w:tabs>
        <w:snapToGrid w:val="0"/>
        <w:spacing w:before="120" w:line="360"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3.1.1云服务全年整体可用性≥99.9%；</w:t>
      </w:r>
    </w:p>
    <w:p w14:paraId="424FE7C1">
      <w:pPr>
        <w:widowControl w:val="0"/>
        <w:tabs>
          <w:tab w:val="left" w:pos="567"/>
        </w:tabs>
        <w:snapToGrid w:val="0"/>
        <w:spacing w:before="120" w:line="360"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3.1.2故障响应率100%；</w:t>
      </w:r>
    </w:p>
    <w:p w14:paraId="5ED7A491">
      <w:pPr>
        <w:widowControl w:val="0"/>
        <w:tabs>
          <w:tab w:val="left" w:pos="567"/>
        </w:tabs>
        <w:snapToGrid w:val="0"/>
        <w:spacing w:before="120" w:line="360"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3.1.3应急响应时间≤15分钟；</w:t>
      </w:r>
    </w:p>
    <w:p w14:paraId="611DD937">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3.2项目验收要求</w:t>
      </w:r>
    </w:p>
    <w:p w14:paraId="752CCC56">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bookmarkStart w:id="15" w:name="OLE_LINK12"/>
      <w:r>
        <w:rPr>
          <w:rFonts w:hint="eastAsia" w:ascii="宋体" w:hAnsi="宋体" w:eastAsia="宋体" w:cs="宋体"/>
          <w:color w:val="auto"/>
          <w:kern w:val="2"/>
          <w:sz w:val="24"/>
          <w:szCs w:val="24"/>
          <w:highlight w:val="none"/>
          <w:lang w:val="en-US" w:eastAsia="zh-CN" w:bidi="ar-SA"/>
        </w:rPr>
        <w:t>采购人</w:t>
      </w:r>
      <w:bookmarkEnd w:id="15"/>
      <w:r>
        <w:rPr>
          <w:rFonts w:hint="eastAsia" w:ascii="宋体" w:hAnsi="宋体" w:eastAsia="宋体" w:cs="宋体"/>
          <w:color w:val="auto"/>
          <w:kern w:val="2"/>
          <w:sz w:val="24"/>
          <w:szCs w:val="24"/>
          <w:highlight w:val="none"/>
          <w:lang w:val="en-US" w:eastAsia="zh-CN" w:bidi="ar-SA"/>
        </w:rPr>
        <w:t>在服务期满后 20 个工作日内对</w:t>
      </w:r>
      <w:bookmarkStart w:id="16" w:name="OLE_LINK11"/>
      <w:r>
        <w:rPr>
          <w:rFonts w:hint="eastAsia" w:ascii="宋体" w:hAnsi="宋体" w:eastAsia="宋体" w:cs="宋体"/>
          <w:color w:val="auto"/>
          <w:kern w:val="2"/>
          <w:sz w:val="24"/>
          <w:szCs w:val="24"/>
          <w:highlight w:val="none"/>
          <w:lang w:val="en-US" w:eastAsia="zh-CN" w:bidi="ar-SA"/>
        </w:rPr>
        <w:t>投标人</w:t>
      </w:r>
      <w:bookmarkEnd w:id="16"/>
      <w:r>
        <w:rPr>
          <w:rFonts w:hint="eastAsia" w:ascii="宋体" w:hAnsi="宋体" w:eastAsia="宋体" w:cs="宋体"/>
          <w:color w:val="auto"/>
          <w:kern w:val="2"/>
          <w:sz w:val="24"/>
          <w:szCs w:val="24"/>
          <w:highlight w:val="none"/>
          <w:lang w:val="en-US" w:eastAsia="zh-CN" w:bidi="ar-SA"/>
        </w:rPr>
        <w:t>服务情况进行验收。投标人应当在验收前向采购人提交验收材料。验收合格的，采购人在验收材料上盖章或签字；验收不合格的，投标人应当在【5】日内进行返工或调整，并重新提交采购人验收。</w:t>
      </w:r>
    </w:p>
    <w:p w14:paraId="78D53A04">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服务期届</w:t>
      </w:r>
      <w:r>
        <w:rPr>
          <w:rFonts w:hint="eastAsia" w:ascii="宋体" w:hAnsi="宋体" w:eastAsia="宋体" w:cs="Times New Roman"/>
          <w:color w:val="auto"/>
          <w:kern w:val="2"/>
          <w:sz w:val="24"/>
          <w:szCs w:val="24"/>
          <w:highlight w:val="none"/>
          <w:lang w:val="en-US" w:eastAsia="zh-CN" w:bidi="ar-SA"/>
        </w:rPr>
        <w:t>满后</w:t>
      </w:r>
      <w:r>
        <w:rPr>
          <w:rFonts w:ascii="宋体" w:hAnsi="宋体" w:eastAsia="宋体" w:cs="Times New Roman"/>
          <w:color w:val="auto"/>
          <w:kern w:val="2"/>
          <w:sz w:val="24"/>
          <w:szCs w:val="24"/>
          <w:highlight w:val="none"/>
          <w:lang w:val="en-US" w:eastAsia="zh-CN" w:bidi="ar-SA"/>
        </w:rPr>
        <w:t>，投标人按照采购人要求完成所有项目，各项记录、报告等文档齐全，无任何系统遗留问题，并通过由采购人组织的专家验收评审，方可通过验收。</w:t>
      </w:r>
    </w:p>
    <w:p w14:paraId="47C7C974">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4.其他要求</w:t>
      </w:r>
    </w:p>
    <w:p w14:paraId="3A9EBE90">
      <w:pPr>
        <w:widowControl w:val="0"/>
        <w:autoSpaceDE w:val="0"/>
        <w:autoSpaceDN w:val="0"/>
        <w:adjustRightInd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4.1服务期内，投标人须设有7×24小时电话响应服务、具备运维团队，提供售后服务保障。团队成员应明确职责，架构清晰，岗位设置合理，且具备与本项目相关的项目经验。</w:t>
      </w:r>
    </w:p>
    <w:p w14:paraId="7467054A">
      <w:pPr>
        <w:widowControl w:val="0"/>
        <w:autoSpaceDE w:val="0"/>
        <w:autoSpaceDN w:val="0"/>
        <w:adjustRightInd w:val="0"/>
        <w:snapToGrid w:val="0"/>
        <w:spacing w:line="360" w:lineRule="auto"/>
        <w:ind w:firstLine="480" w:firstLineChars="200"/>
        <w:jc w:val="left"/>
        <w:rPr>
          <w:rFonts w:ascii="仿宋_GB2312" w:hAnsi="仿宋_GB2312" w:eastAsia="仿宋_GB2312" w:cs="仿宋_GB2312"/>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4.2投标人须提供1名项目经理及7名项目团队专职人员，为本项目提供服务。项目经理需按照采购人要求，承担云资源服务保障具体工作，技术支持人员要求如下：</w:t>
      </w:r>
    </w:p>
    <w:p w14:paraId="2E417330">
      <w:pPr>
        <w:widowControl w:val="0"/>
        <w:autoSpaceDE w:val="0"/>
        <w:autoSpaceDN w:val="0"/>
        <w:adjustRightInd w:val="0"/>
        <w:snapToGrid w:val="0"/>
        <w:spacing w:line="360" w:lineRule="auto"/>
        <w:ind w:firstLine="3132" w:firstLineChars="1300"/>
        <w:jc w:val="left"/>
        <w:rPr>
          <w:rFonts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服务团队人员要求</w:t>
      </w:r>
    </w:p>
    <w:tbl>
      <w:tblPr>
        <w:tblStyle w:val="2"/>
        <w:tblW w:w="8519" w:type="dxa"/>
        <w:tblInd w:w="0" w:type="dxa"/>
        <w:tblLayout w:type="fixed"/>
        <w:tblCellMar>
          <w:top w:w="0" w:type="dxa"/>
          <w:left w:w="108" w:type="dxa"/>
          <w:bottom w:w="0" w:type="dxa"/>
          <w:right w:w="108" w:type="dxa"/>
        </w:tblCellMar>
      </w:tblPr>
      <w:tblGrid>
        <w:gridCol w:w="959"/>
        <w:gridCol w:w="714"/>
        <w:gridCol w:w="1352"/>
        <w:gridCol w:w="1962"/>
        <w:gridCol w:w="3532"/>
      </w:tblGrid>
      <w:tr w14:paraId="19F51753">
        <w:tblPrEx>
          <w:tblCellMar>
            <w:top w:w="0" w:type="dxa"/>
            <w:left w:w="108" w:type="dxa"/>
            <w:bottom w:w="0" w:type="dxa"/>
            <w:right w:w="108" w:type="dxa"/>
          </w:tblCellMar>
        </w:tblPrEx>
        <w:trPr>
          <w:trHeight w:val="700" w:hRule="atLeast"/>
        </w:trPr>
        <w:tc>
          <w:tcPr>
            <w:tcW w:w="959" w:type="dxa"/>
            <w:tcBorders>
              <w:top w:val="single" w:color="auto" w:sz="4" w:space="0"/>
              <w:left w:val="single" w:color="auto" w:sz="4" w:space="0"/>
              <w:bottom w:val="single" w:color="auto" w:sz="4" w:space="0"/>
              <w:right w:val="single" w:color="auto" w:sz="4" w:space="0"/>
            </w:tcBorders>
            <w:vAlign w:val="center"/>
          </w:tcPr>
          <w:p w14:paraId="4D986220">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岗位</w:t>
            </w:r>
          </w:p>
        </w:tc>
        <w:tc>
          <w:tcPr>
            <w:tcW w:w="714" w:type="dxa"/>
            <w:tcBorders>
              <w:top w:val="single" w:color="auto" w:sz="4" w:space="0"/>
              <w:left w:val="single" w:color="auto" w:sz="4" w:space="0"/>
              <w:bottom w:val="single" w:color="auto" w:sz="4" w:space="0"/>
              <w:right w:val="single" w:color="auto" w:sz="4" w:space="0"/>
            </w:tcBorders>
            <w:vAlign w:val="center"/>
          </w:tcPr>
          <w:p w14:paraId="1AD7E200">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数量</w:t>
            </w:r>
          </w:p>
        </w:tc>
        <w:tc>
          <w:tcPr>
            <w:tcW w:w="1352" w:type="dxa"/>
            <w:tcBorders>
              <w:top w:val="single" w:color="auto" w:sz="4" w:space="0"/>
              <w:left w:val="single" w:color="auto" w:sz="4" w:space="0"/>
              <w:bottom w:val="single" w:color="auto" w:sz="4" w:space="0"/>
              <w:right w:val="single" w:color="auto" w:sz="4" w:space="0"/>
            </w:tcBorders>
            <w:vAlign w:val="center"/>
          </w:tcPr>
          <w:p w14:paraId="1FFD6CA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学历</w:t>
            </w:r>
          </w:p>
        </w:tc>
        <w:tc>
          <w:tcPr>
            <w:tcW w:w="1962" w:type="dxa"/>
            <w:tcBorders>
              <w:top w:val="single" w:color="auto" w:sz="6" w:space="0"/>
              <w:left w:val="single" w:color="auto" w:sz="4" w:space="0"/>
              <w:bottom w:val="single" w:color="auto" w:sz="6" w:space="0"/>
              <w:right w:val="single" w:color="auto" w:sz="6" w:space="0"/>
            </w:tcBorders>
            <w:vAlign w:val="center"/>
          </w:tcPr>
          <w:p w14:paraId="14FBED16">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工作经验</w:t>
            </w:r>
          </w:p>
        </w:tc>
        <w:tc>
          <w:tcPr>
            <w:tcW w:w="3532" w:type="dxa"/>
            <w:tcBorders>
              <w:top w:val="single" w:color="auto" w:sz="6" w:space="0"/>
              <w:left w:val="single" w:color="auto" w:sz="6" w:space="0"/>
              <w:bottom w:val="single" w:color="auto" w:sz="4" w:space="0"/>
              <w:right w:val="single" w:color="auto" w:sz="6" w:space="0"/>
            </w:tcBorders>
            <w:vAlign w:val="center"/>
          </w:tcPr>
          <w:p w14:paraId="0DEF521E">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岗位须具备的上岗资格证等要求</w:t>
            </w:r>
          </w:p>
        </w:tc>
      </w:tr>
      <w:tr w14:paraId="7FCD7E18">
        <w:tblPrEx>
          <w:tblCellMar>
            <w:top w:w="0" w:type="dxa"/>
            <w:left w:w="108" w:type="dxa"/>
            <w:bottom w:w="0" w:type="dxa"/>
            <w:right w:w="108" w:type="dxa"/>
          </w:tblCellMar>
        </w:tblPrEx>
        <w:trPr>
          <w:trHeight w:val="1270" w:hRule="atLeast"/>
        </w:trPr>
        <w:tc>
          <w:tcPr>
            <w:tcW w:w="959" w:type="dxa"/>
            <w:tcBorders>
              <w:top w:val="single" w:color="auto" w:sz="4" w:space="0"/>
              <w:left w:val="single" w:color="auto" w:sz="4" w:space="0"/>
              <w:bottom w:val="single" w:color="auto" w:sz="4" w:space="0"/>
              <w:right w:val="single" w:color="auto" w:sz="4" w:space="0"/>
            </w:tcBorders>
            <w:vAlign w:val="center"/>
          </w:tcPr>
          <w:p w14:paraId="5AD21C87">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项目</w:t>
            </w:r>
          </w:p>
          <w:p w14:paraId="4D6AFE5A">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经理</w:t>
            </w:r>
          </w:p>
        </w:tc>
        <w:tc>
          <w:tcPr>
            <w:tcW w:w="714" w:type="dxa"/>
            <w:tcBorders>
              <w:top w:val="single" w:color="auto" w:sz="4" w:space="0"/>
              <w:left w:val="single" w:color="auto" w:sz="4" w:space="0"/>
              <w:bottom w:val="single" w:color="auto" w:sz="4" w:space="0"/>
              <w:right w:val="single" w:color="auto" w:sz="4" w:space="0"/>
            </w:tcBorders>
            <w:vAlign w:val="center"/>
          </w:tcPr>
          <w:p w14:paraId="7AE4634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6490DAA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6B02968D">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有10年及以上类似工作经验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1504AA62">
            <w:pPr>
              <w:spacing w:line="360" w:lineRule="auto"/>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信息系统项目管理师</w:t>
            </w:r>
            <w:r>
              <w:rPr>
                <w:rFonts w:hint="eastAsia" w:ascii="仿宋_GB2312" w:hAnsi="仿宋_GB2312" w:eastAsia="仿宋_GB2312" w:cs="仿宋_GB2312"/>
                <w:bCs/>
                <w:color w:val="auto"/>
                <w:sz w:val="24"/>
                <w:highlight w:val="none"/>
              </w:rPr>
              <w:t>（高级）</w:t>
            </w:r>
          </w:p>
          <w:p w14:paraId="07F09903">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注册信息安全工程师证书（CIS</w:t>
            </w:r>
            <w:r>
              <w:rPr>
                <w:rFonts w:hint="eastAsia" w:ascii="仿宋_GB2312" w:hAnsi="仿宋_GB2312" w:eastAsia="仿宋_GB2312" w:cs="仿宋_GB2312"/>
                <w:color w:val="auto"/>
                <w:sz w:val="24"/>
                <w:highlight w:val="none"/>
                <w:lang w:val="en-US" w:eastAsia="zh-CN"/>
              </w:rPr>
              <w:t>O</w:t>
            </w:r>
            <w:r>
              <w:rPr>
                <w:rFonts w:hint="eastAsia" w:ascii="仿宋_GB2312" w:hAnsi="仿宋_GB2312" w:eastAsia="仿宋_GB2312" w:cs="仿宋_GB2312"/>
                <w:color w:val="auto"/>
                <w:sz w:val="24"/>
                <w:highlight w:val="none"/>
              </w:rPr>
              <w:t>）</w:t>
            </w:r>
          </w:p>
          <w:p w14:paraId="5A4EFD67">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信息安全保障人员认证证书（CISAW）</w:t>
            </w:r>
          </w:p>
          <w:p w14:paraId="518C8903">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网络工程师</w:t>
            </w:r>
          </w:p>
        </w:tc>
      </w:tr>
      <w:tr w14:paraId="7E9B0F59">
        <w:tblPrEx>
          <w:tblCellMar>
            <w:top w:w="0" w:type="dxa"/>
            <w:left w:w="108" w:type="dxa"/>
            <w:bottom w:w="0" w:type="dxa"/>
            <w:right w:w="108" w:type="dxa"/>
          </w:tblCellMar>
        </w:tblPrEx>
        <w:trPr>
          <w:trHeight w:val="1405" w:hRule="atLeast"/>
        </w:trPr>
        <w:tc>
          <w:tcPr>
            <w:tcW w:w="959" w:type="dxa"/>
            <w:tcBorders>
              <w:top w:val="single" w:color="auto" w:sz="4" w:space="0"/>
              <w:left w:val="single" w:color="auto" w:sz="4" w:space="0"/>
              <w:bottom w:val="single" w:color="auto" w:sz="4" w:space="0"/>
              <w:right w:val="single" w:color="auto" w:sz="4" w:space="0"/>
            </w:tcBorders>
            <w:vAlign w:val="center"/>
          </w:tcPr>
          <w:p w14:paraId="74CC1602">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技术负责人</w:t>
            </w:r>
          </w:p>
        </w:tc>
        <w:tc>
          <w:tcPr>
            <w:tcW w:w="714" w:type="dxa"/>
            <w:tcBorders>
              <w:top w:val="single" w:color="auto" w:sz="4" w:space="0"/>
              <w:left w:val="single" w:color="auto" w:sz="4" w:space="0"/>
              <w:bottom w:val="single" w:color="auto" w:sz="4" w:space="0"/>
              <w:right w:val="single" w:color="auto" w:sz="4" w:space="0"/>
            </w:tcBorders>
            <w:vAlign w:val="center"/>
          </w:tcPr>
          <w:p w14:paraId="7C96AA1D">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5DFA833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65B71AC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有5年及以上类似工作经验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6EA7692D">
            <w:pPr>
              <w:adjustRightInd w:val="0"/>
              <w:spacing w:line="360" w:lineRule="auto"/>
              <w:jc w:val="left"/>
              <w:textAlignment w:val="baseline"/>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注册信息安全工程师（CISE）</w:t>
            </w:r>
          </w:p>
          <w:p w14:paraId="2BA0FB94">
            <w:pPr>
              <w:adjustRightInd w:val="0"/>
              <w:spacing w:line="360" w:lineRule="auto"/>
              <w:jc w:val="left"/>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信息安全保障人员认证证书（CISAW）</w:t>
            </w:r>
          </w:p>
        </w:tc>
      </w:tr>
      <w:tr w14:paraId="1B7ADFA8">
        <w:tblPrEx>
          <w:tblCellMar>
            <w:top w:w="0" w:type="dxa"/>
            <w:left w:w="108" w:type="dxa"/>
            <w:bottom w:w="0" w:type="dxa"/>
            <w:right w:w="108" w:type="dxa"/>
          </w:tblCellMar>
        </w:tblPrEx>
        <w:trPr>
          <w:trHeight w:val="1405" w:hRule="atLeast"/>
        </w:trPr>
        <w:tc>
          <w:tcPr>
            <w:tcW w:w="959" w:type="dxa"/>
            <w:tcBorders>
              <w:top w:val="single" w:color="auto" w:sz="4" w:space="0"/>
              <w:left w:val="single" w:color="auto" w:sz="4" w:space="0"/>
              <w:bottom w:val="single" w:color="auto" w:sz="4" w:space="0"/>
              <w:right w:val="single" w:color="auto" w:sz="4" w:space="0"/>
            </w:tcBorders>
            <w:vAlign w:val="center"/>
          </w:tcPr>
          <w:p w14:paraId="0FFFAD7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项目</w:t>
            </w:r>
          </w:p>
          <w:p w14:paraId="2716CFEE">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人员</w:t>
            </w:r>
          </w:p>
        </w:tc>
        <w:tc>
          <w:tcPr>
            <w:tcW w:w="714" w:type="dxa"/>
            <w:tcBorders>
              <w:top w:val="single" w:color="auto" w:sz="4" w:space="0"/>
              <w:left w:val="single" w:color="auto" w:sz="4" w:space="0"/>
              <w:bottom w:val="single" w:color="auto" w:sz="4" w:space="0"/>
              <w:right w:val="single" w:color="auto" w:sz="4" w:space="0"/>
            </w:tcBorders>
            <w:vAlign w:val="center"/>
          </w:tcPr>
          <w:p w14:paraId="02F7FA7F">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6</w:t>
            </w:r>
          </w:p>
        </w:tc>
        <w:tc>
          <w:tcPr>
            <w:tcW w:w="1352" w:type="dxa"/>
            <w:tcBorders>
              <w:top w:val="single" w:color="auto" w:sz="4" w:space="0"/>
              <w:left w:val="single" w:color="auto" w:sz="4" w:space="0"/>
              <w:bottom w:val="single" w:color="auto" w:sz="4" w:space="0"/>
              <w:right w:val="single" w:color="auto" w:sz="4" w:space="0"/>
            </w:tcBorders>
            <w:vAlign w:val="center"/>
          </w:tcPr>
          <w:p w14:paraId="63CAA07A">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2A0B0777">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有5年及以上类似工作经验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171BBC48">
            <w:pPr>
              <w:adjustRightInd w:val="0"/>
              <w:spacing w:line="360" w:lineRule="auto"/>
              <w:jc w:val="left"/>
              <w:textAlignment w:val="baseline"/>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信息系统项目管理师（高级）</w:t>
            </w:r>
          </w:p>
          <w:p w14:paraId="0AE05F6C">
            <w:pPr>
              <w:adjustRightInd w:val="0"/>
              <w:spacing w:line="360" w:lineRule="auto"/>
              <w:jc w:val="left"/>
              <w:textAlignment w:val="baseline"/>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系统分析师证书</w:t>
            </w:r>
          </w:p>
          <w:p w14:paraId="0EAB903B">
            <w:pPr>
              <w:adjustRightInd w:val="0"/>
              <w:spacing w:line="360" w:lineRule="auto"/>
              <w:jc w:val="left"/>
              <w:textAlignment w:val="baseline"/>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szCs w:val="24"/>
                <w:highlight w:val="none"/>
              </w:rPr>
              <w:t>系统架构设计师证书</w:t>
            </w:r>
          </w:p>
        </w:tc>
      </w:tr>
    </w:tbl>
    <w:p w14:paraId="7138AD87">
      <w:pPr>
        <w:rPr>
          <w:rFonts w:ascii="Times New Roman" w:hAnsi="Times New Roman" w:eastAsia="宋体" w:cs="Times New Roman"/>
          <w:color w:val="auto"/>
          <w:highlight w:val="none"/>
        </w:rPr>
      </w:pPr>
    </w:p>
    <w:p w14:paraId="08F81107">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p>
    <w:p w14:paraId="2CF62A18">
      <w:pPr>
        <w:rPr>
          <w:rFonts w:ascii="Times New Roman" w:hAnsi="Times New Roman" w:eastAsia="宋体" w:cs="Times New Roman"/>
          <w:color w:val="auto"/>
          <w:highlight w:val="none"/>
        </w:rPr>
      </w:pPr>
    </w:p>
    <w:p w14:paraId="2367AEEE">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p>
    <w:p w14:paraId="483E6C6C">
      <w:pPr>
        <w:rPr>
          <w:rFonts w:ascii="Times New Roman" w:hAnsi="Times New Roman" w:eastAsia="宋体" w:cs="Times New Roman"/>
          <w:color w:val="auto"/>
          <w:highlight w:val="none"/>
        </w:rPr>
      </w:pPr>
    </w:p>
    <w:p w14:paraId="16014E2A">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p>
    <w:p w14:paraId="29D20FC8">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r>
        <w:rPr>
          <w:rFonts w:hint="eastAsia" w:ascii="宋体" w:hAnsi="Times New Roman" w:eastAsia="宋体" w:cs="Times New Roman"/>
          <w:b/>
          <w:color w:val="auto"/>
          <w:kern w:val="44"/>
          <w:sz w:val="32"/>
          <w:szCs w:val="20"/>
          <w:highlight w:val="none"/>
          <w:lang w:val="en-US" w:eastAsia="zh-CN" w:bidi="ar-SA"/>
        </w:rPr>
        <w:t>政务云服务三包</w:t>
      </w:r>
    </w:p>
    <w:p w14:paraId="10D9A1DA">
      <w:pPr>
        <w:rPr>
          <w:rFonts w:ascii="Times New Roman" w:hAnsi="Times New Roman" w:eastAsia="宋体" w:cs="Times New Roman"/>
          <w:color w:val="auto"/>
          <w:highlight w:val="none"/>
        </w:rPr>
      </w:pPr>
    </w:p>
    <w:p w14:paraId="776EBB4C">
      <w:pPr>
        <w:keepNext/>
        <w:keepLines/>
        <w:numPr>
          <w:ilvl w:val="0"/>
          <w:numId w:val="7"/>
        </w:numPr>
        <w:tabs>
          <w:tab w:val="left" w:pos="360"/>
        </w:tabs>
        <w:snapToGrid w:val="0"/>
        <w:spacing w:before="160" w:after="80" w:line="360" w:lineRule="auto"/>
        <w:ind w:left="900" w:hanging="900"/>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采购标的</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473"/>
        <w:gridCol w:w="1947"/>
      </w:tblGrid>
      <w:tr w14:paraId="1471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13A7FC70">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序号</w:t>
            </w:r>
          </w:p>
        </w:tc>
        <w:tc>
          <w:tcPr>
            <w:tcW w:w="2343" w:type="dxa"/>
            <w:vAlign w:val="center"/>
          </w:tcPr>
          <w:p w14:paraId="2C609864">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货物或服务名称</w:t>
            </w:r>
          </w:p>
        </w:tc>
        <w:tc>
          <w:tcPr>
            <w:tcW w:w="1702" w:type="dxa"/>
            <w:vAlign w:val="center"/>
          </w:tcPr>
          <w:p w14:paraId="5831796E">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数量</w:t>
            </w:r>
          </w:p>
        </w:tc>
        <w:tc>
          <w:tcPr>
            <w:tcW w:w="1473" w:type="dxa"/>
            <w:vAlign w:val="center"/>
          </w:tcPr>
          <w:p w14:paraId="12E2D521">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单位</w:t>
            </w:r>
          </w:p>
        </w:tc>
        <w:tc>
          <w:tcPr>
            <w:tcW w:w="1947" w:type="dxa"/>
            <w:vAlign w:val="center"/>
          </w:tcPr>
          <w:p w14:paraId="03833BD8">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最高限价（万元）</w:t>
            </w:r>
          </w:p>
        </w:tc>
      </w:tr>
      <w:tr w14:paraId="555C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7D8F71AF">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343" w:type="dxa"/>
            <w:vAlign w:val="center"/>
          </w:tcPr>
          <w:p w14:paraId="6C76FF7B">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政务云服务三包</w:t>
            </w:r>
          </w:p>
        </w:tc>
        <w:tc>
          <w:tcPr>
            <w:tcW w:w="1702" w:type="dxa"/>
            <w:vAlign w:val="center"/>
          </w:tcPr>
          <w:p w14:paraId="39F5DFA7">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73" w:type="dxa"/>
            <w:vAlign w:val="center"/>
          </w:tcPr>
          <w:p w14:paraId="157FAC23">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1947" w:type="dxa"/>
            <w:vAlign w:val="center"/>
          </w:tcPr>
          <w:p w14:paraId="549C6CDD">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Times New Roman"/>
                <w:bCs/>
                <w:color w:val="auto"/>
                <w:kern w:val="2"/>
                <w:sz w:val="24"/>
                <w:szCs w:val="21"/>
                <w:highlight w:val="none"/>
                <w:lang w:val="en-US" w:eastAsia="zh-CN" w:bidi="ar-SA"/>
              </w:rPr>
              <w:t>1362.899678</w:t>
            </w:r>
          </w:p>
        </w:tc>
      </w:tr>
    </w:tbl>
    <w:p w14:paraId="70131DD9">
      <w:pPr>
        <w:spacing w:line="360" w:lineRule="auto"/>
        <w:rPr>
          <w:rFonts w:ascii="宋体" w:hAnsi="宋体" w:eastAsia="宋体" w:cs="宋体"/>
          <w:color w:val="auto"/>
          <w:sz w:val="24"/>
          <w:highlight w:val="none"/>
        </w:rPr>
      </w:pPr>
    </w:p>
    <w:p w14:paraId="53D7F9BF">
      <w:pPr>
        <w:keepNext/>
        <w:keepLines/>
        <w:numPr>
          <w:ilvl w:val="0"/>
          <w:numId w:val="7"/>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b/>
          <w:color w:val="auto"/>
          <w:sz w:val="24"/>
          <w:highlight w:val="none"/>
        </w:rPr>
        <w:t>项目背景</w:t>
      </w:r>
    </w:p>
    <w:p w14:paraId="1FFBD28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贯彻落实北京市经济和信息化局《关于印发〈北京市市级政务云管理办法〉的通知》（京经信委函〔2019〕150号）的要求，我中心现有北京市卫生健康委人力资源管理系统、北京市卫生考试考务系统、卫生计生经济指标平台等业务系统已部署至市级政务云。</w:t>
      </w:r>
      <w:r>
        <w:rPr>
          <w:rFonts w:hint="eastAsia" w:ascii="宋体" w:hAnsi="宋体" w:eastAsia="宋体" w:cs="宋体"/>
          <w:bCs/>
          <w:color w:val="auto"/>
          <w:sz w:val="24"/>
          <w:highlight w:val="none"/>
        </w:rPr>
        <w:t>为有效保障我中心各业务系统的稳定运行，充分发挥政务云弹性伸缩、服务灵活的优势，我中心</w:t>
      </w:r>
      <w:r>
        <w:rPr>
          <w:rFonts w:hint="eastAsia" w:ascii="宋体" w:hAnsi="宋体" w:eastAsia="宋体" w:cs="宋体"/>
          <w:color w:val="auto"/>
          <w:sz w:val="24"/>
          <w:highlight w:val="none"/>
        </w:rPr>
        <w:t>继续租用北京市级政务云基础服务及扩展服务，</w:t>
      </w:r>
      <w:r>
        <w:rPr>
          <w:rFonts w:hint="eastAsia" w:ascii="宋体" w:hAnsi="宋体" w:eastAsia="宋体" w:cs="宋体"/>
          <w:bCs/>
          <w:color w:val="auto"/>
          <w:sz w:val="24"/>
          <w:highlight w:val="none"/>
        </w:rPr>
        <w:t>为入云各业务系统提供动态灵活、安全可靠的政务云服务保障</w:t>
      </w:r>
      <w:r>
        <w:rPr>
          <w:rFonts w:hint="eastAsia" w:ascii="宋体" w:hAnsi="宋体" w:eastAsia="宋体" w:cs="宋体"/>
          <w:color w:val="auto"/>
          <w:sz w:val="24"/>
          <w:highlight w:val="none"/>
        </w:rPr>
        <w:t>。</w:t>
      </w:r>
    </w:p>
    <w:p w14:paraId="2560B755">
      <w:pPr>
        <w:tabs>
          <w:tab w:val="left" w:pos="360"/>
          <w:tab w:val="left" w:pos="900"/>
        </w:tabs>
        <w:snapToGrid w:val="0"/>
        <w:spacing w:line="360" w:lineRule="auto"/>
        <w:jc w:val="center"/>
        <w:outlineLvl w:val="1"/>
        <w:rPr>
          <w:rFonts w:ascii="Times New Roman" w:hAnsi="Times New Roman" w:eastAsia="宋体" w:cs="Times New Roman"/>
          <w:b/>
          <w:color w:val="auto"/>
          <w:highlight w:val="none"/>
        </w:rPr>
      </w:pPr>
      <w:r>
        <w:rPr>
          <w:rFonts w:hint="eastAsia" w:ascii="Times New Roman" w:hAnsi="Times New Roman" w:eastAsia="宋体" w:cs="Times New Roman"/>
          <w:b/>
          <w:color w:val="auto"/>
          <w:sz w:val="24"/>
          <w:highlight w:val="none"/>
        </w:rPr>
        <w:t>二</w:t>
      </w:r>
      <w:r>
        <w:rPr>
          <w:rFonts w:ascii="Times New Roman" w:hAnsi="Times New Roman" w:eastAsia="宋体" w:cs="Times New Roman"/>
          <w:b/>
          <w:color w:val="auto"/>
          <w:sz w:val="24"/>
          <w:highlight w:val="none"/>
        </w:rPr>
        <w:t>、</w:t>
      </w:r>
      <w:r>
        <w:rPr>
          <w:rFonts w:hint="eastAsia" w:ascii="Times New Roman" w:hAnsi="Times New Roman" w:eastAsia="宋体" w:cs="Times New Roman"/>
          <w:b/>
          <w:color w:val="auto"/>
          <w:sz w:val="24"/>
          <w:highlight w:val="none"/>
        </w:rPr>
        <w:t>商务要求</w:t>
      </w:r>
    </w:p>
    <w:p w14:paraId="29CA3053">
      <w:pPr>
        <w:keepNext/>
        <w:keepLines/>
        <w:numPr>
          <w:ilvl w:val="0"/>
          <w:numId w:val="8"/>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交付的时间和地点</w:t>
      </w:r>
    </w:p>
    <w:p w14:paraId="649CA5E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服务周期：</w:t>
      </w:r>
      <w:r>
        <w:rPr>
          <w:rFonts w:ascii="宋体" w:hAnsi="宋体" w:eastAsia="宋体" w:cs="宋体"/>
          <w:color w:val="auto"/>
          <w:sz w:val="24"/>
          <w:highlight w:val="none"/>
        </w:rPr>
        <w:t>12</w:t>
      </w:r>
      <w:r>
        <w:rPr>
          <w:rFonts w:hint="eastAsia" w:ascii="宋体" w:hAnsi="宋体" w:eastAsia="宋体" w:cs="宋体"/>
          <w:color w:val="auto"/>
          <w:sz w:val="24"/>
          <w:highlight w:val="none"/>
        </w:rPr>
        <w:t>个月。</w:t>
      </w:r>
    </w:p>
    <w:p w14:paraId="7BBFF7D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交付地点：北京市市级政务云机房。</w:t>
      </w:r>
    </w:p>
    <w:p w14:paraId="2E0A93B4">
      <w:pPr>
        <w:keepNext/>
        <w:keepLines/>
        <w:numPr>
          <w:ilvl w:val="0"/>
          <w:numId w:val="8"/>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付款条件（进度和方式）</w:t>
      </w:r>
    </w:p>
    <w:p w14:paraId="0D157CDE">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bCs/>
          <w:color w:val="auto"/>
          <w:sz w:val="24"/>
          <w:highlight w:val="none"/>
        </w:rPr>
        <w:t>采购人待合同签署生效且财政资金拨付到位后，于20个工作日内支付合同首款（合同额50%）；服务期结束且项目通过验收后，待财政资金拨付到位，采购人支付合同尾款（合同额50%）。</w:t>
      </w:r>
    </w:p>
    <w:p w14:paraId="0B71C4E0">
      <w:pPr>
        <w:tabs>
          <w:tab w:val="left" w:pos="360"/>
          <w:tab w:val="left" w:pos="900"/>
        </w:tabs>
        <w:snapToGrid w:val="0"/>
        <w:spacing w:line="360" w:lineRule="auto"/>
        <w:jc w:val="center"/>
        <w:outlineLvl w:val="1"/>
        <w:rPr>
          <w:rFonts w:ascii="Times New Roman" w:hAnsi="Times New Roman" w:eastAsia="宋体" w:cs="Times New Roman"/>
          <w:color w:val="auto"/>
          <w:sz w:val="24"/>
          <w:highlight w:val="none"/>
        </w:rPr>
      </w:pPr>
      <w:r>
        <w:rPr>
          <w:rFonts w:hint="eastAsia" w:ascii="Times New Roman" w:hAnsi="Times New Roman" w:eastAsia="宋体" w:cs="Times New Roman"/>
          <w:b/>
          <w:color w:val="auto"/>
          <w:sz w:val="24"/>
          <w:highlight w:val="none"/>
        </w:rPr>
        <w:t>三、技术要求</w:t>
      </w:r>
    </w:p>
    <w:p w14:paraId="7CAF4EFA">
      <w:pPr>
        <w:keepNext/>
        <w:keepLines/>
        <w:numPr>
          <w:ilvl w:val="0"/>
          <w:numId w:val="9"/>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基本要求</w:t>
      </w:r>
    </w:p>
    <w:p w14:paraId="10D1CD6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了巩固前期工作成果，保障我中心现有各业务系统的正常运行，同时确保业务数据高效、安全、可靠地连接，提升信息化水平，实现业务系统安全稳定运行，营造网络信任空间环境，本项目继续租用北京市级政务云计算服务、存储服务、网络服务。</w:t>
      </w:r>
    </w:p>
    <w:p w14:paraId="65EDD803">
      <w:pPr>
        <w:keepNext/>
        <w:keepLines/>
        <w:numPr>
          <w:ilvl w:val="0"/>
          <w:numId w:val="9"/>
        </w:numPr>
        <w:tabs>
          <w:tab w:val="left" w:pos="360"/>
        </w:tabs>
        <w:snapToGrid w:val="0"/>
        <w:spacing w:before="160" w:after="80" w:line="360" w:lineRule="auto"/>
        <w:ind w:left="900" w:hanging="900"/>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服务内容及要求</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23"/>
        <w:gridCol w:w="1289"/>
        <w:gridCol w:w="2749"/>
        <w:gridCol w:w="938"/>
        <w:gridCol w:w="1056"/>
        <w:gridCol w:w="936"/>
      </w:tblGrid>
      <w:tr w14:paraId="0ED7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5879DCA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23" w:type="dxa"/>
            <w:shd w:val="clear" w:color="auto" w:fill="auto"/>
            <w:vAlign w:val="center"/>
          </w:tcPr>
          <w:p w14:paraId="307110A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服务类别</w:t>
            </w:r>
          </w:p>
        </w:tc>
        <w:tc>
          <w:tcPr>
            <w:tcW w:w="1289" w:type="dxa"/>
            <w:shd w:val="clear" w:color="auto" w:fill="auto"/>
            <w:vAlign w:val="center"/>
          </w:tcPr>
          <w:p w14:paraId="731DC31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2749" w:type="dxa"/>
            <w:shd w:val="clear" w:color="auto" w:fill="auto"/>
            <w:vAlign w:val="center"/>
          </w:tcPr>
          <w:p w14:paraId="1B75DFD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服务描述</w:t>
            </w:r>
          </w:p>
        </w:tc>
        <w:tc>
          <w:tcPr>
            <w:tcW w:w="938" w:type="dxa"/>
            <w:shd w:val="clear" w:color="auto" w:fill="auto"/>
            <w:noWrap/>
            <w:vAlign w:val="center"/>
          </w:tcPr>
          <w:p w14:paraId="7E1FB90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计费单位</w:t>
            </w:r>
          </w:p>
        </w:tc>
        <w:tc>
          <w:tcPr>
            <w:tcW w:w="1056" w:type="dxa"/>
            <w:shd w:val="clear" w:color="auto" w:fill="auto"/>
            <w:noWrap/>
            <w:vAlign w:val="center"/>
          </w:tcPr>
          <w:p w14:paraId="2F4A371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36" w:type="dxa"/>
            <w:shd w:val="clear" w:color="auto" w:fill="auto"/>
            <w:vAlign w:val="center"/>
          </w:tcPr>
          <w:p w14:paraId="24173BA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租用期限（月）</w:t>
            </w:r>
          </w:p>
        </w:tc>
      </w:tr>
      <w:tr w14:paraId="54A2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8FB5FE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723" w:type="dxa"/>
            <w:vMerge w:val="restart"/>
            <w:shd w:val="clear" w:color="auto" w:fill="auto"/>
            <w:vAlign w:val="center"/>
          </w:tcPr>
          <w:p w14:paraId="5992F10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计算服务</w:t>
            </w:r>
          </w:p>
        </w:tc>
        <w:tc>
          <w:tcPr>
            <w:tcW w:w="1289" w:type="dxa"/>
            <w:vMerge w:val="restart"/>
            <w:shd w:val="clear" w:color="auto" w:fill="auto"/>
            <w:vAlign w:val="center"/>
          </w:tcPr>
          <w:p w14:paraId="62A1D64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平台云主机服务（包含X86、ARM、C86）</w:t>
            </w:r>
          </w:p>
        </w:tc>
        <w:tc>
          <w:tcPr>
            <w:tcW w:w="2749" w:type="dxa"/>
            <w:shd w:val="clear" w:color="auto" w:fill="auto"/>
            <w:noWrap/>
            <w:vAlign w:val="center"/>
          </w:tcPr>
          <w:p w14:paraId="5AB7AC7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vCPU（vCPU ARM架构主频不低于2.4GHz，C86和x86主频不低于2.2GHz，平均虚拟化率，即物理CPU/虚拟CPU≥1/4，虚拟CPU利用率不低于物理CPU的25% ）</w:t>
            </w:r>
          </w:p>
        </w:tc>
        <w:tc>
          <w:tcPr>
            <w:tcW w:w="938" w:type="dxa"/>
            <w:shd w:val="clear" w:color="auto" w:fill="auto"/>
            <w:noWrap/>
            <w:vAlign w:val="center"/>
          </w:tcPr>
          <w:p w14:paraId="4617A56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CPU/月</w:t>
            </w:r>
          </w:p>
        </w:tc>
        <w:tc>
          <w:tcPr>
            <w:tcW w:w="1056" w:type="dxa"/>
            <w:shd w:val="clear" w:color="auto" w:fill="auto"/>
            <w:noWrap/>
            <w:vAlign w:val="center"/>
          </w:tcPr>
          <w:p w14:paraId="06DCBD3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2183</w:t>
            </w:r>
          </w:p>
        </w:tc>
        <w:tc>
          <w:tcPr>
            <w:tcW w:w="936" w:type="dxa"/>
            <w:shd w:val="clear" w:color="auto" w:fill="auto"/>
            <w:noWrap/>
            <w:vAlign w:val="center"/>
          </w:tcPr>
          <w:p w14:paraId="1E1407B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174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0F03F9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723" w:type="dxa"/>
            <w:vMerge w:val="continue"/>
            <w:vAlign w:val="center"/>
          </w:tcPr>
          <w:p w14:paraId="366F4F31">
            <w:pPr>
              <w:widowControl/>
              <w:rPr>
                <w:rFonts w:ascii="宋体" w:hAnsi="宋体" w:eastAsia="宋体" w:cs="宋体"/>
                <w:color w:val="auto"/>
                <w:sz w:val="24"/>
                <w:highlight w:val="none"/>
              </w:rPr>
            </w:pPr>
          </w:p>
        </w:tc>
        <w:tc>
          <w:tcPr>
            <w:tcW w:w="1289" w:type="dxa"/>
            <w:vMerge w:val="continue"/>
            <w:vAlign w:val="center"/>
          </w:tcPr>
          <w:p w14:paraId="410923C9">
            <w:pPr>
              <w:widowControl/>
              <w:jc w:val="center"/>
              <w:rPr>
                <w:rFonts w:ascii="宋体" w:hAnsi="宋体" w:eastAsia="宋体" w:cs="宋体"/>
                <w:color w:val="auto"/>
                <w:sz w:val="24"/>
                <w:highlight w:val="none"/>
              </w:rPr>
            </w:pPr>
          </w:p>
        </w:tc>
        <w:tc>
          <w:tcPr>
            <w:tcW w:w="2749" w:type="dxa"/>
            <w:shd w:val="clear" w:color="auto" w:fill="auto"/>
            <w:noWrap/>
            <w:vAlign w:val="center"/>
          </w:tcPr>
          <w:p w14:paraId="04320C1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内存</w:t>
            </w:r>
          </w:p>
        </w:tc>
        <w:tc>
          <w:tcPr>
            <w:tcW w:w="938" w:type="dxa"/>
            <w:shd w:val="clear" w:color="auto" w:fill="auto"/>
            <w:noWrap/>
            <w:vAlign w:val="center"/>
          </w:tcPr>
          <w:p w14:paraId="0777D27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GB/月</w:t>
            </w:r>
          </w:p>
        </w:tc>
        <w:tc>
          <w:tcPr>
            <w:tcW w:w="1056" w:type="dxa"/>
            <w:shd w:val="clear" w:color="auto" w:fill="auto"/>
            <w:noWrap/>
            <w:vAlign w:val="center"/>
          </w:tcPr>
          <w:p w14:paraId="3AC8B2A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6209</w:t>
            </w:r>
          </w:p>
        </w:tc>
        <w:tc>
          <w:tcPr>
            <w:tcW w:w="936" w:type="dxa"/>
            <w:shd w:val="clear" w:color="auto" w:fill="auto"/>
            <w:noWrap/>
            <w:vAlign w:val="center"/>
          </w:tcPr>
          <w:p w14:paraId="3291182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B3D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5" w:type="dxa"/>
            <w:shd w:val="clear" w:color="auto" w:fill="auto"/>
            <w:noWrap/>
            <w:vAlign w:val="center"/>
          </w:tcPr>
          <w:p w14:paraId="463F22D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723" w:type="dxa"/>
            <w:vMerge w:val="continue"/>
            <w:vAlign w:val="center"/>
          </w:tcPr>
          <w:p w14:paraId="6E6E703C">
            <w:pPr>
              <w:widowControl/>
              <w:rPr>
                <w:rFonts w:ascii="宋体" w:hAnsi="宋体" w:eastAsia="宋体" w:cs="宋体"/>
                <w:color w:val="auto"/>
                <w:sz w:val="24"/>
                <w:highlight w:val="none"/>
              </w:rPr>
            </w:pPr>
          </w:p>
        </w:tc>
        <w:tc>
          <w:tcPr>
            <w:tcW w:w="1289" w:type="dxa"/>
            <w:shd w:val="clear" w:color="auto" w:fill="auto"/>
            <w:vAlign w:val="center"/>
          </w:tcPr>
          <w:p w14:paraId="194F543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物理服务器租用服务（包含X86、ARM、C86）</w:t>
            </w:r>
          </w:p>
        </w:tc>
        <w:tc>
          <w:tcPr>
            <w:tcW w:w="2749" w:type="dxa"/>
            <w:shd w:val="clear" w:color="auto" w:fill="auto"/>
            <w:vAlign w:val="center"/>
          </w:tcPr>
          <w:p w14:paraId="46B75B4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配置1：双路每CPU核数≥32核，主频≥2.0GHz，128G内存，2块600GSAS硕盘，2个HBA卡，2个万兆端口</w:t>
            </w:r>
          </w:p>
        </w:tc>
        <w:tc>
          <w:tcPr>
            <w:tcW w:w="938" w:type="dxa"/>
            <w:shd w:val="clear" w:color="auto" w:fill="auto"/>
            <w:noWrap/>
            <w:vAlign w:val="center"/>
          </w:tcPr>
          <w:p w14:paraId="4FC62A7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30AA073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936" w:type="dxa"/>
            <w:shd w:val="clear" w:color="auto" w:fill="auto"/>
            <w:noWrap/>
            <w:vAlign w:val="center"/>
          </w:tcPr>
          <w:p w14:paraId="228305A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67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5" w:type="dxa"/>
            <w:shd w:val="clear" w:color="auto" w:fill="auto"/>
            <w:noWrap/>
            <w:vAlign w:val="center"/>
          </w:tcPr>
          <w:p w14:paraId="5C0AF9D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723" w:type="dxa"/>
            <w:vMerge w:val="continue"/>
            <w:vAlign w:val="center"/>
          </w:tcPr>
          <w:p w14:paraId="208A8314">
            <w:pPr>
              <w:widowControl/>
              <w:rPr>
                <w:rFonts w:ascii="宋体" w:hAnsi="宋体" w:eastAsia="宋体" w:cs="宋体"/>
                <w:color w:val="auto"/>
                <w:sz w:val="24"/>
                <w:highlight w:val="none"/>
              </w:rPr>
            </w:pPr>
          </w:p>
        </w:tc>
        <w:tc>
          <w:tcPr>
            <w:tcW w:w="1289" w:type="dxa"/>
            <w:vMerge w:val="restart"/>
            <w:shd w:val="clear" w:color="auto" w:fill="auto"/>
            <w:vAlign w:val="center"/>
          </w:tcPr>
          <w:p w14:paraId="685FBB5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GPU卡算力服务（适配X86、ARM、C86）</w:t>
            </w:r>
          </w:p>
        </w:tc>
        <w:tc>
          <w:tcPr>
            <w:tcW w:w="2749" w:type="dxa"/>
            <w:shd w:val="clear" w:color="auto" w:fill="auto"/>
            <w:vAlign w:val="center"/>
          </w:tcPr>
          <w:p w14:paraId="6C26811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GPU显存（需同时租用算力资源、云主机或物理服务器资源，联合使用）</w:t>
            </w:r>
          </w:p>
        </w:tc>
        <w:tc>
          <w:tcPr>
            <w:tcW w:w="938" w:type="dxa"/>
            <w:shd w:val="clear" w:color="auto" w:fill="auto"/>
            <w:noWrap/>
            <w:vAlign w:val="center"/>
          </w:tcPr>
          <w:p w14:paraId="4263E2E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GB/月</w:t>
            </w:r>
          </w:p>
        </w:tc>
        <w:tc>
          <w:tcPr>
            <w:tcW w:w="1056" w:type="dxa"/>
            <w:shd w:val="clear" w:color="auto" w:fill="auto"/>
            <w:noWrap/>
            <w:vAlign w:val="center"/>
          </w:tcPr>
          <w:p w14:paraId="446FDDD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80</w:t>
            </w:r>
          </w:p>
        </w:tc>
        <w:tc>
          <w:tcPr>
            <w:tcW w:w="936" w:type="dxa"/>
            <w:shd w:val="clear" w:color="auto" w:fill="auto"/>
            <w:noWrap/>
            <w:vAlign w:val="center"/>
          </w:tcPr>
          <w:p w14:paraId="26A657C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DB2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5" w:type="dxa"/>
            <w:shd w:val="clear" w:color="auto" w:fill="auto"/>
            <w:noWrap/>
            <w:vAlign w:val="center"/>
          </w:tcPr>
          <w:p w14:paraId="55F5021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723" w:type="dxa"/>
            <w:vMerge w:val="continue"/>
            <w:vAlign w:val="center"/>
          </w:tcPr>
          <w:p w14:paraId="1C3B404A">
            <w:pPr>
              <w:widowControl/>
              <w:rPr>
                <w:rFonts w:ascii="宋体" w:hAnsi="宋体" w:eastAsia="宋体" w:cs="宋体"/>
                <w:color w:val="auto"/>
                <w:sz w:val="24"/>
                <w:highlight w:val="none"/>
              </w:rPr>
            </w:pPr>
          </w:p>
        </w:tc>
        <w:tc>
          <w:tcPr>
            <w:tcW w:w="1289" w:type="dxa"/>
            <w:vMerge w:val="continue"/>
            <w:shd w:val="clear" w:color="auto" w:fill="auto"/>
            <w:vAlign w:val="center"/>
          </w:tcPr>
          <w:p w14:paraId="29AEE569">
            <w:pPr>
              <w:widowControl/>
              <w:jc w:val="center"/>
              <w:rPr>
                <w:rFonts w:ascii="宋体" w:hAnsi="宋体" w:eastAsia="宋体" w:cs="宋体"/>
                <w:color w:val="auto"/>
                <w:sz w:val="24"/>
                <w:highlight w:val="none"/>
              </w:rPr>
            </w:pPr>
          </w:p>
        </w:tc>
        <w:tc>
          <w:tcPr>
            <w:tcW w:w="2749" w:type="dxa"/>
            <w:shd w:val="clear" w:color="auto" w:fill="auto"/>
            <w:vAlign w:val="center"/>
          </w:tcPr>
          <w:p w14:paraId="4795334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半精度浮点运算能力（需同时租用GPU显存、云主机或物理服务器资源，联合使用）</w:t>
            </w:r>
          </w:p>
        </w:tc>
        <w:tc>
          <w:tcPr>
            <w:tcW w:w="938" w:type="dxa"/>
            <w:shd w:val="clear" w:color="auto" w:fill="auto"/>
            <w:noWrap/>
            <w:vAlign w:val="center"/>
          </w:tcPr>
          <w:p w14:paraId="57BF45C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TFLOPS/月</w:t>
            </w:r>
          </w:p>
        </w:tc>
        <w:tc>
          <w:tcPr>
            <w:tcW w:w="1056" w:type="dxa"/>
            <w:shd w:val="clear" w:color="auto" w:fill="auto"/>
            <w:noWrap/>
            <w:vAlign w:val="center"/>
          </w:tcPr>
          <w:p w14:paraId="7126CC8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29</w:t>
            </w:r>
          </w:p>
        </w:tc>
        <w:tc>
          <w:tcPr>
            <w:tcW w:w="936" w:type="dxa"/>
            <w:shd w:val="clear" w:color="auto" w:fill="auto"/>
            <w:noWrap/>
            <w:vAlign w:val="center"/>
          </w:tcPr>
          <w:p w14:paraId="794D498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BA2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5" w:type="dxa"/>
            <w:shd w:val="clear" w:color="auto" w:fill="auto"/>
            <w:noWrap/>
            <w:vAlign w:val="center"/>
          </w:tcPr>
          <w:p w14:paraId="20CAE5F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723" w:type="dxa"/>
            <w:vMerge w:val="continue"/>
            <w:vAlign w:val="center"/>
          </w:tcPr>
          <w:p w14:paraId="26980BD0">
            <w:pPr>
              <w:widowControl/>
              <w:rPr>
                <w:rFonts w:ascii="宋体" w:hAnsi="宋体" w:eastAsia="宋体" w:cs="宋体"/>
                <w:color w:val="auto"/>
                <w:sz w:val="24"/>
                <w:highlight w:val="none"/>
              </w:rPr>
            </w:pPr>
          </w:p>
        </w:tc>
        <w:tc>
          <w:tcPr>
            <w:tcW w:w="1289" w:type="dxa"/>
            <w:vMerge w:val="restart"/>
            <w:shd w:val="clear" w:color="auto" w:fill="auto"/>
            <w:vAlign w:val="center"/>
          </w:tcPr>
          <w:p w14:paraId="338B05D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物理服务器增配服务（包含X86、ARM、C86）</w:t>
            </w:r>
          </w:p>
        </w:tc>
        <w:tc>
          <w:tcPr>
            <w:tcW w:w="2749" w:type="dxa"/>
            <w:shd w:val="clear" w:color="auto" w:fill="auto"/>
            <w:vAlign w:val="center"/>
          </w:tcPr>
          <w:p w14:paraId="117529D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内存-32GB内存</w:t>
            </w:r>
          </w:p>
        </w:tc>
        <w:tc>
          <w:tcPr>
            <w:tcW w:w="938" w:type="dxa"/>
            <w:shd w:val="clear" w:color="auto" w:fill="auto"/>
            <w:noWrap/>
            <w:vAlign w:val="center"/>
          </w:tcPr>
          <w:p w14:paraId="7EAB1CD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条/月</w:t>
            </w:r>
          </w:p>
        </w:tc>
        <w:tc>
          <w:tcPr>
            <w:tcW w:w="1056" w:type="dxa"/>
            <w:shd w:val="clear" w:color="auto" w:fill="auto"/>
            <w:noWrap/>
            <w:vAlign w:val="center"/>
          </w:tcPr>
          <w:p w14:paraId="74EE026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86</w:t>
            </w:r>
          </w:p>
        </w:tc>
        <w:tc>
          <w:tcPr>
            <w:tcW w:w="936" w:type="dxa"/>
            <w:shd w:val="clear" w:color="auto" w:fill="auto"/>
            <w:noWrap/>
            <w:vAlign w:val="center"/>
          </w:tcPr>
          <w:p w14:paraId="343BB06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6D1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5" w:type="dxa"/>
            <w:shd w:val="clear" w:color="auto" w:fill="auto"/>
            <w:noWrap/>
            <w:vAlign w:val="center"/>
          </w:tcPr>
          <w:p w14:paraId="00ADA4E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723" w:type="dxa"/>
            <w:vMerge w:val="continue"/>
            <w:vAlign w:val="center"/>
          </w:tcPr>
          <w:p w14:paraId="76759DEA">
            <w:pPr>
              <w:widowControl/>
              <w:rPr>
                <w:rFonts w:ascii="宋体" w:hAnsi="宋体" w:eastAsia="宋体" w:cs="宋体"/>
                <w:color w:val="auto"/>
                <w:sz w:val="24"/>
                <w:highlight w:val="none"/>
              </w:rPr>
            </w:pPr>
          </w:p>
        </w:tc>
        <w:tc>
          <w:tcPr>
            <w:tcW w:w="1289" w:type="dxa"/>
            <w:vMerge w:val="continue"/>
            <w:shd w:val="clear" w:color="auto" w:fill="auto"/>
            <w:vAlign w:val="center"/>
          </w:tcPr>
          <w:p w14:paraId="4F19C6C2">
            <w:pPr>
              <w:widowControl/>
              <w:jc w:val="center"/>
              <w:rPr>
                <w:rFonts w:ascii="宋体" w:hAnsi="宋体" w:eastAsia="宋体" w:cs="宋体"/>
                <w:color w:val="auto"/>
                <w:sz w:val="24"/>
                <w:highlight w:val="none"/>
              </w:rPr>
            </w:pPr>
          </w:p>
        </w:tc>
        <w:tc>
          <w:tcPr>
            <w:tcW w:w="2749" w:type="dxa"/>
            <w:shd w:val="clear" w:color="auto" w:fill="auto"/>
            <w:vAlign w:val="center"/>
          </w:tcPr>
          <w:p w14:paraId="55E62EF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硬盘配置1-480GBSSD</w:t>
            </w:r>
          </w:p>
        </w:tc>
        <w:tc>
          <w:tcPr>
            <w:tcW w:w="938" w:type="dxa"/>
            <w:shd w:val="clear" w:color="auto" w:fill="auto"/>
            <w:noWrap/>
            <w:vAlign w:val="center"/>
          </w:tcPr>
          <w:p w14:paraId="3213F42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块/月</w:t>
            </w:r>
          </w:p>
        </w:tc>
        <w:tc>
          <w:tcPr>
            <w:tcW w:w="1056" w:type="dxa"/>
            <w:shd w:val="clear" w:color="auto" w:fill="auto"/>
            <w:noWrap/>
            <w:vAlign w:val="center"/>
          </w:tcPr>
          <w:p w14:paraId="222650C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148</w:t>
            </w:r>
          </w:p>
        </w:tc>
        <w:tc>
          <w:tcPr>
            <w:tcW w:w="936" w:type="dxa"/>
            <w:shd w:val="clear" w:color="auto" w:fill="auto"/>
            <w:noWrap/>
            <w:vAlign w:val="center"/>
          </w:tcPr>
          <w:p w14:paraId="63CE662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5C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2EDF760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723" w:type="dxa"/>
            <w:vMerge w:val="restart"/>
            <w:shd w:val="clear" w:color="auto" w:fill="auto"/>
            <w:vAlign w:val="center"/>
          </w:tcPr>
          <w:p w14:paraId="78B3917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存储服务（兼容X86、ARM、C86）</w:t>
            </w:r>
          </w:p>
        </w:tc>
        <w:tc>
          <w:tcPr>
            <w:tcW w:w="1289" w:type="dxa"/>
            <w:shd w:val="clear" w:color="auto" w:fill="auto"/>
            <w:vAlign w:val="center"/>
          </w:tcPr>
          <w:p w14:paraId="2173836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普通性能存储</w:t>
            </w:r>
          </w:p>
        </w:tc>
        <w:tc>
          <w:tcPr>
            <w:tcW w:w="2749" w:type="dxa"/>
            <w:shd w:val="clear" w:color="auto" w:fill="auto"/>
            <w:vAlign w:val="center"/>
          </w:tcPr>
          <w:p w14:paraId="5950248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普通存储（单盘技术指标：单盘IOPS 2000-5000））</w:t>
            </w:r>
          </w:p>
        </w:tc>
        <w:tc>
          <w:tcPr>
            <w:tcW w:w="938" w:type="dxa"/>
            <w:shd w:val="clear" w:color="auto" w:fill="auto"/>
            <w:noWrap/>
            <w:vAlign w:val="center"/>
          </w:tcPr>
          <w:p w14:paraId="66E9AA64">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100 GB</w:t>
            </w:r>
            <w:r>
              <w:rPr>
                <w:rFonts w:hint="eastAsia" w:ascii="宋体" w:hAnsi="宋体" w:eastAsia="宋体" w:cs="宋体"/>
                <w:color w:val="auto"/>
                <w:sz w:val="24"/>
                <w:highlight w:val="none"/>
              </w:rPr>
              <w:t>/月</w:t>
            </w:r>
          </w:p>
        </w:tc>
        <w:tc>
          <w:tcPr>
            <w:tcW w:w="1056" w:type="dxa"/>
            <w:shd w:val="clear" w:color="auto" w:fill="auto"/>
            <w:noWrap/>
            <w:vAlign w:val="center"/>
          </w:tcPr>
          <w:p w14:paraId="569AD05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1034.5</w:t>
            </w:r>
          </w:p>
        </w:tc>
        <w:tc>
          <w:tcPr>
            <w:tcW w:w="936" w:type="dxa"/>
            <w:shd w:val="clear" w:color="auto" w:fill="auto"/>
            <w:noWrap/>
            <w:vAlign w:val="center"/>
          </w:tcPr>
          <w:p w14:paraId="297CF29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850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361FDCA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723" w:type="dxa"/>
            <w:vMerge w:val="continue"/>
            <w:vAlign w:val="center"/>
          </w:tcPr>
          <w:p w14:paraId="541F414D">
            <w:pPr>
              <w:widowControl/>
              <w:rPr>
                <w:rFonts w:ascii="宋体" w:hAnsi="宋体" w:eastAsia="宋体" w:cs="宋体"/>
                <w:color w:val="auto"/>
                <w:sz w:val="24"/>
                <w:highlight w:val="none"/>
              </w:rPr>
            </w:pPr>
          </w:p>
        </w:tc>
        <w:tc>
          <w:tcPr>
            <w:tcW w:w="1289" w:type="dxa"/>
            <w:shd w:val="clear" w:color="auto" w:fill="auto"/>
            <w:vAlign w:val="center"/>
          </w:tcPr>
          <w:p w14:paraId="50655D5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高性能存储</w:t>
            </w:r>
          </w:p>
        </w:tc>
        <w:tc>
          <w:tcPr>
            <w:tcW w:w="2749" w:type="dxa"/>
            <w:shd w:val="clear" w:color="auto" w:fill="auto"/>
            <w:vAlign w:val="center"/>
          </w:tcPr>
          <w:p w14:paraId="45BF11F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高性能存储（单盘技术指标：单盘IOPS 10000-25000）</w:t>
            </w:r>
          </w:p>
        </w:tc>
        <w:tc>
          <w:tcPr>
            <w:tcW w:w="938" w:type="dxa"/>
            <w:shd w:val="clear" w:color="auto" w:fill="auto"/>
            <w:noWrap/>
            <w:vAlign w:val="center"/>
          </w:tcPr>
          <w:p w14:paraId="1869AC56">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100 GB</w:t>
            </w:r>
            <w:r>
              <w:rPr>
                <w:rFonts w:hint="eastAsia" w:ascii="宋体" w:hAnsi="宋体" w:eastAsia="宋体" w:cs="宋体"/>
                <w:color w:val="auto"/>
                <w:sz w:val="24"/>
                <w:highlight w:val="none"/>
              </w:rPr>
              <w:t>/月</w:t>
            </w:r>
          </w:p>
        </w:tc>
        <w:tc>
          <w:tcPr>
            <w:tcW w:w="1056" w:type="dxa"/>
            <w:shd w:val="clear" w:color="auto" w:fill="auto"/>
            <w:noWrap/>
            <w:vAlign w:val="center"/>
          </w:tcPr>
          <w:p w14:paraId="37A5C58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1251.95</w:t>
            </w:r>
          </w:p>
        </w:tc>
        <w:tc>
          <w:tcPr>
            <w:tcW w:w="936" w:type="dxa"/>
            <w:shd w:val="clear" w:color="auto" w:fill="auto"/>
            <w:noWrap/>
            <w:vAlign w:val="center"/>
          </w:tcPr>
          <w:p w14:paraId="4D5BA2A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1CE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78DD426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723" w:type="dxa"/>
            <w:vMerge w:val="continue"/>
            <w:vAlign w:val="center"/>
          </w:tcPr>
          <w:p w14:paraId="65906FDB">
            <w:pPr>
              <w:widowControl/>
              <w:rPr>
                <w:rFonts w:ascii="宋体" w:hAnsi="宋体" w:eastAsia="宋体" w:cs="宋体"/>
                <w:color w:val="auto"/>
                <w:sz w:val="24"/>
                <w:highlight w:val="none"/>
              </w:rPr>
            </w:pPr>
          </w:p>
        </w:tc>
        <w:tc>
          <w:tcPr>
            <w:tcW w:w="1289" w:type="dxa"/>
            <w:shd w:val="clear" w:color="auto" w:fill="auto"/>
            <w:vAlign w:val="center"/>
          </w:tcPr>
          <w:p w14:paraId="79B2C52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静态存储</w:t>
            </w:r>
          </w:p>
        </w:tc>
        <w:tc>
          <w:tcPr>
            <w:tcW w:w="2749" w:type="dxa"/>
            <w:shd w:val="clear" w:color="auto" w:fill="auto"/>
            <w:vAlign w:val="center"/>
          </w:tcPr>
          <w:p w14:paraId="443CFE3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提供大容量、高可靠的数据存储服务，具备PB级线性扩展能力</w:t>
            </w:r>
          </w:p>
        </w:tc>
        <w:tc>
          <w:tcPr>
            <w:tcW w:w="938" w:type="dxa"/>
            <w:shd w:val="clear" w:color="auto" w:fill="auto"/>
            <w:noWrap/>
            <w:vAlign w:val="center"/>
          </w:tcPr>
          <w:p w14:paraId="2D50EAB8">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 TB</w:t>
            </w:r>
            <w:r>
              <w:rPr>
                <w:rFonts w:hint="eastAsia" w:ascii="宋体" w:hAnsi="宋体" w:eastAsia="宋体" w:cs="宋体"/>
                <w:color w:val="auto"/>
                <w:sz w:val="24"/>
                <w:highlight w:val="none"/>
              </w:rPr>
              <w:t>/月</w:t>
            </w:r>
          </w:p>
        </w:tc>
        <w:tc>
          <w:tcPr>
            <w:tcW w:w="1056" w:type="dxa"/>
            <w:shd w:val="clear" w:color="auto" w:fill="auto"/>
            <w:noWrap/>
            <w:vAlign w:val="center"/>
          </w:tcPr>
          <w:p w14:paraId="3ABF6AF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8.8</w:t>
            </w:r>
          </w:p>
        </w:tc>
        <w:tc>
          <w:tcPr>
            <w:tcW w:w="936" w:type="dxa"/>
            <w:shd w:val="clear" w:color="auto" w:fill="auto"/>
            <w:noWrap/>
            <w:vAlign w:val="center"/>
          </w:tcPr>
          <w:p w14:paraId="748451C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70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1BBB0A7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23" w:type="dxa"/>
            <w:vMerge w:val="continue"/>
            <w:vAlign w:val="center"/>
          </w:tcPr>
          <w:p w14:paraId="16387136">
            <w:pPr>
              <w:widowControl/>
              <w:rPr>
                <w:rFonts w:ascii="宋体" w:hAnsi="宋体" w:eastAsia="宋体" w:cs="宋体"/>
                <w:color w:val="auto"/>
                <w:sz w:val="24"/>
                <w:highlight w:val="none"/>
              </w:rPr>
            </w:pPr>
          </w:p>
        </w:tc>
        <w:tc>
          <w:tcPr>
            <w:tcW w:w="1289" w:type="dxa"/>
            <w:shd w:val="clear" w:color="auto" w:fill="auto"/>
            <w:vAlign w:val="center"/>
          </w:tcPr>
          <w:p w14:paraId="06A61B8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本地备份服务</w:t>
            </w:r>
          </w:p>
        </w:tc>
        <w:tc>
          <w:tcPr>
            <w:tcW w:w="2749" w:type="dxa"/>
            <w:shd w:val="clear" w:color="auto" w:fill="auto"/>
            <w:vAlign w:val="center"/>
          </w:tcPr>
          <w:p w14:paraId="7A2E769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本地备份服务</w:t>
            </w:r>
          </w:p>
        </w:tc>
        <w:tc>
          <w:tcPr>
            <w:tcW w:w="938" w:type="dxa"/>
            <w:shd w:val="clear" w:color="auto" w:fill="auto"/>
            <w:noWrap/>
            <w:vAlign w:val="center"/>
          </w:tcPr>
          <w:p w14:paraId="7CA2A967">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100 GB</w:t>
            </w:r>
            <w:r>
              <w:rPr>
                <w:rFonts w:hint="eastAsia" w:ascii="宋体" w:hAnsi="宋体" w:eastAsia="宋体" w:cs="宋体"/>
                <w:color w:val="auto"/>
                <w:sz w:val="24"/>
                <w:highlight w:val="none"/>
              </w:rPr>
              <w:t>/月</w:t>
            </w:r>
          </w:p>
        </w:tc>
        <w:tc>
          <w:tcPr>
            <w:tcW w:w="1056" w:type="dxa"/>
            <w:shd w:val="clear" w:color="auto" w:fill="auto"/>
            <w:noWrap/>
            <w:vAlign w:val="center"/>
          </w:tcPr>
          <w:p w14:paraId="0CE01C1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717.8</w:t>
            </w:r>
          </w:p>
        </w:tc>
        <w:tc>
          <w:tcPr>
            <w:tcW w:w="936" w:type="dxa"/>
            <w:shd w:val="clear" w:color="auto" w:fill="auto"/>
            <w:noWrap/>
            <w:vAlign w:val="center"/>
          </w:tcPr>
          <w:p w14:paraId="2322546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9BC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76EC6C6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723" w:type="dxa"/>
            <w:vMerge w:val="restart"/>
            <w:vAlign w:val="center"/>
          </w:tcPr>
          <w:p w14:paraId="504BF115">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网络服务</w:t>
            </w:r>
          </w:p>
        </w:tc>
        <w:tc>
          <w:tcPr>
            <w:tcW w:w="1289" w:type="dxa"/>
            <w:vMerge w:val="restart"/>
            <w:shd w:val="clear" w:color="auto" w:fill="auto"/>
            <w:vAlign w:val="center"/>
          </w:tcPr>
          <w:p w14:paraId="7AC569A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互联网链路服务</w:t>
            </w:r>
          </w:p>
        </w:tc>
        <w:tc>
          <w:tcPr>
            <w:tcW w:w="2749" w:type="dxa"/>
            <w:shd w:val="clear" w:color="auto" w:fill="auto"/>
            <w:vAlign w:val="center"/>
          </w:tcPr>
          <w:p w14:paraId="6335719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互联网链路带宽</w:t>
            </w:r>
          </w:p>
        </w:tc>
        <w:tc>
          <w:tcPr>
            <w:tcW w:w="938" w:type="dxa"/>
            <w:shd w:val="clear" w:color="auto" w:fill="auto"/>
            <w:noWrap/>
            <w:vAlign w:val="center"/>
          </w:tcPr>
          <w:p w14:paraId="7D12C38B">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 Mb</w:t>
            </w:r>
            <w:r>
              <w:rPr>
                <w:rFonts w:hint="eastAsia" w:ascii="宋体" w:hAnsi="宋体" w:eastAsia="宋体" w:cs="宋体"/>
                <w:color w:val="auto"/>
                <w:sz w:val="24"/>
                <w:highlight w:val="none"/>
              </w:rPr>
              <w:t>/月</w:t>
            </w:r>
          </w:p>
        </w:tc>
        <w:tc>
          <w:tcPr>
            <w:tcW w:w="1056" w:type="dxa"/>
            <w:shd w:val="clear" w:color="auto" w:fill="auto"/>
            <w:noWrap/>
            <w:vAlign w:val="center"/>
          </w:tcPr>
          <w:p w14:paraId="53754CC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1000</w:t>
            </w:r>
          </w:p>
        </w:tc>
        <w:tc>
          <w:tcPr>
            <w:tcW w:w="936" w:type="dxa"/>
            <w:shd w:val="clear" w:color="auto" w:fill="auto"/>
            <w:noWrap/>
            <w:vAlign w:val="center"/>
          </w:tcPr>
          <w:p w14:paraId="75E5EA3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9B4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1C33239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723" w:type="dxa"/>
            <w:vMerge w:val="continue"/>
            <w:shd w:val="clear" w:color="auto" w:fill="auto"/>
            <w:vAlign w:val="center"/>
          </w:tcPr>
          <w:p w14:paraId="494090AA">
            <w:pPr>
              <w:widowControl/>
              <w:jc w:val="center"/>
              <w:rPr>
                <w:rFonts w:ascii="宋体" w:hAnsi="宋体" w:eastAsia="宋体" w:cs="宋体"/>
                <w:color w:val="auto"/>
                <w:sz w:val="24"/>
                <w:highlight w:val="none"/>
              </w:rPr>
            </w:pPr>
          </w:p>
        </w:tc>
        <w:tc>
          <w:tcPr>
            <w:tcW w:w="1289" w:type="dxa"/>
            <w:vMerge w:val="continue"/>
            <w:shd w:val="clear" w:color="auto" w:fill="auto"/>
            <w:vAlign w:val="center"/>
          </w:tcPr>
          <w:p w14:paraId="2110B5A2">
            <w:pPr>
              <w:widowControl/>
              <w:jc w:val="center"/>
              <w:rPr>
                <w:rFonts w:ascii="宋体" w:hAnsi="宋体" w:eastAsia="宋体" w:cs="宋体"/>
                <w:color w:val="auto"/>
                <w:sz w:val="24"/>
                <w:highlight w:val="none"/>
              </w:rPr>
            </w:pPr>
          </w:p>
        </w:tc>
        <w:tc>
          <w:tcPr>
            <w:tcW w:w="2749" w:type="dxa"/>
            <w:shd w:val="clear" w:color="auto" w:fill="auto"/>
            <w:vAlign w:val="center"/>
          </w:tcPr>
          <w:p w14:paraId="0612970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互联网IP地址租用服务、并提供备案服务</w:t>
            </w:r>
          </w:p>
        </w:tc>
        <w:tc>
          <w:tcPr>
            <w:tcW w:w="938" w:type="dxa"/>
            <w:shd w:val="clear" w:color="auto" w:fill="auto"/>
            <w:noWrap/>
            <w:vAlign w:val="center"/>
          </w:tcPr>
          <w:p w14:paraId="3A0CC2D7">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 IP</w:t>
            </w:r>
            <w:r>
              <w:rPr>
                <w:rFonts w:hint="eastAsia" w:ascii="宋体" w:hAnsi="宋体" w:eastAsia="宋体" w:cs="宋体"/>
                <w:color w:val="auto"/>
                <w:sz w:val="24"/>
                <w:highlight w:val="none"/>
              </w:rPr>
              <w:t>/月</w:t>
            </w:r>
          </w:p>
        </w:tc>
        <w:tc>
          <w:tcPr>
            <w:tcW w:w="1056" w:type="dxa"/>
            <w:shd w:val="clear" w:color="auto" w:fill="auto"/>
            <w:noWrap/>
            <w:vAlign w:val="center"/>
          </w:tcPr>
          <w:p w14:paraId="44DF4F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43</w:t>
            </w:r>
          </w:p>
        </w:tc>
        <w:tc>
          <w:tcPr>
            <w:tcW w:w="936" w:type="dxa"/>
            <w:shd w:val="clear" w:color="auto" w:fill="auto"/>
            <w:noWrap/>
            <w:vAlign w:val="center"/>
          </w:tcPr>
          <w:p w14:paraId="11E626F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2111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05" w:type="dxa"/>
            <w:shd w:val="clear" w:color="auto" w:fill="auto"/>
            <w:noWrap/>
            <w:vAlign w:val="center"/>
          </w:tcPr>
          <w:p w14:paraId="22BE872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723" w:type="dxa"/>
            <w:vMerge w:val="continue"/>
            <w:vAlign w:val="center"/>
          </w:tcPr>
          <w:p w14:paraId="59365711">
            <w:pPr>
              <w:widowControl/>
              <w:rPr>
                <w:rFonts w:ascii="宋体" w:hAnsi="宋体" w:eastAsia="宋体" w:cs="宋体"/>
                <w:color w:val="auto"/>
                <w:sz w:val="24"/>
                <w:highlight w:val="none"/>
              </w:rPr>
            </w:pPr>
          </w:p>
        </w:tc>
        <w:tc>
          <w:tcPr>
            <w:tcW w:w="1289" w:type="dxa"/>
            <w:shd w:val="clear" w:color="auto" w:fill="auto"/>
            <w:vAlign w:val="center"/>
          </w:tcPr>
          <w:p w14:paraId="088E169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主机负载均衡服务</w:t>
            </w:r>
          </w:p>
        </w:tc>
        <w:tc>
          <w:tcPr>
            <w:tcW w:w="2749" w:type="dxa"/>
            <w:shd w:val="clear" w:color="auto" w:fill="auto"/>
            <w:vAlign w:val="center"/>
          </w:tcPr>
          <w:p w14:paraId="4E6890E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主机负载均衡服务</w:t>
            </w:r>
          </w:p>
        </w:tc>
        <w:tc>
          <w:tcPr>
            <w:tcW w:w="938" w:type="dxa"/>
            <w:shd w:val="clear" w:color="auto" w:fill="auto"/>
            <w:noWrap/>
            <w:vAlign w:val="center"/>
          </w:tcPr>
          <w:p w14:paraId="25CE02F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IP（内网）/月</w:t>
            </w:r>
          </w:p>
        </w:tc>
        <w:tc>
          <w:tcPr>
            <w:tcW w:w="1056" w:type="dxa"/>
            <w:shd w:val="clear" w:color="auto" w:fill="auto"/>
            <w:noWrap/>
            <w:vAlign w:val="center"/>
          </w:tcPr>
          <w:p w14:paraId="1429A4F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29</w:t>
            </w:r>
          </w:p>
        </w:tc>
        <w:tc>
          <w:tcPr>
            <w:tcW w:w="936" w:type="dxa"/>
            <w:shd w:val="clear" w:color="auto" w:fill="auto"/>
            <w:noWrap/>
            <w:vAlign w:val="center"/>
          </w:tcPr>
          <w:p w14:paraId="699F85F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EFE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05" w:type="dxa"/>
            <w:shd w:val="clear" w:color="auto" w:fill="auto"/>
            <w:noWrap/>
            <w:vAlign w:val="center"/>
          </w:tcPr>
          <w:p w14:paraId="5D65F1C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723" w:type="dxa"/>
            <w:vMerge w:val="continue"/>
            <w:vAlign w:val="center"/>
          </w:tcPr>
          <w:p w14:paraId="7E8B677E">
            <w:pPr>
              <w:widowControl/>
              <w:rPr>
                <w:rFonts w:ascii="宋体" w:hAnsi="宋体" w:eastAsia="宋体" w:cs="宋体"/>
                <w:color w:val="auto"/>
                <w:sz w:val="24"/>
                <w:highlight w:val="none"/>
              </w:rPr>
            </w:pPr>
          </w:p>
        </w:tc>
        <w:tc>
          <w:tcPr>
            <w:tcW w:w="1289" w:type="dxa"/>
            <w:shd w:val="clear" w:color="auto" w:fill="auto"/>
            <w:vAlign w:val="center"/>
          </w:tcPr>
          <w:p w14:paraId="12AD313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主机负载均衡服务</w:t>
            </w:r>
          </w:p>
        </w:tc>
        <w:tc>
          <w:tcPr>
            <w:tcW w:w="2749" w:type="dxa"/>
            <w:shd w:val="clear" w:color="auto" w:fill="auto"/>
            <w:vAlign w:val="center"/>
          </w:tcPr>
          <w:p w14:paraId="41C82B6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主机负载均衡服务</w:t>
            </w:r>
          </w:p>
        </w:tc>
        <w:tc>
          <w:tcPr>
            <w:tcW w:w="938" w:type="dxa"/>
            <w:shd w:val="clear" w:color="auto" w:fill="auto"/>
            <w:noWrap/>
            <w:vAlign w:val="center"/>
          </w:tcPr>
          <w:p w14:paraId="3DC12C8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账号/月</w:t>
            </w:r>
          </w:p>
        </w:tc>
        <w:tc>
          <w:tcPr>
            <w:tcW w:w="1056" w:type="dxa"/>
            <w:shd w:val="clear" w:color="auto" w:fill="auto"/>
            <w:noWrap/>
            <w:vAlign w:val="center"/>
          </w:tcPr>
          <w:p w14:paraId="36B62A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936" w:type="dxa"/>
            <w:shd w:val="clear" w:color="auto" w:fill="auto"/>
            <w:noWrap/>
            <w:vAlign w:val="center"/>
          </w:tcPr>
          <w:p w14:paraId="440AAEE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r>
      <w:tr w14:paraId="79C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41FD315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723" w:type="dxa"/>
            <w:vMerge w:val="continue"/>
            <w:vAlign w:val="center"/>
          </w:tcPr>
          <w:p w14:paraId="588066C9">
            <w:pPr>
              <w:widowControl/>
              <w:rPr>
                <w:rFonts w:ascii="宋体" w:hAnsi="宋体" w:eastAsia="宋体" w:cs="宋体"/>
                <w:color w:val="auto"/>
                <w:sz w:val="24"/>
                <w:highlight w:val="none"/>
              </w:rPr>
            </w:pPr>
          </w:p>
        </w:tc>
        <w:tc>
          <w:tcPr>
            <w:tcW w:w="1289" w:type="dxa"/>
            <w:shd w:val="clear" w:color="auto" w:fill="auto"/>
            <w:vAlign w:val="center"/>
          </w:tcPr>
          <w:p w14:paraId="54A6B23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远程接入服务</w:t>
            </w:r>
          </w:p>
        </w:tc>
        <w:tc>
          <w:tcPr>
            <w:tcW w:w="2749" w:type="dxa"/>
            <w:shd w:val="clear" w:color="auto" w:fill="auto"/>
            <w:vAlign w:val="center"/>
          </w:tcPr>
          <w:p w14:paraId="42A280C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远程接入服务</w:t>
            </w:r>
          </w:p>
        </w:tc>
        <w:tc>
          <w:tcPr>
            <w:tcW w:w="938" w:type="dxa"/>
            <w:shd w:val="clear" w:color="auto" w:fill="auto"/>
            <w:noWrap/>
            <w:vAlign w:val="center"/>
          </w:tcPr>
          <w:p w14:paraId="601D990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w:t>
            </w:r>
          </w:p>
        </w:tc>
        <w:tc>
          <w:tcPr>
            <w:tcW w:w="1056" w:type="dxa"/>
            <w:shd w:val="clear" w:color="auto" w:fill="auto"/>
            <w:noWrap/>
            <w:vAlign w:val="center"/>
          </w:tcPr>
          <w:p w14:paraId="4A9B7D1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35</w:t>
            </w:r>
          </w:p>
        </w:tc>
        <w:tc>
          <w:tcPr>
            <w:tcW w:w="936" w:type="dxa"/>
            <w:shd w:val="clear" w:color="auto" w:fill="auto"/>
            <w:noWrap/>
            <w:vAlign w:val="center"/>
          </w:tcPr>
          <w:p w14:paraId="59A311A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6ED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465118C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17</w:t>
            </w:r>
          </w:p>
        </w:tc>
        <w:tc>
          <w:tcPr>
            <w:tcW w:w="723" w:type="dxa"/>
            <w:vMerge w:val="continue"/>
            <w:vAlign w:val="center"/>
          </w:tcPr>
          <w:p w14:paraId="69ACC202">
            <w:pPr>
              <w:widowControl/>
              <w:rPr>
                <w:rFonts w:ascii="宋体" w:hAnsi="宋体" w:eastAsia="宋体" w:cs="宋体"/>
                <w:color w:val="auto"/>
                <w:sz w:val="24"/>
                <w:highlight w:val="none"/>
              </w:rPr>
            </w:pPr>
          </w:p>
        </w:tc>
        <w:tc>
          <w:tcPr>
            <w:tcW w:w="1289" w:type="dxa"/>
            <w:vMerge w:val="restart"/>
            <w:shd w:val="clear" w:color="auto" w:fill="auto"/>
            <w:vAlign w:val="center"/>
          </w:tcPr>
          <w:p w14:paraId="0B69940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VPN服务</w:t>
            </w:r>
          </w:p>
        </w:tc>
        <w:tc>
          <w:tcPr>
            <w:tcW w:w="2749" w:type="dxa"/>
            <w:shd w:val="clear" w:color="auto" w:fill="auto"/>
            <w:vAlign w:val="center"/>
          </w:tcPr>
          <w:p w14:paraId="556F281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SSL VPN接入</w:t>
            </w:r>
          </w:p>
        </w:tc>
        <w:tc>
          <w:tcPr>
            <w:tcW w:w="938" w:type="dxa"/>
            <w:shd w:val="clear" w:color="auto" w:fill="auto"/>
            <w:noWrap/>
            <w:vAlign w:val="center"/>
          </w:tcPr>
          <w:p w14:paraId="48CBDCB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套/月</w:t>
            </w:r>
          </w:p>
        </w:tc>
        <w:tc>
          <w:tcPr>
            <w:tcW w:w="1056" w:type="dxa"/>
            <w:shd w:val="clear" w:color="auto" w:fill="auto"/>
            <w:noWrap/>
            <w:vAlign w:val="center"/>
          </w:tcPr>
          <w:p w14:paraId="07EF54D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149</w:t>
            </w:r>
          </w:p>
        </w:tc>
        <w:tc>
          <w:tcPr>
            <w:tcW w:w="936" w:type="dxa"/>
            <w:shd w:val="clear" w:color="auto" w:fill="auto"/>
            <w:noWrap/>
            <w:vAlign w:val="center"/>
          </w:tcPr>
          <w:p w14:paraId="55A50D7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691C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5" w:type="dxa"/>
            <w:shd w:val="clear" w:color="auto" w:fill="auto"/>
            <w:noWrap/>
            <w:vAlign w:val="center"/>
          </w:tcPr>
          <w:p w14:paraId="4720F7C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18</w:t>
            </w:r>
          </w:p>
        </w:tc>
        <w:tc>
          <w:tcPr>
            <w:tcW w:w="723" w:type="dxa"/>
            <w:vMerge w:val="continue"/>
            <w:vAlign w:val="center"/>
          </w:tcPr>
          <w:p w14:paraId="7D9E25E4">
            <w:pPr>
              <w:widowControl/>
              <w:rPr>
                <w:rFonts w:ascii="宋体" w:hAnsi="宋体" w:eastAsia="宋体" w:cs="宋体"/>
                <w:color w:val="auto"/>
                <w:sz w:val="24"/>
                <w:highlight w:val="none"/>
              </w:rPr>
            </w:pPr>
          </w:p>
        </w:tc>
        <w:tc>
          <w:tcPr>
            <w:tcW w:w="1289" w:type="dxa"/>
            <w:vMerge w:val="continue"/>
            <w:shd w:val="clear" w:color="auto" w:fill="auto"/>
            <w:vAlign w:val="center"/>
          </w:tcPr>
          <w:p w14:paraId="1BA60CD8">
            <w:pPr>
              <w:widowControl/>
              <w:jc w:val="center"/>
              <w:rPr>
                <w:rFonts w:ascii="宋体" w:hAnsi="宋体" w:eastAsia="宋体" w:cs="宋体"/>
                <w:color w:val="auto"/>
                <w:sz w:val="24"/>
                <w:highlight w:val="none"/>
              </w:rPr>
            </w:pPr>
          </w:p>
        </w:tc>
        <w:tc>
          <w:tcPr>
            <w:tcW w:w="2749" w:type="dxa"/>
            <w:shd w:val="clear" w:color="auto" w:fill="auto"/>
            <w:vAlign w:val="center"/>
          </w:tcPr>
          <w:p w14:paraId="5CCD7CB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IPSec VPN接入</w:t>
            </w:r>
          </w:p>
        </w:tc>
        <w:tc>
          <w:tcPr>
            <w:tcW w:w="938" w:type="dxa"/>
            <w:shd w:val="clear" w:color="auto" w:fill="auto"/>
            <w:noWrap/>
            <w:vAlign w:val="center"/>
          </w:tcPr>
          <w:p w14:paraId="7B860A71">
            <w:pPr>
              <w:widowControl/>
              <w:jc w:val="center"/>
              <w:rPr>
                <w:rFonts w:ascii="宋体" w:hAnsi="宋体" w:eastAsia="宋体" w:cs="宋体"/>
                <w:color w:val="auto"/>
                <w:sz w:val="24"/>
                <w:highlight w:val="none"/>
              </w:rPr>
            </w:pPr>
            <w:r>
              <w:rPr>
                <w:rFonts w:ascii="宋体" w:hAnsi="宋体" w:eastAsia="宋体" w:cs="宋体"/>
                <w:color w:val="auto"/>
                <w:sz w:val="24"/>
                <w:highlight w:val="none"/>
              </w:rPr>
              <w:t>1 Mb</w:t>
            </w:r>
            <w:r>
              <w:rPr>
                <w:rFonts w:hint="eastAsia" w:ascii="宋体" w:hAnsi="宋体" w:eastAsia="宋体" w:cs="宋体"/>
                <w:color w:val="auto"/>
                <w:sz w:val="24"/>
                <w:highlight w:val="none"/>
              </w:rPr>
              <w:t>带宽/月</w:t>
            </w:r>
          </w:p>
        </w:tc>
        <w:tc>
          <w:tcPr>
            <w:tcW w:w="1056" w:type="dxa"/>
            <w:shd w:val="clear" w:color="auto" w:fill="auto"/>
            <w:noWrap/>
            <w:vAlign w:val="center"/>
          </w:tcPr>
          <w:p w14:paraId="618C5D6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936" w:type="dxa"/>
            <w:shd w:val="clear" w:color="auto" w:fill="auto"/>
            <w:noWrap/>
            <w:vAlign w:val="center"/>
          </w:tcPr>
          <w:p w14:paraId="196BA5A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5E4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2A618B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19</w:t>
            </w:r>
          </w:p>
        </w:tc>
        <w:tc>
          <w:tcPr>
            <w:tcW w:w="723" w:type="dxa"/>
            <w:vMerge w:val="continue"/>
            <w:vAlign w:val="center"/>
          </w:tcPr>
          <w:p w14:paraId="4E274BA3">
            <w:pPr>
              <w:widowControl/>
              <w:rPr>
                <w:rFonts w:ascii="宋体" w:hAnsi="宋体" w:eastAsia="宋体" w:cs="宋体"/>
                <w:color w:val="auto"/>
                <w:sz w:val="24"/>
                <w:highlight w:val="none"/>
              </w:rPr>
            </w:pPr>
          </w:p>
        </w:tc>
        <w:tc>
          <w:tcPr>
            <w:tcW w:w="1289" w:type="dxa"/>
            <w:shd w:val="clear" w:color="auto" w:fill="auto"/>
            <w:vAlign w:val="center"/>
          </w:tcPr>
          <w:p w14:paraId="6085D38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Web 应用防火墙（WAF）</w:t>
            </w:r>
          </w:p>
        </w:tc>
        <w:tc>
          <w:tcPr>
            <w:tcW w:w="2749" w:type="dxa"/>
            <w:shd w:val="clear" w:color="auto" w:fill="auto"/>
            <w:vAlign w:val="center"/>
          </w:tcPr>
          <w:p w14:paraId="607B7C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web应用防火墙服务</w:t>
            </w:r>
          </w:p>
        </w:tc>
        <w:tc>
          <w:tcPr>
            <w:tcW w:w="938" w:type="dxa"/>
            <w:shd w:val="clear" w:color="auto" w:fill="auto"/>
            <w:noWrap/>
            <w:vAlign w:val="center"/>
          </w:tcPr>
          <w:p w14:paraId="76E232F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6A6D248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33</w:t>
            </w:r>
          </w:p>
        </w:tc>
        <w:tc>
          <w:tcPr>
            <w:tcW w:w="936" w:type="dxa"/>
            <w:shd w:val="clear" w:color="auto" w:fill="auto"/>
            <w:noWrap/>
            <w:vAlign w:val="center"/>
          </w:tcPr>
          <w:p w14:paraId="3102968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BA5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CDAF26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20</w:t>
            </w:r>
          </w:p>
        </w:tc>
        <w:tc>
          <w:tcPr>
            <w:tcW w:w="723" w:type="dxa"/>
            <w:vMerge w:val="continue"/>
            <w:vAlign w:val="center"/>
          </w:tcPr>
          <w:p w14:paraId="5F6A1BB4">
            <w:pPr>
              <w:widowControl/>
              <w:rPr>
                <w:rFonts w:ascii="宋体" w:hAnsi="宋体" w:eastAsia="宋体" w:cs="宋体"/>
                <w:color w:val="auto"/>
                <w:sz w:val="24"/>
                <w:highlight w:val="none"/>
              </w:rPr>
            </w:pPr>
          </w:p>
        </w:tc>
        <w:tc>
          <w:tcPr>
            <w:tcW w:w="1289" w:type="dxa"/>
            <w:shd w:val="clear" w:color="auto" w:fill="auto"/>
            <w:vAlign w:val="center"/>
          </w:tcPr>
          <w:p w14:paraId="0FB3AEA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Web 应用防火墙（WAF）</w:t>
            </w:r>
          </w:p>
        </w:tc>
        <w:tc>
          <w:tcPr>
            <w:tcW w:w="2749" w:type="dxa"/>
            <w:shd w:val="clear" w:color="auto" w:fill="auto"/>
            <w:vAlign w:val="center"/>
          </w:tcPr>
          <w:p w14:paraId="329B738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web应用防火墙服务</w:t>
            </w:r>
          </w:p>
        </w:tc>
        <w:tc>
          <w:tcPr>
            <w:tcW w:w="938" w:type="dxa"/>
            <w:shd w:val="clear" w:color="auto" w:fill="auto"/>
            <w:noWrap/>
            <w:vAlign w:val="center"/>
          </w:tcPr>
          <w:p w14:paraId="6DAAA7E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6C7CD27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6D7F4E4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r>
      <w:tr w14:paraId="0F2E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7CC8FF5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23" w:type="dxa"/>
            <w:vMerge w:val="restart"/>
            <w:vAlign w:val="center"/>
          </w:tcPr>
          <w:p w14:paraId="09A10BD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安全服务</w:t>
            </w:r>
          </w:p>
        </w:tc>
        <w:tc>
          <w:tcPr>
            <w:tcW w:w="1289" w:type="dxa"/>
            <w:shd w:val="clear" w:color="auto" w:fill="auto"/>
            <w:vAlign w:val="center"/>
          </w:tcPr>
          <w:p w14:paraId="33FF87CA">
            <w:pPr>
              <w:widowControl/>
              <w:jc w:val="center"/>
              <w:rPr>
                <w:rFonts w:ascii="宋体" w:hAnsi="宋体" w:eastAsia="宋体" w:cs="宋体"/>
                <w:color w:val="auto"/>
                <w:sz w:val="24"/>
                <w:highlight w:val="none"/>
              </w:rPr>
            </w:pPr>
            <w:r>
              <w:rPr>
                <w:rFonts w:hint="eastAsia" w:ascii="宋体" w:hAnsi="宋体" w:eastAsia="宋体" w:cs="Times New Roman"/>
                <w:color w:val="auto"/>
                <w:sz w:val="24"/>
                <w:highlight w:val="none"/>
              </w:rPr>
              <w:t>云端抗DDOS服务</w:t>
            </w:r>
          </w:p>
        </w:tc>
        <w:tc>
          <w:tcPr>
            <w:tcW w:w="2749" w:type="dxa"/>
            <w:shd w:val="clear" w:color="auto" w:fill="auto"/>
            <w:vAlign w:val="center"/>
          </w:tcPr>
          <w:p w14:paraId="71B4450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云端抗Ddos服务</w:t>
            </w:r>
          </w:p>
        </w:tc>
        <w:tc>
          <w:tcPr>
            <w:tcW w:w="938" w:type="dxa"/>
            <w:shd w:val="clear" w:color="auto" w:fill="auto"/>
            <w:noWrap/>
            <w:vAlign w:val="center"/>
          </w:tcPr>
          <w:p w14:paraId="592312A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75FE53F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05D72F7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F89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27AA5AB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22</w:t>
            </w:r>
          </w:p>
        </w:tc>
        <w:tc>
          <w:tcPr>
            <w:tcW w:w="723" w:type="dxa"/>
            <w:vMerge w:val="continue"/>
            <w:vAlign w:val="center"/>
          </w:tcPr>
          <w:p w14:paraId="10249742">
            <w:pPr>
              <w:jc w:val="center"/>
              <w:rPr>
                <w:rFonts w:ascii="宋体" w:hAnsi="宋体" w:eastAsia="宋体" w:cs="宋体"/>
                <w:color w:val="auto"/>
                <w:sz w:val="24"/>
                <w:highlight w:val="none"/>
              </w:rPr>
            </w:pPr>
          </w:p>
        </w:tc>
        <w:tc>
          <w:tcPr>
            <w:tcW w:w="1289" w:type="dxa"/>
            <w:shd w:val="clear" w:color="auto" w:fill="auto"/>
            <w:vAlign w:val="center"/>
          </w:tcPr>
          <w:p w14:paraId="3A15443C">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云端抗DDOS服务</w:t>
            </w:r>
          </w:p>
        </w:tc>
        <w:tc>
          <w:tcPr>
            <w:tcW w:w="2749" w:type="dxa"/>
            <w:shd w:val="clear" w:color="auto" w:fill="auto"/>
            <w:vAlign w:val="center"/>
          </w:tcPr>
          <w:p w14:paraId="11021C6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云端抗Ddos服务</w:t>
            </w:r>
          </w:p>
        </w:tc>
        <w:tc>
          <w:tcPr>
            <w:tcW w:w="938" w:type="dxa"/>
            <w:shd w:val="clear" w:color="auto" w:fill="auto"/>
            <w:noWrap/>
            <w:vAlign w:val="center"/>
          </w:tcPr>
          <w:p w14:paraId="04112DE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696B492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62769E7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r>
      <w:tr w14:paraId="69F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1D6887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23" w:type="dxa"/>
            <w:vMerge w:val="continue"/>
            <w:vAlign w:val="center"/>
          </w:tcPr>
          <w:p w14:paraId="44D2BFBF">
            <w:pPr>
              <w:jc w:val="center"/>
              <w:rPr>
                <w:rFonts w:ascii="宋体" w:hAnsi="宋体" w:eastAsia="宋体" w:cs="宋体"/>
                <w:color w:val="auto"/>
                <w:sz w:val="24"/>
                <w:highlight w:val="none"/>
              </w:rPr>
            </w:pPr>
          </w:p>
        </w:tc>
        <w:tc>
          <w:tcPr>
            <w:tcW w:w="1289" w:type="dxa"/>
            <w:shd w:val="clear" w:color="auto" w:fill="auto"/>
            <w:vAlign w:val="center"/>
          </w:tcPr>
          <w:p w14:paraId="03ADB97E">
            <w:pPr>
              <w:widowControl/>
              <w:jc w:val="center"/>
              <w:rPr>
                <w:rFonts w:ascii="宋体" w:hAnsi="宋体" w:eastAsia="宋体" w:cs="宋体"/>
                <w:color w:val="auto"/>
                <w:sz w:val="24"/>
                <w:highlight w:val="none"/>
              </w:rPr>
            </w:pPr>
            <w:r>
              <w:rPr>
                <w:rFonts w:hint="eastAsia" w:ascii="宋体" w:hAnsi="宋体" w:eastAsia="宋体" w:cs="Times New Roman"/>
                <w:color w:val="auto"/>
                <w:sz w:val="24"/>
                <w:highlight w:val="none"/>
              </w:rPr>
              <w:t>云端APT防护服务</w:t>
            </w:r>
          </w:p>
        </w:tc>
        <w:tc>
          <w:tcPr>
            <w:tcW w:w="2749" w:type="dxa"/>
            <w:shd w:val="clear" w:color="auto" w:fill="auto"/>
            <w:vAlign w:val="center"/>
          </w:tcPr>
          <w:p w14:paraId="63F53BC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云端APT防护服务</w:t>
            </w:r>
          </w:p>
        </w:tc>
        <w:tc>
          <w:tcPr>
            <w:tcW w:w="938" w:type="dxa"/>
            <w:shd w:val="clear" w:color="auto" w:fill="auto"/>
            <w:noWrap/>
            <w:vAlign w:val="center"/>
          </w:tcPr>
          <w:p w14:paraId="607D49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7EBDACE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936" w:type="dxa"/>
            <w:shd w:val="clear" w:color="auto" w:fill="auto"/>
            <w:noWrap/>
            <w:vAlign w:val="center"/>
          </w:tcPr>
          <w:p w14:paraId="182F338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6F88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58E9BA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723" w:type="dxa"/>
            <w:vMerge w:val="continue"/>
            <w:vAlign w:val="center"/>
          </w:tcPr>
          <w:p w14:paraId="480E4868">
            <w:pPr>
              <w:widowControl/>
              <w:jc w:val="center"/>
              <w:rPr>
                <w:rFonts w:ascii="宋体" w:hAnsi="宋体" w:eastAsia="宋体" w:cs="宋体"/>
                <w:color w:val="auto"/>
                <w:sz w:val="24"/>
                <w:highlight w:val="none"/>
              </w:rPr>
            </w:pPr>
          </w:p>
        </w:tc>
        <w:tc>
          <w:tcPr>
            <w:tcW w:w="1289" w:type="dxa"/>
            <w:shd w:val="clear" w:color="auto" w:fill="auto"/>
            <w:vAlign w:val="center"/>
          </w:tcPr>
          <w:p w14:paraId="365895B6">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主机杀毒服务</w:t>
            </w:r>
          </w:p>
        </w:tc>
        <w:tc>
          <w:tcPr>
            <w:tcW w:w="2749" w:type="dxa"/>
            <w:shd w:val="clear" w:color="auto" w:fill="auto"/>
            <w:vAlign w:val="center"/>
          </w:tcPr>
          <w:p w14:paraId="3E7BFFF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主机杀毒服务</w:t>
            </w:r>
          </w:p>
        </w:tc>
        <w:tc>
          <w:tcPr>
            <w:tcW w:w="938" w:type="dxa"/>
            <w:shd w:val="clear" w:color="auto" w:fill="auto"/>
            <w:noWrap/>
            <w:vAlign w:val="center"/>
          </w:tcPr>
          <w:p w14:paraId="0FF03BA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68A7102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80</w:t>
            </w:r>
          </w:p>
        </w:tc>
        <w:tc>
          <w:tcPr>
            <w:tcW w:w="936" w:type="dxa"/>
            <w:shd w:val="clear" w:color="auto" w:fill="auto"/>
            <w:noWrap/>
            <w:vAlign w:val="center"/>
          </w:tcPr>
          <w:p w14:paraId="3CF417C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869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35BB22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723" w:type="dxa"/>
            <w:vMerge w:val="continue"/>
            <w:vAlign w:val="center"/>
          </w:tcPr>
          <w:p w14:paraId="33032ACA">
            <w:pPr>
              <w:widowControl/>
              <w:jc w:val="center"/>
              <w:rPr>
                <w:rFonts w:ascii="宋体" w:hAnsi="宋体" w:eastAsia="宋体" w:cs="宋体"/>
                <w:color w:val="auto"/>
                <w:sz w:val="24"/>
                <w:highlight w:val="none"/>
              </w:rPr>
            </w:pPr>
          </w:p>
        </w:tc>
        <w:tc>
          <w:tcPr>
            <w:tcW w:w="1289" w:type="dxa"/>
            <w:shd w:val="clear" w:color="auto" w:fill="auto"/>
            <w:vAlign w:val="center"/>
          </w:tcPr>
          <w:p w14:paraId="3015BB5F">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主机杀毒服务</w:t>
            </w:r>
          </w:p>
        </w:tc>
        <w:tc>
          <w:tcPr>
            <w:tcW w:w="2749" w:type="dxa"/>
            <w:shd w:val="clear" w:color="auto" w:fill="auto"/>
            <w:vAlign w:val="center"/>
          </w:tcPr>
          <w:p w14:paraId="3FF3E7B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主机杀毒服务</w:t>
            </w:r>
          </w:p>
        </w:tc>
        <w:tc>
          <w:tcPr>
            <w:tcW w:w="938" w:type="dxa"/>
            <w:shd w:val="clear" w:color="auto" w:fill="auto"/>
            <w:noWrap/>
            <w:vAlign w:val="center"/>
          </w:tcPr>
          <w:p w14:paraId="22A5FBB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7BF429D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103</w:t>
            </w:r>
          </w:p>
        </w:tc>
        <w:tc>
          <w:tcPr>
            <w:tcW w:w="936" w:type="dxa"/>
            <w:shd w:val="clear" w:color="auto" w:fill="auto"/>
            <w:noWrap/>
            <w:vAlign w:val="center"/>
          </w:tcPr>
          <w:p w14:paraId="1F89FD5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r>
      <w:tr w14:paraId="1592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EA7C48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26</w:t>
            </w:r>
          </w:p>
        </w:tc>
        <w:tc>
          <w:tcPr>
            <w:tcW w:w="723" w:type="dxa"/>
            <w:vMerge w:val="continue"/>
            <w:vAlign w:val="center"/>
          </w:tcPr>
          <w:p w14:paraId="4A98D93B">
            <w:pPr>
              <w:widowControl/>
              <w:jc w:val="center"/>
              <w:rPr>
                <w:rFonts w:ascii="宋体" w:hAnsi="宋体" w:eastAsia="宋体" w:cs="宋体"/>
                <w:color w:val="auto"/>
                <w:sz w:val="24"/>
                <w:highlight w:val="none"/>
              </w:rPr>
            </w:pPr>
          </w:p>
        </w:tc>
        <w:tc>
          <w:tcPr>
            <w:tcW w:w="1289" w:type="dxa"/>
            <w:shd w:val="clear" w:color="auto" w:fill="auto"/>
            <w:vAlign w:val="center"/>
          </w:tcPr>
          <w:p w14:paraId="1664D12A">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主机防护</w:t>
            </w:r>
          </w:p>
        </w:tc>
        <w:tc>
          <w:tcPr>
            <w:tcW w:w="2749" w:type="dxa"/>
            <w:shd w:val="clear" w:color="auto" w:fill="auto"/>
            <w:vAlign w:val="center"/>
          </w:tcPr>
          <w:p w14:paraId="10994A0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主机防护服务</w:t>
            </w:r>
          </w:p>
        </w:tc>
        <w:tc>
          <w:tcPr>
            <w:tcW w:w="938" w:type="dxa"/>
            <w:shd w:val="clear" w:color="auto" w:fill="auto"/>
            <w:noWrap/>
            <w:vAlign w:val="center"/>
          </w:tcPr>
          <w:p w14:paraId="2B8CD63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4BCA3E7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936" w:type="dxa"/>
            <w:shd w:val="clear" w:color="auto" w:fill="auto"/>
            <w:noWrap/>
            <w:vAlign w:val="center"/>
          </w:tcPr>
          <w:p w14:paraId="7760C72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7FB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5E8B0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3" w:type="dxa"/>
            <w:vMerge w:val="continue"/>
            <w:vAlign w:val="center"/>
          </w:tcPr>
          <w:p w14:paraId="5F47E54A">
            <w:pPr>
              <w:widowControl/>
              <w:jc w:val="center"/>
              <w:rPr>
                <w:rFonts w:ascii="宋体" w:hAnsi="宋体" w:eastAsia="宋体" w:cs="宋体"/>
                <w:color w:val="auto"/>
                <w:sz w:val="24"/>
                <w:highlight w:val="none"/>
              </w:rPr>
            </w:pPr>
          </w:p>
        </w:tc>
        <w:tc>
          <w:tcPr>
            <w:tcW w:w="1289" w:type="dxa"/>
            <w:shd w:val="clear" w:color="auto" w:fill="auto"/>
            <w:vAlign w:val="center"/>
          </w:tcPr>
          <w:p w14:paraId="22114C65">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主机防护</w:t>
            </w:r>
          </w:p>
        </w:tc>
        <w:tc>
          <w:tcPr>
            <w:tcW w:w="2749" w:type="dxa"/>
            <w:shd w:val="clear" w:color="auto" w:fill="auto"/>
            <w:vAlign w:val="center"/>
          </w:tcPr>
          <w:p w14:paraId="2A7453F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主机防护服务</w:t>
            </w:r>
          </w:p>
        </w:tc>
        <w:tc>
          <w:tcPr>
            <w:tcW w:w="938" w:type="dxa"/>
            <w:shd w:val="clear" w:color="auto" w:fill="auto"/>
            <w:noWrap/>
            <w:vAlign w:val="center"/>
          </w:tcPr>
          <w:p w14:paraId="6A4F222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4B4DAFD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103</w:t>
            </w:r>
          </w:p>
        </w:tc>
        <w:tc>
          <w:tcPr>
            <w:tcW w:w="936" w:type="dxa"/>
            <w:shd w:val="clear" w:color="auto" w:fill="auto"/>
            <w:noWrap/>
            <w:vAlign w:val="center"/>
          </w:tcPr>
          <w:p w14:paraId="4F43EE9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r>
      <w:tr w14:paraId="1EB4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42A6149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28</w:t>
            </w:r>
          </w:p>
        </w:tc>
        <w:tc>
          <w:tcPr>
            <w:tcW w:w="723" w:type="dxa"/>
            <w:vMerge w:val="continue"/>
            <w:vAlign w:val="center"/>
          </w:tcPr>
          <w:p w14:paraId="7AA18577">
            <w:pPr>
              <w:widowControl/>
              <w:jc w:val="center"/>
              <w:rPr>
                <w:rFonts w:ascii="宋体" w:hAnsi="宋体" w:eastAsia="宋体" w:cs="宋体"/>
                <w:color w:val="auto"/>
                <w:sz w:val="24"/>
                <w:highlight w:val="none"/>
              </w:rPr>
            </w:pPr>
          </w:p>
        </w:tc>
        <w:tc>
          <w:tcPr>
            <w:tcW w:w="1289" w:type="dxa"/>
            <w:shd w:val="clear" w:color="auto" w:fill="auto"/>
            <w:vAlign w:val="center"/>
          </w:tcPr>
          <w:p w14:paraId="56B1F05E">
            <w:pPr>
              <w:widowControl/>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主机安全加固</w:t>
            </w:r>
          </w:p>
        </w:tc>
        <w:tc>
          <w:tcPr>
            <w:tcW w:w="2749" w:type="dxa"/>
            <w:shd w:val="clear" w:color="auto" w:fill="auto"/>
            <w:vAlign w:val="center"/>
          </w:tcPr>
          <w:p w14:paraId="6FC927D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主机安全加固服务</w:t>
            </w:r>
          </w:p>
        </w:tc>
        <w:tc>
          <w:tcPr>
            <w:tcW w:w="938" w:type="dxa"/>
            <w:shd w:val="clear" w:color="auto" w:fill="auto"/>
            <w:noWrap/>
            <w:vAlign w:val="center"/>
          </w:tcPr>
          <w:p w14:paraId="3159842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台次</w:t>
            </w:r>
          </w:p>
        </w:tc>
        <w:tc>
          <w:tcPr>
            <w:tcW w:w="1056" w:type="dxa"/>
            <w:shd w:val="clear" w:color="auto" w:fill="auto"/>
            <w:noWrap/>
            <w:vAlign w:val="center"/>
          </w:tcPr>
          <w:p w14:paraId="1E080D9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399</w:t>
            </w:r>
          </w:p>
        </w:tc>
        <w:tc>
          <w:tcPr>
            <w:tcW w:w="936" w:type="dxa"/>
            <w:shd w:val="clear" w:color="auto" w:fill="auto"/>
            <w:noWrap/>
            <w:vAlign w:val="center"/>
          </w:tcPr>
          <w:p w14:paraId="4199F66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93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75A173E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29</w:t>
            </w:r>
          </w:p>
        </w:tc>
        <w:tc>
          <w:tcPr>
            <w:tcW w:w="723" w:type="dxa"/>
            <w:vMerge w:val="continue"/>
            <w:vAlign w:val="center"/>
          </w:tcPr>
          <w:p w14:paraId="27E82FBF">
            <w:pPr>
              <w:widowControl/>
              <w:jc w:val="center"/>
              <w:rPr>
                <w:rFonts w:ascii="宋体" w:hAnsi="宋体" w:eastAsia="宋体" w:cs="宋体"/>
                <w:color w:val="auto"/>
                <w:sz w:val="24"/>
                <w:highlight w:val="none"/>
              </w:rPr>
            </w:pPr>
          </w:p>
        </w:tc>
        <w:tc>
          <w:tcPr>
            <w:tcW w:w="1289" w:type="dxa"/>
            <w:shd w:val="clear" w:color="auto" w:fill="auto"/>
            <w:vAlign w:val="center"/>
          </w:tcPr>
          <w:p w14:paraId="4B4AF83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网页防篡改服务</w:t>
            </w:r>
          </w:p>
        </w:tc>
        <w:tc>
          <w:tcPr>
            <w:tcW w:w="2749" w:type="dxa"/>
            <w:shd w:val="clear" w:color="auto" w:fill="auto"/>
            <w:vAlign w:val="center"/>
          </w:tcPr>
          <w:p w14:paraId="33BCEA8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网页防篡改服务</w:t>
            </w:r>
          </w:p>
        </w:tc>
        <w:tc>
          <w:tcPr>
            <w:tcW w:w="938" w:type="dxa"/>
            <w:shd w:val="clear" w:color="auto" w:fill="auto"/>
            <w:noWrap/>
            <w:vAlign w:val="center"/>
          </w:tcPr>
          <w:p w14:paraId="4DC9080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监控点/月</w:t>
            </w:r>
          </w:p>
        </w:tc>
        <w:tc>
          <w:tcPr>
            <w:tcW w:w="1056" w:type="dxa"/>
            <w:shd w:val="clear" w:color="auto" w:fill="auto"/>
            <w:noWrap/>
            <w:vAlign w:val="center"/>
          </w:tcPr>
          <w:p w14:paraId="664EB75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936" w:type="dxa"/>
            <w:shd w:val="clear" w:color="auto" w:fill="auto"/>
            <w:noWrap/>
            <w:vAlign w:val="center"/>
          </w:tcPr>
          <w:p w14:paraId="27E827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277B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DEED78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30</w:t>
            </w:r>
          </w:p>
        </w:tc>
        <w:tc>
          <w:tcPr>
            <w:tcW w:w="723" w:type="dxa"/>
            <w:vMerge w:val="restart"/>
            <w:vAlign w:val="center"/>
          </w:tcPr>
          <w:p w14:paraId="182D083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安全检测监测、审计服务</w:t>
            </w:r>
          </w:p>
        </w:tc>
        <w:tc>
          <w:tcPr>
            <w:tcW w:w="1289" w:type="dxa"/>
            <w:shd w:val="clear" w:color="auto" w:fill="auto"/>
            <w:vAlign w:val="center"/>
          </w:tcPr>
          <w:p w14:paraId="7FF3B94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主机漏洞扫描</w:t>
            </w:r>
          </w:p>
        </w:tc>
        <w:tc>
          <w:tcPr>
            <w:tcW w:w="2749" w:type="dxa"/>
            <w:shd w:val="clear" w:color="auto" w:fill="auto"/>
            <w:vAlign w:val="center"/>
          </w:tcPr>
          <w:p w14:paraId="4224E15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主机漏洞扫描服务</w:t>
            </w:r>
          </w:p>
        </w:tc>
        <w:tc>
          <w:tcPr>
            <w:tcW w:w="938" w:type="dxa"/>
            <w:shd w:val="clear" w:color="auto" w:fill="auto"/>
            <w:noWrap/>
            <w:vAlign w:val="center"/>
          </w:tcPr>
          <w:p w14:paraId="626AB77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台次</w:t>
            </w:r>
          </w:p>
        </w:tc>
        <w:tc>
          <w:tcPr>
            <w:tcW w:w="1056" w:type="dxa"/>
            <w:shd w:val="clear" w:color="auto" w:fill="auto"/>
            <w:noWrap/>
            <w:vAlign w:val="center"/>
          </w:tcPr>
          <w:p w14:paraId="38F9EB3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367</w:t>
            </w:r>
          </w:p>
        </w:tc>
        <w:tc>
          <w:tcPr>
            <w:tcW w:w="936" w:type="dxa"/>
            <w:shd w:val="clear" w:color="auto" w:fill="auto"/>
            <w:noWrap/>
            <w:vAlign w:val="center"/>
          </w:tcPr>
          <w:p w14:paraId="7BB10D7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B43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DB01C9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23" w:type="dxa"/>
            <w:vMerge w:val="continue"/>
            <w:vAlign w:val="center"/>
          </w:tcPr>
          <w:p w14:paraId="57BF992E">
            <w:pPr>
              <w:widowControl/>
              <w:jc w:val="center"/>
              <w:rPr>
                <w:rFonts w:ascii="宋体" w:hAnsi="宋体" w:eastAsia="宋体" w:cs="宋体"/>
                <w:color w:val="auto"/>
                <w:sz w:val="24"/>
                <w:highlight w:val="none"/>
              </w:rPr>
            </w:pPr>
          </w:p>
        </w:tc>
        <w:tc>
          <w:tcPr>
            <w:tcW w:w="1289" w:type="dxa"/>
            <w:shd w:val="clear" w:color="auto" w:fill="auto"/>
            <w:vAlign w:val="center"/>
          </w:tcPr>
          <w:p w14:paraId="754701D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主机日志审计服务</w:t>
            </w:r>
          </w:p>
        </w:tc>
        <w:tc>
          <w:tcPr>
            <w:tcW w:w="2749" w:type="dxa"/>
            <w:shd w:val="clear" w:color="auto" w:fill="auto"/>
            <w:vAlign w:val="center"/>
          </w:tcPr>
          <w:p w14:paraId="51645F3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主机日志分析服务</w:t>
            </w:r>
          </w:p>
        </w:tc>
        <w:tc>
          <w:tcPr>
            <w:tcW w:w="938" w:type="dxa"/>
            <w:shd w:val="clear" w:color="auto" w:fill="auto"/>
            <w:noWrap/>
            <w:vAlign w:val="center"/>
          </w:tcPr>
          <w:p w14:paraId="06E127A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台次</w:t>
            </w:r>
          </w:p>
        </w:tc>
        <w:tc>
          <w:tcPr>
            <w:tcW w:w="1056" w:type="dxa"/>
            <w:shd w:val="clear" w:color="auto" w:fill="auto"/>
            <w:noWrap/>
            <w:vAlign w:val="center"/>
          </w:tcPr>
          <w:p w14:paraId="0E3DD48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262</w:t>
            </w:r>
          </w:p>
        </w:tc>
        <w:tc>
          <w:tcPr>
            <w:tcW w:w="936" w:type="dxa"/>
            <w:shd w:val="clear" w:color="auto" w:fill="auto"/>
            <w:noWrap/>
            <w:vAlign w:val="center"/>
          </w:tcPr>
          <w:p w14:paraId="4760C1A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330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DBF611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32</w:t>
            </w:r>
          </w:p>
        </w:tc>
        <w:tc>
          <w:tcPr>
            <w:tcW w:w="723" w:type="dxa"/>
            <w:vMerge w:val="continue"/>
            <w:vAlign w:val="center"/>
          </w:tcPr>
          <w:p w14:paraId="2AE3FFC1">
            <w:pPr>
              <w:widowControl/>
              <w:jc w:val="center"/>
              <w:rPr>
                <w:rFonts w:ascii="宋体" w:hAnsi="宋体" w:eastAsia="宋体" w:cs="宋体"/>
                <w:color w:val="auto"/>
                <w:sz w:val="24"/>
                <w:highlight w:val="none"/>
              </w:rPr>
            </w:pPr>
          </w:p>
        </w:tc>
        <w:tc>
          <w:tcPr>
            <w:tcW w:w="1289" w:type="dxa"/>
            <w:shd w:val="clear" w:color="auto" w:fill="auto"/>
            <w:vAlign w:val="center"/>
          </w:tcPr>
          <w:p w14:paraId="375E826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数据库审计服务</w:t>
            </w:r>
          </w:p>
        </w:tc>
        <w:tc>
          <w:tcPr>
            <w:tcW w:w="2749" w:type="dxa"/>
            <w:shd w:val="clear" w:color="auto" w:fill="auto"/>
            <w:vAlign w:val="center"/>
          </w:tcPr>
          <w:p w14:paraId="4554B74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数据库审计服务</w:t>
            </w:r>
          </w:p>
        </w:tc>
        <w:tc>
          <w:tcPr>
            <w:tcW w:w="938" w:type="dxa"/>
            <w:shd w:val="clear" w:color="auto" w:fill="auto"/>
            <w:noWrap/>
            <w:vAlign w:val="center"/>
          </w:tcPr>
          <w:p w14:paraId="3556708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01FEE16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936" w:type="dxa"/>
            <w:shd w:val="clear" w:color="auto" w:fill="auto"/>
            <w:noWrap/>
            <w:vAlign w:val="center"/>
          </w:tcPr>
          <w:p w14:paraId="3E63E62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BD4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626EEE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33</w:t>
            </w:r>
          </w:p>
        </w:tc>
        <w:tc>
          <w:tcPr>
            <w:tcW w:w="723" w:type="dxa"/>
            <w:vMerge w:val="restart"/>
            <w:vAlign w:val="center"/>
          </w:tcPr>
          <w:p w14:paraId="2465222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基础软件支撑服务</w:t>
            </w:r>
          </w:p>
        </w:tc>
        <w:tc>
          <w:tcPr>
            <w:tcW w:w="1289" w:type="dxa"/>
            <w:shd w:val="clear" w:color="auto" w:fill="auto"/>
            <w:vAlign w:val="center"/>
          </w:tcPr>
          <w:p w14:paraId="7BB49B7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Linux操作系统套餐</w:t>
            </w:r>
          </w:p>
        </w:tc>
        <w:tc>
          <w:tcPr>
            <w:tcW w:w="2749" w:type="dxa"/>
            <w:shd w:val="clear" w:color="auto" w:fill="auto"/>
            <w:vAlign w:val="center"/>
          </w:tcPr>
          <w:p w14:paraId="7BD7724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提供Linux操作系统安装和维护服务。</w:t>
            </w:r>
          </w:p>
        </w:tc>
        <w:tc>
          <w:tcPr>
            <w:tcW w:w="938" w:type="dxa"/>
            <w:shd w:val="clear" w:color="auto" w:fill="auto"/>
            <w:noWrap/>
            <w:vAlign w:val="center"/>
          </w:tcPr>
          <w:p w14:paraId="5B559E6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4BD66FF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936" w:type="dxa"/>
            <w:shd w:val="clear" w:color="auto" w:fill="auto"/>
            <w:noWrap/>
            <w:vAlign w:val="center"/>
          </w:tcPr>
          <w:p w14:paraId="5DCFB03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043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0BB726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34</w:t>
            </w:r>
          </w:p>
        </w:tc>
        <w:tc>
          <w:tcPr>
            <w:tcW w:w="723" w:type="dxa"/>
            <w:vMerge w:val="continue"/>
            <w:vAlign w:val="center"/>
          </w:tcPr>
          <w:p w14:paraId="375E5A12">
            <w:pPr>
              <w:widowControl/>
              <w:jc w:val="center"/>
              <w:rPr>
                <w:rFonts w:ascii="宋体" w:hAnsi="宋体" w:eastAsia="宋体" w:cs="宋体"/>
                <w:color w:val="auto"/>
                <w:sz w:val="24"/>
                <w:highlight w:val="none"/>
              </w:rPr>
            </w:pPr>
          </w:p>
        </w:tc>
        <w:tc>
          <w:tcPr>
            <w:tcW w:w="1289" w:type="dxa"/>
            <w:vMerge w:val="restart"/>
            <w:shd w:val="clear" w:color="auto" w:fill="auto"/>
            <w:vAlign w:val="center"/>
          </w:tcPr>
          <w:p w14:paraId="36C8B56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商用操作系统套餐</w:t>
            </w:r>
          </w:p>
        </w:tc>
        <w:tc>
          <w:tcPr>
            <w:tcW w:w="2749" w:type="dxa"/>
            <w:shd w:val="clear" w:color="auto" w:fill="auto"/>
            <w:vAlign w:val="center"/>
          </w:tcPr>
          <w:p w14:paraId="424F43F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商用操作系统租用服务：主流商用租用、安装及维护</w:t>
            </w:r>
          </w:p>
        </w:tc>
        <w:tc>
          <w:tcPr>
            <w:tcW w:w="938" w:type="dxa"/>
            <w:shd w:val="clear" w:color="auto" w:fill="auto"/>
            <w:noWrap/>
            <w:vAlign w:val="center"/>
          </w:tcPr>
          <w:p w14:paraId="4964271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1E50C2A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40</w:t>
            </w:r>
          </w:p>
        </w:tc>
        <w:tc>
          <w:tcPr>
            <w:tcW w:w="936" w:type="dxa"/>
            <w:shd w:val="clear" w:color="auto" w:fill="auto"/>
            <w:noWrap/>
            <w:vAlign w:val="center"/>
          </w:tcPr>
          <w:p w14:paraId="3C3A12A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2AE8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54BA042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35</w:t>
            </w:r>
          </w:p>
        </w:tc>
        <w:tc>
          <w:tcPr>
            <w:tcW w:w="723" w:type="dxa"/>
            <w:vMerge w:val="continue"/>
            <w:vAlign w:val="center"/>
          </w:tcPr>
          <w:p w14:paraId="4DFA379B">
            <w:pPr>
              <w:widowControl/>
              <w:jc w:val="center"/>
              <w:rPr>
                <w:rFonts w:ascii="宋体" w:hAnsi="宋体" w:eastAsia="宋体" w:cs="宋体"/>
                <w:color w:val="auto"/>
                <w:sz w:val="24"/>
                <w:highlight w:val="none"/>
              </w:rPr>
            </w:pPr>
          </w:p>
        </w:tc>
        <w:tc>
          <w:tcPr>
            <w:tcW w:w="1289" w:type="dxa"/>
            <w:vMerge w:val="continue"/>
            <w:shd w:val="clear" w:color="auto" w:fill="auto"/>
            <w:vAlign w:val="center"/>
          </w:tcPr>
          <w:p w14:paraId="03C53580">
            <w:pPr>
              <w:widowControl/>
              <w:jc w:val="center"/>
              <w:rPr>
                <w:rFonts w:ascii="宋体" w:hAnsi="宋体" w:eastAsia="宋体" w:cs="宋体"/>
                <w:color w:val="auto"/>
                <w:sz w:val="24"/>
                <w:highlight w:val="none"/>
              </w:rPr>
            </w:pPr>
          </w:p>
        </w:tc>
        <w:tc>
          <w:tcPr>
            <w:tcW w:w="2749" w:type="dxa"/>
            <w:shd w:val="clear" w:color="auto" w:fill="auto"/>
            <w:vAlign w:val="center"/>
          </w:tcPr>
          <w:p w14:paraId="064A2F9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国产化操作系统租用服务：国产Linux操作系统服务租用、安装及维护</w:t>
            </w:r>
          </w:p>
        </w:tc>
        <w:tc>
          <w:tcPr>
            <w:tcW w:w="938" w:type="dxa"/>
            <w:shd w:val="clear" w:color="auto" w:fill="auto"/>
            <w:noWrap/>
            <w:vAlign w:val="center"/>
          </w:tcPr>
          <w:p w14:paraId="7E5F895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28934A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936" w:type="dxa"/>
            <w:shd w:val="clear" w:color="auto" w:fill="auto"/>
            <w:noWrap/>
            <w:vAlign w:val="center"/>
          </w:tcPr>
          <w:p w14:paraId="024A773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D24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C98E71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36</w:t>
            </w:r>
          </w:p>
        </w:tc>
        <w:tc>
          <w:tcPr>
            <w:tcW w:w="723" w:type="dxa"/>
            <w:vMerge w:val="continue"/>
            <w:vAlign w:val="center"/>
          </w:tcPr>
          <w:p w14:paraId="66DAE5AA">
            <w:pPr>
              <w:widowControl/>
              <w:jc w:val="center"/>
              <w:rPr>
                <w:rFonts w:ascii="宋体" w:hAnsi="宋体" w:eastAsia="宋体" w:cs="宋体"/>
                <w:color w:val="auto"/>
                <w:sz w:val="24"/>
                <w:highlight w:val="none"/>
              </w:rPr>
            </w:pPr>
          </w:p>
        </w:tc>
        <w:tc>
          <w:tcPr>
            <w:tcW w:w="1289" w:type="dxa"/>
            <w:vMerge w:val="continue"/>
            <w:shd w:val="clear" w:color="auto" w:fill="auto"/>
            <w:vAlign w:val="center"/>
          </w:tcPr>
          <w:p w14:paraId="4E2148E0">
            <w:pPr>
              <w:widowControl/>
              <w:jc w:val="center"/>
              <w:rPr>
                <w:rFonts w:ascii="宋体" w:hAnsi="宋体" w:eastAsia="宋体" w:cs="宋体"/>
                <w:color w:val="auto"/>
                <w:sz w:val="24"/>
                <w:highlight w:val="none"/>
              </w:rPr>
            </w:pPr>
          </w:p>
        </w:tc>
        <w:tc>
          <w:tcPr>
            <w:tcW w:w="2749" w:type="dxa"/>
            <w:shd w:val="clear" w:color="auto" w:fill="auto"/>
            <w:vAlign w:val="center"/>
          </w:tcPr>
          <w:p w14:paraId="72D1662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国产化操作系统租用服务：麒麟服务器操作系统服务租用、安装及维护</w:t>
            </w:r>
          </w:p>
        </w:tc>
        <w:tc>
          <w:tcPr>
            <w:tcW w:w="938" w:type="dxa"/>
            <w:shd w:val="clear" w:color="auto" w:fill="auto"/>
            <w:noWrap/>
            <w:vAlign w:val="center"/>
          </w:tcPr>
          <w:p w14:paraId="45447F6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2A6B5BA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936" w:type="dxa"/>
            <w:shd w:val="clear" w:color="auto" w:fill="auto"/>
            <w:noWrap/>
            <w:vAlign w:val="center"/>
          </w:tcPr>
          <w:p w14:paraId="6862BB1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3557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886398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37</w:t>
            </w:r>
          </w:p>
        </w:tc>
        <w:tc>
          <w:tcPr>
            <w:tcW w:w="723" w:type="dxa"/>
            <w:vMerge w:val="continue"/>
            <w:vAlign w:val="center"/>
          </w:tcPr>
          <w:p w14:paraId="314B6C02">
            <w:pPr>
              <w:widowControl/>
              <w:jc w:val="center"/>
              <w:rPr>
                <w:rFonts w:ascii="宋体" w:hAnsi="宋体" w:eastAsia="宋体" w:cs="宋体"/>
                <w:color w:val="auto"/>
                <w:sz w:val="24"/>
                <w:highlight w:val="none"/>
              </w:rPr>
            </w:pPr>
          </w:p>
        </w:tc>
        <w:tc>
          <w:tcPr>
            <w:tcW w:w="1289" w:type="dxa"/>
            <w:shd w:val="clear" w:color="auto" w:fill="auto"/>
            <w:vAlign w:val="center"/>
          </w:tcPr>
          <w:p w14:paraId="2F5D4B9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商用数据库套餐</w:t>
            </w:r>
          </w:p>
        </w:tc>
        <w:tc>
          <w:tcPr>
            <w:tcW w:w="2749" w:type="dxa"/>
            <w:shd w:val="clear" w:color="auto" w:fill="auto"/>
            <w:vAlign w:val="center"/>
          </w:tcPr>
          <w:p w14:paraId="1CAB944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国产化数据库租用服务：国产化数据库服务租用、安装和维护服务</w:t>
            </w:r>
          </w:p>
        </w:tc>
        <w:tc>
          <w:tcPr>
            <w:tcW w:w="938" w:type="dxa"/>
            <w:shd w:val="clear" w:color="auto" w:fill="auto"/>
            <w:noWrap/>
            <w:vAlign w:val="center"/>
          </w:tcPr>
          <w:p w14:paraId="19F9454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360A5D3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936" w:type="dxa"/>
            <w:shd w:val="clear" w:color="auto" w:fill="auto"/>
            <w:noWrap/>
            <w:vAlign w:val="center"/>
          </w:tcPr>
          <w:p w14:paraId="253DFCA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34A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FF7831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38</w:t>
            </w:r>
          </w:p>
        </w:tc>
        <w:tc>
          <w:tcPr>
            <w:tcW w:w="723" w:type="dxa"/>
            <w:vMerge w:val="restart"/>
            <w:vAlign w:val="center"/>
          </w:tcPr>
          <w:p w14:paraId="4AD391C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其他服务</w:t>
            </w:r>
          </w:p>
        </w:tc>
        <w:tc>
          <w:tcPr>
            <w:tcW w:w="1289" w:type="dxa"/>
            <w:shd w:val="clear" w:color="auto" w:fill="auto"/>
            <w:vAlign w:val="center"/>
          </w:tcPr>
          <w:p w14:paraId="49DFC26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云内系统安全风险评估</w:t>
            </w:r>
          </w:p>
        </w:tc>
        <w:tc>
          <w:tcPr>
            <w:tcW w:w="2749" w:type="dxa"/>
            <w:shd w:val="clear" w:color="auto" w:fill="auto"/>
            <w:vAlign w:val="center"/>
          </w:tcPr>
          <w:p w14:paraId="40B6BD1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云内系统安全风险评估：对应用系统整体运行环境、中间件、应用漏洞、安全策略、基线等内容进行风险评估，出具评估报告并提供整改建议。</w:t>
            </w:r>
          </w:p>
        </w:tc>
        <w:tc>
          <w:tcPr>
            <w:tcW w:w="938" w:type="dxa"/>
            <w:shd w:val="clear" w:color="auto" w:fill="auto"/>
            <w:noWrap/>
            <w:vAlign w:val="center"/>
          </w:tcPr>
          <w:p w14:paraId="279D5D5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25B8CE1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20CB556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3BA8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BFE842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39</w:t>
            </w:r>
          </w:p>
        </w:tc>
        <w:tc>
          <w:tcPr>
            <w:tcW w:w="723" w:type="dxa"/>
            <w:vMerge w:val="continue"/>
            <w:vAlign w:val="center"/>
          </w:tcPr>
          <w:p w14:paraId="19961AC6">
            <w:pPr>
              <w:widowControl/>
              <w:jc w:val="center"/>
              <w:rPr>
                <w:rFonts w:ascii="宋体" w:hAnsi="宋体" w:eastAsia="宋体" w:cs="宋体"/>
                <w:color w:val="auto"/>
                <w:sz w:val="24"/>
                <w:highlight w:val="none"/>
              </w:rPr>
            </w:pPr>
          </w:p>
        </w:tc>
        <w:tc>
          <w:tcPr>
            <w:tcW w:w="1289" w:type="dxa"/>
            <w:shd w:val="clear" w:color="auto" w:fill="auto"/>
            <w:vAlign w:val="center"/>
          </w:tcPr>
          <w:p w14:paraId="2E213A7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数据防泄漏服务</w:t>
            </w:r>
          </w:p>
        </w:tc>
        <w:tc>
          <w:tcPr>
            <w:tcW w:w="2749" w:type="dxa"/>
            <w:shd w:val="clear" w:color="auto" w:fill="auto"/>
            <w:vAlign w:val="center"/>
          </w:tcPr>
          <w:p w14:paraId="0569DDA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数据防泄漏服务：对现有业务系统重要数据资产进行盘点、分级/分类，结合数据加密、行往管理/审计实现数据防泄密保护服务</w:t>
            </w:r>
          </w:p>
        </w:tc>
        <w:tc>
          <w:tcPr>
            <w:tcW w:w="938" w:type="dxa"/>
            <w:shd w:val="clear" w:color="auto" w:fill="auto"/>
            <w:noWrap/>
            <w:vAlign w:val="center"/>
          </w:tcPr>
          <w:p w14:paraId="5E3D907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425B056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936" w:type="dxa"/>
            <w:shd w:val="clear" w:color="auto" w:fill="auto"/>
            <w:noWrap/>
            <w:vAlign w:val="center"/>
          </w:tcPr>
          <w:p w14:paraId="1F031DC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34E8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E5A410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40</w:t>
            </w:r>
          </w:p>
        </w:tc>
        <w:tc>
          <w:tcPr>
            <w:tcW w:w="723" w:type="dxa"/>
            <w:vMerge w:val="continue"/>
            <w:vAlign w:val="center"/>
          </w:tcPr>
          <w:p w14:paraId="15FF520A">
            <w:pPr>
              <w:widowControl/>
              <w:jc w:val="center"/>
              <w:rPr>
                <w:rFonts w:ascii="宋体" w:hAnsi="宋体" w:eastAsia="宋体" w:cs="宋体"/>
                <w:color w:val="auto"/>
                <w:sz w:val="24"/>
                <w:highlight w:val="none"/>
              </w:rPr>
            </w:pPr>
          </w:p>
        </w:tc>
        <w:tc>
          <w:tcPr>
            <w:tcW w:w="1289" w:type="dxa"/>
            <w:shd w:val="clear" w:color="auto" w:fill="auto"/>
            <w:vAlign w:val="center"/>
          </w:tcPr>
          <w:p w14:paraId="42B331E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数据库安全运维服务</w:t>
            </w:r>
          </w:p>
        </w:tc>
        <w:tc>
          <w:tcPr>
            <w:tcW w:w="2749" w:type="dxa"/>
            <w:shd w:val="clear" w:color="auto" w:fill="auto"/>
            <w:vAlign w:val="center"/>
          </w:tcPr>
          <w:p w14:paraId="3E15C02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数据库安全运维服务：提供业务系统数据库运维、开发人员提供数据库精细化权限访问控制、风险操作防控等服务</w:t>
            </w:r>
          </w:p>
        </w:tc>
        <w:tc>
          <w:tcPr>
            <w:tcW w:w="938" w:type="dxa"/>
            <w:shd w:val="clear" w:color="auto" w:fill="auto"/>
            <w:noWrap/>
            <w:vAlign w:val="center"/>
          </w:tcPr>
          <w:p w14:paraId="5E493E59">
            <w:pPr>
              <w:widowControl/>
              <w:rPr>
                <w:rFonts w:ascii="宋体" w:hAnsi="宋体" w:eastAsia="宋体" w:cs="宋体"/>
                <w:color w:val="auto"/>
                <w:sz w:val="24"/>
                <w:highlight w:val="none"/>
              </w:rPr>
            </w:pPr>
            <w:r>
              <w:rPr>
                <w:rFonts w:hint="eastAsia" w:ascii="宋体" w:hAnsi="宋体" w:eastAsia="宋体" w:cs="宋体"/>
                <w:color w:val="auto"/>
                <w:sz w:val="24"/>
                <w:highlight w:val="none"/>
              </w:rPr>
              <w:t>1 台/月</w:t>
            </w:r>
          </w:p>
        </w:tc>
        <w:tc>
          <w:tcPr>
            <w:tcW w:w="1056" w:type="dxa"/>
            <w:shd w:val="clear" w:color="auto" w:fill="auto"/>
            <w:noWrap/>
            <w:vAlign w:val="center"/>
          </w:tcPr>
          <w:p w14:paraId="0472553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936" w:type="dxa"/>
            <w:shd w:val="clear" w:color="auto" w:fill="auto"/>
            <w:noWrap/>
            <w:vAlign w:val="center"/>
          </w:tcPr>
          <w:p w14:paraId="680C7C8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C27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51C7C2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41</w:t>
            </w:r>
          </w:p>
        </w:tc>
        <w:tc>
          <w:tcPr>
            <w:tcW w:w="723" w:type="dxa"/>
            <w:vMerge w:val="continue"/>
            <w:vAlign w:val="center"/>
          </w:tcPr>
          <w:p w14:paraId="2476B49F">
            <w:pPr>
              <w:widowControl/>
              <w:jc w:val="center"/>
              <w:rPr>
                <w:rFonts w:ascii="宋体" w:hAnsi="宋体" w:eastAsia="宋体" w:cs="宋体"/>
                <w:color w:val="auto"/>
                <w:sz w:val="24"/>
                <w:highlight w:val="none"/>
              </w:rPr>
            </w:pPr>
          </w:p>
        </w:tc>
        <w:tc>
          <w:tcPr>
            <w:tcW w:w="1289" w:type="dxa"/>
            <w:shd w:val="clear" w:color="auto" w:fill="auto"/>
            <w:vAlign w:val="center"/>
          </w:tcPr>
          <w:p w14:paraId="5CCC25C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代码仓库管理服务</w:t>
            </w:r>
          </w:p>
        </w:tc>
        <w:tc>
          <w:tcPr>
            <w:tcW w:w="2749" w:type="dxa"/>
            <w:shd w:val="clear" w:color="auto" w:fill="auto"/>
            <w:vAlign w:val="center"/>
          </w:tcPr>
          <w:p w14:paraId="5945622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代码仓库管理服务：提供代码、包、文档的存、授权、版本、发布等相关管理服务</w:t>
            </w:r>
          </w:p>
        </w:tc>
        <w:tc>
          <w:tcPr>
            <w:tcW w:w="938" w:type="dxa"/>
            <w:shd w:val="clear" w:color="auto" w:fill="auto"/>
            <w:noWrap/>
            <w:vAlign w:val="center"/>
          </w:tcPr>
          <w:p w14:paraId="6343CA5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套/年</w:t>
            </w:r>
          </w:p>
        </w:tc>
        <w:tc>
          <w:tcPr>
            <w:tcW w:w="1056" w:type="dxa"/>
            <w:shd w:val="clear" w:color="auto" w:fill="auto"/>
            <w:noWrap/>
            <w:vAlign w:val="center"/>
          </w:tcPr>
          <w:p w14:paraId="4DD03CD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44B187C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6602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BE1B34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42</w:t>
            </w:r>
          </w:p>
        </w:tc>
        <w:tc>
          <w:tcPr>
            <w:tcW w:w="723" w:type="dxa"/>
            <w:vMerge w:val="continue"/>
            <w:vAlign w:val="center"/>
          </w:tcPr>
          <w:p w14:paraId="6DE3445F">
            <w:pPr>
              <w:widowControl/>
              <w:jc w:val="center"/>
              <w:rPr>
                <w:rFonts w:ascii="宋体" w:hAnsi="宋体" w:eastAsia="宋体" w:cs="宋体"/>
                <w:color w:val="auto"/>
                <w:sz w:val="24"/>
                <w:highlight w:val="none"/>
              </w:rPr>
            </w:pPr>
          </w:p>
        </w:tc>
        <w:tc>
          <w:tcPr>
            <w:tcW w:w="1289" w:type="dxa"/>
            <w:shd w:val="clear" w:color="auto" w:fill="auto"/>
            <w:vAlign w:val="center"/>
          </w:tcPr>
          <w:p w14:paraId="0ABD9A2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FTP软件服务</w:t>
            </w:r>
          </w:p>
        </w:tc>
        <w:tc>
          <w:tcPr>
            <w:tcW w:w="2749" w:type="dxa"/>
            <w:shd w:val="clear" w:color="auto" w:fill="auto"/>
            <w:vAlign w:val="center"/>
          </w:tcPr>
          <w:p w14:paraId="7C2636A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按采购人实际需要提供FTP软件租用、运维等服务</w:t>
            </w:r>
          </w:p>
        </w:tc>
        <w:tc>
          <w:tcPr>
            <w:tcW w:w="938" w:type="dxa"/>
            <w:shd w:val="clear" w:color="auto" w:fill="auto"/>
            <w:noWrap/>
            <w:vAlign w:val="center"/>
          </w:tcPr>
          <w:p w14:paraId="5001F99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1套/年</w:t>
            </w:r>
          </w:p>
        </w:tc>
        <w:tc>
          <w:tcPr>
            <w:tcW w:w="1056" w:type="dxa"/>
            <w:shd w:val="clear" w:color="auto" w:fill="auto"/>
            <w:noWrap/>
            <w:vAlign w:val="center"/>
          </w:tcPr>
          <w:p w14:paraId="41EE122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538AD2C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0ADF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F2DA8B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43</w:t>
            </w:r>
          </w:p>
        </w:tc>
        <w:tc>
          <w:tcPr>
            <w:tcW w:w="723" w:type="dxa"/>
            <w:vMerge w:val="continue"/>
            <w:vAlign w:val="center"/>
          </w:tcPr>
          <w:p w14:paraId="79C0454A">
            <w:pPr>
              <w:widowControl/>
              <w:jc w:val="center"/>
              <w:rPr>
                <w:rFonts w:ascii="宋体" w:hAnsi="宋体" w:eastAsia="宋体" w:cs="宋体"/>
                <w:color w:val="auto"/>
                <w:sz w:val="24"/>
                <w:highlight w:val="none"/>
              </w:rPr>
            </w:pPr>
          </w:p>
        </w:tc>
        <w:tc>
          <w:tcPr>
            <w:tcW w:w="1289" w:type="dxa"/>
            <w:shd w:val="clear" w:color="auto" w:fill="auto"/>
            <w:vAlign w:val="center"/>
          </w:tcPr>
          <w:p w14:paraId="35E89F2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页面可用监控服务</w:t>
            </w:r>
          </w:p>
        </w:tc>
        <w:tc>
          <w:tcPr>
            <w:tcW w:w="2749" w:type="dxa"/>
            <w:shd w:val="clear" w:color="auto" w:fill="auto"/>
            <w:vAlign w:val="center"/>
          </w:tcPr>
          <w:p w14:paraId="68E2D77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页面可用监控服务</w:t>
            </w:r>
          </w:p>
        </w:tc>
        <w:tc>
          <w:tcPr>
            <w:tcW w:w="938" w:type="dxa"/>
            <w:shd w:val="clear" w:color="auto" w:fill="auto"/>
            <w:noWrap/>
            <w:vAlign w:val="center"/>
          </w:tcPr>
          <w:p w14:paraId="3175BA2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站点/年</w:t>
            </w:r>
          </w:p>
        </w:tc>
        <w:tc>
          <w:tcPr>
            <w:tcW w:w="1056" w:type="dxa"/>
            <w:shd w:val="clear" w:color="auto" w:fill="auto"/>
            <w:noWrap/>
            <w:vAlign w:val="center"/>
          </w:tcPr>
          <w:p w14:paraId="3E080FA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936" w:type="dxa"/>
            <w:shd w:val="clear" w:color="auto" w:fill="auto"/>
            <w:noWrap/>
            <w:vAlign w:val="center"/>
          </w:tcPr>
          <w:p w14:paraId="089E69F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C0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2E9A6A8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44</w:t>
            </w:r>
          </w:p>
        </w:tc>
        <w:tc>
          <w:tcPr>
            <w:tcW w:w="723" w:type="dxa"/>
            <w:vMerge w:val="continue"/>
            <w:vAlign w:val="center"/>
          </w:tcPr>
          <w:p w14:paraId="4B63B3F7">
            <w:pPr>
              <w:widowControl/>
              <w:jc w:val="center"/>
              <w:rPr>
                <w:rFonts w:ascii="宋体" w:hAnsi="宋体" w:eastAsia="宋体" w:cs="宋体"/>
                <w:color w:val="auto"/>
                <w:sz w:val="24"/>
                <w:highlight w:val="none"/>
              </w:rPr>
            </w:pPr>
          </w:p>
        </w:tc>
        <w:tc>
          <w:tcPr>
            <w:tcW w:w="1289" w:type="dxa"/>
            <w:shd w:val="clear" w:color="auto" w:fill="auto"/>
            <w:vAlign w:val="center"/>
          </w:tcPr>
          <w:p w14:paraId="34B124D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渗透测试服务</w:t>
            </w:r>
          </w:p>
        </w:tc>
        <w:tc>
          <w:tcPr>
            <w:tcW w:w="2749" w:type="dxa"/>
            <w:shd w:val="clear" w:color="auto" w:fill="auto"/>
            <w:vAlign w:val="center"/>
          </w:tcPr>
          <w:p w14:paraId="5E7FBD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渗透测试服务</w:t>
            </w:r>
          </w:p>
        </w:tc>
        <w:tc>
          <w:tcPr>
            <w:tcW w:w="938" w:type="dxa"/>
            <w:shd w:val="clear" w:color="auto" w:fill="auto"/>
            <w:noWrap/>
            <w:vAlign w:val="center"/>
          </w:tcPr>
          <w:p w14:paraId="7DB7703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2A8A445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936" w:type="dxa"/>
            <w:shd w:val="clear" w:color="auto" w:fill="auto"/>
            <w:noWrap/>
            <w:vAlign w:val="center"/>
          </w:tcPr>
          <w:p w14:paraId="26C705E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D40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974C11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45</w:t>
            </w:r>
          </w:p>
        </w:tc>
        <w:tc>
          <w:tcPr>
            <w:tcW w:w="723" w:type="dxa"/>
            <w:vMerge w:val="continue"/>
            <w:vAlign w:val="center"/>
          </w:tcPr>
          <w:p w14:paraId="7B46ADD2">
            <w:pPr>
              <w:widowControl/>
              <w:jc w:val="center"/>
              <w:rPr>
                <w:rFonts w:ascii="宋体" w:hAnsi="宋体" w:eastAsia="宋体" w:cs="宋体"/>
                <w:color w:val="auto"/>
                <w:sz w:val="24"/>
                <w:highlight w:val="none"/>
              </w:rPr>
            </w:pPr>
          </w:p>
        </w:tc>
        <w:tc>
          <w:tcPr>
            <w:tcW w:w="1289" w:type="dxa"/>
            <w:shd w:val="clear" w:color="auto" w:fill="auto"/>
            <w:vAlign w:val="center"/>
          </w:tcPr>
          <w:p w14:paraId="2C3770E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脆弱性检测服务</w:t>
            </w:r>
          </w:p>
        </w:tc>
        <w:tc>
          <w:tcPr>
            <w:tcW w:w="2749" w:type="dxa"/>
            <w:shd w:val="clear" w:color="auto" w:fill="auto"/>
            <w:vAlign w:val="center"/>
          </w:tcPr>
          <w:p w14:paraId="06674A6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脆弱性检测服务</w:t>
            </w:r>
          </w:p>
        </w:tc>
        <w:tc>
          <w:tcPr>
            <w:tcW w:w="938" w:type="dxa"/>
            <w:shd w:val="clear" w:color="auto" w:fill="auto"/>
            <w:noWrap/>
            <w:vAlign w:val="center"/>
          </w:tcPr>
          <w:p w14:paraId="500A6B6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3DF7B08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936" w:type="dxa"/>
            <w:shd w:val="clear" w:color="auto" w:fill="auto"/>
            <w:noWrap/>
            <w:vAlign w:val="center"/>
          </w:tcPr>
          <w:p w14:paraId="7252260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CF8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10EFE3E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46</w:t>
            </w:r>
          </w:p>
        </w:tc>
        <w:tc>
          <w:tcPr>
            <w:tcW w:w="723" w:type="dxa"/>
            <w:vMerge w:val="continue"/>
            <w:vAlign w:val="center"/>
          </w:tcPr>
          <w:p w14:paraId="60B0E9C0">
            <w:pPr>
              <w:widowControl/>
              <w:jc w:val="center"/>
              <w:rPr>
                <w:rFonts w:ascii="宋体" w:hAnsi="宋体" w:eastAsia="宋体" w:cs="宋体"/>
                <w:color w:val="auto"/>
                <w:sz w:val="24"/>
                <w:highlight w:val="none"/>
              </w:rPr>
            </w:pPr>
          </w:p>
        </w:tc>
        <w:tc>
          <w:tcPr>
            <w:tcW w:w="1289" w:type="dxa"/>
            <w:shd w:val="clear" w:color="auto" w:fill="auto"/>
            <w:vAlign w:val="center"/>
          </w:tcPr>
          <w:p w14:paraId="15B04A6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源代码安全检测服务</w:t>
            </w:r>
          </w:p>
        </w:tc>
        <w:tc>
          <w:tcPr>
            <w:tcW w:w="2749" w:type="dxa"/>
            <w:shd w:val="clear" w:color="auto" w:fill="auto"/>
            <w:vAlign w:val="center"/>
          </w:tcPr>
          <w:p w14:paraId="3894C47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源代码安全检测服务</w:t>
            </w:r>
          </w:p>
        </w:tc>
        <w:tc>
          <w:tcPr>
            <w:tcW w:w="938" w:type="dxa"/>
            <w:shd w:val="clear" w:color="auto" w:fill="auto"/>
            <w:noWrap/>
            <w:vAlign w:val="center"/>
          </w:tcPr>
          <w:p w14:paraId="60F9BEC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36FA96E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936" w:type="dxa"/>
            <w:shd w:val="clear" w:color="auto" w:fill="auto"/>
            <w:noWrap/>
            <w:vAlign w:val="center"/>
          </w:tcPr>
          <w:p w14:paraId="658E333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E14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279E6F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47</w:t>
            </w:r>
          </w:p>
        </w:tc>
        <w:tc>
          <w:tcPr>
            <w:tcW w:w="723" w:type="dxa"/>
            <w:vMerge w:val="continue"/>
            <w:vAlign w:val="center"/>
          </w:tcPr>
          <w:p w14:paraId="7206BC1D">
            <w:pPr>
              <w:widowControl/>
              <w:jc w:val="center"/>
              <w:rPr>
                <w:rFonts w:ascii="宋体" w:hAnsi="宋体" w:eastAsia="宋体" w:cs="宋体"/>
                <w:color w:val="auto"/>
                <w:sz w:val="24"/>
                <w:highlight w:val="none"/>
              </w:rPr>
            </w:pPr>
          </w:p>
        </w:tc>
        <w:tc>
          <w:tcPr>
            <w:tcW w:w="1289" w:type="dxa"/>
            <w:shd w:val="clear" w:color="auto" w:fill="auto"/>
            <w:vAlign w:val="center"/>
          </w:tcPr>
          <w:p w14:paraId="03F0896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安全巡检服务</w:t>
            </w:r>
          </w:p>
        </w:tc>
        <w:tc>
          <w:tcPr>
            <w:tcW w:w="2749" w:type="dxa"/>
            <w:shd w:val="clear" w:color="auto" w:fill="auto"/>
            <w:vAlign w:val="center"/>
          </w:tcPr>
          <w:p w14:paraId="3EDC9D7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安全巡检服务</w:t>
            </w:r>
          </w:p>
        </w:tc>
        <w:tc>
          <w:tcPr>
            <w:tcW w:w="938" w:type="dxa"/>
            <w:shd w:val="clear" w:color="auto" w:fill="auto"/>
            <w:noWrap/>
            <w:vAlign w:val="center"/>
          </w:tcPr>
          <w:p w14:paraId="6FA17C5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71C9B9E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11F7F26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3930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45FA58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48</w:t>
            </w:r>
          </w:p>
        </w:tc>
        <w:tc>
          <w:tcPr>
            <w:tcW w:w="723" w:type="dxa"/>
            <w:vMerge w:val="continue"/>
            <w:vAlign w:val="center"/>
          </w:tcPr>
          <w:p w14:paraId="093F1AA0">
            <w:pPr>
              <w:widowControl/>
              <w:jc w:val="center"/>
              <w:rPr>
                <w:rFonts w:ascii="宋体" w:hAnsi="宋体" w:eastAsia="宋体" w:cs="宋体"/>
                <w:color w:val="auto"/>
                <w:sz w:val="24"/>
                <w:highlight w:val="none"/>
              </w:rPr>
            </w:pPr>
          </w:p>
        </w:tc>
        <w:tc>
          <w:tcPr>
            <w:tcW w:w="1289" w:type="dxa"/>
            <w:shd w:val="clear" w:color="auto" w:fill="auto"/>
            <w:vAlign w:val="center"/>
          </w:tcPr>
          <w:p w14:paraId="5046511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安全等级保护制度优化与修订服务</w:t>
            </w:r>
          </w:p>
        </w:tc>
        <w:tc>
          <w:tcPr>
            <w:tcW w:w="2749" w:type="dxa"/>
            <w:shd w:val="clear" w:color="auto" w:fill="auto"/>
            <w:vAlign w:val="center"/>
          </w:tcPr>
          <w:p w14:paraId="57146E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安全等级保护制度优化与修订服务</w:t>
            </w:r>
          </w:p>
        </w:tc>
        <w:tc>
          <w:tcPr>
            <w:tcW w:w="938" w:type="dxa"/>
            <w:shd w:val="clear" w:color="auto" w:fill="auto"/>
            <w:noWrap/>
            <w:vAlign w:val="center"/>
          </w:tcPr>
          <w:p w14:paraId="4AB0990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2143ECC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60CDD0D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AD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D04B1F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49</w:t>
            </w:r>
          </w:p>
        </w:tc>
        <w:tc>
          <w:tcPr>
            <w:tcW w:w="723" w:type="dxa"/>
            <w:vMerge w:val="continue"/>
            <w:vAlign w:val="center"/>
          </w:tcPr>
          <w:p w14:paraId="7F80F840">
            <w:pPr>
              <w:widowControl/>
              <w:jc w:val="center"/>
              <w:rPr>
                <w:rFonts w:ascii="宋体" w:hAnsi="宋体" w:eastAsia="宋体" w:cs="宋体"/>
                <w:color w:val="auto"/>
                <w:sz w:val="24"/>
                <w:highlight w:val="none"/>
              </w:rPr>
            </w:pPr>
          </w:p>
        </w:tc>
        <w:tc>
          <w:tcPr>
            <w:tcW w:w="1289" w:type="dxa"/>
            <w:shd w:val="clear" w:color="auto" w:fill="auto"/>
            <w:vAlign w:val="center"/>
          </w:tcPr>
          <w:p w14:paraId="374E378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重要保障时期安全保障值守服务 </w:t>
            </w:r>
          </w:p>
        </w:tc>
        <w:tc>
          <w:tcPr>
            <w:tcW w:w="2749" w:type="dxa"/>
            <w:shd w:val="clear" w:color="auto" w:fill="auto"/>
            <w:vAlign w:val="center"/>
          </w:tcPr>
          <w:p w14:paraId="73389C7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重要保障时期安全保障值守服务 </w:t>
            </w:r>
          </w:p>
        </w:tc>
        <w:tc>
          <w:tcPr>
            <w:tcW w:w="938" w:type="dxa"/>
            <w:shd w:val="clear" w:color="auto" w:fill="auto"/>
            <w:noWrap/>
            <w:vAlign w:val="center"/>
          </w:tcPr>
          <w:p w14:paraId="740021D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人天</w:t>
            </w:r>
          </w:p>
        </w:tc>
        <w:tc>
          <w:tcPr>
            <w:tcW w:w="1056" w:type="dxa"/>
            <w:shd w:val="clear" w:color="auto" w:fill="auto"/>
            <w:noWrap/>
            <w:vAlign w:val="center"/>
          </w:tcPr>
          <w:p w14:paraId="591D020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30</w:t>
            </w:r>
          </w:p>
        </w:tc>
        <w:tc>
          <w:tcPr>
            <w:tcW w:w="936" w:type="dxa"/>
            <w:shd w:val="clear" w:color="auto" w:fill="auto"/>
            <w:noWrap/>
            <w:vAlign w:val="center"/>
          </w:tcPr>
          <w:p w14:paraId="5896331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0BB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7F75878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50</w:t>
            </w:r>
          </w:p>
        </w:tc>
        <w:tc>
          <w:tcPr>
            <w:tcW w:w="723" w:type="dxa"/>
            <w:vMerge w:val="continue"/>
            <w:vAlign w:val="center"/>
          </w:tcPr>
          <w:p w14:paraId="43A17549">
            <w:pPr>
              <w:widowControl/>
              <w:jc w:val="center"/>
              <w:rPr>
                <w:rFonts w:ascii="宋体" w:hAnsi="宋体" w:eastAsia="宋体" w:cs="宋体"/>
                <w:color w:val="auto"/>
                <w:sz w:val="24"/>
                <w:highlight w:val="none"/>
              </w:rPr>
            </w:pPr>
          </w:p>
        </w:tc>
        <w:tc>
          <w:tcPr>
            <w:tcW w:w="1289" w:type="dxa"/>
            <w:shd w:val="clear" w:color="auto" w:fill="auto"/>
            <w:vAlign w:val="center"/>
          </w:tcPr>
          <w:p w14:paraId="74E5CC1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应急预案服务</w:t>
            </w:r>
          </w:p>
        </w:tc>
        <w:tc>
          <w:tcPr>
            <w:tcW w:w="2749" w:type="dxa"/>
            <w:shd w:val="clear" w:color="auto" w:fill="auto"/>
            <w:vAlign w:val="center"/>
          </w:tcPr>
          <w:p w14:paraId="79ECE54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应急预案服务</w:t>
            </w:r>
          </w:p>
        </w:tc>
        <w:tc>
          <w:tcPr>
            <w:tcW w:w="938" w:type="dxa"/>
            <w:shd w:val="clear" w:color="auto" w:fill="auto"/>
            <w:noWrap/>
            <w:vAlign w:val="center"/>
          </w:tcPr>
          <w:p w14:paraId="443032F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6EE0A78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08D66549">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A5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3D3563A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51</w:t>
            </w:r>
          </w:p>
        </w:tc>
        <w:tc>
          <w:tcPr>
            <w:tcW w:w="723" w:type="dxa"/>
            <w:vMerge w:val="continue"/>
            <w:vAlign w:val="center"/>
          </w:tcPr>
          <w:p w14:paraId="41935355">
            <w:pPr>
              <w:widowControl/>
              <w:jc w:val="center"/>
              <w:rPr>
                <w:rFonts w:ascii="宋体" w:hAnsi="宋体" w:eastAsia="宋体" w:cs="宋体"/>
                <w:color w:val="auto"/>
                <w:sz w:val="24"/>
                <w:highlight w:val="none"/>
              </w:rPr>
            </w:pPr>
          </w:p>
        </w:tc>
        <w:tc>
          <w:tcPr>
            <w:tcW w:w="1289" w:type="dxa"/>
            <w:shd w:val="clear" w:color="auto" w:fill="auto"/>
            <w:vAlign w:val="center"/>
          </w:tcPr>
          <w:p w14:paraId="49C0198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应急演练服务</w:t>
            </w:r>
          </w:p>
        </w:tc>
        <w:tc>
          <w:tcPr>
            <w:tcW w:w="2749" w:type="dxa"/>
            <w:shd w:val="clear" w:color="auto" w:fill="auto"/>
            <w:vAlign w:val="center"/>
          </w:tcPr>
          <w:p w14:paraId="0F14026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应急演练服务</w:t>
            </w:r>
          </w:p>
        </w:tc>
        <w:tc>
          <w:tcPr>
            <w:tcW w:w="938" w:type="dxa"/>
            <w:shd w:val="clear" w:color="auto" w:fill="auto"/>
            <w:noWrap/>
            <w:vAlign w:val="center"/>
          </w:tcPr>
          <w:p w14:paraId="6D49321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6A734D2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47F51A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429B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2A15347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52</w:t>
            </w:r>
          </w:p>
        </w:tc>
        <w:tc>
          <w:tcPr>
            <w:tcW w:w="723" w:type="dxa"/>
            <w:vMerge w:val="continue"/>
            <w:vAlign w:val="center"/>
          </w:tcPr>
          <w:p w14:paraId="0AA907C9">
            <w:pPr>
              <w:widowControl/>
              <w:jc w:val="center"/>
              <w:rPr>
                <w:rFonts w:ascii="宋体" w:hAnsi="宋体" w:eastAsia="宋体" w:cs="宋体"/>
                <w:color w:val="auto"/>
                <w:sz w:val="24"/>
                <w:highlight w:val="none"/>
              </w:rPr>
            </w:pPr>
          </w:p>
        </w:tc>
        <w:tc>
          <w:tcPr>
            <w:tcW w:w="1289" w:type="dxa"/>
            <w:shd w:val="clear" w:color="auto" w:fill="auto"/>
            <w:vAlign w:val="center"/>
          </w:tcPr>
          <w:p w14:paraId="34A0A21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应急响应服务</w:t>
            </w:r>
          </w:p>
        </w:tc>
        <w:tc>
          <w:tcPr>
            <w:tcW w:w="2749" w:type="dxa"/>
            <w:shd w:val="clear" w:color="auto" w:fill="auto"/>
            <w:vAlign w:val="center"/>
          </w:tcPr>
          <w:p w14:paraId="4227557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应急响应服务</w:t>
            </w:r>
          </w:p>
        </w:tc>
        <w:tc>
          <w:tcPr>
            <w:tcW w:w="938" w:type="dxa"/>
            <w:shd w:val="clear" w:color="auto" w:fill="auto"/>
            <w:noWrap/>
            <w:vAlign w:val="center"/>
          </w:tcPr>
          <w:p w14:paraId="3AD8E4D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次</w:t>
            </w:r>
          </w:p>
        </w:tc>
        <w:tc>
          <w:tcPr>
            <w:tcW w:w="1056" w:type="dxa"/>
            <w:shd w:val="clear" w:color="auto" w:fill="auto"/>
            <w:noWrap/>
            <w:vAlign w:val="center"/>
          </w:tcPr>
          <w:p w14:paraId="6A28926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76E3EE2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1DA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23C0D6D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53</w:t>
            </w:r>
          </w:p>
        </w:tc>
        <w:tc>
          <w:tcPr>
            <w:tcW w:w="723" w:type="dxa"/>
            <w:vMerge w:val="continue"/>
            <w:vAlign w:val="center"/>
          </w:tcPr>
          <w:p w14:paraId="127F0C55">
            <w:pPr>
              <w:widowControl/>
              <w:jc w:val="center"/>
              <w:rPr>
                <w:rFonts w:ascii="宋体" w:hAnsi="宋体" w:eastAsia="宋体" w:cs="宋体"/>
                <w:color w:val="auto"/>
                <w:sz w:val="24"/>
                <w:highlight w:val="none"/>
              </w:rPr>
            </w:pPr>
          </w:p>
        </w:tc>
        <w:tc>
          <w:tcPr>
            <w:tcW w:w="1289" w:type="dxa"/>
            <w:shd w:val="clear" w:color="auto" w:fill="auto"/>
            <w:vAlign w:val="center"/>
          </w:tcPr>
          <w:p w14:paraId="300DBD07">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基础安全培训服务</w:t>
            </w:r>
          </w:p>
        </w:tc>
        <w:tc>
          <w:tcPr>
            <w:tcW w:w="2749" w:type="dxa"/>
            <w:shd w:val="clear" w:color="auto" w:fill="auto"/>
            <w:vAlign w:val="center"/>
          </w:tcPr>
          <w:p w14:paraId="15EA43F4">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基础安全培训服务：</w:t>
            </w:r>
            <w:r>
              <w:rPr>
                <w:rFonts w:hint="eastAsia" w:ascii="宋体" w:hAnsi="宋体" w:eastAsia="宋体" w:cs="宋体"/>
                <w:color w:val="auto"/>
                <w:spacing w:val="-1"/>
                <w:sz w:val="24"/>
                <w:highlight w:val="none"/>
              </w:rPr>
              <w:t>覆盖相关工作人员，包括政策法规与安全管理体系、信息安全与数据保护、日常安全防护、应急处置等内容。</w:t>
            </w:r>
          </w:p>
        </w:tc>
        <w:tc>
          <w:tcPr>
            <w:tcW w:w="938" w:type="dxa"/>
            <w:shd w:val="clear" w:color="auto" w:fill="auto"/>
            <w:noWrap/>
            <w:vAlign w:val="center"/>
          </w:tcPr>
          <w:p w14:paraId="34A15E4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学时</w:t>
            </w:r>
          </w:p>
        </w:tc>
        <w:tc>
          <w:tcPr>
            <w:tcW w:w="1056" w:type="dxa"/>
            <w:shd w:val="clear" w:color="auto" w:fill="auto"/>
            <w:noWrap/>
            <w:vAlign w:val="center"/>
          </w:tcPr>
          <w:p w14:paraId="616959E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936" w:type="dxa"/>
            <w:shd w:val="clear" w:color="auto" w:fill="auto"/>
            <w:noWrap/>
            <w:vAlign w:val="center"/>
          </w:tcPr>
          <w:p w14:paraId="3596F4B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4B5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F7A6FB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54</w:t>
            </w:r>
          </w:p>
        </w:tc>
        <w:tc>
          <w:tcPr>
            <w:tcW w:w="723" w:type="dxa"/>
            <w:vMerge w:val="continue"/>
            <w:vAlign w:val="center"/>
          </w:tcPr>
          <w:p w14:paraId="5FF6A34D">
            <w:pPr>
              <w:widowControl/>
              <w:jc w:val="center"/>
              <w:rPr>
                <w:rFonts w:ascii="宋体" w:hAnsi="宋体" w:eastAsia="宋体" w:cs="宋体"/>
                <w:color w:val="auto"/>
                <w:sz w:val="24"/>
                <w:highlight w:val="none"/>
              </w:rPr>
            </w:pPr>
          </w:p>
        </w:tc>
        <w:tc>
          <w:tcPr>
            <w:tcW w:w="1289" w:type="dxa"/>
            <w:shd w:val="clear" w:color="auto" w:fill="auto"/>
            <w:vAlign w:val="center"/>
          </w:tcPr>
          <w:p w14:paraId="7B4DC8E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运维管理安全培训服务</w:t>
            </w:r>
          </w:p>
        </w:tc>
        <w:tc>
          <w:tcPr>
            <w:tcW w:w="2749" w:type="dxa"/>
            <w:shd w:val="clear" w:color="auto" w:fill="auto"/>
            <w:vAlign w:val="center"/>
          </w:tcPr>
          <w:p w14:paraId="19BAEC0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运维管理安全培训服务：覆盖采购人、服务商等相关工作人员，包括：</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网络安全法规与技术、数据安全与隐私保护、安全运维与审计；重点事件及安全漏洞分析、处置、应急管理及案例复盘及实操；安全开发生命周期、数据安全与供应链安全、第三方管理责任与应急联动</w:t>
            </w:r>
          </w:p>
        </w:tc>
        <w:tc>
          <w:tcPr>
            <w:tcW w:w="938" w:type="dxa"/>
            <w:shd w:val="clear" w:color="auto" w:fill="auto"/>
            <w:noWrap/>
            <w:vAlign w:val="center"/>
          </w:tcPr>
          <w:p w14:paraId="3D484CA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学时</w:t>
            </w:r>
          </w:p>
        </w:tc>
        <w:tc>
          <w:tcPr>
            <w:tcW w:w="1056" w:type="dxa"/>
            <w:shd w:val="clear" w:color="auto" w:fill="auto"/>
            <w:noWrap/>
            <w:vAlign w:val="center"/>
          </w:tcPr>
          <w:p w14:paraId="429392BD">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936" w:type="dxa"/>
            <w:shd w:val="clear" w:color="auto" w:fill="auto"/>
            <w:noWrap/>
            <w:vAlign w:val="center"/>
          </w:tcPr>
          <w:p w14:paraId="2CA1746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AD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596CD9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55</w:t>
            </w:r>
          </w:p>
        </w:tc>
        <w:tc>
          <w:tcPr>
            <w:tcW w:w="723" w:type="dxa"/>
            <w:vMerge w:val="continue"/>
            <w:vAlign w:val="center"/>
          </w:tcPr>
          <w:p w14:paraId="089F4B8F">
            <w:pPr>
              <w:widowControl/>
              <w:jc w:val="center"/>
              <w:rPr>
                <w:rFonts w:ascii="宋体" w:hAnsi="宋体" w:eastAsia="宋体" w:cs="宋体"/>
                <w:color w:val="auto"/>
                <w:sz w:val="24"/>
                <w:highlight w:val="none"/>
              </w:rPr>
            </w:pPr>
          </w:p>
        </w:tc>
        <w:tc>
          <w:tcPr>
            <w:tcW w:w="1289" w:type="dxa"/>
            <w:shd w:val="clear" w:color="auto" w:fill="auto"/>
            <w:vAlign w:val="center"/>
          </w:tcPr>
          <w:p w14:paraId="44BDD8B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域名租用服务</w:t>
            </w:r>
          </w:p>
        </w:tc>
        <w:tc>
          <w:tcPr>
            <w:tcW w:w="2749" w:type="dxa"/>
            <w:shd w:val="clear" w:color="auto" w:fill="auto"/>
            <w:vAlign w:val="center"/>
          </w:tcPr>
          <w:p w14:paraId="36284D8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域名租用服务</w:t>
            </w:r>
          </w:p>
        </w:tc>
        <w:tc>
          <w:tcPr>
            <w:tcW w:w="938" w:type="dxa"/>
            <w:shd w:val="clear" w:color="auto" w:fill="auto"/>
            <w:noWrap/>
            <w:vAlign w:val="center"/>
          </w:tcPr>
          <w:p w14:paraId="37D2F3F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个/年</w:t>
            </w:r>
          </w:p>
        </w:tc>
        <w:tc>
          <w:tcPr>
            <w:tcW w:w="1056" w:type="dxa"/>
            <w:shd w:val="clear" w:color="auto" w:fill="auto"/>
            <w:noWrap/>
            <w:vAlign w:val="center"/>
          </w:tcPr>
          <w:p w14:paraId="4FF13E2E">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075C98A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B90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8B18EFF">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56</w:t>
            </w:r>
          </w:p>
        </w:tc>
        <w:tc>
          <w:tcPr>
            <w:tcW w:w="723" w:type="dxa"/>
            <w:vMerge w:val="continue"/>
            <w:vAlign w:val="center"/>
          </w:tcPr>
          <w:p w14:paraId="4585E691">
            <w:pPr>
              <w:widowControl/>
              <w:jc w:val="center"/>
              <w:rPr>
                <w:rFonts w:ascii="宋体" w:hAnsi="宋体" w:eastAsia="宋体" w:cs="宋体"/>
                <w:color w:val="auto"/>
                <w:sz w:val="24"/>
                <w:highlight w:val="none"/>
              </w:rPr>
            </w:pPr>
          </w:p>
        </w:tc>
        <w:tc>
          <w:tcPr>
            <w:tcW w:w="1289" w:type="dxa"/>
            <w:shd w:val="clear" w:color="auto" w:fill="auto"/>
            <w:vAlign w:val="center"/>
          </w:tcPr>
          <w:p w14:paraId="1D456DC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HTTP证书服务</w:t>
            </w:r>
          </w:p>
        </w:tc>
        <w:tc>
          <w:tcPr>
            <w:tcW w:w="2749" w:type="dxa"/>
            <w:shd w:val="clear" w:color="auto" w:fill="auto"/>
            <w:vAlign w:val="center"/>
          </w:tcPr>
          <w:p w14:paraId="5EE0FDCC">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HTTP证书服务</w:t>
            </w:r>
          </w:p>
        </w:tc>
        <w:tc>
          <w:tcPr>
            <w:tcW w:w="938" w:type="dxa"/>
            <w:shd w:val="clear" w:color="auto" w:fill="auto"/>
            <w:noWrap/>
            <w:vAlign w:val="center"/>
          </w:tcPr>
          <w:p w14:paraId="67E4EEB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个/年</w:t>
            </w:r>
          </w:p>
        </w:tc>
        <w:tc>
          <w:tcPr>
            <w:tcW w:w="1056" w:type="dxa"/>
            <w:shd w:val="clear" w:color="auto" w:fill="auto"/>
            <w:noWrap/>
            <w:vAlign w:val="center"/>
          </w:tcPr>
          <w:p w14:paraId="0B2C89E8">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7747595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1742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42A1050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57</w:t>
            </w:r>
          </w:p>
        </w:tc>
        <w:tc>
          <w:tcPr>
            <w:tcW w:w="723" w:type="dxa"/>
            <w:vMerge w:val="continue"/>
            <w:vAlign w:val="center"/>
          </w:tcPr>
          <w:p w14:paraId="0C230930">
            <w:pPr>
              <w:widowControl/>
              <w:jc w:val="center"/>
              <w:rPr>
                <w:rFonts w:ascii="宋体" w:hAnsi="宋体" w:eastAsia="宋体" w:cs="宋体"/>
                <w:color w:val="auto"/>
                <w:sz w:val="24"/>
                <w:highlight w:val="none"/>
              </w:rPr>
            </w:pPr>
          </w:p>
        </w:tc>
        <w:tc>
          <w:tcPr>
            <w:tcW w:w="1289" w:type="dxa"/>
            <w:shd w:val="clear" w:color="auto" w:fill="auto"/>
            <w:vAlign w:val="center"/>
          </w:tcPr>
          <w:p w14:paraId="35ABA65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云盾证书服务</w:t>
            </w:r>
          </w:p>
        </w:tc>
        <w:tc>
          <w:tcPr>
            <w:tcW w:w="2749" w:type="dxa"/>
            <w:shd w:val="clear" w:color="auto" w:fill="auto"/>
            <w:vAlign w:val="center"/>
          </w:tcPr>
          <w:p w14:paraId="0C1A230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云盾证书服务</w:t>
            </w:r>
          </w:p>
        </w:tc>
        <w:tc>
          <w:tcPr>
            <w:tcW w:w="938" w:type="dxa"/>
            <w:shd w:val="clear" w:color="auto" w:fill="auto"/>
            <w:noWrap/>
            <w:vAlign w:val="center"/>
          </w:tcPr>
          <w:p w14:paraId="5341785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套/年</w:t>
            </w:r>
          </w:p>
        </w:tc>
        <w:tc>
          <w:tcPr>
            <w:tcW w:w="1056" w:type="dxa"/>
            <w:shd w:val="clear" w:color="auto" w:fill="auto"/>
            <w:noWrap/>
            <w:vAlign w:val="center"/>
          </w:tcPr>
          <w:p w14:paraId="272F376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0FAFBE7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7D00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6AF3C07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58</w:t>
            </w:r>
          </w:p>
        </w:tc>
        <w:tc>
          <w:tcPr>
            <w:tcW w:w="723" w:type="dxa"/>
            <w:vMerge w:val="continue"/>
            <w:vAlign w:val="center"/>
          </w:tcPr>
          <w:p w14:paraId="7F1DAB71">
            <w:pPr>
              <w:widowControl/>
              <w:jc w:val="center"/>
              <w:rPr>
                <w:rFonts w:ascii="宋体" w:hAnsi="宋体" w:eastAsia="宋体" w:cs="宋体"/>
                <w:color w:val="auto"/>
                <w:sz w:val="24"/>
                <w:highlight w:val="none"/>
              </w:rPr>
            </w:pPr>
          </w:p>
        </w:tc>
        <w:tc>
          <w:tcPr>
            <w:tcW w:w="1289" w:type="dxa"/>
            <w:shd w:val="clear" w:color="auto" w:fill="auto"/>
            <w:vAlign w:val="center"/>
          </w:tcPr>
          <w:p w14:paraId="0D30C5F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国密算法签名验签服务</w:t>
            </w:r>
          </w:p>
        </w:tc>
        <w:tc>
          <w:tcPr>
            <w:tcW w:w="2749" w:type="dxa"/>
            <w:shd w:val="clear" w:color="auto" w:fill="auto"/>
            <w:vAlign w:val="center"/>
          </w:tcPr>
          <w:p w14:paraId="4A6F7E1B">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国密算法签名验签服务</w:t>
            </w:r>
          </w:p>
        </w:tc>
        <w:tc>
          <w:tcPr>
            <w:tcW w:w="938" w:type="dxa"/>
            <w:shd w:val="clear" w:color="auto" w:fill="auto"/>
            <w:noWrap/>
            <w:vAlign w:val="center"/>
          </w:tcPr>
          <w:p w14:paraId="72098B46">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74B359AA">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36" w:type="dxa"/>
            <w:shd w:val="clear" w:color="auto" w:fill="auto"/>
            <w:noWrap/>
            <w:vAlign w:val="center"/>
          </w:tcPr>
          <w:p w14:paraId="686D37C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r w14:paraId="5898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5" w:type="dxa"/>
            <w:shd w:val="clear" w:color="auto" w:fill="auto"/>
            <w:noWrap/>
            <w:vAlign w:val="center"/>
          </w:tcPr>
          <w:p w14:paraId="0BA82DE3">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59</w:t>
            </w:r>
          </w:p>
        </w:tc>
        <w:tc>
          <w:tcPr>
            <w:tcW w:w="723" w:type="dxa"/>
            <w:vMerge w:val="continue"/>
            <w:vAlign w:val="center"/>
          </w:tcPr>
          <w:p w14:paraId="52E18E08">
            <w:pPr>
              <w:widowControl/>
              <w:jc w:val="center"/>
              <w:rPr>
                <w:rFonts w:ascii="宋体" w:hAnsi="宋体" w:eastAsia="宋体" w:cs="宋体"/>
                <w:color w:val="auto"/>
                <w:sz w:val="24"/>
                <w:highlight w:val="none"/>
              </w:rPr>
            </w:pPr>
          </w:p>
        </w:tc>
        <w:tc>
          <w:tcPr>
            <w:tcW w:w="1289" w:type="dxa"/>
            <w:shd w:val="clear" w:color="auto" w:fill="auto"/>
            <w:vAlign w:val="center"/>
          </w:tcPr>
          <w:p w14:paraId="7F5D2045">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国密标准CA证书及USBKey服务</w:t>
            </w:r>
          </w:p>
        </w:tc>
        <w:tc>
          <w:tcPr>
            <w:tcW w:w="2749" w:type="dxa"/>
            <w:shd w:val="clear" w:color="auto" w:fill="auto"/>
            <w:vAlign w:val="center"/>
          </w:tcPr>
          <w:p w14:paraId="58B21A6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国密标准CA证书及USBKey服务</w:t>
            </w:r>
          </w:p>
        </w:tc>
        <w:tc>
          <w:tcPr>
            <w:tcW w:w="938" w:type="dxa"/>
            <w:shd w:val="clear" w:color="auto" w:fill="auto"/>
            <w:noWrap/>
            <w:vAlign w:val="center"/>
          </w:tcPr>
          <w:p w14:paraId="01E68DA2">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 套/月</w:t>
            </w:r>
          </w:p>
        </w:tc>
        <w:tc>
          <w:tcPr>
            <w:tcW w:w="1056" w:type="dxa"/>
            <w:shd w:val="clear" w:color="auto" w:fill="auto"/>
            <w:noWrap/>
            <w:vAlign w:val="center"/>
          </w:tcPr>
          <w:p w14:paraId="793263B1">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100</w:t>
            </w:r>
          </w:p>
        </w:tc>
        <w:tc>
          <w:tcPr>
            <w:tcW w:w="936" w:type="dxa"/>
            <w:shd w:val="clear" w:color="auto" w:fill="auto"/>
            <w:noWrap/>
            <w:vAlign w:val="center"/>
          </w:tcPr>
          <w:p w14:paraId="225F63C0">
            <w:pPr>
              <w:widowControl/>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r>
    </w:tbl>
    <w:p w14:paraId="3871ED56">
      <w:pPr>
        <w:keepNext/>
        <w:keepLines/>
        <w:numPr>
          <w:ilvl w:val="1"/>
          <w:numId w:val="9"/>
        </w:numPr>
        <w:tabs>
          <w:tab w:val="left" w:pos="360"/>
        </w:tabs>
        <w:spacing w:before="160" w:after="80"/>
        <w:ind w:left="567" w:hanging="567"/>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采购标的需满足的技术规格要求</w:t>
      </w:r>
    </w:p>
    <w:p w14:paraId="3F08A28D">
      <w:pPr>
        <w:keepNext/>
        <w:keepLines/>
        <w:numPr>
          <w:ilvl w:val="2"/>
          <w:numId w:val="9"/>
        </w:numPr>
        <w:tabs>
          <w:tab w:val="left" w:pos="360"/>
        </w:tabs>
        <w:spacing w:before="160" w:after="80"/>
        <w:ind w:left="709" w:hanging="709"/>
        <w:outlineLvl w:val="2"/>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计算服务</w:t>
      </w:r>
    </w:p>
    <w:p w14:paraId="5CD83209">
      <w:pPr>
        <w:spacing w:before="63" w:line="360" w:lineRule="auto"/>
        <w:ind w:right="80" w:firstLine="498"/>
        <w:rPr>
          <w:rFonts w:ascii="宋体" w:hAnsi="宋体" w:eastAsia="宋体" w:cs="宋体"/>
          <w:color w:val="auto"/>
          <w:sz w:val="24"/>
          <w:highlight w:val="none"/>
        </w:rPr>
      </w:pPr>
      <w:r>
        <w:rPr>
          <w:rFonts w:ascii="宋体" w:hAnsi="宋体" w:eastAsia="宋体" w:cs="宋体"/>
          <w:color w:val="auto"/>
          <w:spacing w:val="-3"/>
          <w:sz w:val="24"/>
          <w:highlight w:val="none"/>
        </w:rPr>
        <w:t>云主机应实现物理机的全部功能，如具有</w:t>
      </w:r>
      <w:r>
        <w:rPr>
          <w:rFonts w:ascii="宋体" w:hAnsi="宋体" w:eastAsia="宋体" w:cs="宋体"/>
          <w:color w:val="auto"/>
          <w:spacing w:val="-51"/>
          <w:sz w:val="24"/>
          <w:highlight w:val="none"/>
        </w:rPr>
        <w:t xml:space="preserve"> </w:t>
      </w:r>
      <w:r>
        <w:rPr>
          <w:rFonts w:ascii="宋体" w:hAnsi="宋体" w:eastAsia="宋体" w:cs="宋体"/>
          <w:color w:val="auto"/>
          <w:spacing w:val="-3"/>
          <w:sz w:val="24"/>
          <w:highlight w:val="none"/>
        </w:rPr>
        <w:t>CPU、存储、内存、网卡等资源，可以指定单独的</w:t>
      </w:r>
      <w:r>
        <w:rPr>
          <w:rFonts w:ascii="宋体" w:hAnsi="宋体" w:eastAsia="宋体" w:cs="宋体"/>
          <w:color w:val="auto"/>
          <w:spacing w:val="-26"/>
          <w:sz w:val="24"/>
          <w:highlight w:val="none"/>
        </w:rPr>
        <w:t xml:space="preserve"> </w:t>
      </w:r>
      <w:r>
        <w:rPr>
          <w:rFonts w:ascii="宋体" w:hAnsi="宋体" w:eastAsia="宋体" w:cs="宋体"/>
          <w:color w:val="auto"/>
          <w:spacing w:val="-3"/>
          <w:sz w:val="24"/>
          <w:highlight w:val="none"/>
        </w:rPr>
        <w:t>IP</w:t>
      </w:r>
      <w:r>
        <w:rPr>
          <w:rFonts w:ascii="宋体" w:hAnsi="宋体" w:eastAsia="宋体" w:cs="宋体"/>
          <w:color w:val="auto"/>
          <w:spacing w:val="-50"/>
          <w:sz w:val="24"/>
          <w:highlight w:val="none"/>
        </w:rPr>
        <w:t xml:space="preserve"> </w:t>
      </w:r>
      <w:r>
        <w:rPr>
          <w:rFonts w:ascii="宋体" w:hAnsi="宋体" w:eastAsia="宋体" w:cs="宋体"/>
          <w:color w:val="auto"/>
          <w:spacing w:val="-3"/>
          <w:sz w:val="24"/>
          <w:highlight w:val="none"/>
        </w:rPr>
        <w:t>地址、MAC</w:t>
      </w:r>
      <w:r>
        <w:rPr>
          <w:rFonts w:ascii="宋体" w:hAnsi="宋体" w:eastAsia="宋体" w:cs="宋体"/>
          <w:color w:val="auto"/>
          <w:spacing w:val="-51"/>
          <w:sz w:val="24"/>
          <w:highlight w:val="none"/>
        </w:rPr>
        <w:t xml:space="preserve"> </w:t>
      </w:r>
      <w:r>
        <w:rPr>
          <w:rFonts w:ascii="宋体" w:hAnsi="宋体" w:eastAsia="宋体" w:cs="宋体"/>
          <w:color w:val="auto"/>
          <w:spacing w:val="-3"/>
          <w:sz w:val="24"/>
          <w:highlight w:val="none"/>
        </w:rPr>
        <w:t>地址等；</w:t>
      </w:r>
    </w:p>
    <w:p w14:paraId="67EDCA3A">
      <w:pPr>
        <w:spacing w:line="359" w:lineRule="auto"/>
        <w:ind w:right="80" w:firstLine="497"/>
        <w:rPr>
          <w:rFonts w:ascii="宋体" w:hAnsi="宋体" w:eastAsia="宋体" w:cs="宋体"/>
          <w:color w:val="auto"/>
          <w:sz w:val="24"/>
          <w:highlight w:val="none"/>
        </w:rPr>
      </w:pPr>
      <w:r>
        <w:rPr>
          <w:rFonts w:ascii="宋体" w:hAnsi="宋体" w:eastAsia="宋体" w:cs="宋体"/>
          <w:color w:val="auto"/>
          <w:spacing w:val="-2"/>
          <w:sz w:val="24"/>
          <w:highlight w:val="none"/>
        </w:rPr>
        <w:t>支持存储裸设备映射（RDM</w:t>
      </w:r>
      <w:r>
        <w:rPr>
          <w:rFonts w:ascii="宋体" w:hAnsi="宋体" w:eastAsia="宋体" w:cs="宋体"/>
          <w:color w:val="auto"/>
          <w:spacing w:val="5"/>
          <w:sz w:val="24"/>
          <w:highlight w:val="none"/>
        </w:rPr>
        <w:t>），</w:t>
      </w:r>
      <w:r>
        <w:rPr>
          <w:rFonts w:ascii="宋体" w:hAnsi="宋体" w:eastAsia="宋体" w:cs="宋体"/>
          <w:color w:val="auto"/>
          <w:spacing w:val="-2"/>
          <w:sz w:val="24"/>
          <w:highlight w:val="none"/>
        </w:rPr>
        <w:t>可以将存储设备上的</w:t>
      </w:r>
      <w:r>
        <w:rPr>
          <w:rFonts w:ascii="宋体" w:hAnsi="宋体" w:eastAsia="宋体" w:cs="宋体"/>
          <w:color w:val="auto"/>
          <w:spacing w:val="-53"/>
          <w:sz w:val="24"/>
          <w:highlight w:val="none"/>
        </w:rPr>
        <w:t xml:space="preserve"> </w:t>
      </w:r>
      <w:r>
        <w:rPr>
          <w:rFonts w:ascii="宋体" w:hAnsi="宋体" w:eastAsia="宋体" w:cs="宋体"/>
          <w:color w:val="auto"/>
          <w:spacing w:val="-2"/>
          <w:sz w:val="24"/>
          <w:highlight w:val="none"/>
        </w:rPr>
        <w:t>LUN</w:t>
      </w:r>
      <w:r>
        <w:rPr>
          <w:rFonts w:ascii="宋体" w:hAnsi="宋体" w:eastAsia="宋体" w:cs="宋体"/>
          <w:color w:val="auto"/>
          <w:spacing w:val="-48"/>
          <w:sz w:val="24"/>
          <w:highlight w:val="none"/>
        </w:rPr>
        <w:t xml:space="preserve"> </w:t>
      </w:r>
      <w:r>
        <w:rPr>
          <w:rFonts w:ascii="宋体" w:hAnsi="宋体" w:eastAsia="宋体" w:cs="宋体"/>
          <w:color w:val="auto"/>
          <w:spacing w:val="-2"/>
          <w:sz w:val="24"/>
          <w:highlight w:val="none"/>
        </w:rPr>
        <w:t>直接映射给虚</w:t>
      </w:r>
      <w:r>
        <w:rPr>
          <w:rFonts w:ascii="宋体" w:hAnsi="宋体" w:eastAsia="宋体" w:cs="宋体"/>
          <w:color w:val="auto"/>
          <w:spacing w:val="1"/>
          <w:sz w:val="24"/>
          <w:highlight w:val="none"/>
        </w:rPr>
        <w:t>拟机使用，并且支持</w:t>
      </w:r>
      <w:r>
        <w:rPr>
          <w:rFonts w:ascii="宋体" w:hAnsi="宋体" w:eastAsia="宋体" w:cs="宋体"/>
          <w:color w:val="auto"/>
          <w:sz w:val="24"/>
          <w:highlight w:val="none"/>
        </w:rPr>
        <w:t>SCSI</w:t>
      </w:r>
      <w:r>
        <w:rPr>
          <w:rFonts w:ascii="宋体" w:hAnsi="宋体" w:eastAsia="宋体" w:cs="宋体"/>
          <w:color w:val="auto"/>
          <w:spacing w:val="-36"/>
          <w:sz w:val="24"/>
          <w:highlight w:val="none"/>
        </w:rPr>
        <w:t xml:space="preserve"> </w:t>
      </w:r>
      <w:r>
        <w:rPr>
          <w:rFonts w:ascii="宋体" w:hAnsi="宋体" w:eastAsia="宋体" w:cs="宋体"/>
          <w:color w:val="auto"/>
          <w:spacing w:val="1"/>
          <w:sz w:val="24"/>
          <w:highlight w:val="none"/>
        </w:rPr>
        <w:t>指令使用透传模式或者非透传模式；</w:t>
      </w:r>
    </w:p>
    <w:p w14:paraId="0F80F94F">
      <w:pPr>
        <w:spacing w:before="1" w:line="218" w:lineRule="auto"/>
        <w:ind w:left="498"/>
        <w:rPr>
          <w:rFonts w:ascii="宋体" w:hAnsi="宋体" w:eastAsia="宋体" w:cs="宋体"/>
          <w:color w:val="auto"/>
          <w:sz w:val="24"/>
          <w:highlight w:val="none"/>
        </w:rPr>
      </w:pPr>
      <w:r>
        <w:rPr>
          <w:rFonts w:ascii="宋体" w:hAnsi="宋体" w:eastAsia="宋体" w:cs="宋体"/>
          <w:color w:val="auto"/>
          <w:spacing w:val="-3"/>
          <w:sz w:val="24"/>
          <w:highlight w:val="none"/>
        </w:rPr>
        <w:t>云主机</w:t>
      </w:r>
      <w:r>
        <w:rPr>
          <w:rFonts w:hint="eastAsia" w:ascii="宋体" w:hAnsi="宋体" w:eastAsia="宋体" w:cs="宋体"/>
          <w:color w:val="auto"/>
          <w:spacing w:val="-3"/>
          <w:sz w:val="24"/>
          <w:highlight w:val="none"/>
        </w:rPr>
        <w:t>按需</w:t>
      </w:r>
      <w:r>
        <w:rPr>
          <w:rFonts w:ascii="宋体" w:hAnsi="宋体" w:eastAsia="宋体" w:cs="宋体"/>
          <w:color w:val="auto"/>
          <w:spacing w:val="-3"/>
          <w:sz w:val="24"/>
          <w:highlight w:val="none"/>
        </w:rPr>
        <w:t>提供基于</w:t>
      </w:r>
      <w:r>
        <w:rPr>
          <w:rFonts w:ascii="宋体" w:hAnsi="宋体" w:eastAsia="宋体" w:cs="宋体"/>
          <w:color w:val="auto"/>
          <w:spacing w:val="-47"/>
          <w:sz w:val="24"/>
          <w:highlight w:val="none"/>
        </w:rPr>
        <w:t xml:space="preserve"> </w:t>
      </w:r>
      <w:r>
        <w:rPr>
          <w:rFonts w:ascii="宋体" w:hAnsi="宋体" w:eastAsia="宋体" w:cs="宋体"/>
          <w:color w:val="auto"/>
          <w:spacing w:val="-3"/>
          <w:sz w:val="24"/>
          <w:highlight w:val="none"/>
        </w:rPr>
        <w:t>GPU</w:t>
      </w:r>
      <w:r>
        <w:rPr>
          <w:rFonts w:ascii="宋体" w:hAnsi="宋体" w:eastAsia="宋体" w:cs="宋体"/>
          <w:color w:val="auto"/>
          <w:spacing w:val="-27"/>
          <w:sz w:val="24"/>
          <w:highlight w:val="none"/>
        </w:rPr>
        <w:t xml:space="preserve"> </w:t>
      </w:r>
      <w:r>
        <w:rPr>
          <w:rFonts w:ascii="宋体" w:hAnsi="宋体" w:eastAsia="宋体" w:cs="宋体"/>
          <w:color w:val="auto"/>
          <w:spacing w:val="-3"/>
          <w:sz w:val="24"/>
          <w:highlight w:val="none"/>
        </w:rPr>
        <w:t>图形图像计算服务；</w:t>
      </w:r>
    </w:p>
    <w:p w14:paraId="4D7AF6E8">
      <w:pPr>
        <w:spacing w:before="181" w:line="219" w:lineRule="auto"/>
        <w:ind w:left="498"/>
        <w:rPr>
          <w:rFonts w:ascii="宋体" w:hAnsi="宋体" w:eastAsia="宋体" w:cs="宋体"/>
          <w:color w:val="auto"/>
          <w:sz w:val="24"/>
          <w:highlight w:val="none"/>
        </w:rPr>
      </w:pPr>
      <w:r>
        <w:rPr>
          <w:rFonts w:ascii="宋体" w:hAnsi="宋体" w:eastAsia="宋体" w:cs="宋体"/>
          <w:color w:val="auto"/>
          <w:spacing w:val="-2"/>
          <w:sz w:val="24"/>
          <w:highlight w:val="none"/>
        </w:rPr>
        <w:t>应满足云主机之间、CPU</w:t>
      </w:r>
      <w:r>
        <w:rPr>
          <w:rFonts w:ascii="宋体" w:hAnsi="宋体" w:eastAsia="宋体" w:cs="宋体"/>
          <w:color w:val="auto"/>
          <w:spacing w:val="-35"/>
          <w:sz w:val="24"/>
          <w:highlight w:val="none"/>
        </w:rPr>
        <w:t xml:space="preserve"> </w:t>
      </w:r>
      <w:r>
        <w:rPr>
          <w:rFonts w:ascii="宋体" w:hAnsi="宋体" w:eastAsia="宋体" w:cs="宋体"/>
          <w:color w:val="auto"/>
          <w:spacing w:val="-2"/>
          <w:sz w:val="24"/>
          <w:highlight w:val="none"/>
        </w:rPr>
        <w:t>之间隔离保护要求；</w:t>
      </w:r>
    </w:p>
    <w:p w14:paraId="328791E0">
      <w:pPr>
        <w:spacing w:before="183" w:line="359" w:lineRule="auto"/>
        <w:ind w:right="80" w:firstLine="497"/>
        <w:rPr>
          <w:rFonts w:ascii="宋体" w:hAnsi="宋体" w:eastAsia="宋体" w:cs="宋体"/>
          <w:color w:val="auto"/>
          <w:sz w:val="24"/>
          <w:highlight w:val="none"/>
        </w:rPr>
      </w:pPr>
      <w:r>
        <w:rPr>
          <w:rFonts w:ascii="宋体" w:hAnsi="宋体" w:eastAsia="宋体" w:cs="宋体"/>
          <w:color w:val="auto"/>
          <w:spacing w:val="2"/>
          <w:sz w:val="24"/>
          <w:highlight w:val="none"/>
        </w:rPr>
        <w:t>支持资源的动态调整，根据业务的负载情况实现业务系统虚拟机的动</w:t>
      </w:r>
      <w:r>
        <w:rPr>
          <w:rFonts w:ascii="宋体" w:hAnsi="宋体" w:eastAsia="宋体" w:cs="宋体"/>
          <w:color w:val="auto"/>
          <w:spacing w:val="3"/>
          <w:sz w:val="24"/>
          <w:highlight w:val="none"/>
        </w:rPr>
        <w:t>态扩展和回收，支持手动和自动方式，</w:t>
      </w:r>
      <w:r>
        <w:rPr>
          <w:rFonts w:ascii="宋体" w:hAnsi="宋体" w:eastAsia="宋体" w:cs="宋体"/>
          <w:color w:val="auto"/>
          <w:spacing w:val="-66"/>
          <w:sz w:val="24"/>
          <w:highlight w:val="none"/>
        </w:rPr>
        <w:t xml:space="preserve"> </w:t>
      </w:r>
      <w:r>
        <w:rPr>
          <w:rFonts w:ascii="宋体" w:hAnsi="宋体" w:eastAsia="宋体" w:cs="宋体"/>
          <w:color w:val="auto"/>
          <w:spacing w:val="3"/>
          <w:sz w:val="24"/>
          <w:highlight w:val="none"/>
        </w:rPr>
        <w:t>自动方</w:t>
      </w:r>
      <w:r>
        <w:rPr>
          <w:rFonts w:ascii="宋体" w:hAnsi="宋体" w:eastAsia="宋体" w:cs="宋体"/>
          <w:color w:val="auto"/>
          <w:spacing w:val="2"/>
          <w:sz w:val="24"/>
          <w:highlight w:val="none"/>
        </w:rPr>
        <w:t>式可基于主机的</w:t>
      </w:r>
      <w:r>
        <w:rPr>
          <w:rFonts w:ascii="宋体" w:hAnsi="宋体" w:eastAsia="宋体" w:cs="宋体"/>
          <w:color w:val="auto"/>
          <w:spacing w:val="-48"/>
          <w:sz w:val="24"/>
          <w:highlight w:val="none"/>
        </w:rPr>
        <w:t xml:space="preserve"> </w:t>
      </w:r>
      <w:r>
        <w:rPr>
          <w:rFonts w:ascii="宋体" w:hAnsi="宋体" w:eastAsia="宋体" w:cs="宋体"/>
          <w:color w:val="auto"/>
          <w:sz w:val="24"/>
          <w:highlight w:val="none"/>
        </w:rPr>
        <w:t>CPU</w:t>
      </w:r>
      <w:r>
        <w:rPr>
          <w:rFonts w:ascii="宋体" w:hAnsi="宋体" w:eastAsia="宋体" w:cs="宋体"/>
          <w:color w:val="auto"/>
          <w:spacing w:val="2"/>
          <w:sz w:val="24"/>
          <w:highlight w:val="none"/>
        </w:rPr>
        <w:t>、内存、磁盘</w:t>
      </w:r>
      <w:r>
        <w:rPr>
          <w:rFonts w:ascii="宋体" w:hAnsi="宋体" w:eastAsia="宋体" w:cs="宋体"/>
          <w:color w:val="auto"/>
          <w:spacing w:val="-1"/>
          <w:sz w:val="24"/>
          <w:highlight w:val="none"/>
        </w:rPr>
        <w:t>IO、网络流量等性能参数阈值进行动态调度；</w:t>
      </w:r>
    </w:p>
    <w:p w14:paraId="353A62DF">
      <w:pPr>
        <w:spacing w:before="1" w:line="218"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支持在线进行虚拟化软件版本升级，不同版本之间可以相互兼容；</w:t>
      </w:r>
    </w:p>
    <w:p w14:paraId="7D04F51A">
      <w:pPr>
        <w:spacing w:before="183"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支持异构虚拟化能力，如</w:t>
      </w:r>
      <w:r>
        <w:rPr>
          <w:rFonts w:ascii="宋体" w:hAnsi="宋体" w:eastAsia="宋体" w:cs="宋体"/>
          <w:color w:val="auto"/>
          <w:spacing w:val="-55"/>
          <w:sz w:val="24"/>
          <w:highlight w:val="none"/>
        </w:rPr>
        <w:t xml:space="preserve"> </w:t>
      </w:r>
      <w:r>
        <w:rPr>
          <w:rFonts w:ascii="宋体" w:hAnsi="宋体" w:eastAsia="宋体" w:cs="宋体"/>
          <w:color w:val="auto"/>
          <w:spacing w:val="-1"/>
          <w:sz w:val="24"/>
          <w:highlight w:val="none"/>
        </w:rPr>
        <w:t>KVM、PowerVM</w:t>
      </w:r>
      <w:r>
        <w:rPr>
          <w:rFonts w:ascii="宋体" w:hAnsi="宋体" w:eastAsia="宋体" w:cs="宋体"/>
          <w:color w:val="auto"/>
          <w:spacing w:val="-49"/>
          <w:sz w:val="24"/>
          <w:highlight w:val="none"/>
        </w:rPr>
        <w:t xml:space="preserve"> </w:t>
      </w:r>
      <w:r>
        <w:rPr>
          <w:rFonts w:ascii="宋体" w:hAnsi="宋体" w:eastAsia="宋体" w:cs="宋体"/>
          <w:color w:val="auto"/>
          <w:spacing w:val="-1"/>
          <w:sz w:val="24"/>
          <w:highlight w:val="none"/>
        </w:rPr>
        <w:t>等</w:t>
      </w:r>
      <w:r>
        <w:rPr>
          <w:rFonts w:ascii="宋体" w:hAnsi="宋体" w:eastAsia="宋体" w:cs="宋体"/>
          <w:color w:val="auto"/>
          <w:spacing w:val="-2"/>
          <w:sz w:val="24"/>
          <w:highlight w:val="none"/>
        </w:rPr>
        <w:t>多种虚拟化技术；</w:t>
      </w:r>
    </w:p>
    <w:p w14:paraId="4A3F3F56">
      <w:pPr>
        <w:spacing w:before="181"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云主机出现故障时，支持自动重启或者迁移，保障业务连续性；</w:t>
      </w:r>
    </w:p>
    <w:p w14:paraId="5875C79E">
      <w:pPr>
        <w:spacing w:before="183" w:line="219" w:lineRule="auto"/>
        <w:ind w:left="498"/>
        <w:rPr>
          <w:rFonts w:ascii="宋体" w:hAnsi="宋体" w:eastAsia="宋体" w:cs="宋体"/>
          <w:color w:val="auto"/>
          <w:sz w:val="24"/>
          <w:highlight w:val="none"/>
        </w:rPr>
      </w:pPr>
      <w:r>
        <w:rPr>
          <w:rFonts w:ascii="宋体" w:hAnsi="宋体" w:eastAsia="宋体" w:cs="宋体"/>
          <w:color w:val="auto"/>
          <w:spacing w:val="-2"/>
          <w:sz w:val="24"/>
          <w:highlight w:val="none"/>
        </w:rPr>
        <w:t>支持虚拟机热迁移，可在不同代</w:t>
      </w:r>
      <w:r>
        <w:rPr>
          <w:rFonts w:ascii="宋体" w:hAnsi="宋体" w:eastAsia="宋体" w:cs="宋体"/>
          <w:color w:val="auto"/>
          <w:spacing w:val="-36"/>
          <w:sz w:val="24"/>
          <w:highlight w:val="none"/>
        </w:rPr>
        <w:t xml:space="preserve"> </w:t>
      </w:r>
      <w:r>
        <w:rPr>
          <w:rFonts w:ascii="宋体" w:hAnsi="宋体" w:eastAsia="宋体" w:cs="宋体"/>
          <w:color w:val="auto"/>
          <w:spacing w:val="-2"/>
          <w:sz w:val="24"/>
          <w:highlight w:val="none"/>
        </w:rPr>
        <w:t>CPU</w:t>
      </w:r>
      <w:r>
        <w:rPr>
          <w:rFonts w:ascii="宋体" w:hAnsi="宋体" w:eastAsia="宋体" w:cs="宋体"/>
          <w:color w:val="auto"/>
          <w:spacing w:val="-41"/>
          <w:sz w:val="24"/>
          <w:highlight w:val="none"/>
        </w:rPr>
        <w:t xml:space="preserve"> </w:t>
      </w:r>
      <w:r>
        <w:rPr>
          <w:rFonts w:ascii="宋体" w:hAnsi="宋体" w:eastAsia="宋体" w:cs="宋体"/>
          <w:color w:val="auto"/>
          <w:spacing w:val="-2"/>
          <w:sz w:val="24"/>
          <w:highlight w:val="none"/>
        </w:rPr>
        <w:t>资源池中进行虚拟机热迁移；</w:t>
      </w:r>
    </w:p>
    <w:p w14:paraId="3CC67322">
      <w:pPr>
        <w:spacing w:before="182"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云计算资源性能要求包括</w:t>
      </w:r>
      <w:r>
        <w:rPr>
          <w:rFonts w:ascii="宋体" w:hAnsi="宋体" w:eastAsia="宋体" w:cs="宋体"/>
          <w:color w:val="auto"/>
          <w:spacing w:val="-2"/>
          <w:sz w:val="24"/>
          <w:highlight w:val="none"/>
        </w:rPr>
        <w:t>如下：</w:t>
      </w:r>
    </w:p>
    <w:p w14:paraId="08B33DF1">
      <w:pPr>
        <w:spacing w:line="360" w:lineRule="auto"/>
        <w:ind w:left="1055" w:leftChars="300" w:hanging="425"/>
        <w:rPr>
          <w:rFonts w:ascii="宋体" w:hAnsi="宋体" w:eastAsia="宋体" w:cs="宋体"/>
          <w:color w:val="auto"/>
          <w:sz w:val="24"/>
          <w:highlight w:val="none"/>
        </w:rPr>
      </w:pPr>
      <w:r>
        <w:rPr>
          <w:rFonts w:hint="eastAsia" w:ascii="宋体" w:hAnsi="宋体" w:eastAsia="宋体" w:cs="宋体"/>
          <w:color w:val="auto"/>
          <w:spacing w:val="-3"/>
          <w:sz w:val="24"/>
          <w:highlight w:val="none"/>
        </w:rPr>
        <w:t>1）</w:t>
      </w:r>
      <w:r>
        <w:rPr>
          <w:rFonts w:hint="eastAsia" w:ascii="宋体" w:hAnsi="宋体" w:eastAsia="宋体" w:cs="宋体"/>
          <w:color w:val="auto"/>
          <w:sz w:val="24"/>
          <w:highlight w:val="none"/>
        </w:rPr>
        <w:t>物理服务器 CPU 主频应不低于2.40GHz；</w:t>
      </w:r>
    </w:p>
    <w:p w14:paraId="14D9AE0E">
      <w:pPr>
        <w:autoSpaceDE w:val="0"/>
        <w:autoSpaceDN w:val="0"/>
        <w:adjustRightInd w:val="0"/>
        <w:snapToGrid w:val="0"/>
        <w:spacing w:line="360" w:lineRule="auto"/>
        <w:ind w:left="1055" w:leftChars="300" w:hanging="425"/>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2）</w:t>
      </w:r>
      <w:r>
        <w:rPr>
          <w:rFonts w:hint="eastAsia" w:ascii="宋体" w:hAnsi="宋体" w:eastAsia="宋体" w:cs="宋体"/>
          <w:color w:val="auto"/>
          <w:sz w:val="24"/>
          <w:highlight w:val="none"/>
        </w:rPr>
        <w:t>主机内存硬件配置不低于DDR4-2400MHz；</w:t>
      </w:r>
    </w:p>
    <w:p w14:paraId="4659157C">
      <w:pPr>
        <w:spacing w:line="360" w:lineRule="auto"/>
        <w:ind w:left="1055" w:leftChars="300" w:hanging="425"/>
        <w:rPr>
          <w:rFonts w:ascii="宋体" w:hAnsi="宋体" w:eastAsia="宋体" w:cs="宋体"/>
          <w:color w:val="auto"/>
          <w:sz w:val="24"/>
          <w:highlight w:val="none"/>
        </w:rPr>
      </w:pPr>
      <w:r>
        <w:rPr>
          <w:rFonts w:hint="eastAsia" w:ascii="宋体" w:hAnsi="宋体" w:eastAsia="宋体" w:cs="宋体"/>
          <w:color w:val="auto"/>
          <w:spacing w:val="-3"/>
          <w:sz w:val="24"/>
          <w:highlight w:val="none"/>
        </w:rPr>
        <w:t>3）</w:t>
      </w:r>
      <w:r>
        <w:rPr>
          <w:rFonts w:hint="eastAsia" w:ascii="宋体" w:hAnsi="宋体" w:eastAsia="宋体" w:cs="宋体"/>
          <w:color w:val="auto"/>
          <w:sz w:val="24"/>
          <w:highlight w:val="none"/>
        </w:rPr>
        <w:t>可用性不低于99.99%。</w:t>
      </w:r>
    </w:p>
    <w:p w14:paraId="58BE5C1A">
      <w:pPr>
        <w:spacing w:before="183" w:line="219" w:lineRule="auto"/>
        <w:ind w:left="498"/>
        <w:rPr>
          <w:rFonts w:ascii="宋体" w:hAnsi="宋体" w:eastAsia="宋体" w:cs="宋体"/>
          <w:color w:val="auto"/>
          <w:spacing w:val="-2"/>
          <w:sz w:val="24"/>
          <w:highlight w:val="none"/>
        </w:rPr>
      </w:pPr>
      <w:r>
        <w:rPr>
          <w:rFonts w:ascii="宋体" w:hAnsi="宋体" w:eastAsia="宋体" w:cs="宋体"/>
          <w:color w:val="auto"/>
          <w:spacing w:val="-2"/>
          <w:sz w:val="24"/>
          <w:highlight w:val="none"/>
        </w:rPr>
        <w:t>投标人需按采购人实际需求，提供</w:t>
      </w:r>
      <w:r>
        <w:rPr>
          <w:rFonts w:ascii="宋体" w:hAnsi="宋体" w:eastAsia="宋体" w:cs="宋体"/>
          <w:color w:val="auto"/>
          <w:spacing w:val="-2"/>
          <w:sz w:val="24"/>
          <w:highlight w:val="none"/>
          <w:lang w:bidi="ar"/>
        </w:rPr>
        <w:t>云主机深度监控服务。</w:t>
      </w:r>
    </w:p>
    <w:p w14:paraId="37EDA3DF">
      <w:pPr>
        <w:tabs>
          <w:tab w:val="left" w:pos="567"/>
        </w:tabs>
        <w:spacing w:before="120" w:line="22" w:lineRule="atLeast"/>
        <w:rPr>
          <w:rFonts w:ascii="宋体" w:hAnsi="宋体" w:eastAsia="宋体" w:cs="Times New Roman"/>
          <w:color w:val="auto"/>
          <w:sz w:val="24"/>
          <w:highlight w:val="none"/>
        </w:rPr>
      </w:pPr>
    </w:p>
    <w:p w14:paraId="369D8F1E">
      <w:pPr>
        <w:keepNext/>
        <w:keepLines/>
        <w:numPr>
          <w:ilvl w:val="2"/>
          <w:numId w:val="9"/>
        </w:numPr>
        <w:tabs>
          <w:tab w:val="left" w:pos="360"/>
        </w:tabs>
        <w:spacing w:before="160" w:after="80"/>
        <w:ind w:left="709" w:hanging="709"/>
        <w:outlineLvl w:val="2"/>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存储服务</w:t>
      </w:r>
    </w:p>
    <w:p w14:paraId="6A11E279">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支持结构化数据、半结构化数据和非结构化数据等多种数据类型存储；</w:t>
      </w:r>
    </w:p>
    <w:p w14:paraId="3F62A240">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支持块存储、对象存储、</w:t>
      </w:r>
      <w:r>
        <w:rPr>
          <w:rFonts w:hint="eastAsia" w:ascii="宋体" w:hAnsi="宋体" w:eastAsia="宋体" w:cs="宋体"/>
          <w:color w:val="auto"/>
          <w:spacing w:val="-1"/>
          <w:sz w:val="24"/>
          <w:highlight w:val="none"/>
        </w:rPr>
        <w:t>静态</w:t>
      </w:r>
      <w:r>
        <w:rPr>
          <w:rFonts w:ascii="宋体" w:hAnsi="宋体" w:eastAsia="宋体" w:cs="宋体"/>
          <w:color w:val="auto"/>
          <w:spacing w:val="-1"/>
          <w:sz w:val="24"/>
          <w:highlight w:val="none"/>
        </w:rPr>
        <w:t>存储等多种存储方法，满足数据备份、视频存储等不同应用场景使用要求；</w:t>
      </w:r>
    </w:p>
    <w:p w14:paraId="52947587">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支持存储资源扩展能力，例如：PB 级扩展；</w:t>
      </w:r>
    </w:p>
    <w:p w14:paraId="715D75B0">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支持磁盘容错技术，如磁盘故障后节点的自动平衡和重构、硬盘故障检测和处理、集群节点出现单盘故障时不影响业务运行等；</w:t>
      </w:r>
    </w:p>
    <w:p w14:paraId="0936CAFF">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支持加密存储，使用的密码算法应符合</w:t>
      </w:r>
      <w:r>
        <w:rPr>
          <w:rFonts w:hint="eastAsia" w:ascii="宋体" w:hAnsi="宋体" w:eastAsia="宋体" w:cs="宋体"/>
          <w:color w:val="auto"/>
          <w:spacing w:val="-1"/>
          <w:sz w:val="24"/>
          <w:highlight w:val="none"/>
        </w:rPr>
        <w:t>法律法规</w:t>
      </w:r>
      <w:r>
        <w:rPr>
          <w:rFonts w:ascii="宋体" w:hAnsi="宋体" w:eastAsia="宋体" w:cs="宋体"/>
          <w:color w:val="auto"/>
          <w:spacing w:val="-1"/>
          <w:sz w:val="24"/>
          <w:highlight w:val="none"/>
        </w:rPr>
        <w:t>的规定和密码相关国家标准、行业标准的有关要求；</w:t>
      </w:r>
    </w:p>
    <w:p w14:paraId="63BFAABE">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1"/>
          <w:sz w:val="24"/>
          <w:highlight w:val="none"/>
        </w:rPr>
        <w:t>存储资源性能要求包括如下：</w:t>
      </w:r>
    </w:p>
    <w:p w14:paraId="41823C6D">
      <w:pPr>
        <w:spacing w:before="183" w:line="359" w:lineRule="auto"/>
        <w:ind w:right="61" w:firstLine="482"/>
        <w:rPr>
          <w:rFonts w:ascii="宋体" w:hAnsi="宋体" w:eastAsia="宋体" w:cs="宋体"/>
          <w:color w:val="auto"/>
          <w:spacing w:val="-2"/>
          <w:sz w:val="24"/>
          <w:highlight w:val="none"/>
        </w:rPr>
      </w:pPr>
      <w:r>
        <w:rPr>
          <w:rFonts w:ascii="宋体" w:hAnsi="宋体" w:eastAsia="宋体" w:cs="宋体"/>
          <w:color w:val="auto"/>
          <w:spacing w:val="-1"/>
          <w:sz w:val="24"/>
          <w:highlight w:val="none"/>
        </w:rPr>
        <w:t>对于块存储服务，支持普通性能、高性能两类，普通存储单盘</w:t>
      </w:r>
      <w:r>
        <w:rPr>
          <w:rFonts w:ascii="宋体" w:hAnsi="宋体" w:eastAsia="宋体" w:cs="宋体"/>
          <w:color w:val="auto"/>
          <w:spacing w:val="2"/>
          <w:sz w:val="24"/>
          <w:highlight w:val="none"/>
        </w:rPr>
        <w:t>技术指标：IOPS大于等于2000，高性能存储单盘技术指标：IOPS大于等于10000</w:t>
      </w:r>
      <w:r>
        <w:rPr>
          <w:rFonts w:ascii="宋体" w:hAnsi="宋体" w:eastAsia="宋体" w:cs="宋体"/>
          <w:color w:val="auto"/>
          <w:spacing w:val="-2"/>
          <w:sz w:val="24"/>
          <w:highlight w:val="none"/>
        </w:rPr>
        <w:t>。</w:t>
      </w:r>
    </w:p>
    <w:p w14:paraId="03853775">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642379B1">
      <w:pPr>
        <w:keepNext/>
        <w:keepLines/>
        <w:numPr>
          <w:ilvl w:val="2"/>
          <w:numId w:val="9"/>
        </w:numPr>
        <w:tabs>
          <w:tab w:val="left" w:pos="360"/>
        </w:tabs>
        <w:spacing w:before="160" w:after="80"/>
        <w:ind w:left="709" w:hanging="709"/>
        <w:outlineLvl w:val="2"/>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网络服务</w:t>
      </w:r>
    </w:p>
    <w:p w14:paraId="0E89FD3A">
      <w:pPr>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提供互联网链路带宽服务、互联网 IP 地址租用服务，并提供相应的网络域名备案服务，配合应用开发厂商提供网络策略配置服务。</w:t>
      </w:r>
    </w:p>
    <w:p w14:paraId="53B091AC">
      <w:pPr>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主机负载均衡服务，通过云管理平台实现每租户按需自动分配负载均衡服务的能力。</w:t>
      </w:r>
    </w:p>
    <w:p w14:paraId="20261A87">
      <w:pPr>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远程接入服务，提供互联网远程接入服务，每个账号结合身份验证接入堡垒机维护应用系统。</w:t>
      </w:r>
    </w:p>
    <w:p w14:paraId="421907B9">
      <w:pPr>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VPN 服务，含 SSL VPN 接入与 IPSec VPN 接入服务。</w:t>
      </w:r>
    </w:p>
    <w:p w14:paraId="0CABA4A8">
      <w:pPr>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Web应用防火墙服务，针对网站及Web应用系统提供应用层安全防护，支持各类SQL注入、XSS攻击、网页木马、WEBSHELL等Web威胁防护（200Mbps）。</w:t>
      </w:r>
    </w:p>
    <w:p w14:paraId="4294894C">
      <w:pPr>
        <w:spacing w:line="360" w:lineRule="auto"/>
        <w:rPr>
          <w:rFonts w:ascii="宋体" w:hAnsi="宋体" w:eastAsia="宋体" w:cs="宋体"/>
          <w:b/>
          <w:bCs/>
          <w:color w:val="auto"/>
          <w:sz w:val="24"/>
          <w:highlight w:val="none"/>
        </w:rPr>
      </w:pPr>
    </w:p>
    <w:p w14:paraId="098CD212">
      <w:pPr>
        <w:keepNext/>
        <w:keepLines/>
        <w:numPr>
          <w:ilvl w:val="2"/>
          <w:numId w:val="9"/>
        </w:numPr>
        <w:tabs>
          <w:tab w:val="left" w:pos="360"/>
        </w:tabs>
        <w:spacing w:before="160" w:after="80"/>
        <w:ind w:left="709" w:hanging="709"/>
        <w:outlineLvl w:val="2"/>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安全服务</w:t>
      </w:r>
    </w:p>
    <w:p w14:paraId="0685B46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云端抗 DDOS 服务 按照采购人的具体需求，根据流量提供云端抗 DDOS 服务，为云内应用系统抵御大流量分布式拒绝服务攻击。在提供服务的过程中需做好与采购人和对应项目的应用开发厂商的协调沟通工作。</w:t>
      </w:r>
    </w:p>
    <w:p w14:paraId="2E8E43D3">
      <w:pPr>
        <w:tabs>
          <w:tab w:val="left" w:pos="567"/>
        </w:tabs>
        <w:spacing w:before="120" w:line="22" w:lineRule="atLeast"/>
        <w:rPr>
          <w:rFonts w:ascii="宋体" w:hAnsi="宋体" w:eastAsia="宋体" w:cs="Times New Roman"/>
          <w:color w:val="auto"/>
          <w:sz w:val="24"/>
          <w:highlight w:val="none"/>
        </w:rPr>
      </w:pPr>
      <w:r>
        <w:rPr>
          <w:rFonts w:hint="eastAsia" w:ascii="宋体" w:hAnsi="宋体" w:eastAsia="宋体" w:cs="宋体"/>
          <w:color w:val="auto"/>
          <w:sz w:val="24"/>
          <w:highlight w:val="none"/>
        </w:rPr>
        <w:t>按照采购人的具体需求，提供云端APT防护服务，对未知攻击威胁进行检测和防护，发现隐蔽威胁、木马后门等异常威胁。</w:t>
      </w:r>
    </w:p>
    <w:p w14:paraId="025EEE3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提供主机杀毒服务，对云主机进行定期的病毒查杀，实施杀毒软件集中控制。</w:t>
      </w:r>
    </w:p>
    <w:p w14:paraId="5E46296B">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主机防护服务 提供符合等保三级要求的主机权限管理及安全防护。可对主机系统安全涉及的控制点形成立体防护。</w:t>
      </w:r>
    </w:p>
    <w:p w14:paraId="7D00575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主机安全加固 提供主机安全加固服务，针对预警自查、漏洞扫描或等级测评结果对操作系统进行安全加固，用以解决等级测评结果中所显示的漏洞。</w:t>
      </w:r>
    </w:p>
    <w:p w14:paraId="29415E1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网页防篡改服务 按照采购人的具体需求，提供网页防篡改服务。通过防篡改软件对用户页面进行实时防护，减少用户页面被恶意篡改的可能性。</w:t>
      </w:r>
    </w:p>
    <w:p w14:paraId="4DC98AB0">
      <w:pPr>
        <w:keepNext/>
        <w:keepLines/>
        <w:numPr>
          <w:ilvl w:val="2"/>
          <w:numId w:val="9"/>
        </w:numPr>
        <w:tabs>
          <w:tab w:val="left" w:pos="360"/>
        </w:tabs>
        <w:spacing w:before="160" w:after="80"/>
        <w:ind w:left="709" w:hanging="709"/>
        <w:outlineLvl w:val="2"/>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安全检测监测、审计服务</w:t>
      </w:r>
    </w:p>
    <w:p w14:paraId="3C3A5A2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主机漏洞扫描 基于漏洞数据库，通过扫描等手段对主机安全脆弱性进行检测。</w:t>
      </w:r>
    </w:p>
    <w:p w14:paraId="7543A4A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数据库审计服务 按照采购人的具体需求，提供数据库审计服务。</w:t>
      </w:r>
    </w:p>
    <w:p w14:paraId="4A7516B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主机日志分析 按照采购人的具体需求，提供主机日志分析服务。</w:t>
      </w:r>
    </w:p>
    <w:p w14:paraId="5B5C0D16">
      <w:pPr>
        <w:keepNext/>
        <w:keepLines/>
        <w:numPr>
          <w:ilvl w:val="2"/>
          <w:numId w:val="9"/>
        </w:numPr>
        <w:tabs>
          <w:tab w:val="left" w:pos="360"/>
        </w:tabs>
        <w:spacing w:before="160" w:after="80"/>
        <w:ind w:left="709" w:hanging="709"/>
        <w:outlineLvl w:val="2"/>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基础软件支撑服务</w:t>
      </w:r>
    </w:p>
    <w:p w14:paraId="211F3351">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z w:val="24"/>
          <w:highlight w:val="none"/>
        </w:rPr>
        <w:t>Linux操作系统套餐，按采购人实际需求提供主流的Linux操作系统安装和维护服务。</w:t>
      </w:r>
    </w:p>
    <w:p w14:paraId="1FD9D1DD">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商用操作系统套餐 提供主流商业操作系统服务，支持操作系统的安装部署和各种故障处理。</w:t>
      </w:r>
    </w:p>
    <w:p w14:paraId="15E443B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国产Linux套餐 提供主流国产Linux操作系统服务，支持国产 Linux 操作系统（银河麒麟/中标麒麟/统信等）的各种主流版本，并提供，并提供操作系统的安装部署和各种故障处理。</w:t>
      </w:r>
    </w:p>
    <w:p w14:paraId="3320935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商用数据库套餐 提供国产化数据库服务，支持数据库单机、集群的主流版本，提供数据库的安装部署和各种故障处理及日常维护。</w:t>
      </w:r>
    </w:p>
    <w:p w14:paraId="2F8B380D">
      <w:pPr>
        <w:keepNext/>
        <w:keepLines/>
        <w:numPr>
          <w:ilvl w:val="2"/>
          <w:numId w:val="9"/>
        </w:numPr>
        <w:tabs>
          <w:tab w:val="left" w:pos="360"/>
        </w:tabs>
        <w:spacing w:before="160" w:after="80"/>
        <w:ind w:left="709" w:hanging="709"/>
        <w:outlineLvl w:val="2"/>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其他服务</w:t>
      </w:r>
    </w:p>
    <w:p w14:paraId="29A2771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云内系统安全风险评估 云内系统安全风险评估：对应用系统整体运行环境、中间件、应用漏洞、安全策略、基线等内容进行风险评估，出具评估报告并提供整改建议。</w:t>
      </w:r>
    </w:p>
    <w:p w14:paraId="7DAE2D7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数据防泄漏服务 数据防泄漏服务：对现有业务系统重要数据资产进行盘点、分级/分类，结合数据加密、行往管理/审计实现数据防泄密保护服务。</w:t>
      </w:r>
    </w:p>
    <w:p w14:paraId="35675B9D">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数据库安全运维服务 数据库安全运维服务：提供业务系统数据库运维、开发人员提供数据库精细化权限访问控制、风险操作防控等服务。</w:t>
      </w:r>
    </w:p>
    <w:p w14:paraId="1849480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代码仓库管理服务 代码仓库管理服务：提供代码、包、文档的存、授权、版本、发布等相关管理服务。</w:t>
      </w:r>
    </w:p>
    <w:p w14:paraId="1B8C08F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FTP软件服务 按采购人实际需要提供FTP软件租用、运维等服务。</w:t>
      </w:r>
    </w:p>
    <w:p w14:paraId="3C73672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页面可用监控服务 按采购人实际需要提供页面可用监控服务。</w:t>
      </w:r>
    </w:p>
    <w:p w14:paraId="2A61CBC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渗透测试服务 按采购人实际需要提供渗透测试服务。</w:t>
      </w:r>
    </w:p>
    <w:p w14:paraId="15CEB79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脆弱性检测服务 按采购人实际需要提供脆弱性检测服务。</w:t>
      </w:r>
    </w:p>
    <w:p w14:paraId="7387300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源代码安全检测服务 按采购人实际需要提供源代码安全检测服务。</w:t>
      </w:r>
    </w:p>
    <w:p w14:paraId="36499DE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安全巡检服务 按采购人实际需要提供安全巡检服务。</w:t>
      </w:r>
    </w:p>
    <w:p w14:paraId="0AC0E33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安全等级保护制度优化与修订服务 按采购人实际需要提供安全等级保护制度优化与修订服务。</w:t>
      </w:r>
    </w:p>
    <w:p w14:paraId="6997B38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重要保障时期安全保障值守服务 按采购人实际需要提供重要保障时期安全保障值守服务。</w:t>
      </w:r>
    </w:p>
    <w:p w14:paraId="33D76C4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应急预案服务 按采购人实际需要提供应急预案服务。</w:t>
      </w:r>
    </w:p>
    <w:p w14:paraId="2FA90E8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应急演练服务 按采购人实际需要提供应急演练服务。</w:t>
      </w:r>
    </w:p>
    <w:p w14:paraId="4C2779E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应急响应服务 按采购人实际需要提供应急响应服务。</w:t>
      </w:r>
    </w:p>
    <w:p w14:paraId="59CCD49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基础安全培训服务 提供基础安全培训服务：覆盖相关工作人员，包括政策法规与安全管理体系、信息安全与数据保护、日常安全防护、应急处置等内容。</w:t>
      </w:r>
    </w:p>
    <w:p w14:paraId="7A6C801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运维管理安全培训服务 提供运维管理安全培训服务：覆盖采购人、供应服务商，包括： 按采购人实际需要提供网络安全法规与技术、数据安全与隐私保护、安全运维与审计；重点事件及安全漏洞分析、处置、应急管理及案例复盘及实操；安全开发生命周期、数据安全与供应链安全、第三方管理责任与应急联动。</w:t>
      </w:r>
    </w:p>
    <w:p w14:paraId="4055D40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域名租用服务 按采购人实际需要提供域名租用服务。</w:t>
      </w:r>
    </w:p>
    <w:p w14:paraId="70753B7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HTTP证书服务 按采购人实际需要提供HTTP证书服务。</w:t>
      </w:r>
    </w:p>
    <w:p w14:paraId="4717B59B">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云盾证书服务 按采购人实际需要提供云盾证书服务。</w:t>
      </w:r>
    </w:p>
    <w:p w14:paraId="673559F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国密算法签名验签服务 按采购人实际需要提供国密算法签名验签服务。</w:t>
      </w:r>
    </w:p>
    <w:p w14:paraId="0218DC0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国密标准CA证书及USBKey服务 按采购人实际需要提供国密标准CA证书及USBKey服务。</w:t>
      </w:r>
    </w:p>
    <w:p w14:paraId="2B566F4E">
      <w:pPr>
        <w:keepNext/>
        <w:keepLines/>
        <w:numPr>
          <w:ilvl w:val="0"/>
          <w:numId w:val="9"/>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验收标准</w:t>
      </w:r>
    </w:p>
    <w:p w14:paraId="2F1EF2E7">
      <w:pPr>
        <w:keepNext/>
        <w:keepLines/>
        <w:numPr>
          <w:ilvl w:val="1"/>
          <w:numId w:val="9"/>
        </w:numPr>
        <w:tabs>
          <w:tab w:val="left" w:pos="360"/>
        </w:tabs>
        <w:spacing w:before="160" w:after="80"/>
        <w:ind w:left="567" w:hanging="567"/>
        <w:jc w:val="left"/>
        <w:outlineLvl w:val="1"/>
        <w:rPr>
          <w:rFonts w:ascii="宋体" w:hAnsi="宋体" w:eastAsia="宋体" w:cs="宋体"/>
          <w:color w:val="auto"/>
          <w:sz w:val="24"/>
          <w:highlight w:val="none"/>
        </w:rPr>
      </w:pPr>
      <w:r>
        <w:rPr>
          <w:rFonts w:ascii="宋体" w:hAnsi="宋体" w:eastAsia="宋体" w:cs="宋体"/>
          <w:color w:val="auto"/>
          <w:sz w:val="24"/>
          <w:highlight w:val="none"/>
        </w:rPr>
        <w:t xml:space="preserve">服务绩效指标 </w:t>
      </w:r>
    </w:p>
    <w:p w14:paraId="3D14D342">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（1）云</w:t>
      </w:r>
      <w:r>
        <w:rPr>
          <w:rFonts w:hint="eastAsia" w:ascii="宋体" w:hAnsi="宋体" w:eastAsia="宋体" w:cs="Times New Roman"/>
          <w:color w:val="auto"/>
          <w:sz w:val="24"/>
          <w:highlight w:val="none"/>
        </w:rPr>
        <w:t>服务</w:t>
      </w:r>
      <w:r>
        <w:rPr>
          <w:rFonts w:ascii="宋体" w:hAnsi="宋体" w:eastAsia="宋体" w:cs="Times New Roman"/>
          <w:color w:val="auto"/>
          <w:sz w:val="24"/>
          <w:highlight w:val="none"/>
        </w:rPr>
        <w:t>期内整体可用性应不低于99.99%，数据可靠性应不低于99.9999%。</w:t>
      </w:r>
    </w:p>
    <w:p w14:paraId="2EF2A7D4">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（2）故障响应率100%； </w:t>
      </w:r>
    </w:p>
    <w:p w14:paraId="1604AEF1">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（3）应急响应时间≤10分钟（重大事件1分钟内响应）； </w:t>
      </w:r>
    </w:p>
    <w:p w14:paraId="433735B4">
      <w:pPr>
        <w:keepNext/>
        <w:keepLines/>
        <w:numPr>
          <w:ilvl w:val="1"/>
          <w:numId w:val="9"/>
        </w:numPr>
        <w:tabs>
          <w:tab w:val="left" w:pos="360"/>
        </w:tabs>
        <w:spacing w:before="160" w:after="80"/>
        <w:ind w:left="567" w:hanging="567"/>
        <w:jc w:val="left"/>
        <w:outlineLvl w:val="1"/>
        <w:rPr>
          <w:rFonts w:ascii="宋体" w:hAnsi="宋体" w:eastAsia="宋体" w:cs="宋体"/>
          <w:color w:val="auto"/>
          <w:sz w:val="24"/>
          <w:highlight w:val="none"/>
        </w:rPr>
      </w:pPr>
      <w:r>
        <w:rPr>
          <w:rFonts w:ascii="宋体" w:hAnsi="宋体" w:eastAsia="宋体" w:cs="宋体"/>
          <w:color w:val="auto"/>
          <w:sz w:val="24"/>
          <w:highlight w:val="none"/>
        </w:rPr>
        <w:t xml:space="preserve">项目验收要求 </w:t>
      </w:r>
    </w:p>
    <w:p w14:paraId="5846108B">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（1）投标人所提供的北京市市级政务云基础资源服务应遵循客观、科学、合理的原则，符合《北京市市级政务云管理办法》的相关标准及要求。 </w:t>
      </w:r>
    </w:p>
    <w:p w14:paraId="0CBE51CE">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（2）投标人所提供资源应满足采购文件规定的要求。保证合同期内系统安全稳定运行，不因硬件故障导致累计服务中断23小时及以上。 </w:t>
      </w:r>
    </w:p>
    <w:p w14:paraId="2898D7E1">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3）供应商于合同服务期结束后的15个工作日内向采购人提交验收申请及项目验收材料，采购人在收到验收申请后的5个工作日内，确定具体验收日期。投标人应当在采购人指定的验收日前向采购人提交验收报告。验收报告的内容包括合同规定的各项服务清单，各系统设备运行情况。 </w:t>
      </w:r>
    </w:p>
    <w:p w14:paraId="647F6D8E">
      <w:pPr>
        <w:spacing w:line="360" w:lineRule="auto"/>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（4）服务期届</w:t>
      </w:r>
      <w:r>
        <w:rPr>
          <w:rFonts w:hint="eastAsia" w:ascii="宋体" w:hAnsi="宋体" w:eastAsia="宋体" w:cs="Times New Roman"/>
          <w:color w:val="auto"/>
          <w:sz w:val="24"/>
          <w:highlight w:val="none"/>
        </w:rPr>
        <w:t>满后</w:t>
      </w:r>
      <w:r>
        <w:rPr>
          <w:rFonts w:ascii="宋体" w:hAnsi="宋体" w:eastAsia="宋体" w:cs="Times New Roman"/>
          <w:color w:val="auto"/>
          <w:sz w:val="24"/>
          <w:highlight w:val="none"/>
        </w:rPr>
        <w:t>，投标人按照采购人要求完成所有项目，各项记录、报告等文档齐全，无任何系统遗留问题，并通过由采购人组织的专家验收评审，方可通过验收。</w:t>
      </w:r>
    </w:p>
    <w:p w14:paraId="5436F99E">
      <w:pPr>
        <w:keepNext/>
        <w:keepLines/>
        <w:numPr>
          <w:ilvl w:val="0"/>
          <w:numId w:val="9"/>
        </w:numPr>
        <w:tabs>
          <w:tab w:val="left" w:pos="360"/>
        </w:tabs>
        <w:spacing w:before="160" w:after="80"/>
        <w:ind w:left="425" w:hanging="425"/>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其他要求</w:t>
      </w:r>
    </w:p>
    <w:p w14:paraId="2996C3AE">
      <w:pPr>
        <w:keepNext/>
        <w:keepLines/>
        <w:numPr>
          <w:ilvl w:val="1"/>
          <w:numId w:val="9"/>
        </w:numPr>
        <w:tabs>
          <w:tab w:val="left" w:pos="360"/>
        </w:tabs>
        <w:spacing w:before="160" w:after="80"/>
        <w:ind w:left="709" w:hanging="709"/>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售后服务</w:t>
      </w:r>
    </w:p>
    <w:p w14:paraId="4948EE60">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项目经理不少于</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人，需为本科及以上学历，具备</w:t>
      </w:r>
      <w:r>
        <w:rPr>
          <w:rFonts w:ascii="宋体" w:hAnsi="宋体" w:eastAsia="宋体" w:cs="Times New Roman"/>
          <w:color w:val="auto"/>
          <w:sz w:val="24"/>
          <w:highlight w:val="none"/>
        </w:rPr>
        <w:t>10</w:t>
      </w:r>
      <w:r>
        <w:rPr>
          <w:rFonts w:hint="eastAsia" w:ascii="宋体" w:hAnsi="宋体" w:eastAsia="宋体" w:cs="Times New Roman"/>
          <w:color w:val="auto"/>
          <w:sz w:val="24"/>
          <w:highlight w:val="none"/>
        </w:rPr>
        <w:t>年（含）以上的工作经验，并具有信息系统项目管理师（高级）证书。</w:t>
      </w:r>
    </w:p>
    <w:p w14:paraId="30501152">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技术负责人</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人，需为本科及以上学历，具备</w:t>
      </w:r>
      <w:r>
        <w:rPr>
          <w:rFonts w:ascii="宋体" w:hAnsi="宋体" w:eastAsia="宋体" w:cs="Times New Roman"/>
          <w:color w:val="auto"/>
          <w:sz w:val="24"/>
          <w:highlight w:val="none"/>
        </w:rPr>
        <w:t>10</w:t>
      </w:r>
      <w:r>
        <w:rPr>
          <w:rFonts w:hint="eastAsia" w:ascii="宋体" w:hAnsi="宋体" w:eastAsia="宋体" w:cs="Times New Roman"/>
          <w:color w:val="auto"/>
          <w:sz w:val="24"/>
          <w:highlight w:val="none"/>
        </w:rPr>
        <w:t>年（含）以上的工作经验，须具有系统架构设计师（高级）证书、系统分析师（高级）证书。</w:t>
      </w:r>
    </w:p>
    <w:p w14:paraId="768F259F">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项目团队，除项目经理、技术负责人、质量管理专员外，需配备</w:t>
      </w:r>
      <w:r>
        <w:rPr>
          <w:rFonts w:hint="eastAsia" w:ascii="宋体" w:hAnsi="宋体" w:eastAsia="宋体" w:cs="宋体"/>
          <w:color w:val="auto"/>
          <w:sz w:val="24"/>
          <w:highlight w:val="none"/>
          <w:lang w:val="en-US" w:eastAsia="zh-CN"/>
        </w:rPr>
        <w:t>6人（含）以上的专业项目团队</w:t>
      </w:r>
      <w:r>
        <w:rPr>
          <w:rFonts w:hint="eastAsia" w:ascii="宋体" w:hAnsi="宋体" w:eastAsia="宋体" w:cs="宋体"/>
          <w:color w:val="auto"/>
          <w:sz w:val="24"/>
          <w:highlight w:val="none"/>
        </w:rPr>
        <w:t>，每位</w:t>
      </w:r>
      <w:r>
        <w:rPr>
          <w:rFonts w:hint="eastAsia" w:ascii="宋体" w:hAnsi="宋体" w:eastAsia="宋体" w:cs="宋体"/>
          <w:color w:val="auto"/>
          <w:sz w:val="24"/>
          <w:highlight w:val="none"/>
          <w:lang w:val="en-US" w:eastAsia="zh-CN"/>
        </w:rPr>
        <w:t>团队</w:t>
      </w:r>
      <w:r>
        <w:rPr>
          <w:rFonts w:hint="eastAsia" w:ascii="宋体" w:hAnsi="宋体" w:eastAsia="宋体" w:cs="宋体"/>
          <w:color w:val="auto"/>
          <w:sz w:val="24"/>
          <w:highlight w:val="none"/>
        </w:rPr>
        <w:t>成员均具备5年（含）以上项目实施经验，每人具备网络工程师、数据库系统工程师、CISP其中一项资质证书。</w:t>
      </w:r>
    </w:p>
    <w:p w14:paraId="6A19AF62">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投标人须确保运维队伍的稳定。项目实施过程中，投标人调整服务人员，应提前30个工作日通知采购人。</w:t>
      </w:r>
    </w:p>
    <w:p w14:paraId="00E536FD">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投标人须利用监控系统或人工对硬件设备及应用系统的运行情况进行7*24小时的不间断巡检监控，及时发现安全隐患，通知相关人员及时处理，并形成监控报告。</w:t>
      </w:r>
    </w:p>
    <w:p w14:paraId="653CBAD6">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投标人负责设立技术支持热线，并安排专人值守，提供7*24小时热线支持服务。投标人针对采购人要求的云平台运维服务相关内容，需指定专业技术能力较强的工程师，根据采购人要求配合开展相关维护服务。</w:t>
      </w:r>
    </w:p>
    <w:p w14:paraId="2D2277A6">
      <w:pPr>
        <w:keepNext/>
        <w:keepLines/>
        <w:numPr>
          <w:ilvl w:val="1"/>
          <w:numId w:val="9"/>
        </w:numPr>
        <w:tabs>
          <w:tab w:val="left" w:pos="360"/>
        </w:tabs>
        <w:spacing w:before="160" w:after="80"/>
        <w:ind w:left="709" w:hanging="709"/>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故障响应服务</w:t>
      </w:r>
    </w:p>
    <w:p w14:paraId="65315112">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投标人应当提供高效的系统维护服务，有效防范系统风险，投标人需保持7*24小时电话畅通，能够在系统发生除宕机外的其他故障问题时，能够协调人力资源在2小时内到达运维现场提供服务。系统发生宕机问题时，投标人应在15分钟内响应，故障处理完毕后提供相关系统宕机报告。</w:t>
      </w:r>
    </w:p>
    <w:p w14:paraId="57323FD8">
      <w:pPr>
        <w:keepNext/>
        <w:keepLines/>
        <w:numPr>
          <w:ilvl w:val="1"/>
          <w:numId w:val="9"/>
        </w:numPr>
        <w:tabs>
          <w:tab w:val="left" w:pos="360"/>
        </w:tabs>
        <w:spacing w:before="160" w:after="80"/>
        <w:ind w:left="709" w:hanging="709"/>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重点保障要求</w:t>
      </w:r>
    </w:p>
    <w:p w14:paraId="3C879172">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为保障业务高峰期内系统平稳运行，缓解系统高峰期内因业务发生量增大而带来系统压力风险，要求投标人根据业务周期性特点，提供满足三级等保的运维值守服务，包含所有云主机的运维维保和远程值守以及定期的巡检服务，包含重要时间节点如春节、两会、国庆等重大时间点的重保服务，在值守服务基础上增加每天10次人工巡检查看网站访问情况、应急处置、安全事件验证、分析、事件报告等内容，加大运维保障力度，保证在业务高峰期内系统平稳运行。</w:t>
      </w:r>
    </w:p>
    <w:p w14:paraId="337616E8">
      <w:pPr>
        <w:keepNext/>
        <w:keepLines/>
        <w:numPr>
          <w:ilvl w:val="1"/>
          <w:numId w:val="9"/>
        </w:numPr>
        <w:tabs>
          <w:tab w:val="left" w:pos="360"/>
        </w:tabs>
        <w:spacing w:before="160" w:after="80"/>
        <w:ind w:left="709" w:hanging="709"/>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安全及保密要求</w:t>
      </w:r>
    </w:p>
    <w:p w14:paraId="4E6ADC94">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投标人须严格遵守采购人的相关信息安全规定，本项目涉及人员须与投标人签订保密协议，项目中标后本项目服务人员须与采购人签订针对本项目的保密协议，投标人应选派具有良好职业道德的人员参与和从事本项目工作，不得利用系统维护服务时的便利对采购人数据及其他信息擅自修改或透露，投标人须承担相关保密责任。</w:t>
      </w:r>
    </w:p>
    <w:p w14:paraId="56BBA592">
      <w:pPr>
        <w:keepNext/>
        <w:keepLines/>
        <w:numPr>
          <w:ilvl w:val="1"/>
          <w:numId w:val="9"/>
        </w:numPr>
        <w:tabs>
          <w:tab w:val="left" w:pos="360"/>
        </w:tabs>
        <w:spacing w:before="160" w:after="80"/>
        <w:ind w:left="709" w:hanging="709"/>
        <w:jc w:val="left"/>
        <w:outlineLvl w:val="1"/>
        <w:rPr>
          <w:rFonts w:ascii="宋体" w:hAnsi="宋体" w:eastAsia="宋体" w:cs="宋体"/>
          <w:color w:val="auto"/>
          <w:sz w:val="24"/>
          <w:highlight w:val="none"/>
        </w:rPr>
      </w:pPr>
      <w:r>
        <w:rPr>
          <w:rFonts w:hint="eastAsia" w:ascii="宋体" w:hAnsi="宋体" w:eastAsia="宋体" w:cs="宋体"/>
          <w:color w:val="auto"/>
          <w:sz w:val="24"/>
          <w:highlight w:val="none"/>
        </w:rPr>
        <w:t>迁移要求</w:t>
      </w:r>
    </w:p>
    <w:p w14:paraId="4AC17E87">
      <w:pPr>
        <w:spacing w:line="360" w:lineRule="auto"/>
        <w:ind w:firstLine="420"/>
        <w:rPr>
          <w:rFonts w:ascii="宋体" w:hAnsi="宋体" w:eastAsia="宋体" w:cs="宋体"/>
          <w:color w:val="auto"/>
          <w:sz w:val="24"/>
          <w:highlight w:val="none"/>
        </w:rPr>
      </w:pPr>
      <w:r>
        <w:rPr>
          <w:rFonts w:ascii="宋体" w:hAnsi="宋体" w:eastAsia="宋体" w:cs="Times New Roman"/>
          <w:color w:val="auto"/>
          <w:sz w:val="24"/>
          <w:highlight w:val="none"/>
        </w:rPr>
        <w:t>投标人</w:t>
      </w:r>
      <w:r>
        <w:rPr>
          <w:rFonts w:hint="eastAsia" w:ascii="宋体" w:hAnsi="宋体" w:eastAsia="宋体" w:cs="Times New Roman"/>
          <w:color w:val="auto"/>
          <w:sz w:val="24"/>
          <w:highlight w:val="none"/>
        </w:rPr>
        <w:t>须</w:t>
      </w:r>
      <w:r>
        <w:rPr>
          <w:rFonts w:ascii="宋体" w:hAnsi="宋体" w:eastAsia="宋体" w:cs="Times New Roman"/>
          <w:color w:val="auto"/>
          <w:sz w:val="24"/>
          <w:highlight w:val="none"/>
        </w:rPr>
        <w:t>承诺</w:t>
      </w:r>
      <w:r>
        <w:rPr>
          <w:rFonts w:hint="eastAsia" w:ascii="宋体" w:hAnsi="宋体" w:eastAsia="宋体" w:cs="Times New Roman"/>
          <w:color w:val="auto"/>
          <w:sz w:val="24"/>
          <w:highlight w:val="none"/>
        </w:rPr>
        <w:t>，若涉及业务迁移，需在不中断业务的前提下，自合同生效之日起承诺期限内完成全部系统迁移</w:t>
      </w:r>
      <w:r>
        <w:rPr>
          <w:rFonts w:ascii="宋体" w:hAnsi="宋体" w:eastAsia="宋体" w:cs="Times New Roman"/>
          <w:color w:val="auto"/>
          <w:sz w:val="24"/>
          <w:highlight w:val="none"/>
        </w:rPr>
        <w:t>，并且不能改变和影响原有系统的功能、技术状态以及</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的使用习惯</w:t>
      </w:r>
      <w:r>
        <w:rPr>
          <w:rFonts w:hint="eastAsia" w:ascii="宋体" w:hAnsi="宋体" w:eastAsia="宋体" w:cs="宋体"/>
          <w:color w:val="auto"/>
          <w:sz w:val="24"/>
          <w:highlight w:val="none"/>
        </w:rPr>
        <w:t>，</w:t>
      </w:r>
      <w:r>
        <w:rPr>
          <w:rFonts w:hint="eastAsia" w:ascii="宋体" w:hAnsi="宋体" w:eastAsia="宋体" w:cs="宋体"/>
          <w:color w:val="auto"/>
          <w:spacing w:val="-1"/>
          <w:sz w:val="24"/>
          <w:highlight w:val="none"/>
        </w:rPr>
        <w:t>因此产生的各项费用（包括测试阶段的云资源费用，系统运维商对业务系统的部署、调试费用等）由投标人承担</w:t>
      </w:r>
      <w:r>
        <w:rPr>
          <w:rFonts w:ascii="宋体" w:hAnsi="宋体" w:eastAsia="宋体" w:cs="Times New Roman"/>
          <w:color w:val="auto"/>
          <w:sz w:val="24"/>
          <w:highlight w:val="none"/>
        </w:rPr>
        <w:t>。</w:t>
      </w:r>
      <w:r>
        <w:rPr>
          <w:rFonts w:ascii="宋体" w:hAnsi="宋体" w:eastAsia="宋体" w:cs="宋体"/>
          <w:color w:val="auto"/>
          <w:sz w:val="24"/>
          <w:highlight w:val="none"/>
        </w:rPr>
        <w:t>迁移完成后，投标人需确保原有系统的功能、技术状态及采购人使用习惯无任何改变或影响，并提交迁移、测试及功能验证报告</w:t>
      </w:r>
      <w:r>
        <w:rPr>
          <w:rFonts w:hint="eastAsia" w:ascii="宋体" w:hAnsi="宋体" w:eastAsia="宋体" w:cs="宋体"/>
          <w:color w:val="auto"/>
          <w:sz w:val="24"/>
          <w:highlight w:val="none"/>
        </w:rPr>
        <w:t>后</w:t>
      </w:r>
      <w:r>
        <w:rPr>
          <w:rFonts w:ascii="宋体" w:hAnsi="宋体" w:eastAsia="宋体" w:cs="宋体"/>
          <w:color w:val="auto"/>
          <w:sz w:val="24"/>
          <w:highlight w:val="none"/>
        </w:rPr>
        <w:t>，</w:t>
      </w:r>
      <w:r>
        <w:rPr>
          <w:rFonts w:hint="eastAsia" w:ascii="宋体" w:hAnsi="宋体" w:eastAsia="宋体" w:cs="宋体"/>
          <w:color w:val="auto"/>
          <w:sz w:val="24"/>
          <w:highlight w:val="none"/>
        </w:rPr>
        <w:t>由</w:t>
      </w:r>
      <w:r>
        <w:rPr>
          <w:rFonts w:ascii="宋体" w:hAnsi="宋体" w:eastAsia="宋体" w:cs="宋体"/>
          <w:color w:val="auto"/>
          <w:sz w:val="24"/>
          <w:highlight w:val="none"/>
        </w:rPr>
        <w:t>采购人</w:t>
      </w:r>
      <w:r>
        <w:rPr>
          <w:rFonts w:hint="eastAsia" w:ascii="宋体" w:hAnsi="宋体" w:eastAsia="宋体" w:cs="宋体"/>
          <w:color w:val="auto"/>
          <w:sz w:val="24"/>
          <w:highlight w:val="none"/>
        </w:rPr>
        <w:t>组织</w:t>
      </w:r>
      <w:r>
        <w:rPr>
          <w:rFonts w:ascii="宋体" w:hAnsi="宋体" w:eastAsia="宋体" w:cs="宋体"/>
          <w:color w:val="auto"/>
          <w:sz w:val="24"/>
          <w:highlight w:val="none"/>
        </w:rPr>
        <w:t>验收。</w:t>
      </w:r>
    </w:p>
    <w:p w14:paraId="28E727C5">
      <w:pPr>
        <w:spacing w:line="360" w:lineRule="auto"/>
        <w:ind w:firstLine="420"/>
        <w:rPr>
          <w:rFonts w:ascii="宋体" w:hAnsi="宋体" w:eastAsia="宋体" w:cs="Times New Roman"/>
          <w:color w:val="auto"/>
          <w:sz w:val="24"/>
          <w:highlight w:val="none"/>
        </w:rPr>
      </w:pPr>
      <w:r>
        <w:rPr>
          <w:rFonts w:ascii="宋体" w:hAnsi="宋体" w:eastAsia="宋体" w:cs="宋体"/>
          <w:color w:val="auto"/>
          <w:sz w:val="24"/>
          <w:highlight w:val="none"/>
        </w:rPr>
        <w:t>未按时完成迁移或验收不合格且逾期未整改的，每逾期1日，投标人应向采购人支付合同总金额0.3%的违约金；逾期超过7日的，采购人有权解除合同，投标人应向采购人支付合同总金额20%的违约金，并赔偿采购人因此造成的全部实际损失（包括业务中断损失、重新招标成本、第三方索赔等）。</w:t>
      </w:r>
    </w:p>
    <w:p w14:paraId="16406155">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color w:val="auto"/>
          <w:kern w:val="44"/>
          <w:sz w:val="32"/>
          <w:szCs w:val="20"/>
          <w:highlight w:val="none"/>
          <w:lang w:val="en-US" w:eastAsia="zh-CN" w:bidi="ar-SA"/>
        </w:rPr>
      </w:pPr>
      <w:r>
        <w:rPr>
          <w:rFonts w:hint="eastAsia" w:ascii="宋体" w:hAnsi="Times New Roman" w:eastAsia="宋体" w:cs="Times New Roman"/>
          <w:b/>
          <w:color w:val="auto"/>
          <w:kern w:val="44"/>
          <w:sz w:val="32"/>
          <w:szCs w:val="20"/>
          <w:highlight w:val="none"/>
          <w:lang w:val="en-US" w:eastAsia="zh-CN" w:bidi="ar-SA"/>
        </w:rPr>
        <w:t>政务云服务四包</w:t>
      </w:r>
    </w:p>
    <w:p w14:paraId="27535317">
      <w:pPr>
        <w:keepNext/>
        <w:keepLines/>
        <w:widowControl w:val="0"/>
        <w:autoSpaceDE w:val="0"/>
        <w:autoSpaceDN w:val="0"/>
        <w:adjustRightInd w:val="0"/>
        <w:spacing w:before="120" w:line="300" w:lineRule="auto"/>
        <w:jc w:val="center"/>
        <w:outlineLvl w:val="1"/>
        <w:rPr>
          <w:rFonts w:ascii="Arial" w:hAnsi="Arial" w:eastAsia="黑体" w:cs="Times New Roman"/>
          <w:b/>
          <w:color w:val="auto"/>
          <w:kern w:val="0"/>
          <w:sz w:val="30"/>
          <w:szCs w:val="20"/>
          <w:highlight w:val="none"/>
          <w:lang w:val="en-US" w:eastAsia="zh-CN" w:bidi="ar-SA"/>
        </w:rPr>
      </w:pPr>
    </w:p>
    <w:p w14:paraId="7EAC824B">
      <w:pPr>
        <w:keepNext/>
        <w:keepLines/>
        <w:widowControl w:val="0"/>
        <w:autoSpaceDE w:val="0"/>
        <w:autoSpaceDN w:val="0"/>
        <w:adjustRightInd w:val="0"/>
        <w:spacing w:before="120" w:line="300" w:lineRule="auto"/>
        <w:jc w:val="center"/>
        <w:outlineLvl w:val="1"/>
        <w:rPr>
          <w:rFonts w:ascii="Arial" w:hAnsi="Arial" w:eastAsia="黑体" w:cs="Times New Roman"/>
          <w:b/>
          <w:color w:val="auto"/>
          <w:kern w:val="0"/>
          <w:sz w:val="30"/>
          <w:szCs w:val="20"/>
          <w:highlight w:val="none"/>
          <w:lang w:val="en-US" w:eastAsia="zh-CN" w:bidi="ar-SA"/>
        </w:rPr>
      </w:pPr>
      <w:r>
        <w:rPr>
          <w:rFonts w:hint="eastAsia" w:ascii="Arial" w:hAnsi="Arial" w:eastAsia="黑体" w:cs="Times New Roman"/>
          <w:b/>
          <w:color w:val="auto"/>
          <w:kern w:val="0"/>
          <w:sz w:val="30"/>
          <w:szCs w:val="20"/>
          <w:highlight w:val="none"/>
          <w:lang w:val="en-US" w:eastAsia="zh-CN" w:bidi="ar-SA"/>
        </w:rPr>
        <w:t>一、采购标的</w:t>
      </w:r>
    </w:p>
    <w:p w14:paraId="2D29862C">
      <w:pPr>
        <w:keepNext/>
        <w:keepLines/>
        <w:widowControl w:val="0"/>
        <w:autoSpaceDE w:val="0"/>
        <w:autoSpaceDN w:val="0"/>
        <w:adjustRightInd w:val="0"/>
        <w:spacing w:before="360" w:after="120"/>
        <w:jc w:val="left"/>
        <w:outlineLvl w:val="2"/>
        <w:rPr>
          <w:rFonts w:ascii="宋体" w:hAnsi="Times New Roman" w:eastAsia="宋体" w:cs="Times New Roman"/>
          <w:b/>
          <w:color w:val="auto"/>
          <w:kern w:val="0"/>
          <w:sz w:val="24"/>
          <w:szCs w:val="20"/>
          <w:highlight w:val="none"/>
          <w:u w:val="single"/>
          <w:lang w:val="en-US" w:eastAsia="zh-CN" w:bidi="ar-SA"/>
        </w:rPr>
      </w:pPr>
      <w:r>
        <w:rPr>
          <w:rFonts w:hint="eastAsia" w:ascii="宋体" w:hAnsi="Times New Roman" w:eastAsia="宋体" w:cs="Times New Roman"/>
          <w:b/>
          <w:color w:val="auto"/>
          <w:kern w:val="0"/>
          <w:sz w:val="24"/>
          <w:szCs w:val="20"/>
          <w:highlight w:val="none"/>
          <w:u w:val="single"/>
          <w:lang w:val="en-US" w:eastAsia="zh-CN" w:bidi="ar-SA"/>
        </w:rPr>
        <w:t>1.采购标的</w:t>
      </w:r>
    </w:p>
    <w:p w14:paraId="767ED21D">
      <w:pPr>
        <w:rPr>
          <w:rFonts w:ascii="Times New Roman" w:hAnsi="Times New Roman" w:eastAsia="宋体" w:cs="Times New Roman"/>
          <w:color w:val="auto"/>
          <w:highlight w:val="none"/>
        </w:rPr>
      </w:pPr>
    </w:p>
    <w:tbl>
      <w:tblPr>
        <w:tblStyle w:val="2"/>
        <w:tblW w:w="8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090"/>
        <w:gridCol w:w="1856"/>
      </w:tblGrid>
      <w:tr w14:paraId="008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35C8B6C7">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序号</w:t>
            </w:r>
          </w:p>
        </w:tc>
        <w:tc>
          <w:tcPr>
            <w:tcW w:w="2343" w:type="dxa"/>
            <w:vAlign w:val="center"/>
          </w:tcPr>
          <w:p w14:paraId="41811296">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货物或服务名称</w:t>
            </w:r>
          </w:p>
        </w:tc>
        <w:tc>
          <w:tcPr>
            <w:tcW w:w="1702" w:type="dxa"/>
            <w:vAlign w:val="center"/>
          </w:tcPr>
          <w:p w14:paraId="28268AEA">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数量</w:t>
            </w:r>
          </w:p>
        </w:tc>
        <w:tc>
          <w:tcPr>
            <w:tcW w:w="1090" w:type="dxa"/>
            <w:vAlign w:val="center"/>
          </w:tcPr>
          <w:p w14:paraId="6DB12B7D">
            <w:pPr>
              <w:widowControl w:val="0"/>
              <w:tabs>
                <w:tab w:val="left" w:pos="0"/>
              </w:tabs>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单位</w:t>
            </w:r>
          </w:p>
        </w:tc>
        <w:tc>
          <w:tcPr>
            <w:tcW w:w="1856" w:type="dxa"/>
            <w:vAlign w:val="center"/>
          </w:tcPr>
          <w:p w14:paraId="49104354">
            <w:pPr>
              <w:widowControl w:val="0"/>
              <w:tabs>
                <w:tab w:val="left" w:pos="0"/>
              </w:tabs>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最高限价（万元）</w:t>
            </w:r>
          </w:p>
        </w:tc>
      </w:tr>
      <w:tr w14:paraId="35CA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4EA73CBF">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343" w:type="dxa"/>
            <w:vAlign w:val="center"/>
          </w:tcPr>
          <w:p w14:paraId="2810A7D7">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政务云服务四包</w:t>
            </w:r>
          </w:p>
        </w:tc>
        <w:tc>
          <w:tcPr>
            <w:tcW w:w="1702" w:type="dxa"/>
            <w:vAlign w:val="center"/>
          </w:tcPr>
          <w:p w14:paraId="6CC2DD6C">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90" w:type="dxa"/>
            <w:vAlign w:val="center"/>
          </w:tcPr>
          <w:p w14:paraId="40BC91C6">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1856" w:type="dxa"/>
            <w:vAlign w:val="center"/>
          </w:tcPr>
          <w:p w14:paraId="04F55EE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bCs/>
                <w:color w:val="auto"/>
                <w:kern w:val="2"/>
                <w:sz w:val="24"/>
                <w:szCs w:val="21"/>
                <w:highlight w:val="none"/>
                <w:lang w:val="en-US" w:eastAsia="zh-CN" w:bidi="ar-SA"/>
              </w:rPr>
              <w:t>601.528388</w:t>
            </w:r>
          </w:p>
        </w:tc>
      </w:tr>
    </w:tbl>
    <w:p w14:paraId="75FFF101">
      <w:pPr>
        <w:spacing w:line="360" w:lineRule="auto"/>
        <w:contextualSpacing/>
        <w:rPr>
          <w:rFonts w:ascii="Times New Roman" w:hAnsi="Times New Roman" w:eastAsia="宋体" w:cs="Times New Roman"/>
          <w:color w:val="auto"/>
          <w:highlight w:val="none"/>
        </w:rPr>
      </w:pPr>
    </w:p>
    <w:p w14:paraId="37ED35A2">
      <w:pPr>
        <w:keepNext/>
        <w:keepLines/>
        <w:widowControl w:val="0"/>
        <w:autoSpaceDE w:val="0"/>
        <w:autoSpaceDN w:val="0"/>
        <w:adjustRightInd w:val="0"/>
        <w:spacing w:before="360" w:after="120"/>
        <w:jc w:val="left"/>
        <w:outlineLvl w:val="2"/>
        <w:rPr>
          <w:rFonts w:ascii="宋体" w:hAnsi="Times New Roman" w:eastAsia="宋体" w:cs="Times New Roman"/>
          <w:b/>
          <w:color w:val="auto"/>
          <w:kern w:val="0"/>
          <w:sz w:val="24"/>
          <w:szCs w:val="20"/>
          <w:highlight w:val="none"/>
          <w:u w:val="single"/>
          <w:lang w:val="en-US" w:eastAsia="zh-CN" w:bidi="ar-SA"/>
        </w:rPr>
      </w:pPr>
      <w:r>
        <w:rPr>
          <w:rFonts w:hint="eastAsia" w:ascii="宋体" w:hAnsi="Times New Roman" w:eastAsia="宋体" w:cs="Times New Roman"/>
          <w:b/>
          <w:color w:val="auto"/>
          <w:kern w:val="0"/>
          <w:sz w:val="24"/>
          <w:szCs w:val="20"/>
          <w:highlight w:val="none"/>
          <w:u w:val="single"/>
          <w:lang w:val="en-US" w:eastAsia="zh-CN" w:bidi="ar-SA"/>
        </w:rPr>
        <w:t>2. 项目背景</w:t>
      </w:r>
    </w:p>
    <w:p w14:paraId="723E2224">
      <w:pPr>
        <w:widowControl/>
        <w:spacing w:before="100" w:beforeAutospacing="1" w:after="100" w:afterAutospacing="1" w:line="360" w:lineRule="auto"/>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北京市大数据和云计算发展行动计划（2016—2020年）》（京政发〔2016〕32号）和《北京市市级政务云管理办法》等相关政策要求，为持续提升公共服务水平和能力，进一步提供安全、稳定的扩展服务，现将北京市医院安全保卫信息平台等业务系统部署至政务云环境运行，并采购云上计算、存储、网络及相关安全服务，完成业务系统基础设施日常运维服务工作和安全运维服务工作（包括日常技术支持、系统日常维护、系统状态运行监控、系统事故处理、安全运维服务相关的工作以及其他运维工作），确保各项业务顺利开展，提升云上系统的安全保障能力。</w:t>
      </w:r>
    </w:p>
    <w:p w14:paraId="3B53EB21">
      <w:pPr>
        <w:keepNext/>
        <w:keepLines/>
        <w:widowControl w:val="0"/>
        <w:autoSpaceDE w:val="0"/>
        <w:autoSpaceDN w:val="0"/>
        <w:adjustRightInd w:val="0"/>
        <w:spacing w:before="120" w:line="300" w:lineRule="auto"/>
        <w:jc w:val="center"/>
        <w:outlineLvl w:val="1"/>
        <w:rPr>
          <w:rFonts w:ascii="Arial" w:hAnsi="Arial" w:eastAsia="黑体" w:cs="Times New Roman"/>
          <w:b/>
          <w:color w:val="auto"/>
          <w:kern w:val="0"/>
          <w:sz w:val="30"/>
          <w:szCs w:val="20"/>
          <w:highlight w:val="none"/>
          <w:lang w:val="en-US" w:eastAsia="zh-CN" w:bidi="ar-SA"/>
        </w:rPr>
      </w:pPr>
      <w:r>
        <w:rPr>
          <w:rFonts w:hint="eastAsia" w:ascii="Arial" w:hAnsi="Arial" w:eastAsia="黑体" w:cs="Times New Roman"/>
          <w:b/>
          <w:color w:val="auto"/>
          <w:kern w:val="0"/>
          <w:sz w:val="30"/>
          <w:szCs w:val="20"/>
          <w:highlight w:val="none"/>
          <w:lang w:val="en-US" w:eastAsia="zh-CN" w:bidi="ar-SA"/>
        </w:rPr>
        <w:t>二、商务要求</w:t>
      </w:r>
    </w:p>
    <w:p w14:paraId="6A1AC89D">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1. 交付（实施）的时间（期限）和地点（范围）</w:t>
      </w:r>
    </w:p>
    <w:p w14:paraId="2BB81DD6">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交付（实施）的时间：12个月</w:t>
      </w:r>
    </w:p>
    <w:p w14:paraId="4F07B0D0">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交付（实施）的地点：北京市政务云机房</w:t>
      </w:r>
    </w:p>
    <w:p w14:paraId="1AF9790A">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2. 付款条件（进度和方式）</w:t>
      </w:r>
    </w:p>
    <w:p w14:paraId="1B5DEFCC">
      <w:pPr>
        <w:spacing w:line="360" w:lineRule="auto"/>
        <w:ind w:firstLine="480" w:firstLineChars="200"/>
        <w:contextualSpacing/>
        <w:rPr>
          <w:rFonts w:ascii="宋体" w:hAnsi="宋体" w:eastAsia="宋体" w:cs="宋体"/>
          <w:bCs/>
          <w:color w:val="auto"/>
          <w:sz w:val="24"/>
          <w:highlight w:val="none"/>
        </w:rPr>
      </w:pPr>
      <w:r>
        <w:rPr>
          <w:rFonts w:hint="eastAsia" w:ascii="宋体" w:hAnsi="宋体" w:eastAsia="宋体" w:cs="宋体"/>
          <w:bCs/>
          <w:color w:val="auto"/>
          <w:sz w:val="24"/>
          <w:highlight w:val="none"/>
        </w:rPr>
        <w:t>采购人待合同签署生效且财政资金拨付到位后，于20个工作日内支付合同首款（合同额50%）；服务期结束且项目通过验收后，待财政资金拨付到位，采购人支付合同尾款（合同额50%）。</w:t>
      </w:r>
    </w:p>
    <w:p w14:paraId="48816E82">
      <w:pPr>
        <w:keepNext/>
        <w:keepLines/>
        <w:widowControl w:val="0"/>
        <w:autoSpaceDE w:val="0"/>
        <w:autoSpaceDN w:val="0"/>
        <w:adjustRightInd w:val="0"/>
        <w:spacing w:before="120" w:line="300" w:lineRule="auto"/>
        <w:jc w:val="center"/>
        <w:outlineLvl w:val="1"/>
        <w:rPr>
          <w:rFonts w:ascii="Arial" w:hAnsi="Arial" w:eastAsia="黑体" w:cs="Times New Roman"/>
          <w:b/>
          <w:color w:val="auto"/>
          <w:kern w:val="0"/>
          <w:sz w:val="30"/>
          <w:szCs w:val="20"/>
          <w:highlight w:val="none"/>
          <w:lang w:val="en-US" w:eastAsia="zh-CN" w:bidi="ar-SA"/>
        </w:rPr>
      </w:pPr>
      <w:r>
        <w:rPr>
          <w:rFonts w:hint="eastAsia" w:ascii="Arial" w:hAnsi="Arial" w:eastAsia="黑体" w:cs="Times New Roman"/>
          <w:b/>
          <w:color w:val="auto"/>
          <w:kern w:val="0"/>
          <w:sz w:val="30"/>
          <w:szCs w:val="20"/>
          <w:highlight w:val="none"/>
          <w:lang w:val="en-US" w:eastAsia="zh-CN" w:bidi="ar-SA"/>
        </w:rPr>
        <w:t>三、技术要求</w:t>
      </w:r>
    </w:p>
    <w:p w14:paraId="519E8A13">
      <w:pPr>
        <w:keepNext/>
        <w:keepLines/>
        <w:widowControl w:val="0"/>
        <w:autoSpaceDE w:val="0"/>
        <w:autoSpaceDN w:val="0"/>
        <w:adjustRightInd w:val="0"/>
        <w:spacing w:before="360" w:after="120"/>
        <w:jc w:val="left"/>
        <w:outlineLvl w:val="2"/>
        <w:rPr>
          <w:rFonts w:ascii="宋体" w:hAnsi="Times New Roman" w:eastAsia="宋体" w:cs="Times New Roman"/>
          <w:b/>
          <w:color w:val="auto"/>
          <w:kern w:val="0"/>
          <w:sz w:val="24"/>
          <w:szCs w:val="20"/>
          <w:highlight w:val="none"/>
          <w:u w:val="single"/>
          <w:lang w:val="en-US" w:eastAsia="zh-CN" w:bidi="ar-SA"/>
        </w:rPr>
      </w:pPr>
      <w:r>
        <w:rPr>
          <w:rFonts w:hint="eastAsia" w:ascii="宋体" w:hAnsi="Times New Roman" w:eastAsia="宋体" w:cs="Times New Roman"/>
          <w:b/>
          <w:color w:val="auto"/>
          <w:kern w:val="0"/>
          <w:sz w:val="24"/>
          <w:szCs w:val="20"/>
          <w:highlight w:val="none"/>
          <w:u w:val="single"/>
          <w:lang w:val="en-US" w:eastAsia="zh-CN" w:bidi="ar-SA"/>
        </w:rPr>
        <w:t>1. 基本要求</w:t>
      </w:r>
    </w:p>
    <w:p w14:paraId="18D83DB8">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1.1 采购标的需实现的功能或目标</w:t>
      </w:r>
    </w:p>
    <w:p w14:paraId="368EE006">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本项目的总体目标是通过租用政务云平台基础服务，对入云业务系统的运行环境进行持续优化，提供可靠、稳定、安全的政务云基础服务，具体包括：</w:t>
      </w:r>
    </w:p>
    <w:p w14:paraId="110E710D">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提供政务云基础服务，包括</w:t>
      </w:r>
      <w:r>
        <w:rPr>
          <w:rFonts w:hint="eastAsia" w:ascii="宋体" w:hAnsi="宋体" w:eastAsia="宋体" w:cs="宋体"/>
          <w:color w:val="auto"/>
          <w:sz w:val="24"/>
          <w:highlight w:val="none"/>
        </w:rPr>
        <w:t>计算服务、存储服务和网络服务等基础环境的日常维护、应急响应等工作。</w:t>
      </w:r>
    </w:p>
    <w:p w14:paraId="75C3C596">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提供7*24运维保障，做好重大活动和节假日应急值守保障服务，确保各系统在政务云环境中可靠稳定运行。</w:t>
      </w:r>
    </w:p>
    <w:p w14:paraId="182C2504">
      <w:pPr>
        <w:numPr>
          <w:ilvl w:val="0"/>
          <w:numId w:val="3"/>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服务期内，投标人须完成信息系统的日常运维和安全运维服务工作（包括：云平台服务、日常技术支持、系统日常维护、服务规范、安全及保密要求、响应的及时性），确保入云系统安全、稳定地运行。</w:t>
      </w:r>
    </w:p>
    <w:p w14:paraId="3EA2E773">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 需执行的国家相关标准、行业标准、地方标准或者其他标准、规范</w:t>
      </w:r>
    </w:p>
    <w:p w14:paraId="2E3948AD">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1.2.1国家及北京市有关政策</w:t>
      </w:r>
    </w:p>
    <w:p w14:paraId="3C59DCBC">
      <w:pPr>
        <w:numPr>
          <w:ilvl w:val="0"/>
          <w:numId w:val="10"/>
        </w:numPr>
        <w:tabs>
          <w:tab w:val="left" w:pos="1060"/>
        </w:tabs>
        <w:snapToGrid w:val="0"/>
        <w:spacing w:line="360" w:lineRule="auto"/>
        <w:ind w:hanging="425" w:firstLineChars="0"/>
        <w:jc w:val="left"/>
        <w:rPr>
          <w:rFonts w:ascii="宋体" w:hAnsi="宋体" w:eastAsia="宋体" w:cs="宋体"/>
          <w:bCs/>
          <w:color w:val="auto"/>
          <w:sz w:val="24"/>
          <w:highlight w:val="none"/>
        </w:rPr>
      </w:pPr>
      <w:bookmarkStart w:id="17" w:name="OLE_LINK2"/>
      <w:r>
        <w:rPr>
          <w:rFonts w:hint="eastAsia" w:ascii="宋体" w:hAnsi="宋体" w:eastAsia="宋体" w:cs="宋体"/>
          <w:bCs/>
          <w:color w:val="auto"/>
          <w:sz w:val="24"/>
          <w:highlight w:val="none"/>
        </w:rPr>
        <w:t>《关键信息基础设施安全保护条例》（中华人民共和国国务院令第745号）</w:t>
      </w:r>
    </w:p>
    <w:p w14:paraId="3FD10363">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《国家政务信息化项目建设管理办法》（国办发〔2019〕57号）</w:t>
      </w:r>
    </w:p>
    <w:p w14:paraId="280870B9">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《政府采购需求管理办法》（财库〔2021〕22号）</w:t>
      </w:r>
    </w:p>
    <w:p w14:paraId="18356733">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《关于促进政府采购公平竞争优化营商环境的通知》（财库〔2019〕38号）</w:t>
      </w:r>
    </w:p>
    <w:p w14:paraId="21F64F0C">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《关于进一步提高政府采购透明度和采购效率相关事项的通知》（财办库〔2023〕243号）</w:t>
      </w:r>
    </w:p>
    <w:p w14:paraId="488D2394">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《工业和信息化部信息通信管理局关于督促互联网网络接入服务企业依法持证经营的通知》（工信管函〔2018〕84号）</w:t>
      </w:r>
    </w:p>
    <w:p w14:paraId="1C466A0B">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《云计算服务安全评估办法》（国家互联网信息办公室、国家发展和改革委员会、工业和信息化部、财政部公告2019年第2号）</w:t>
      </w:r>
    </w:p>
    <w:p w14:paraId="0F4DC474">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《关于加强党政部门云计算服务网络安全管理的意见》（中网办发文〔2014〕14号）</w:t>
      </w:r>
    </w:p>
    <w:p w14:paraId="468F93A9">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《基于云计算的电子政务公共平台顶层设计指南》</w:t>
      </w:r>
    </w:p>
    <w:p w14:paraId="17D682AD">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《北京市财政局关于印发〈北京市政府采购负面清单〉的通知》（京财采购〔2020〕1345号）</w:t>
      </w:r>
    </w:p>
    <w:p w14:paraId="0F4EF5A2">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《北京市财政局关于落实好政府采购支持中小企业发展的通知（京财采购〔2022〕1143号）</w:t>
      </w:r>
    </w:p>
    <w:p w14:paraId="4D631C55">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《关于印发〈关于推进我市政务信息系统整合共享的实施方案〉的通知》（京经信委发〔2017〕89号）</w:t>
      </w:r>
    </w:p>
    <w:p w14:paraId="42607754">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《北京市人民政府关于印发〈北京市政务信息资源管理办法（试行）〉的通知》（京政发〔2017〕37号）</w:t>
      </w:r>
    </w:p>
    <w:p w14:paraId="435D6EFF">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《关于印发〈北京市市级政务云管理办法〉的通知》（京经信函〔2019〕150号）</w:t>
      </w:r>
    </w:p>
    <w:p w14:paraId="57D0D395">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《北京市政务网络和数据安全管理办法》（京经信发〔2023〕57号）</w:t>
      </w:r>
    </w:p>
    <w:p w14:paraId="23A52312">
      <w:pPr>
        <w:numPr>
          <w:ilvl w:val="0"/>
          <w:numId w:val="10"/>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《北京市“十四五”时期智慧城市建设控制性规划要求（试行）》（京大数据发〔2021〕2号）</w:t>
      </w:r>
    </w:p>
    <w:p w14:paraId="3BF88117">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1.2.2国家相关标准</w:t>
      </w:r>
    </w:p>
    <w:p w14:paraId="4A2F5799">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《国家电子政务外网安全接入平台技术规范》</w:t>
      </w:r>
    </w:p>
    <w:p w14:paraId="4EB89945">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《信息技术—云计算—云服务质量评价指标》（GB/T 37738-2019）</w:t>
      </w:r>
    </w:p>
    <w:p w14:paraId="4455FF2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《信息技术—云计算—云服务计量指标》（GB/T 37735-2019）</w:t>
      </w:r>
    </w:p>
    <w:p w14:paraId="1BFFE085">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《信息技术—云计算—云服务采购指南》（GB/T 37734-2019）</w:t>
      </w:r>
    </w:p>
    <w:p w14:paraId="1A906C3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《信息技术—云计算—云存储系统服务接口功能》（GB/T 37732-2019）</w:t>
      </w:r>
    </w:p>
    <w:p w14:paraId="6EB8B610">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《信息技术—云计算—云资源监控通用要求》（GB/T 37736-2019）</w:t>
      </w:r>
    </w:p>
    <w:p w14:paraId="2BCFC748">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《信息技术—云计算—云平台间应用和数据迁移指南》（GB/T 37740-2019）</w:t>
      </w:r>
    </w:p>
    <w:p w14:paraId="5192C245">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《信息技术—云计算—云服务交付要求》（GB/T 37741-2019）</w:t>
      </w:r>
    </w:p>
    <w:p w14:paraId="566BD598">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《信息系统灾难恢复规范》（GB/T 20988-2007）</w:t>
      </w:r>
    </w:p>
    <w:p w14:paraId="3FF81F51">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云计算服务安全能力要求》（GB/T 31168-2014）</w:t>
      </w:r>
    </w:p>
    <w:p w14:paraId="545356ED">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网络安全等级保护定级指南》（GB/T 22240-2020）</w:t>
      </w:r>
    </w:p>
    <w:p w14:paraId="67A04B12">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网络安全等级保护基本要求》（GB/T 22239-2019）</w:t>
      </w:r>
    </w:p>
    <w:p w14:paraId="05571390">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网络安全等级保护测评要求》（GB/T 28448-2019）</w:t>
      </w:r>
    </w:p>
    <w:p w14:paraId="4A4CE8A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信息系统密码应用基本要求》（GB/T39786-2021）</w:t>
      </w:r>
    </w:p>
    <w:p w14:paraId="45BDFCCE">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信息安全风险评估方法》（GB/T 20984-2022）</w:t>
      </w:r>
    </w:p>
    <w:p w14:paraId="09E8B8EC">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云计算服务安全指南》（GB/T 31167-2014）</w:t>
      </w:r>
    </w:p>
    <w:p w14:paraId="71D05472">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政府网站云计算服务安全指南》（GB/T 38249—2019）</w:t>
      </w:r>
    </w:p>
    <w:p w14:paraId="7F3C4D5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云计算安全参考架构》（GB/T 35279—2017）</w:t>
      </w:r>
    </w:p>
    <w:p w14:paraId="08C75C51">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云计算服务安全能力评估方法》GB/T 34942—2017</w:t>
      </w:r>
    </w:p>
    <w:p w14:paraId="57B665BE">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《信息安全技术 云计算服务运行监管框架》（GB/T 37972—2019）</w:t>
      </w:r>
    </w:p>
    <w:p w14:paraId="2B1990BE">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《信息技术 云资源监控指标体系》（GB/T 37938-2019）</w:t>
      </w:r>
    </w:p>
    <w:p w14:paraId="02F41DCA">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《电子信息系统机房设计规范》（GB50174-2017）</w:t>
      </w:r>
    </w:p>
    <w:p w14:paraId="456921A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《数据中心电信基础设施标准》（ANSI/TIA-942）</w:t>
      </w:r>
    </w:p>
    <w:p w14:paraId="1E907FAF">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《综合布线系统工程设计规范》（GB 50311—2016）</w:t>
      </w:r>
    </w:p>
    <w:p w14:paraId="641520C0">
      <w:pPr>
        <w:numPr>
          <w:ilvl w:val="0"/>
          <w:numId w:val="5"/>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《云计算关键领域安全指南V4.0》</w:t>
      </w:r>
    </w:p>
    <w:p w14:paraId="468FC287">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1.2.3北京市相关标准</w:t>
      </w:r>
    </w:p>
    <w:p w14:paraId="25786449">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《政务云平台建设技术要求》（DB11/T 2169-2023）</w:t>
      </w:r>
    </w:p>
    <w:p w14:paraId="5AFA9EA8">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IaaS云计算平台分册》</w:t>
      </w:r>
    </w:p>
    <w:p w14:paraId="4CC38CE9">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IaaS云计算平台安全监管接口分册》</w:t>
      </w:r>
    </w:p>
    <w:p w14:paraId="4061376F">
      <w:pPr>
        <w:numPr>
          <w:ilvl w:val="0"/>
          <w:numId w:val="6"/>
        </w:numPr>
        <w:tabs>
          <w:tab w:val="left" w:pos="1060"/>
        </w:tabs>
        <w:snapToGrid w:val="0"/>
        <w:spacing w:line="360" w:lineRule="auto"/>
        <w:ind w:left="0"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《北京市政务云安全技术规范 信息安全服务接口分册》</w:t>
      </w:r>
    </w:p>
    <w:p w14:paraId="43B677D9">
      <w:pPr>
        <w:tabs>
          <w:tab w:val="left" w:pos="1060"/>
        </w:tabs>
        <w:snapToGrid w:val="0"/>
        <w:spacing w:line="360" w:lineRule="auto"/>
        <w:ind w:left="420" w:leftChars="200" w:firstLine="241" w:firstLineChars="100"/>
        <w:jc w:val="left"/>
        <w:rPr>
          <w:rFonts w:ascii="宋体" w:hAnsi="宋体" w:eastAsia="宋体" w:cs="宋体"/>
          <w:bCs/>
          <w:color w:val="auto"/>
          <w:sz w:val="24"/>
          <w:highlight w:val="none"/>
        </w:rPr>
      </w:pPr>
      <w:r>
        <w:rPr>
          <w:rFonts w:hint="eastAsia" w:ascii="宋体" w:hAnsi="宋体" w:eastAsia="宋体" w:cs="宋体"/>
          <w:b/>
          <w:bCs/>
          <w:color w:val="auto"/>
          <w:sz w:val="24"/>
          <w:highlight w:val="none"/>
        </w:rPr>
        <w:t>注：服务标准涉及的国家标准及北京市标准有更新的，执行最新标准。</w:t>
      </w:r>
      <w:bookmarkEnd w:id="17"/>
    </w:p>
    <w:p w14:paraId="6C73A0AE">
      <w:pPr>
        <w:keepNext/>
        <w:keepLines/>
        <w:widowControl w:val="0"/>
        <w:numPr>
          <w:ilvl w:val="0"/>
          <w:numId w:val="2"/>
        </w:numPr>
        <w:autoSpaceDE w:val="0"/>
        <w:autoSpaceDN w:val="0"/>
        <w:adjustRightInd w:val="0"/>
        <w:spacing w:before="360" w:after="120"/>
        <w:jc w:val="left"/>
        <w:outlineLvl w:val="2"/>
        <w:rPr>
          <w:rFonts w:ascii="宋体" w:hAnsi="Times New Roman" w:eastAsia="宋体" w:cs="Times New Roman"/>
          <w:b/>
          <w:color w:val="auto"/>
          <w:kern w:val="0"/>
          <w:sz w:val="24"/>
          <w:szCs w:val="20"/>
          <w:highlight w:val="none"/>
          <w:u w:val="single"/>
          <w:lang w:val="en-US" w:eastAsia="zh-CN" w:bidi="ar-SA"/>
        </w:rPr>
      </w:pPr>
      <w:r>
        <w:rPr>
          <w:rFonts w:hint="eastAsia" w:ascii="宋体" w:hAnsi="Times New Roman" w:eastAsia="宋体" w:cs="Times New Roman"/>
          <w:b/>
          <w:color w:val="auto"/>
          <w:kern w:val="0"/>
          <w:sz w:val="24"/>
          <w:szCs w:val="20"/>
          <w:highlight w:val="none"/>
          <w:u w:val="single"/>
          <w:lang w:val="en-US" w:eastAsia="zh-CN" w:bidi="ar-SA"/>
        </w:rPr>
        <w:t>服务内容及要求</w:t>
      </w:r>
    </w:p>
    <w:tbl>
      <w:tblPr>
        <w:tblStyle w:val="2"/>
        <w:tblW w:w="8217" w:type="dxa"/>
        <w:tblInd w:w="93" w:type="dxa"/>
        <w:tblLayout w:type="fixed"/>
        <w:tblCellMar>
          <w:top w:w="0" w:type="dxa"/>
          <w:left w:w="108" w:type="dxa"/>
          <w:bottom w:w="0" w:type="dxa"/>
          <w:right w:w="108" w:type="dxa"/>
        </w:tblCellMar>
      </w:tblPr>
      <w:tblGrid>
        <w:gridCol w:w="499"/>
        <w:gridCol w:w="940"/>
        <w:gridCol w:w="1119"/>
        <w:gridCol w:w="3013"/>
        <w:gridCol w:w="1050"/>
        <w:gridCol w:w="764"/>
        <w:gridCol w:w="832"/>
      </w:tblGrid>
      <w:tr w14:paraId="5316F2D9">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FDF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622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服务类别</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8D9">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服务子类</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01E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服务项</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5DD861">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单位</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3ED7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数量</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F5227">
            <w:pPr>
              <w:widowControl/>
              <w:jc w:val="lef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期限（月）</w:t>
            </w:r>
          </w:p>
        </w:tc>
      </w:tr>
      <w:tr w14:paraId="0EAFBC29">
        <w:tblPrEx>
          <w:tblCellMar>
            <w:top w:w="0" w:type="dxa"/>
            <w:left w:w="108" w:type="dxa"/>
            <w:bottom w:w="0" w:type="dxa"/>
            <w:right w:w="108" w:type="dxa"/>
          </w:tblCellMar>
        </w:tblPrEx>
        <w:trPr>
          <w:trHeight w:val="10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7F22">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0A8F">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计算服务</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F5D4">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云主机服务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044">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vCPU（vCPU ARM架构主频不低于2.4GHz，C86和x86主频不低于2.2GHz，平均虚拟化率，即物理CPU/虚拟CPU≥1/4，虚拟CPU利用率不低于物理CPU的25% ）</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36FF2C">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1CPU/月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01635">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1617</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5C34B">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44625E5A">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D187">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1F16">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AFAA">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F80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内存</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CD5227">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1GB/月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A46A3">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3835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BC99C">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09E29E3">
        <w:tblPrEx>
          <w:tblCellMar>
            <w:top w:w="0" w:type="dxa"/>
            <w:left w:w="108" w:type="dxa"/>
            <w:bottom w:w="0" w:type="dxa"/>
            <w:right w:w="108" w:type="dxa"/>
          </w:tblCellMar>
        </w:tblPrEx>
        <w:trPr>
          <w:trHeight w:val="135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70F6">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FF61">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C1E98">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物理服务器</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5A2">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CPU：4路48核 鲲鹏920</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GPU：8*昇腾910B</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内存：24*64G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存储：2*480GB SSD+2*3.2TB NVMeSSD</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RDMA：8*200</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C7FC50">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1台/月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CE6B">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F0AC">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FCF5787">
        <w:tblPrEx>
          <w:tblCellMar>
            <w:top w:w="0" w:type="dxa"/>
            <w:left w:w="108" w:type="dxa"/>
            <w:bottom w:w="0" w:type="dxa"/>
            <w:right w:w="108" w:type="dxa"/>
          </w:tblCellMar>
        </w:tblPrEx>
        <w:trPr>
          <w:trHeight w:val="10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A223">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910C">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A508">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710">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CPU：64核</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GPU：4*A10</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内存：256G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存储：1500GB SSD</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340FE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1台/月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98A18">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AD60A">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7AA86E12">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B383">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1EB3">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存储服务</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773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普通存储</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03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普通存储（单盘技术指标：单盘IOPS2000-5000）</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0DE684">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1GB/月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BE221">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17082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77094">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58814B64">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D967">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EB60">
            <w:pPr>
              <w:jc w:val="center"/>
              <w:rPr>
                <w:rFonts w:ascii="宋体" w:hAnsi="宋体" w:eastAsia="宋体" w:cs="宋体"/>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ED6">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高性能存储</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348">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高性能存储（单盘技术指标：单盘IOPS10000-25000）</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8A56C5">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1GB/月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98ECB">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101916</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6B487">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69BC682">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1AF7">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44EB">
            <w:pPr>
              <w:jc w:val="center"/>
              <w:rPr>
                <w:rFonts w:ascii="宋体" w:hAnsi="宋体" w:eastAsia="宋体" w:cs="宋体"/>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9852">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静态存储</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D99">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提供大容量、高可靠的数据存储服务，具备PB级线性扩展能力</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667E07">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1TB/月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032B5">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F7BF3">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1FBE1C54">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67BD">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18A7">
            <w:pPr>
              <w:jc w:val="center"/>
              <w:rPr>
                <w:rFonts w:ascii="宋体" w:hAnsi="宋体" w:eastAsia="宋体" w:cs="宋体"/>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5706">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本地备份服务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905">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本地备份服务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666C9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78B16">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F7846">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288F6241">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87A">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18C9">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网络服务</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E295">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互联网链路服务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9F5">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互联网链路带宽</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735AF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1Mbps/月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0AC0F">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3500</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76492">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60EBCB41">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A519">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3388">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7AEE">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5277">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互联网IP地址租用服务、并提供备案服务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B6E2A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1个/月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DC16C">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4724">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7326A26C">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1270">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097">
            <w:pPr>
              <w:jc w:val="center"/>
              <w:rPr>
                <w:rFonts w:ascii="宋体" w:hAnsi="宋体" w:eastAsia="宋体" w:cs="宋体"/>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372A">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负载均衡服务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D6EC">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主机负载均衡服务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08EBDC">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1个/月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394D0">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48</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E0C0">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66EEA7C9">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717">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AF1B">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A5033">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远程接入服务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13BA">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远程接入服务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638931">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1账号/月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78B69">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D3438">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5D19992F">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B32">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963D">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249B">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288">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远程接入－远程接入服务承载云主机</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BBD90A">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FCD22">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BB978">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1500A0AA">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5204">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981E">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4D02">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VPN服务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1254">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SSL VPN接入</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5F7C25">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1套</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7695A">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49</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2856">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65AD9EFF">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1528">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15</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DFBF">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F29B">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040F">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IPSec VPN接入</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6E9B2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1Mbps/月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7EDDF">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C2B82">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6DA61A6">
        <w:tblPrEx>
          <w:tblCellMar>
            <w:top w:w="0" w:type="dxa"/>
            <w:left w:w="108" w:type="dxa"/>
            <w:bottom w:w="0" w:type="dxa"/>
            <w:right w:w="108" w:type="dxa"/>
          </w:tblCellMar>
        </w:tblPrEx>
        <w:trPr>
          <w:trHeight w:val="81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8D5">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2E4B">
            <w:pPr>
              <w:jc w:val="center"/>
              <w:rPr>
                <w:rFonts w:ascii="宋体" w:hAnsi="宋体" w:eastAsia="宋体" w:cs="宋体"/>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5A0">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Web应用防火墙（WAF）</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5A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针对网站及Web应用系统提供应用层安全防护，支持各类SQL注入、XSS攻击、网页木马、WEBSHELL等Web威胁防护（200Mbps）</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D2D684">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 IP/月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76DFF">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C3E9B">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0FD57EB">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858">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17</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2D2C">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6AC0A">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安全服务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ED28">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主机杀毒服务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9DD828">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1主机/月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FF66">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9A9DC">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40C788B2">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A244">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18</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0D6">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4DEF">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4571">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主机安全加固</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A3C0D0">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1主机/月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9777C">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3F6E8">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C1A35C7">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015">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19</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3776">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55C7">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67ED">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网页防篡改服务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56B5FF">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1个监控点/月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45C3E">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5A864">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7952AA77">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5D81">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CDED">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AADB">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4CD">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云端抗DDos</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BF5FD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站点/月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3CD1F">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D6A3A">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5555BF12">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E672">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3D55">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DBDD">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134">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主机防护</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2A910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1主机/月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787B0">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9631D">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644B63EA">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9FCA">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E299">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27A9F">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安全监测、审计服务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920">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主机漏洞扫描</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1F26CA">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1主机/月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E8B91">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E9801">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7DA12584">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786F">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4A4B">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4FE0">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0DD6">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数据库审计服务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4C888D">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数据库/月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50B22">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B1035">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2E44D6B">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3AAE">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4DD3">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6238">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692">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主机日志分析</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30FFBC">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1主机/月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84C49">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36914">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50B78895">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E25">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25</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3D25">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EDC7">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基础软件支撑服务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8FB6">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Windows Server套餐</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8BEB92">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1套/月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587A6">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8E119">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FD5406D">
        <w:tblPrEx>
          <w:tblCellMar>
            <w:top w:w="0" w:type="dxa"/>
            <w:left w:w="108" w:type="dxa"/>
            <w:bottom w:w="0" w:type="dxa"/>
            <w:right w:w="108" w:type="dxa"/>
          </w:tblCellMar>
        </w:tblPrEx>
        <w:trPr>
          <w:trHeight w:val="5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465D">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2497">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6824">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E6A5">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国产Linux套餐，国产Linux操作系统服务租用、安装及维护</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6859D7">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1套/月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7E45F">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90</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39EF4">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024B4046">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923B">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27</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48C">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5115">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715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东方通+JDK1.8</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952CBE">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1套</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02B4E">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84AAA">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666FC1BF">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034">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28</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151F">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64FD">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609">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金仓数据库</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F3301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1套</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E107">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59CD3">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7BE6F097">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B4B">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29</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3488">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BB8B">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AD9">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开源数据库</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B02E51">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2E64B">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5F307">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461735CD">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9D3E">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3A8F">
            <w:pPr>
              <w:jc w:val="center"/>
              <w:rPr>
                <w:rFonts w:ascii="宋体" w:hAnsi="宋体" w:eastAsia="宋体" w:cs="宋体"/>
                <w:color w:val="auto"/>
                <w:sz w:val="22"/>
                <w:szCs w:val="22"/>
                <w:highlight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42F2">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其他服务</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C42">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snat服务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5998D9">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2E45D">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16D46">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16D16274">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0F73">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0065">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BCC7">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EFB">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16-GPU</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6F2A13">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台次</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D18FA">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7B279">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r w14:paraId="4E1B3AF5">
        <w:tblPrEx>
          <w:tblCellMar>
            <w:top w:w="0" w:type="dxa"/>
            <w:left w:w="108" w:type="dxa"/>
            <w:bottom w:w="0" w:type="dxa"/>
            <w:right w:w="108" w:type="dxa"/>
          </w:tblCellMar>
        </w:tblPrEx>
        <w:trPr>
          <w:trHeight w:val="2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E5DE">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7111">
            <w:pPr>
              <w:jc w:val="center"/>
              <w:rPr>
                <w:rFonts w:ascii="宋体" w:hAnsi="宋体" w:eastAsia="宋体" w:cs="宋体"/>
                <w:color w:val="auto"/>
                <w:sz w:val="22"/>
                <w:szCs w:val="22"/>
                <w:highlight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5819">
            <w:pPr>
              <w:jc w:val="center"/>
              <w:rPr>
                <w:rFonts w:ascii="宋体" w:hAnsi="宋体" w:eastAsia="宋体" w:cs="宋体"/>
                <w:color w:val="auto"/>
                <w:sz w:val="22"/>
                <w:szCs w:val="22"/>
                <w:highlight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2BBF">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其他服务－增值服务</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1728F8">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语音网关/月</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A9E11">
            <w:pPr>
              <w:widowControl/>
              <w:jc w:val="righ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71C17">
            <w:pPr>
              <w:widowControl/>
              <w:jc w:val="righ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r>
    </w:tbl>
    <w:p w14:paraId="228FB02F">
      <w:pPr>
        <w:rPr>
          <w:rFonts w:ascii="Times New Roman" w:hAnsi="Times New Roman" w:eastAsia="宋体" w:cs="Times New Roman"/>
          <w:color w:val="auto"/>
          <w:highlight w:val="none"/>
        </w:rPr>
      </w:pPr>
    </w:p>
    <w:p w14:paraId="0689C128">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2.1计算</w:t>
      </w:r>
      <w:r>
        <w:rPr>
          <w:rFonts w:ascii="Times New Roman" w:hAnsi="Times New Roman" w:eastAsia="宋体" w:cs="Times New Roman"/>
          <w:bCs/>
          <w:color w:val="auto"/>
          <w:kern w:val="0"/>
          <w:sz w:val="24"/>
          <w:szCs w:val="20"/>
          <w:highlight w:val="none"/>
          <w:lang w:val="en-US" w:eastAsia="zh-CN" w:bidi="ar-SA"/>
        </w:rPr>
        <w:t>服务</w:t>
      </w:r>
    </w:p>
    <w:p w14:paraId="59FB830B">
      <w:pPr>
        <w:spacing w:before="295" w:line="219" w:lineRule="auto"/>
        <w:ind w:left="498"/>
        <w:rPr>
          <w:rFonts w:ascii="宋体" w:hAnsi="宋体" w:eastAsia="宋体" w:cs="宋体"/>
          <w:color w:val="auto"/>
          <w:sz w:val="24"/>
          <w:highlight w:val="none"/>
        </w:rPr>
      </w:pPr>
      <w:r>
        <w:rPr>
          <w:rFonts w:hint="eastAsia" w:ascii="宋体" w:hAnsi="宋体" w:eastAsia="宋体" w:cs="宋体"/>
          <w:color w:val="auto"/>
          <w:spacing w:val="-8"/>
          <w:sz w:val="24"/>
          <w:highlight w:val="none"/>
        </w:rPr>
        <w:t>2.</w:t>
      </w:r>
      <w:r>
        <w:rPr>
          <w:rFonts w:ascii="宋体" w:hAnsi="宋体" w:eastAsia="宋体" w:cs="宋体"/>
          <w:color w:val="auto"/>
          <w:spacing w:val="-8"/>
          <w:sz w:val="24"/>
          <w:highlight w:val="none"/>
        </w:rPr>
        <w:t>1.1</w:t>
      </w:r>
      <w:r>
        <w:rPr>
          <w:rFonts w:ascii="宋体" w:hAnsi="宋体" w:eastAsia="宋体" w:cs="宋体"/>
          <w:color w:val="auto"/>
          <w:spacing w:val="-45"/>
          <w:sz w:val="24"/>
          <w:highlight w:val="none"/>
        </w:rPr>
        <w:t xml:space="preserve"> </w:t>
      </w:r>
      <w:r>
        <w:rPr>
          <w:rFonts w:ascii="宋体" w:hAnsi="宋体" w:eastAsia="宋体" w:cs="宋体"/>
          <w:color w:val="auto"/>
          <w:spacing w:val="-8"/>
          <w:sz w:val="24"/>
          <w:highlight w:val="none"/>
        </w:rPr>
        <w:t>服务内容</w:t>
      </w:r>
    </w:p>
    <w:p w14:paraId="77B663C9">
      <w:pPr>
        <w:spacing w:before="60" w:line="361" w:lineRule="auto"/>
        <w:ind w:right="80" w:firstLine="481"/>
        <w:rPr>
          <w:rFonts w:ascii="宋体" w:hAnsi="宋体" w:eastAsia="宋体" w:cs="宋体"/>
          <w:color w:val="auto"/>
          <w:sz w:val="24"/>
          <w:highlight w:val="none"/>
        </w:rPr>
      </w:pPr>
      <w:r>
        <w:rPr>
          <w:rFonts w:ascii="宋体" w:hAnsi="宋体" w:eastAsia="宋体" w:cs="宋体"/>
          <w:color w:val="auto"/>
          <w:spacing w:val="1"/>
          <w:sz w:val="24"/>
          <w:highlight w:val="none"/>
        </w:rPr>
        <w:t>按照采购人的具体需求，提供云主机服务，包括：</w:t>
      </w:r>
      <w:r>
        <w:rPr>
          <w:rFonts w:ascii="宋体" w:hAnsi="宋体" w:eastAsia="宋体" w:cs="宋体"/>
          <w:color w:val="auto"/>
          <w:sz w:val="24"/>
          <w:highlight w:val="none"/>
        </w:rPr>
        <w:t>x86</w:t>
      </w:r>
      <w:r>
        <w:rPr>
          <w:rFonts w:ascii="宋体" w:hAnsi="宋体" w:eastAsia="宋体" w:cs="宋体"/>
          <w:color w:val="auto"/>
          <w:spacing w:val="-52"/>
          <w:sz w:val="24"/>
          <w:highlight w:val="none"/>
        </w:rPr>
        <w:t xml:space="preserve"> </w:t>
      </w:r>
      <w:r>
        <w:rPr>
          <w:rFonts w:ascii="宋体" w:hAnsi="宋体" w:eastAsia="宋体" w:cs="宋体"/>
          <w:color w:val="auto"/>
          <w:sz w:val="24"/>
          <w:highlight w:val="none"/>
        </w:rPr>
        <w:t>平台云主机服务和x86</w:t>
      </w:r>
      <w:r>
        <w:rPr>
          <w:rFonts w:ascii="宋体" w:hAnsi="宋体" w:eastAsia="宋体" w:cs="宋体"/>
          <w:color w:val="auto"/>
          <w:spacing w:val="2"/>
          <w:sz w:val="24"/>
          <w:highlight w:val="none"/>
        </w:rPr>
        <w:t>物理服务器租用服务，按需求对</w:t>
      </w:r>
      <w:r>
        <w:rPr>
          <w:rFonts w:ascii="宋体" w:hAnsi="宋体" w:eastAsia="宋体" w:cs="宋体"/>
          <w:color w:val="auto"/>
          <w:spacing w:val="-45"/>
          <w:sz w:val="24"/>
          <w:highlight w:val="none"/>
        </w:rPr>
        <w:t xml:space="preserve"> </w:t>
      </w:r>
      <w:r>
        <w:rPr>
          <w:rFonts w:ascii="宋体" w:hAnsi="宋体" w:eastAsia="宋体" w:cs="宋体"/>
          <w:color w:val="auto"/>
          <w:sz w:val="24"/>
          <w:highlight w:val="none"/>
        </w:rPr>
        <w:t>CPU</w:t>
      </w:r>
      <w:r>
        <w:rPr>
          <w:rFonts w:ascii="宋体" w:hAnsi="宋体" w:eastAsia="宋体" w:cs="宋体"/>
          <w:color w:val="auto"/>
          <w:spacing w:val="-49"/>
          <w:sz w:val="24"/>
          <w:highlight w:val="none"/>
        </w:rPr>
        <w:t xml:space="preserve"> </w:t>
      </w:r>
      <w:r>
        <w:rPr>
          <w:rFonts w:ascii="宋体" w:hAnsi="宋体" w:eastAsia="宋体" w:cs="宋体"/>
          <w:color w:val="auto"/>
          <w:spacing w:val="2"/>
          <w:sz w:val="24"/>
          <w:highlight w:val="none"/>
        </w:rPr>
        <w:t>及内存进行动态调整，实现合理的计算资源</w:t>
      </w:r>
      <w:r>
        <w:rPr>
          <w:rFonts w:ascii="宋体" w:hAnsi="宋体" w:eastAsia="宋体" w:cs="宋体"/>
          <w:color w:val="auto"/>
          <w:spacing w:val="3"/>
          <w:sz w:val="24"/>
          <w:highlight w:val="none"/>
        </w:rPr>
        <w:t>配置。在提供政务云主机的服务过程中做好与采购</w:t>
      </w:r>
      <w:r>
        <w:rPr>
          <w:rFonts w:ascii="宋体" w:hAnsi="宋体" w:eastAsia="宋体" w:cs="宋体"/>
          <w:color w:val="auto"/>
          <w:spacing w:val="2"/>
          <w:sz w:val="24"/>
          <w:highlight w:val="none"/>
        </w:rPr>
        <w:t>人和对应项目应用开发厂商的</w:t>
      </w:r>
      <w:r>
        <w:rPr>
          <w:rFonts w:ascii="宋体" w:hAnsi="宋体" w:eastAsia="宋体" w:cs="宋体"/>
          <w:color w:val="auto"/>
          <w:spacing w:val="-2"/>
          <w:sz w:val="24"/>
          <w:highlight w:val="none"/>
        </w:rPr>
        <w:t>协调沟通工作。</w:t>
      </w:r>
    </w:p>
    <w:p w14:paraId="33330BD4">
      <w:pPr>
        <w:spacing w:before="31" w:line="219" w:lineRule="auto"/>
        <w:ind w:left="498"/>
        <w:rPr>
          <w:rFonts w:ascii="宋体" w:hAnsi="宋体" w:eastAsia="宋体" w:cs="宋体"/>
          <w:color w:val="auto"/>
          <w:sz w:val="24"/>
          <w:highlight w:val="none"/>
        </w:rPr>
      </w:pPr>
      <w:r>
        <w:rPr>
          <w:rFonts w:hint="eastAsia" w:ascii="宋体" w:hAnsi="宋体" w:eastAsia="宋体" w:cs="宋体"/>
          <w:color w:val="auto"/>
          <w:spacing w:val="-8"/>
          <w:sz w:val="24"/>
          <w:highlight w:val="none"/>
        </w:rPr>
        <w:t>2.</w:t>
      </w:r>
      <w:r>
        <w:rPr>
          <w:rFonts w:ascii="宋体" w:hAnsi="宋体" w:eastAsia="宋体" w:cs="宋体"/>
          <w:color w:val="auto"/>
          <w:spacing w:val="-8"/>
          <w:sz w:val="24"/>
          <w:highlight w:val="none"/>
        </w:rPr>
        <w:t>1.2</w:t>
      </w:r>
      <w:r>
        <w:rPr>
          <w:rFonts w:ascii="宋体" w:hAnsi="宋体" w:eastAsia="宋体" w:cs="宋体"/>
          <w:color w:val="auto"/>
          <w:spacing w:val="-45"/>
          <w:sz w:val="24"/>
          <w:highlight w:val="none"/>
        </w:rPr>
        <w:t xml:space="preserve"> </w:t>
      </w:r>
      <w:r>
        <w:rPr>
          <w:rFonts w:ascii="宋体" w:hAnsi="宋体" w:eastAsia="宋体" w:cs="宋体"/>
          <w:color w:val="auto"/>
          <w:spacing w:val="-8"/>
          <w:sz w:val="24"/>
          <w:highlight w:val="none"/>
        </w:rPr>
        <w:t>服务标准</w:t>
      </w:r>
    </w:p>
    <w:p w14:paraId="53D8A339">
      <w:pPr>
        <w:spacing w:before="63" w:line="360" w:lineRule="auto"/>
        <w:ind w:right="80" w:firstLine="498"/>
        <w:rPr>
          <w:rFonts w:ascii="宋体" w:hAnsi="宋体" w:eastAsia="宋体" w:cs="宋体"/>
          <w:color w:val="auto"/>
          <w:sz w:val="24"/>
          <w:highlight w:val="none"/>
        </w:rPr>
      </w:pPr>
      <w:r>
        <w:rPr>
          <w:rFonts w:ascii="宋体" w:hAnsi="宋体" w:eastAsia="宋体" w:cs="宋体"/>
          <w:color w:val="auto"/>
          <w:spacing w:val="-3"/>
          <w:sz w:val="24"/>
          <w:highlight w:val="none"/>
        </w:rPr>
        <w:t>1.2.1 云主机应实现物理机的全部功能，如具有</w:t>
      </w:r>
      <w:r>
        <w:rPr>
          <w:rFonts w:ascii="宋体" w:hAnsi="宋体" w:eastAsia="宋体" w:cs="宋体"/>
          <w:color w:val="auto"/>
          <w:spacing w:val="-51"/>
          <w:sz w:val="24"/>
          <w:highlight w:val="none"/>
        </w:rPr>
        <w:t xml:space="preserve"> </w:t>
      </w:r>
      <w:r>
        <w:rPr>
          <w:rFonts w:ascii="宋体" w:hAnsi="宋体" w:eastAsia="宋体" w:cs="宋体"/>
          <w:color w:val="auto"/>
          <w:spacing w:val="-3"/>
          <w:sz w:val="24"/>
          <w:highlight w:val="none"/>
        </w:rPr>
        <w:t>CPU、存储、内存、网卡等资源，可以指定单独的</w:t>
      </w:r>
      <w:r>
        <w:rPr>
          <w:rFonts w:ascii="宋体" w:hAnsi="宋体" w:eastAsia="宋体" w:cs="宋体"/>
          <w:color w:val="auto"/>
          <w:spacing w:val="-26"/>
          <w:sz w:val="24"/>
          <w:highlight w:val="none"/>
        </w:rPr>
        <w:t xml:space="preserve"> </w:t>
      </w:r>
      <w:r>
        <w:rPr>
          <w:rFonts w:ascii="宋体" w:hAnsi="宋体" w:eastAsia="宋体" w:cs="宋体"/>
          <w:color w:val="auto"/>
          <w:spacing w:val="-3"/>
          <w:sz w:val="24"/>
          <w:highlight w:val="none"/>
        </w:rPr>
        <w:t>IP</w:t>
      </w:r>
      <w:r>
        <w:rPr>
          <w:rFonts w:ascii="宋体" w:hAnsi="宋体" w:eastAsia="宋体" w:cs="宋体"/>
          <w:color w:val="auto"/>
          <w:spacing w:val="-50"/>
          <w:sz w:val="24"/>
          <w:highlight w:val="none"/>
        </w:rPr>
        <w:t xml:space="preserve"> </w:t>
      </w:r>
      <w:r>
        <w:rPr>
          <w:rFonts w:ascii="宋体" w:hAnsi="宋体" w:eastAsia="宋体" w:cs="宋体"/>
          <w:color w:val="auto"/>
          <w:spacing w:val="-3"/>
          <w:sz w:val="24"/>
          <w:highlight w:val="none"/>
        </w:rPr>
        <w:t>地址、MAC</w:t>
      </w:r>
      <w:r>
        <w:rPr>
          <w:rFonts w:ascii="宋体" w:hAnsi="宋体" w:eastAsia="宋体" w:cs="宋体"/>
          <w:color w:val="auto"/>
          <w:spacing w:val="-51"/>
          <w:sz w:val="24"/>
          <w:highlight w:val="none"/>
        </w:rPr>
        <w:t xml:space="preserve"> </w:t>
      </w:r>
      <w:r>
        <w:rPr>
          <w:rFonts w:ascii="宋体" w:hAnsi="宋体" w:eastAsia="宋体" w:cs="宋体"/>
          <w:color w:val="auto"/>
          <w:spacing w:val="-3"/>
          <w:sz w:val="24"/>
          <w:highlight w:val="none"/>
        </w:rPr>
        <w:t>地址等；</w:t>
      </w:r>
    </w:p>
    <w:p w14:paraId="2A3F0883">
      <w:pPr>
        <w:spacing w:line="359" w:lineRule="auto"/>
        <w:ind w:right="80" w:firstLine="497"/>
        <w:rPr>
          <w:rFonts w:ascii="宋体" w:hAnsi="宋体" w:eastAsia="宋体" w:cs="宋体"/>
          <w:color w:val="auto"/>
          <w:sz w:val="24"/>
          <w:highlight w:val="none"/>
        </w:rPr>
      </w:pPr>
      <w:r>
        <w:rPr>
          <w:rFonts w:ascii="宋体" w:hAnsi="宋体" w:eastAsia="宋体" w:cs="宋体"/>
          <w:color w:val="auto"/>
          <w:spacing w:val="-2"/>
          <w:sz w:val="24"/>
          <w:highlight w:val="none"/>
        </w:rPr>
        <w:t>1.2.2 支持存储裸设备映射（RDM</w:t>
      </w:r>
      <w:r>
        <w:rPr>
          <w:rFonts w:ascii="宋体" w:hAnsi="宋体" w:eastAsia="宋体" w:cs="宋体"/>
          <w:color w:val="auto"/>
          <w:spacing w:val="5"/>
          <w:sz w:val="24"/>
          <w:highlight w:val="none"/>
        </w:rPr>
        <w:t>），</w:t>
      </w:r>
      <w:r>
        <w:rPr>
          <w:rFonts w:ascii="宋体" w:hAnsi="宋体" w:eastAsia="宋体" w:cs="宋体"/>
          <w:color w:val="auto"/>
          <w:spacing w:val="-2"/>
          <w:sz w:val="24"/>
          <w:highlight w:val="none"/>
        </w:rPr>
        <w:t>可以将存储设备上的</w:t>
      </w:r>
      <w:r>
        <w:rPr>
          <w:rFonts w:ascii="宋体" w:hAnsi="宋体" w:eastAsia="宋体" w:cs="宋体"/>
          <w:color w:val="auto"/>
          <w:spacing w:val="-53"/>
          <w:sz w:val="24"/>
          <w:highlight w:val="none"/>
        </w:rPr>
        <w:t xml:space="preserve"> </w:t>
      </w:r>
      <w:r>
        <w:rPr>
          <w:rFonts w:ascii="宋体" w:hAnsi="宋体" w:eastAsia="宋体" w:cs="宋体"/>
          <w:color w:val="auto"/>
          <w:spacing w:val="-2"/>
          <w:sz w:val="24"/>
          <w:highlight w:val="none"/>
        </w:rPr>
        <w:t>LUN</w:t>
      </w:r>
      <w:r>
        <w:rPr>
          <w:rFonts w:ascii="宋体" w:hAnsi="宋体" w:eastAsia="宋体" w:cs="宋体"/>
          <w:color w:val="auto"/>
          <w:spacing w:val="-48"/>
          <w:sz w:val="24"/>
          <w:highlight w:val="none"/>
        </w:rPr>
        <w:t xml:space="preserve"> </w:t>
      </w:r>
      <w:r>
        <w:rPr>
          <w:rFonts w:ascii="宋体" w:hAnsi="宋体" w:eastAsia="宋体" w:cs="宋体"/>
          <w:color w:val="auto"/>
          <w:spacing w:val="-2"/>
          <w:sz w:val="24"/>
          <w:highlight w:val="none"/>
        </w:rPr>
        <w:t>直接映射给虚</w:t>
      </w:r>
      <w:r>
        <w:rPr>
          <w:rFonts w:ascii="宋体" w:hAnsi="宋体" w:eastAsia="宋体" w:cs="宋体"/>
          <w:color w:val="auto"/>
          <w:spacing w:val="1"/>
          <w:sz w:val="24"/>
          <w:highlight w:val="none"/>
        </w:rPr>
        <w:t>拟机使用，并且支持</w:t>
      </w:r>
      <w:r>
        <w:rPr>
          <w:rFonts w:ascii="宋体" w:hAnsi="宋体" w:eastAsia="宋体" w:cs="宋体"/>
          <w:color w:val="auto"/>
          <w:sz w:val="24"/>
          <w:highlight w:val="none"/>
        </w:rPr>
        <w:t>SCSI</w:t>
      </w:r>
      <w:r>
        <w:rPr>
          <w:rFonts w:ascii="宋体" w:hAnsi="宋体" w:eastAsia="宋体" w:cs="宋体"/>
          <w:color w:val="auto"/>
          <w:spacing w:val="-36"/>
          <w:sz w:val="24"/>
          <w:highlight w:val="none"/>
        </w:rPr>
        <w:t xml:space="preserve"> </w:t>
      </w:r>
      <w:r>
        <w:rPr>
          <w:rFonts w:ascii="宋体" w:hAnsi="宋体" w:eastAsia="宋体" w:cs="宋体"/>
          <w:color w:val="auto"/>
          <w:spacing w:val="1"/>
          <w:sz w:val="24"/>
          <w:highlight w:val="none"/>
        </w:rPr>
        <w:t>指令使用透传模式或者非透传模式；</w:t>
      </w:r>
    </w:p>
    <w:p w14:paraId="48B5A02E">
      <w:pPr>
        <w:spacing w:before="1" w:line="218" w:lineRule="auto"/>
        <w:ind w:left="498"/>
        <w:rPr>
          <w:rFonts w:ascii="宋体" w:hAnsi="宋体" w:eastAsia="宋体" w:cs="宋体"/>
          <w:color w:val="auto"/>
          <w:sz w:val="24"/>
          <w:highlight w:val="none"/>
        </w:rPr>
      </w:pPr>
      <w:r>
        <w:rPr>
          <w:rFonts w:ascii="宋体" w:hAnsi="宋体" w:eastAsia="宋体" w:cs="宋体"/>
          <w:color w:val="auto"/>
          <w:spacing w:val="-3"/>
          <w:sz w:val="24"/>
          <w:highlight w:val="none"/>
        </w:rPr>
        <w:t>1.2.3 云主机</w:t>
      </w:r>
      <w:r>
        <w:rPr>
          <w:rFonts w:hint="eastAsia" w:ascii="宋体" w:hAnsi="宋体" w:eastAsia="宋体" w:cs="宋体"/>
          <w:color w:val="auto"/>
          <w:spacing w:val="-3"/>
          <w:sz w:val="24"/>
          <w:highlight w:val="none"/>
        </w:rPr>
        <w:t>按需</w:t>
      </w:r>
      <w:r>
        <w:rPr>
          <w:rFonts w:ascii="宋体" w:hAnsi="宋体" w:eastAsia="宋体" w:cs="宋体"/>
          <w:color w:val="auto"/>
          <w:spacing w:val="-3"/>
          <w:sz w:val="24"/>
          <w:highlight w:val="none"/>
        </w:rPr>
        <w:t>提供基于</w:t>
      </w:r>
      <w:r>
        <w:rPr>
          <w:rFonts w:ascii="宋体" w:hAnsi="宋体" w:eastAsia="宋体" w:cs="宋体"/>
          <w:color w:val="auto"/>
          <w:spacing w:val="-47"/>
          <w:sz w:val="24"/>
          <w:highlight w:val="none"/>
        </w:rPr>
        <w:t xml:space="preserve"> </w:t>
      </w:r>
      <w:r>
        <w:rPr>
          <w:rFonts w:ascii="宋体" w:hAnsi="宋体" w:eastAsia="宋体" w:cs="宋体"/>
          <w:color w:val="auto"/>
          <w:spacing w:val="-3"/>
          <w:sz w:val="24"/>
          <w:highlight w:val="none"/>
        </w:rPr>
        <w:t>GPU</w:t>
      </w:r>
      <w:r>
        <w:rPr>
          <w:rFonts w:ascii="宋体" w:hAnsi="宋体" w:eastAsia="宋体" w:cs="宋体"/>
          <w:color w:val="auto"/>
          <w:spacing w:val="-27"/>
          <w:sz w:val="24"/>
          <w:highlight w:val="none"/>
        </w:rPr>
        <w:t xml:space="preserve"> </w:t>
      </w:r>
      <w:r>
        <w:rPr>
          <w:rFonts w:ascii="宋体" w:hAnsi="宋体" w:eastAsia="宋体" w:cs="宋体"/>
          <w:color w:val="auto"/>
          <w:spacing w:val="-3"/>
          <w:sz w:val="24"/>
          <w:highlight w:val="none"/>
        </w:rPr>
        <w:t>图形图像计算服务；</w:t>
      </w:r>
    </w:p>
    <w:p w14:paraId="181538E3">
      <w:pPr>
        <w:spacing w:before="181" w:line="219" w:lineRule="auto"/>
        <w:ind w:left="498"/>
        <w:rPr>
          <w:rFonts w:ascii="宋体" w:hAnsi="宋体" w:eastAsia="宋体" w:cs="宋体"/>
          <w:color w:val="auto"/>
          <w:sz w:val="24"/>
          <w:highlight w:val="none"/>
        </w:rPr>
      </w:pPr>
      <w:r>
        <w:rPr>
          <w:rFonts w:ascii="宋体" w:hAnsi="宋体" w:eastAsia="宋体" w:cs="宋体"/>
          <w:color w:val="auto"/>
          <w:spacing w:val="-2"/>
          <w:sz w:val="24"/>
          <w:highlight w:val="none"/>
        </w:rPr>
        <w:t>1.2.4 应满足云主机之间、CPU</w:t>
      </w:r>
      <w:r>
        <w:rPr>
          <w:rFonts w:ascii="宋体" w:hAnsi="宋体" w:eastAsia="宋体" w:cs="宋体"/>
          <w:color w:val="auto"/>
          <w:spacing w:val="-35"/>
          <w:sz w:val="24"/>
          <w:highlight w:val="none"/>
        </w:rPr>
        <w:t xml:space="preserve"> </w:t>
      </w:r>
      <w:r>
        <w:rPr>
          <w:rFonts w:ascii="宋体" w:hAnsi="宋体" w:eastAsia="宋体" w:cs="宋体"/>
          <w:color w:val="auto"/>
          <w:spacing w:val="-2"/>
          <w:sz w:val="24"/>
          <w:highlight w:val="none"/>
        </w:rPr>
        <w:t>之间隔离保护要求；</w:t>
      </w:r>
    </w:p>
    <w:p w14:paraId="1E980421">
      <w:pPr>
        <w:spacing w:before="183" w:line="359" w:lineRule="auto"/>
        <w:ind w:right="80" w:firstLine="497"/>
        <w:rPr>
          <w:rFonts w:ascii="宋体" w:hAnsi="宋体" w:eastAsia="宋体" w:cs="宋体"/>
          <w:color w:val="auto"/>
          <w:sz w:val="24"/>
          <w:highlight w:val="none"/>
        </w:rPr>
      </w:pPr>
      <w:r>
        <w:rPr>
          <w:rFonts w:ascii="宋体" w:hAnsi="宋体" w:eastAsia="宋体" w:cs="宋体"/>
          <w:color w:val="auto"/>
          <w:spacing w:val="2"/>
          <w:sz w:val="24"/>
          <w:highlight w:val="none"/>
        </w:rPr>
        <w:t>1.2.5 支持资源的动态调整，根据业务的负载情况实现业务系统虚拟机的动</w:t>
      </w:r>
      <w:r>
        <w:rPr>
          <w:rFonts w:ascii="宋体" w:hAnsi="宋体" w:eastAsia="宋体" w:cs="宋体"/>
          <w:color w:val="auto"/>
          <w:spacing w:val="3"/>
          <w:sz w:val="24"/>
          <w:highlight w:val="none"/>
        </w:rPr>
        <w:t>态扩展和回收，支持手动和自动方式，</w:t>
      </w:r>
      <w:r>
        <w:rPr>
          <w:rFonts w:ascii="宋体" w:hAnsi="宋体" w:eastAsia="宋体" w:cs="宋体"/>
          <w:color w:val="auto"/>
          <w:spacing w:val="-66"/>
          <w:sz w:val="24"/>
          <w:highlight w:val="none"/>
        </w:rPr>
        <w:t xml:space="preserve"> </w:t>
      </w:r>
      <w:r>
        <w:rPr>
          <w:rFonts w:ascii="宋体" w:hAnsi="宋体" w:eastAsia="宋体" w:cs="宋体"/>
          <w:color w:val="auto"/>
          <w:spacing w:val="3"/>
          <w:sz w:val="24"/>
          <w:highlight w:val="none"/>
        </w:rPr>
        <w:t>自动方</w:t>
      </w:r>
      <w:r>
        <w:rPr>
          <w:rFonts w:ascii="宋体" w:hAnsi="宋体" w:eastAsia="宋体" w:cs="宋体"/>
          <w:color w:val="auto"/>
          <w:spacing w:val="2"/>
          <w:sz w:val="24"/>
          <w:highlight w:val="none"/>
        </w:rPr>
        <w:t>式可基于主机的</w:t>
      </w:r>
      <w:r>
        <w:rPr>
          <w:rFonts w:ascii="宋体" w:hAnsi="宋体" w:eastAsia="宋体" w:cs="宋体"/>
          <w:color w:val="auto"/>
          <w:spacing w:val="-48"/>
          <w:sz w:val="24"/>
          <w:highlight w:val="none"/>
        </w:rPr>
        <w:t xml:space="preserve"> </w:t>
      </w:r>
      <w:r>
        <w:rPr>
          <w:rFonts w:ascii="宋体" w:hAnsi="宋体" w:eastAsia="宋体" w:cs="宋体"/>
          <w:color w:val="auto"/>
          <w:sz w:val="24"/>
          <w:highlight w:val="none"/>
        </w:rPr>
        <w:t>CPU</w:t>
      </w:r>
      <w:r>
        <w:rPr>
          <w:rFonts w:ascii="宋体" w:hAnsi="宋体" w:eastAsia="宋体" w:cs="宋体"/>
          <w:color w:val="auto"/>
          <w:spacing w:val="2"/>
          <w:sz w:val="24"/>
          <w:highlight w:val="none"/>
        </w:rPr>
        <w:t>、内存、磁盘</w:t>
      </w:r>
      <w:r>
        <w:rPr>
          <w:rFonts w:ascii="宋体" w:hAnsi="宋体" w:eastAsia="宋体" w:cs="宋体"/>
          <w:color w:val="auto"/>
          <w:spacing w:val="-1"/>
          <w:sz w:val="24"/>
          <w:highlight w:val="none"/>
        </w:rPr>
        <w:t>IO、网络流量等性能参数阈值进行动态调度；</w:t>
      </w:r>
    </w:p>
    <w:p w14:paraId="3B3DE681">
      <w:pPr>
        <w:spacing w:before="1" w:line="218"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1.2.6 支持在线进行虚拟化软件版本升级，不同版本之间可以相互兼容；</w:t>
      </w:r>
    </w:p>
    <w:p w14:paraId="2669E9F6">
      <w:pPr>
        <w:spacing w:before="183"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1.2.7 支持异构虚拟化能力，如</w:t>
      </w:r>
      <w:r>
        <w:rPr>
          <w:rFonts w:ascii="宋体" w:hAnsi="宋体" w:eastAsia="宋体" w:cs="宋体"/>
          <w:color w:val="auto"/>
          <w:spacing w:val="-55"/>
          <w:sz w:val="24"/>
          <w:highlight w:val="none"/>
        </w:rPr>
        <w:t xml:space="preserve"> </w:t>
      </w:r>
      <w:r>
        <w:rPr>
          <w:rFonts w:ascii="宋体" w:hAnsi="宋体" w:eastAsia="宋体" w:cs="宋体"/>
          <w:color w:val="auto"/>
          <w:spacing w:val="-1"/>
          <w:sz w:val="24"/>
          <w:highlight w:val="none"/>
        </w:rPr>
        <w:t>KVM、PowerVM</w:t>
      </w:r>
      <w:r>
        <w:rPr>
          <w:rFonts w:ascii="宋体" w:hAnsi="宋体" w:eastAsia="宋体" w:cs="宋体"/>
          <w:color w:val="auto"/>
          <w:spacing w:val="-49"/>
          <w:sz w:val="24"/>
          <w:highlight w:val="none"/>
        </w:rPr>
        <w:t xml:space="preserve"> </w:t>
      </w:r>
      <w:r>
        <w:rPr>
          <w:rFonts w:ascii="宋体" w:hAnsi="宋体" w:eastAsia="宋体" w:cs="宋体"/>
          <w:color w:val="auto"/>
          <w:spacing w:val="-1"/>
          <w:sz w:val="24"/>
          <w:highlight w:val="none"/>
        </w:rPr>
        <w:t>等</w:t>
      </w:r>
      <w:r>
        <w:rPr>
          <w:rFonts w:ascii="宋体" w:hAnsi="宋体" w:eastAsia="宋体" w:cs="宋体"/>
          <w:color w:val="auto"/>
          <w:spacing w:val="-2"/>
          <w:sz w:val="24"/>
          <w:highlight w:val="none"/>
        </w:rPr>
        <w:t>多种虚拟化技术；</w:t>
      </w:r>
    </w:p>
    <w:p w14:paraId="3F9DC8EF">
      <w:pPr>
        <w:spacing w:before="181"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1.2.8 云主机出现故障时，支持自动重启或者迁移，保障业务连续性；</w:t>
      </w:r>
    </w:p>
    <w:p w14:paraId="25BFE922">
      <w:pPr>
        <w:spacing w:before="183" w:line="219" w:lineRule="auto"/>
        <w:ind w:left="498"/>
        <w:rPr>
          <w:rFonts w:ascii="宋体" w:hAnsi="宋体" w:eastAsia="宋体" w:cs="宋体"/>
          <w:color w:val="auto"/>
          <w:sz w:val="24"/>
          <w:highlight w:val="none"/>
        </w:rPr>
      </w:pPr>
      <w:r>
        <w:rPr>
          <w:rFonts w:ascii="宋体" w:hAnsi="宋体" w:eastAsia="宋体" w:cs="宋体"/>
          <w:color w:val="auto"/>
          <w:spacing w:val="-2"/>
          <w:sz w:val="24"/>
          <w:highlight w:val="none"/>
        </w:rPr>
        <w:t>1.2.9 支持虚拟机热迁移，可在不同代</w:t>
      </w:r>
      <w:r>
        <w:rPr>
          <w:rFonts w:ascii="宋体" w:hAnsi="宋体" w:eastAsia="宋体" w:cs="宋体"/>
          <w:color w:val="auto"/>
          <w:spacing w:val="-36"/>
          <w:sz w:val="24"/>
          <w:highlight w:val="none"/>
        </w:rPr>
        <w:t xml:space="preserve"> </w:t>
      </w:r>
      <w:r>
        <w:rPr>
          <w:rFonts w:ascii="宋体" w:hAnsi="宋体" w:eastAsia="宋体" w:cs="宋体"/>
          <w:color w:val="auto"/>
          <w:spacing w:val="-2"/>
          <w:sz w:val="24"/>
          <w:highlight w:val="none"/>
        </w:rPr>
        <w:t>CPU</w:t>
      </w:r>
      <w:r>
        <w:rPr>
          <w:rFonts w:ascii="宋体" w:hAnsi="宋体" w:eastAsia="宋体" w:cs="宋体"/>
          <w:color w:val="auto"/>
          <w:spacing w:val="-41"/>
          <w:sz w:val="24"/>
          <w:highlight w:val="none"/>
        </w:rPr>
        <w:t xml:space="preserve"> </w:t>
      </w:r>
      <w:r>
        <w:rPr>
          <w:rFonts w:ascii="宋体" w:hAnsi="宋体" w:eastAsia="宋体" w:cs="宋体"/>
          <w:color w:val="auto"/>
          <w:spacing w:val="-2"/>
          <w:sz w:val="24"/>
          <w:highlight w:val="none"/>
        </w:rPr>
        <w:t>资源池中进行虚拟机热迁移；</w:t>
      </w:r>
    </w:p>
    <w:p w14:paraId="11610B3F">
      <w:pPr>
        <w:spacing w:before="182" w:line="219" w:lineRule="auto"/>
        <w:ind w:left="498"/>
        <w:rPr>
          <w:rFonts w:ascii="宋体" w:hAnsi="宋体" w:eastAsia="宋体" w:cs="宋体"/>
          <w:color w:val="auto"/>
          <w:sz w:val="24"/>
          <w:highlight w:val="none"/>
        </w:rPr>
      </w:pPr>
      <w:r>
        <w:rPr>
          <w:rFonts w:ascii="宋体" w:hAnsi="宋体" w:eastAsia="宋体" w:cs="宋体"/>
          <w:color w:val="auto"/>
          <w:spacing w:val="-1"/>
          <w:sz w:val="24"/>
          <w:highlight w:val="none"/>
        </w:rPr>
        <w:t>1.2.10 云计算资源性能要求包括</w:t>
      </w:r>
      <w:r>
        <w:rPr>
          <w:rFonts w:ascii="宋体" w:hAnsi="宋体" w:eastAsia="宋体" w:cs="宋体"/>
          <w:color w:val="auto"/>
          <w:spacing w:val="-2"/>
          <w:sz w:val="24"/>
          <w:highlight w:val="none"/>
        </w:rPr>
        <w:t>如下：</w:t>
      </w:r>
    </w:p>
    <w:p w14:paraId="5383F8C6">
      <w:pPr>
        <w:spacing w:before="183" w:line="219" w:lineRule="auto"/>
        <w:ind w:left="498"/>
        <w:rPr>
          <w:rFonts w:ascii="宋体" w:hAnsi="宋体" w:eastAsia="宋体" w:cs="宋体"/>
          <w:color w:val="auto"/>
          <w:spacing w:val="-2"/>
          <w:sz w:val="24"/>
          <w:highlight w:val="none"/>
        </w:rPr>
      </w:pPr>
      <w:r>
        <w:rPr>
          <w:rFonts w:ascii="宋体" w:hAnsi="宋体" w:eastAsia="宋体" w:cs="宋体"/>
          <w:color w:val="auto"/>
          <w:spacing w:val="-2"/>
          <w:sz w:val="24"/>
          <w:highlight w:val="none"/>
        </w:rPr>
        <w:t>1.2.10.1 物理服务器</w:t>
      </w:r>
      <w:r>
        <w:rPr>
          <w:rFonts w:ascii="宋体" w:hAnsi="宋体" w:eastAsia="宋体" w:cs="宋体"/>
          <w:color w:val="auto"/>
          <w:spacing w:val="-48"/>
          <w:sz w:val="24"/>
          <w:highlight w:val="none"/>
        </w:rPr>
        <w:t xml:space="preserve"> </w:t>
      </w:r>
      <w:r>
        <w:rPr>
          <w:rFonts w:ascii="宋体" w:hAnsi="宋体" w:eastAsia="宋体" w:cs="宋体"/>
          <w:color w:val="auto"/>
          <w:spacing w:val="-2"/>
          <w:sz w:val="24"/>
          <w:highlight w:val="none"/>
        </w:rPr>
        <w:t>CPU</w:t>
      </w:r>
      <w:r>
        <w:rPr>
          <w:rFonts w:ascii="宋体" w:hAnsi="宋体" w:eastAsia="宋体" w:cs="宋体"/>
          <w:color w:val="auto"/>
          <w:spacing w:val="-49"/>
          <w:sz w:val="24"/>
          <w:highlight w:val="none"/>
        </w:rPr>
        <w:t xml:space="preserve"> </w:t>
      </w:r>
      <w:r>
        <w:rPr>
          <w:rFonts w:ascii="宋体" w:hAnsi="宋体" w:eastAsia="宋体" w:cs="宋体"/>
          <w:color w:val="auto"/>
          <w:spacing w:val="-2"/>
          <w:sz w:val="24"/>
          <w:highlight w:val="none"/>
        </w:rPr>
        <w:t>主频应不低于</w:t>
      </w:r>
      <w:r>
        <w:rPr>
          <w:rFonts w:ascii="宋体" w:hAnsi="宋体" w:eastAsia="宋体" w:cs="宋体"/>
          <w:color w:val="auto"/>
          <w:spacing w:val="-54"/>
          <w:sz w:val="24"/>
          <w:highlight w:val="none"/>
        </w:rPr>
        <w:t xml:space="preserve"> </w:t>
      </w:r>
      <w:r>
        <w:rPr>
          <w:rFonts w:hint="eastAsia" w:ascii="宋体" w:hAnsi="宋体" w:eastAsia="宋体" w:cs="宋体"/>
          <w:color w:val="auto"/>
          <w:spacing w:val="-2"/>
          <w:sz w:val="24"/>
          <w:highlight w:val="none"/>
        </w:rPr>
        <w:t>2.2</w:t>
      </w:r>
      <w:r>
        <w:rPr>
          <w:rFonts w:ascii="宋体" w:hAnsi="宋体" w:eastAsia="宋体" w:cs="宋体"/>
          <w:color w:val="auto"/>
          <w:spacing w:val="-2"/>
          <w:sz w:val="24"/>
          <w:highlight w:val="none"/>
        </w:rPr>
        <w:t>GHz；</w:t>
      </w:r>
    </w:p>
    <w:p w14:paraId="253EF76F">
      <w:pPr>
        <w:spacing w:before="183" w:line="219" w:lineRule="auto"/>
        <w:ind w:left="498"/>
        <w:rPr>
          <w:rFonts w:ascii="宋体" w:hAnsi="宋体" w:eastAsia="宋体" w:cs="宋体"/>
          <w:color w:val="auto"/>
          <w:spacing w:val="-2"/>
          <w:sz w:val="24"/>
          <w:highlight w:val="none"/>
        </w:rPr>
      </w:pPr>
      <w:r>
        <w:rPr>
          <w:rFonts w:ascii="宋体" w:hAnsi="宋体" w:eastAsia="宋体" w:cs="宋体"/>
          <w:color w:val="auto"/>
          <w:spacing w:val="-2"/>
          <w:sz w:val="24"/>
          <w:highlight w:val="none"/>
        </w:rPr>
        <w:t>1.2.11 投标人需按采购人实际需求，提供</w:t>
      </w:r>
      <w:r>
        <w:rPr>
          <w:rFonts w:ascii="宋体" w:hAnsi="宋体" w:eastAsia="宋体" w:cs="宋体"/>
          <w:color w:val="auto"/>
          <w:spacing w:val="-2"/>
          <w:sz w:val="24"/>
          <w:highlight w:val="none"/>
          <w:lang w:bidi="ar"/>
        </w:rPr>
        <w:t>云主机深度监控服务。</w:t>
      </w:r>
    </w:p>
    <w:p w14:paraId="191E6C07">
      <w:pPr>
        <w:widowControl w:val="0"/>
        <w:tabs>
          <w:tab w:val="left" w:pos="567"/>
        </w:tabs>
        <w:spacing w:before="120" w:line="22" w:lineRule="atLeast"/>
        <w:jc w:val="both"/>
        <w:rPr>
          <w:rFonts w:ascii="宋体" w:hAnsi="宋体" w:eastAsia="宋体" w:cs="Times New Roman"/>
          <w:color w:val="auto"/>
          <w:kern w:val="2"/>
          <w:sz w:val="24"/>
          <w:szCs w:val="24"/>
          <w:highlight w:val="none"/>
          <w:lang w:val="en-US" w:eastAsia="zh-CN" w:bidi="ar-SA"/>
        </w:rPr>
      </w:pPr>
    </w:p>
    <w:p w14:paraId="287E8ABB">
      <w:pPr>
        <w:keepNext/>
        <w:keepLines/>
        <w:widowControl w:val="0"/>
        <w:adjustRightInd w:val="0"/>
        <w:spacing w:before="280" w:after="290" w:line="376" w:lineRule="atLeast"/>
        <w:jc w:val="both"/>
        <w:textAlignment w:val="baseline"/>
        <w:outlineLvl w:val="3"/>
        <w:rPr>
          <w:rFonts w:ascii="Times New Roman" w:hAnsi="Times New Roman" w:eastAsia="宋体" w:cs="Times New Roman"/>
          <w:color w:val="auto"/>
          <w:kern w:val="0"/>
          <w:sz w:val="24"/>
          <w:szCs w:val="20"/>
          <w:highlight w:val="none"/>
          <w:lang w:val="en-US" w:eastAsia="zh-CN" w:bidi="ar-SA"/>
        </w:rPr>
      </w:pPr>
      <w:bookmarkStart w:id="18" w:name="bookmark16"/>
      <w:bookmarkEnd w:id="18"/>
      <w:r>
        <w:rPr>
          <w:rFonts w:hint="eastAsia" w:ascii="Times New Roman" w:hAnsi="Times New Roman" w:eastAsia="宋体" w:cs="Times New Roman"/>
          <w:color w:val="auto"/>
          <w:kern w:val="0"/>
          <w:sz w:val="24"/>
          <w:szCs w:val="20"/>
          <w:highlight w:val="none"/>
          <w:lang w:val="en-US" w:eastAsia="zh-CN" w:bidi="ar-SA"/>
        </w:rPr>
        <w:t>2.2</w:t>
      </w:r>
      <w:r>
        <w:rPr>
          <w:rFonts w:ascii="Times New Roman" w:hAnsi="Times New Roman" w:eastAsia="宋体" w:cs="Times New Roman"/>
          <w:color w:val="auto"/>
          <w:kern w:val="0"/>
          <w:sz w:val="24"/>
          <w:szCs w:val="20"/>
          <w:highlight w:val="none"/>
          <w:lang w:val="en-US" w:eastAsia="zh-CN" w:bidi="ar-SA"/>
        </w:rPr>
        <w:t>存储服务</w:t>
      </w:r>
    </w:p>
    <w:p w14:paraId="1F0983CA">
      <w:pPr>
        <w:spacing w:before="293" w:line="219" w:lineRule="auto"/>
        <w:ind w:left="483"/>
        <w:rPr>
          <w:rFonts w:ascii="宋体" w:hAnsi="宋体" w:eastAsia="宋体" w:cs="宋体"/>
          <w:color w:val="auto"/>
          <w:sz w:val="24"/>
          <w:highlight w:val="none"/>
        </w:rPr>
      </w:pPr>
      <w:r>
        <w:rPr>
          <w:rFonts w:hint="eastAsia" w:ascii="宋体" w:hAnsi="宋体" w:eastAsia="宋体" w:cs="宋体"/>
          <w:color w:val="auto"/>
          <w:spacing w:val="-5"/>
          <w:sz w:val="24"/>
          <w:highlight w:val="none"/>
        </w:rPr>
        <w:t>2.</w:t>
      </w:r>
      <w:r>
        <w:rPr>
          <w:rFonts w:ascii="宋体" w:hAnsi="宋体" w:eastAsia="宋体" w:cs="宋体"/>
          <w:color w:val="auto"/>
          <w:spacing w:val="-5"/>
          <w:sz w:val="24"/>
          <w:highlight w:val="none"/>
        </w:rPr>
        <w:t>2.1</w:t>
      </w:r>
      <w:r>
        <w:rPr>
          <w:rFonts w:ascii="宋体" w:hAnsi="宋体" w:eastAsia="宋体" w:cs="宋体"/>
          <w:color w:val="auto"/>
          <w:spacing w:val="-51"/>
          <w:sz w:val="24"/>
          <w:highlight w:val="none"/>
        </w:rPr>
        <w:t xml:space="preserve"> </w:t>
      </w:r>
      <w:r>
        <w:rPr>
          <w:rFonts w:ascii="宋体" w:hAnsi="宋体" w:eastAsia="宋体" w:cs="宋体"/>
          <w:color w:val="auto"/>
          <w:spacing w:val="-5"/>
          <w:sz w:val="24"/>
          <w:highlight w:val="none"/>
        </w:rPr>
        <w:t>服务内容</w:t>
      </w:r>
    </w:p>
    <w:p w14:paraId="0AD4476C">
      <w:pPr>
        <w:spacing w:before="65" w:line="360" w:lineRule="auto"/>
        <w:ind w:left="1" w:firstLine="480"/>
        <w:rPr>
          <w:rFonts w:ascii="宋体" w:hAnsi="宋体" w:eastAsia="宋体" w:cs="宋体"/>
          <w:color w:val="auto"/>
          <w:sz w:val="24"/>
          <w:highlight w:val="none"/>
        </w:rPr>
      </w:pPr>
      <w:r>
        <w:rPr>
          <w:rFonts w:ascii="宋体" w:hAnsi="宋体" w:eastAsia="宋体" w:cs="宋体"/>
          <w:color w:val="auto"/>
          <w:spacing w:val="-2"/>
          <w:sz w:val="24"/>
          <w:highlight w:val="none"/>
        </w:rPr>
        <w:t>按照采购人的具体需求，提供存储服务，包括：普通性能存储、高性能存储、</w:t>
      </w:r>
      <w:r>
        <w:rPr>
          <w:rFonts w:ascii="宋体" w:hAnsi="宋体" w:eastAsia="宋体" w:cs="宋体"/>
          <w:color w:val="auto"/>
          <w:spacing w:val="3"/>
          <w:sz w:val="24"/>
          <w:highlight w:val="none"/>
        </w:rPr>
        <w:t>静态存储和本地备份服务，实现合理的存储资源</w:t>
      </w:r>
      <w:r>
        <w:rPr>
          <w:rFonts w:ascii="宋体" w:hAnsi="宋体" w:eastAsia="宋体" w:cs="宋体"/>
          <w:color w:val="auto"/>
          <w:spacing w:val="2"/>
          <w:sz w:val="24"/>
          <w:highlight w:val="none"/>
        </w:rPr>
        <w:t>配置。在提供政务云存储的服务</w:t>
      </w:r>
    </w:p>
    <w:p w14:paraId="3DA637E8">
      <w:pPr>
        <w:spacing w:before="47" w:line="219" w:lineRule="auto"/>
        <w:ind w:left="1"/>
        <w:rPr>
          <w:rFonts w:ascii="宋体" w:hAnsi="宋体" w:eastAsia="宋体" w:cs="宋体"/>
          <w:color w:val="auto"/>
          <w:sz w:val="24"/>
          <w:highlight w:val="none"/>
        </w:rPr>
      </w:pPr>
      <w:r>
        <w:rPr>
          <w:rFonts w:ascii="宋体" w:hAnsi="宋体" w:eastAsia="宋体" w:cs="宋体"/>
          <w:color w:val="auto"/>
          <w:spacing w:val="-1"/>
          <w:sz w:val="24"/>
          <w:highlight w:val="none"/>
        </w:rPr>
        <w:t>过程中需做好采购人和对应项目应用开发厂商的协调沟通工作。</w:t>
      </w:r>
    </w:p>
    <w:p w14:paraId="526A12B9">
      <w:pPr>
        <w:spacing w:before="220" w:line="219" w:lineRule="auto"/>
        <w:ind w:left="483"/>
        <w:rPr>
          <w:rFonts w:ascii="宋体" w:hAnsi="宋体" w:eastAsia="宋体" w:cs="宋体"/>
          <w:color w:val="auto"/>
          <w:sz w:val="24"/>
          <w:highlight w:val="none"/>
        </w:rPr>
      </w:pPr>
      <w:r>
        <w:rPr>
          <w:rFonts w:hint="eastAsia" w:ascii="宋体" w:hAnsi="宋体" w:eastAsia="宋体" w:cs="宋体"/>
          <w:color w:val="auto"/>
          <w:spacing w:val="-5"/>
          <w:sz w:val="24"/>
          <w:highlight w:val="none"/>
        </w:rPr>
        <w:t>2.</w:t>
      </w:r>
      <w:r>
        <w:rPr>
          <w:rFonts w:ascii="宋体" w:hAnsi="宋体" w:eastAsia="宋体" w:cs="宋体"/>
          <w:color w:val="auto"/>
          <w:spacing w:val="-5"/>
          <w:sz w:val="24"/>
          <w:highlight w:val="none"/>
        </w:rPr>
        <w:t>2.2</w:t>
      </w:r>
      <w:r>
        <w:rPr>
          <w:rFonts w:ascii="宋体" w:hAnsi="宋体" w:eastAsia="宋体" w:cs="宋体"/>
          <w:color w:val="auto"/>
          <w:spacing w:val="-51"/>
          <w:sz w:val="24"/>
          <w:highlight w:val="none"/>
        </w:rPr>
        <w:t xml:space="preserve"> </w:t>
      </w:r>
      <w:r>
        <w:rPr>
          <w:rFonts w:ascii="宋体" w:hAnsi="宋体" w:eastAsia="宋体" w:cs="宋体"/>
          <w:color w:val="auto"/>
          <w:spacing w:val="-5"/>
          <w:sz w:val="24"/>
          <w:highlight w:val="none"/>
        </w:rPr>
        <w:t>服务标准</w:t>
      </w:r>
    </w:p>
    <w:p w14:paraId="48F8722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2.2.1 支持结构化数据、半结构化数据和非结构化数据等多种数据类型存储；</w:t>
      </w:r>
    </w:p>
    <w:p w14:paraId="4383CB2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2.2.2 支持块存储、对象存储、</w:t>
      </w:r>
      <w:r>
        <w:rPr>
          <w:rFonts w:hint="eastAsia" w:ascii="宋体" w:hAnsi="宋体" w:eastAsia="宋体" w:cs="宋体"/>
          <w:color w:val="auto"/>
          <w:spacing w:val="-1"/>
          <w:sz w:val="24"/>
          <w:highlight w:val="none"/>
        </w:rPr>
        <w:t>静态</w:t>
      </w:r>
      <w:r>
        <w:rPr>
          <w:rFonts w:ascii="宋体" w:hAnsi="宋体" w:eastAsia="宋体" w:cs="宋体"/>
          <w:color w:val="auto"/>
          <w:spacing w:val="-1"/>
          <w:sz w:val="24"/>
          <w:highlight w:val="none"/>
        </w:rPr>
        <w:t>存储等多种存储方法，满足数据备份、视频存储等不同应用场景使用要求；</w:t>
      </w:r>
    </w:p>
    <w:p w14:paraId="0AAC20D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2.2.3 支持存储资源扩展能力，例如：PB 级扩展；</w:t>
      </w:r>
    </w:p>
    <w:p w14:paraId="4FD0DBD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2.2.4 支持磁盘容错技术，如磁盘故障后节点的自动平衡和重构、硬盘故障检测和处理、集群节点出现单盘故障时不影响业务运行等；</w:t>
      </w:r>
    </w:p>
    <w:p w14:paraId="2E92A78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2.2.5 支持加密存储，使用的密码算法应符合</w:t>
      </w:r>
      <w:r>
        <w:rPr>
          <w:rFonts w:hint="eastAsia" w:ascii="宋体" w:hAnsi="宋体" w:eastAsia="宋体" w:cs="宋体"/>
          <w:color w:val="auto"/>
          <w:spacing w:val="-1"/>
          <w:sz w:val="24"/>
          <w:highlight w:val="none"/>
        </w:rPr>
        <w:t>法律法规</w:t>
      </w:r>
      <w:r>
        <w:rPr>
          <w:rFonts w:ascii="宋体" w:hAnsi="宋体" w:eastAsia="宋体" w:cs="宋体"/>
          <w:color w:val="auto"/>
          <w:spacing w:val="-1"/>
          <w:sz w:val="24"/>
          <w:highlight w:val="none"/>
        </w:rPr>
        <w:t>的规定和密码相关国家标准、行业标准的有关要求；</w:t>
      </w:r>
    </w:p>
    <w:p w14:paraId="48E35D8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2.2.6 存储资源性能要求包括如下：</w:t>
      </w:r>
    </w:p>
    <w:p w14:paraId="5DD28E29">
      <w:pPr>
        <w:spacing w:before="183" w:line="359" w:lineRule="auto"/>
        <w:ind w:right="61" w:firstLine="482"/>
        <w:rPr>
          <w:rFonts w:ascii="宋体" w:hAnsi="宋体" w:eastAsia="宋体" w:cs="宋体"/>
          <w:color w:val="auto"/>
          <w:spacing w:val="-2"/>
          <w:sz w:val="24"/>
          <w:highlight w:val="none"/>
        </w:rPr>
      </w:pPr>
      <w:r>
        <w:rPr>
          <w:rFonts w:hint="eastAsia" w:ascii="宋体" w:hAnsi="宋体" w:eastAsia="宋体" w:cs="宋体"/>
          <w:color w:val="auto"/>
          <w:spacing w:val="-1"/>
          <w:sz w:val="24"/>
          <w:highlight w:val="none"/>
        </w:rPr>
        <w:t>2.</w:t>
      </w:r>
      <w:r>
        <w:rPr>
          <w:rFonts w:ascii="宋体" w:hAnsi="宋体" w:eastAsia="宋体" w:cs="宋体"/>
          <w:color w:val="auto"/>
          <w:spacing w:val="-1"/>
          <w:sz w:val="24"/>
          <w:highlight w:val="none"/>
        </w:rPr>
        <w:t>2.2.6.</w:t>
      </w:r>
      <w:r>
        <w:rPr>
          <w:rFonts w:hint="eastAsia" w:ascii="宋体" w:hAnsi="宋体" w:eastAsia="宋体" w:cs="宋体"/>
          <w:color w:val="auto"/>
          <w:spacing w:val="-1"/>
          <w:sz w:val="24"/>
          <w:highlight w:val="none"/>
        </w:rPr>
        <w:t>1</w:t>
      </w:r>
      <w:r>
        <w:rPr>
          <w:rFonts w:ascii="宋体" w:hAnsi="宋体" w:eastAsia="宋体" w:cs="宋体"/>
          <w:color w:val="auto"/>
          <w:spacing w:val="-1"/>
          <w:sz w:val="24"/>
          <w:highlight w:val="none"/>
        </w:rPr>
        <w:t xml:space="preserve"> 对于块存储服务，支持普通性能、高性能两类，普通存储单盘</w:t>
      </w:r>
      <w:r>
        <w:rPr>
          <w:rFonts w:ascii="宋体" w:hAnsi="宋体" w:eastAsia="宋体" w:cs="宋体"/>
          <w:color w:val="auto"/>
          <w:spacing w:val="2"/>
          <w:sz w:val="24"/>
          <w:highlight w:val="none"/>
        </w:rPr>
        <w:t>技术指标：IOPS大于等于2000，高性能存储单盘技术指标：IOPS大于等于10000</w:t>
      </w:r>
      <w:r>
        <w:rPr>
          <w:rFonts w:ascii="宋体" w:hAnsi="宋体" w:eastAsia="宋体" w:cs="宋体"/>
          <w:color w:val="auto"/>
          <w:spacing w:val="-2"/>
          <w:sz w:val="24"/>
          <w:highlight w:val="none"/>
        </w:rPr>
        <w:t>。</w:t>
      </w:r>
    </w:p>
    <w:p w14:paraId="29A71FC3">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 xml:space="preserve">2.3 </w:t>
      </w:r>
      <w:r>
        <w:rPr>
          <w:rFonts w:ascii="Times New Roman" w:hAnsi="Times New Roman" w:eastAsia="宋体" w:cs="Times New Roman"/>
          <w:bCs/>
          <w:color w:val="auto"/>
          <w:kern w:val="0"/>
          <w:sz w:val="24"/>
          <w:szCs w:val="20"/>
          <w:highlight w:val="none"/>
          <w:lang w:val="en-US" w:eastAsia="zh-CN" w:bidi="ar-SA"/>
        </w:rPr>
        <w:t>网络服务</w:t>
      </w:r>
    </w:p>
    <w:p w14:paraId="3BA5FAFB">
      <w:pPr>
        <w:spacing w:before="295" w:line="219" w:lineRule="auto"/>
        <w:ind w:left="479"/>
        <w:rPr>
          <w:rFonts w:ascii="宋体" w:hAnsi="宋体" w:eastAsia="宋体" w:cs="宋体"/>
          <w:color w:val="auto"/>
          <w:sz w:val="24"/>
          <w:highlight w:val="none"/>
        </w:rPr>
      </w:pPr>
      <w:r>
        <w:rPr>
          <w:rFonts w:hint="eastAsia" w:ascii="楷体" w:hAnsi="楷体" w:eastAsia="楷体" w:cs="楷体"/>
          <w:color w:val="auto"/>
          <w:spacing w:val="-7"/>
          <w:sz w:val="24"/>
          <w:highlight w:val="none"/>
        </w:rPr>
        <w:t>2.3</w:t>
      </w:r>
      <w:r>
        <w:rPr>
          <w:rFonts w:ascii="宋体" w:hAnsi="宋体" w:eastAsia="宋体" w:cs="宋体"/>
          <w:color w:val="auto"/>
          <w:spacing w:val="-5"/>
          <w:sz w:val="24"/>
          <w:highlight w:val="none"/>
        </w:rPr>
        <w:t>.1</w:t>
      </w:r>
      <w:r>
        <w:rPr>
          <w:rFonts w:ascii="宋体" w:hAnsi="宋体" w:eastAsia="宋体" w:cs="宋体"/>
          <w:color w:val="auto"/>
          <w:spacing w:val="-48"/>
          <w:sz w:val="24"/>
          <w:highlight w:val="none"/>
        </w:rPr>
        <w:t xml:space="preserve"> </w:t>
      </w:r>
      <w:r>
        <w:rPr>
          <w:rFonts w:ascii="宋体" w:hAnsi="宋体" w:eastAsia="宋体" w:cs="宋体"/>
          <w:color w:val="auto"/>
          <w:spacing w:val="-5"/>
          <w:sz w:val="24"/>
          <w:highlight w:val="none"/>
        </w:rPr>
        <w:t>服务内容</w:t>
      </w:r>
    </w:p>
    <w:p w14:paraId="7C0825D1">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2.3.1.1 提供互联网链路带宽服务、互联网 IP 地址租用服务，并提供相应的网络域名备案服务，配合应用开发厂商提供网络策略配置服务。</w:t>
      </w:r>
    </w:p>
    <w:p w14:paraId="0BBCEA61">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2.3.1.2 主机负载均衡服务，通过云管理平台实现每租户按需自动分配负载均衡服务的能力。</w:t>
      </w:r>
    </w:p>
    <w:p w14:paraId="0A606B9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2.3.1.3 远程接入服务，提供互联网远程接入服务，每个账号结合身份验证接入堡垒机维护应用系统。</w:t>
      </w:r>
    </w:p>
    <w:p w14:paraId="129E36C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2.3.1.4 VPN 服务，含 SSL VPN 接入与 IPSec VPN 接入服务。</w:t>
      </w:r>
    </w:p>
    <w:p w14:paraId="2CA7801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2.3.1.5 Web应用防火墙服务，针对网站及Web应用系统提供应用层安全防护，支持各类SQL注入、XSS攻击、网页木马、WEBSHELL等Web威胁防护（200Mbps）</w:t>
      </w:r>
    </w:p>
    <w:p w14:paraId="50EFD94A">
      <w:pPr>
        <w:spacing w:before="221" w:line="219" w:lineRule="auto"/>
        <w:ind w:left="480"/>
        <w:rPr>
          <w:rFonts w:ascii="宋体" w:hAnsi="宋体" w:eastAsia="宋体" w:cs="宋体"/>
          <w:color w:val="auto"/>
          <w:sz w:val="24"/>
          <w:highlight w:val="none"/>
        </w:rPr>
      </w:pPr>
      <w:r>
        <w:rPr>
          <w:rFonts w:hint="eastAsia" w:ascii="楷体" w:hAnsi="楷体" w:eastAsia="楷体" w:cs="楷体"/>
          <w:color w:val="auto"/>
          <w:spacing w:val="-7"/>
          <w:sz w:val="24"/>
          <w:highlight w:val="none"/>
        </w:rPr>
        <w:t>2.3</w:t>
      </w:r>
      <w:r>
        <w:rPr>
          <w:rFonts w:ascii="宋体" w:hAnsi="宋体" w:eastAsia="宋体" w:cs="宋体"/>
          <w:color w:val="auto"/>
          <w:spacing w:val="-5"/>
          <w:sz w:val="24"/>
          <w:highlight w:val="none"/>
        </w:rPr>
        <w:t>.2</w:t>
      </w:r>
      <w:r>
        <w:rPr>
          <w:rFonts w:ascii="宋体" w:hAnsi="宋体" w:eastAsia="宋体" w:cs="宋体"/>
          <w:color w:val="auto"/>
          <w:spacing w:val="-48"/>
          <w:sz w:val="24"/>
          <w:highlight w:val="none"/>
        </w:rPr>
        <w:t xml:space="preserve"> </w:t>
      </w:r>
      <w:r>
        <w:rPr>
          <w:rFonts w:ascii="宋体" w:hAnsi="宋体" w:eastAsia="宋体" w:cs="宋体"/>
          <w:color w:val="auto"/>
          <w:spacing w:val="-5"/>
          <w:sz w:val="24"/>
          <w:highlight w:val="none"/>
        </w:rPr>
        <w:t>服务标准</w:t>
      </w:r>
    </w:p>
    <w:p w14:paraId="50205FE3">
      <w:pPr>
        <w:spacing w:before="62" w:line="219" w:lineRule="auto"/>
        <w:ind w:left="499"/>
        <w:rPr>
          <w:rFonts w:ascii="宋体" w:hAnsi="宋体" w:eastAsia="宋体" w:cs="宋体"/>
          <w:color w:val="auto"/>
          <w:sz w:val="24"/>
          <w:highlight w:val="none"/>
        </w:rPr>
      </w:pPr>
      <w:r>
        <w:rPr>
          <w:rFonts w:ascii="宋体" w:hAnsi="宋体" w:eastAsia="宋体" w:cs="宋体"/>
          <w:color w:val="auto"/>
          <w:spacing w:val="-2"/>
          <w:sz w:val="24"/>
          <w:highlight w:val="none"/>
        </w:rPr>
        <w:t>网络系统提供稳定的数据传输能力，一般要求如下：</w:t>
      </w:r>
    </w:p>
    <w:p w14:paraId="114D68DF">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2.3.2.1 具备多运营商网络接入服务的能力；</w:t>
      </w:r>
    </w:p>
    <w:p w14:paraId="321A866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2.3.2.2 数据中心组网架构设计可采用大二层网络架构，支持云主机无障碍动态迁移；</w:t>
      </w:r>
    </w:p>
    <w:p w14:paraId="3F578FC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2.3.2.3 应采用集群部署网络控制，以保障升级时业务不中断；</w:t>
      </w:r>
    </w:p>
    <w:p w14:paraId="38DA3E9D">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2.3.2.4 应实现自动化动态网络资源调配和隔离，支持与互联网、电子政务外网及行业部门专网的连接；</w:t>
      </w:r>
    </w:p>
    <w:p w14:paraId="5100AAB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2.3.2.5 支持 IPv6 地址分配，满足业务系统 IPv6 要求；</w:t>
      </w:r>
    </w:p>
    <w:p w14:paraId="673673C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2.3.2.6 具备边界防火墙和 VPC 防火墙隔离能力，分别针对不同的流量进行安全策略防护与配置；</w:t>
      </w:r>
    </w:p>
    <w:p w14:paraId="755C0C4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2.3.2.7 具备高可用虚拟 IP 能力，在集群或主备场景下，云主机可绑定高可用虚拟 IP，达到高可用访问效果；</w:t>
      </w:r>
    </w:p>
    <w:p w14:paraId="6B5CBAB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2.3.2.8 采用双活网络架构，降低单点故障带来的稳定风险；为入云系统划分安全区域，合理制定访问规则。</w:t>
      </w:r>
    </w:p>
    <w:p w14:paraId="1539692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2.3.2.9 网络系统平均可用性不低于99.9%</w:t>
      </w:r>
    </w:p>
    <w:p w14:paraId="4B90AB3B">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2.3.2.10 远程接入服务支持基于 IP/IP 段、用户/用户组、资产/资产组、协议、危险级别等组合策略进行访问控制，对于不合法的行为予以阻断；可基于运维账号的登录时间和资产登录时间进行访问控制；可基于运维操作命令进行访问控制；可基于主机、用户、IP 地址控制审计日志的访问权限；</w:t>
      </w:r>
    </w:p>
    <w:p w14:paraId="6D6D7FD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2.3.2.11 SSL VPN 接入须实现 Web 接入，TCP 接入，IP 接入等多种方式，能够记录完整的用户访问日志；支持基于用户身份的管理，实现不同身份的用户拥有不同的命令执行权限，并且支持用户视图分级，对于不同级别的用户赋予不同的管理配置权限；可以根据请求报文的目的 IP 地址和目的端口号、源 IP 地址和源端口号进行过滤；采用通过商用密码产品认证的 SSL VPN 产品。</w:t>
      </w:r>
    </w:p>
    <w:p w14:paraId="63D3A6A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2.3.2.12 IPSec VPN 接入须可采用手工配置或自动配置的方式实现 IPSecVPN 隧道的建立，支持对 IKE 策略、IPSec 策略配置及对 VPN 服务、IPSec 站点连接的申请并提供状态监控，能够记录完整的用户访问日志；实现 IPsec 抗重放检测功能、反向路由注入功能，支持 IPv6 协议；采用通过商用密码产品认证的 IPSEC VPN 产品。</w:t>
      </w:r>
    </w:p>
    <w:p w14:paraId="7907E47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2.3.2.13 供应商应强化远程运维管理，因业务确需通过互联网远程运维的，应当采取安全管控措施，向采购提供安全管控方案。重要保障时期避免通过互联网远程运维。</w:t>
      </w:r>
    </w:p>
    <w:p w14:paraId="3D75DFB7">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bookmarkStart w:id="19" w:name="bookmark17"/>
      <w:bookmarkEnd w:id="19"/>
      <w:r>
        <w:rPr>
          <w:rFonts w:hint="eastAsia" w:ascii="Times New Roman" w:hAnsi="Times New Roman" w:eastAsia="宋体" w:cs="Times New Roman"/>
          <w:bCs/>
          <w:color w:val="auto"/>
          <w:kern w:val="0"/>
          <w:sz w:val="24"/>
          <w:szCs w:val="20"/>
          <w:highlight w:val="none"/>
          <w:lang w:val="en-US" w:eastAsia="zh-CN" w:bidi="ar-SA"/>
        </w:rPr>
        <w:t xml:space="preserve">2.4 </w:t>
      </w:r>
      <w:r>
        <w:rPr>
          <w:rFonts w:ascii="Times New Roman" w:hAnsi="Times New Roman" w:eastAsia="宋体" w:cs="Times New Roman"/>
          <w:bCs/>
          <w:color w:val="auto"/>
          <w:kern w:val="0"/>
          <w:sz w:val="24"/>
          <w:szCs w:val="20"/>
          <w:highlight w:val="none"/>
          <w:lang w:val="en-US" w:eastAsia="zh-CN" w:bidi="ar-SA"/>
        </w:rPr>
        <w:t>安全服务</w:t>
      </w:r>
    </w:p>
    <w:p w14:paraId="575FAC10">
      <w:pPr>
        <w:spacing w:before="296" w:line="219" w:lineRule="auto"/>
        <w:ind w:left="487"/>
        <w:rPr>
          <w:rFonts w:ascii="宋体" w:hAnsi="宋体" w:eastAsia="宋体" w:cs="宋体"/>
          <w:color w:val="auto"/>
          <w:sz w:val="24"/>
          <w:highlight w:val="none"/>
        </w:rPr>
      </w:pPr>
      <w:r>
        <w:rPr>
          <w:rFonts w:hint="eastAsia" w:ascii="楷体" w:hAnsi="楷体" w:eastAsia="楷体" w:cs="楷体"/>
          <w:color w:val="auto"/>
          <w:spacing w:val="-7"/>
          <w:sz w:val="24"/>
          <w:highlight w:val="none"/>
        </w:rPr>
        <w:t>2.4</w:t>
      </w:r>
      <w:r>
        <w:rPr>
          <w:rFonts w:ascii="宋体" w:hAnsi="宋体" w:eastAsia="宋体" w:cs="宋体"/>
          <w:color w:val="auto"/>
          <w:spacing w:val="-6"/>
          <w:sz w:val="24"/>
          <w:highlight w:val="none"/>
        </w:rPr>
        <w:t>.1</w:t>
      </w:r>
      <w:r>
        <w:rPr>
          <w:rFonts w:ascii="宋体" w:hAnsi="宋体" w:eastAsia="宋体" w:cs="宋体"/>
          <w:color w:val="auto"/>
          <w:spacing w:val="-47"/>
          <w:sz w:val="24"/>
          <w:highlight w:val="none"/>
        </w:rPr>
        <w:t xml:space="preserve"> </w:t>
      </w:r>
      <w:r>
        <w:rPr>
          <w:rFonts w:ascii="宋体" w:hAnsi="宋体" w:eastAsia="宋体" w:cs="宋体"/>
          <w:color w:val="auto"/>
          <w:spacing w:val="-6"/>
          <w:sz w:val="24"/>
          <w:highlight w:val="none"/>
        </w:rPr>
        <w:t>服务内容</w:t>
      </w:r>
    </w:p>
    <w:p w14:paraId="3E9A80B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54AB21C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2.4.1.1 主机杀毒服务</w:t>
      </w:r>
    </w:p>
    <w:p w14:paraId="1BD0B7A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提供主机杀毒服务，对云主机进行定期的病毒查杀，实施杀毒软件集中控制。</w:t>
      </w:r>
    </w:p>
    <w:p w14:paraId="09EA445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2.4.1.2 主机安全加固 提供主机安全加固服务，针对预警自查、漏洞扫描或等级测评结果对操作系统进行安全加固，用以解决等级测评结果中所显示的漏洞。</w:t>
      </w:r>
    </w:p>
    <w:p w14:paraId="73E0659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2.4.1.3 网页防篡改服务</w:t>
      </w:r>
    </w:p>
    <w:p w14:paraId="4B2293B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按照采购人的具体需求，提供网页防篡改服务。通过防篡改软件对用户页面进行实时防护，减少用户页面被恶意篡改的可能性。</w:t>
      </w:r>
    </w:p>
    <w:p w14:paraId="3F8E1D0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2.4.1.4 云端抗 DDOS 服务</w:t>
      </w:r>
    </w:p>
    <w:p w14:paraId="2731FE9D">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按照采购人的具体需求，根据流量提供云端抗 DDOS 服务，为云内应用系统抵御大流量分布式拒绝服务攻击。在提供服务的过程中需做好与采购人和对应项目的应用开发厂商的协调沟通工作。</w:t>
      </w:r>
    </w:p>
    <w:p w14:paraId="6C1A402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2.4.1.5 主机防护服务</w:t>
      </w:r>
    </w:p>
    <w:p w14:paraId="026B2AFB">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提供符合等保三级要求的主机权限管理及安全防护。可对主机系统安全涉及的控制点形成立体防护。</w:t>
      </w:r>
    </w:p>
    <w:p w14:paraId="19DCC00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2.4.1.6 主机漏洞扫描</w:t>
      </w:r>
    </w:p>
    <w:p w14:paraId="743CE92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基于漏洞数据库，通过扫描等手段对主机安全脆弱性进行检测。</w:t>
      </w:r>
    </w:p>
    <w:p w14:paraId="2A238F73">
      <w:pPr>
        <w:spacing w:before="223" w:line="219" w:lineRule="auto"/>
        <w:ind w:left="487"/>
        <w:rPr>
          <w:rFonts w:ascii="宋体" w:hAnsi="宋体" w:eastAsia="宋体" w:cs="宋体"/>
          <w:color w:val="auto"/>
          <w:sz w:val="24"/>
          <w:highlight w:val="none"/>
        </w:rPr>
      </w:pPr>
      <w:r>
        <w:rPr>
          <w:rFonts w:hint="eastAsia" w:ascii="楷体" w:hAnsi="楷体" w:eastAsia="楷体" w:cs="楷体"/>
          <w:color w:val="auto"/>
          <w:spacing w:val="-7"/>
          <w:sz w:val="24"/>
          <w:highlight w:val="none"/>
        </w:rPr>
        <w:t>2.4</w:t>
      </w:r>
      <w:r>
        <w:rPr>
          <w:rFonts w:ascii="宋体" w:hAnsi="宋体" w:eastAsia="宋体" w:cs="宋体"/>
          <w:color w:val="auto"/>
          <w:spacing w:val="-6"/>
          <w:sz w:val="24"/>
          <w:highlight w:val="none"/>
        </w:rPr>
        <w:t>.2服务标准</w:t>
      </w:r>
    </w:p>
    <w:p w14:paraId="5415B19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2.4.2.1 投标人所投云平台具备完备的安全防护体系和安全防护设备，具有成熟的安全运维方案，应保证各业务应用系统的支撑环境，包括服务器、网络、存储以及相关物理环境，应能满足不低于网络安全等级保护（GB/T22239-2019）第三级要求，并积极配合采购人根据各业务系统具体等保需求，开展相应等保评估、检查、整改等工作。</w:t>
      </w:r>
    </w:p>
    <w:p w14:paraId="45B0971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2.4.2.2 投标人需利用监控系统或人工对机房环境、硬件设备及应用系统的运行情况进行 7*24 小时的不间断巡检监控，及时发现安全隐患，通知相关人员及时处理，并形成监控报告。每周反馈日志审计和数据库审计报告，进行总结分析。</w:t>
      </w:r>
    </w:p>
    <w:p w14:paraId="3676E66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2.4.2.3 投标人需纳入行业监管部门网络安全保障整体工作体系，在涉及重保、安全事件、威胁情报等方面，配合安全服务商开展研判、处置、分析等工作。</w:t>
      </w:r>
    </w:p>
    <w:p w14:paraId="3677CF4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2.4.2.4 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13D2E74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2.4.2.5 投标人需保证安全技术服务能力不低于所承载的信息系统的最高级别，并通过 GB/T 22239 相应等级的测评；符合 GB/T 34080.1，GB/T 34080.2，GB/T 34080.3，GB/T 34080.4 中的规定；通过商用密码应用安全性评估，商用密码应用安全性评估参考 GB/T 39786-2021 中相应等级规定；保障其上的租户安全、容器安全、云主机安全、业务安全和数据安全；</w:t>
      </w:r>
    </w:p>
    <w:p w14:paraId="696830D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2.4.2.6 投标人应坚持制度和技术并重，建立健全网络和数据安全管理制度，落实网络和数据安全管理要求。采取相应技术措施，保障网络免受干扰、破坏或者未经授权的访问，防止数据泄露或者被窃取、篡改、破坏。</w:t>
      </w:r>
    </w:p>
    <w:p w14:paraId="0799B82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2.4.2.7 对于关键信息基础设施，应当落实网络安全审查要求，采购网络产品和服务的，应当预判该产品和服务投入使用后可能带来的国家安全风险，确保采购安全可信的网络产品和服务。影响或者可能影响国家安全的，应当申报网络安全审查。</w:t>
      </w:r>
    </w:p>
    <w:p w14:paraId="673AB84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2.4.2.8 定期开展数据安全风险评估，发现数据安全隐患风险时，应当及时整改加固，采取必要的安全保护措施，防范数据安全风险。</w:t>
      </w:r>
    </w:p>
    <w:p w14:paraId="73A55E6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2.4.2.9 投标人应明确接触网络和信息系统、数据时的申请及审批流程，做好实名登记、权限控制、保密协议签署等管理。</w:t>
      </w:r>
    </w:p>
    <w:p w14:paraId="7BFE057D">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2.4.2.10 在服务期内，承载政务云平台的软硬件应在原厂维保期限内。</w:t>
      </w:r>
    </w:p>
    <w:p w14:paraId="0DB8F1D6">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 xml:space="preserve">2.5 </w:t>
      </w:r>
      <w:r>
        <w:rPr>
          <w:rFonts w:ascii="Times New Roman" w:hAnsi="Times New Roman" w:eastAsia="宋体" w:cs="Times New Roman"/>
          <w:bCs/>
          <w:color w:val="auto"/>
          <w:kern w:val="0"/>
          <w:sz w:val="24"/>
          <w:szCs w:val="20"/>
          <w:highlight w:val="none"/>
          <w:lang w:val="en-US" w:eastAsia="zh-CN" w:bidi="ar-SA"/>
        </w:rPr>
        <w:t>日志服务</w:t>
      </w:r>
    </w:p>
    <w:p w14:paraId="5D75E12A">
      <w:pPr>
        <w:spacing w:before="296" w:line="219" w:lineRule="auto"/>
        <w:ind w:left="498"/>
        <w:rPr>
          <w:rFonts w:ascii="宋体" w:hAnsi="宋体" w:eastAsia="宋体" w:cs="宋体"/>
          <w:color w:val="auto"/>
          <w:sz w:val="24"/>
          <w:highlight w:val="none"/>
        </w:rPr>
      </w:pPr>
      <w:r>
        <w:rPr>
          <w:rFonts w:hint="eastAsia" w:ascii="楷体" w:hAnsi="楷体" w:eastAsia="楷体" w:cs="楷体"/>
          <w:color w:val="auto"/>
          <w:spacing w:val="-16"/>
          <w:sz w:val="24"/>
          <w:highlight w:val="none"/>
        </w:rPr>
        <w:t>2.5</w:t>
      </w:r>
      <w:r>
        <w:rPr>
          <w:rFonts w:ascii="宋体" w:hAnsi="宋体" w:eastAsia="宋体" w:cs="宋体"/>
          <w:color w:val="auto"/>
          <w:spacing w:val="-7"/>
          <w:sz w:val="24"/>
          <w:highlight w:val="none"/>
        </w:rPr>
        <w:t>.1</w:t>
      </w:r>
      <w:r>
        <w:rPr>
          <w:rFonts w:ascii="宋体" w:hAnsi="宋体" w:eastAsia="宋体" w:cs="宋体"/>
          <w:color w:val="auto"/>
          <w:spacing w:val="-48"/>
          <w:sz w:val="24"/>
          <w:highlight w:val="none"/>
        </w:rPr>
        <w:t xml:space="preserve"> </w:t>
      </w:r>
      <w:r>
        <w:rPr>
          <w:rFonts w:ascii="宋体" w:hAnsi="宋体" w:eastAsia="宋体" w:cs="宋体"/>
          <w:color w:val="auto"/>
          <w:spacing w:val="-7"/>
          <w:sz w:val="24"/>
          <w:highlight w:val="none"/>
        </w:rPr>
        <w:t>服务内容</w:t>
      </w:r>
    </w:p>
    <w:p w14:paraId="0174A50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日志是发现问题、定位问题的重要信息，投标人提供统一的日志平台服务，针对操作系统进行日志收集，用于了解主机安全情况及资源使用情况，具体内容如下：</w:t>
      </w:r>
    </w:p>
    <w:p w14:paraId="34B861C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2.5.1.1 数据库审计服务 按照采购人的具体需求，提供数据库审计服务。</w:t>
      </w:r>
    </w:p>
    <w:p w14:paraId="581802E3">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2.5.1.2 主机日志分析 按照采购人的具体需求，提供主机日志分析服务。</w:t>
      </w:r>
    </w:p>
    <w:p w14:paraId="63C89DD9">
      <w:pPr>
        <w:spacing w:before="31" w:line="219" w:lineRule="auto"/>
        <w:ind w:left="498"/>
        <w:rPr>
          <w:rFonts w:ascii="宋体" w:hAnsi="宋体" w:eastAsia="宋体" w:cs="宋体"/>
          <w:color w:val="auto"/>
          <w:sz w:val="24"/>
          <w:highlight w:val="none"/>
        </w:rPr>
      </w:pPr>
      <w:r>
        <w:rPr>
          <w:rFonts w:hint="eastAsia" w:ascii="楷体" w:hAnsi="楷体" w:eastAsia="楷体" w:cs="楷体"/>
          <w:color w:val="auto"/>
          <w:spacing w:val="-16"/>
          <w:sz w:val="24"/>
          <w:highlight w:val="none"/>
        </w:rPr>
        <w:t>2.5</w:t>
      </w:r>
      <w:r>
        <w:rPr>
          <w:rFonts w:ascii="宋体" w:hAnsi="宋体" w:eastAsia="宋体" w:cs="宋体"/>
          <w:color w:val="auto"/>
          <w:spacing w:val="-7"/>
          <w:sz w:val="24"/>
          <w:highlight w:val="none"/>
        </w:rPr>
        <w:t>.2</w:t>
      </w:r>
      <w:r>
        <w:rPr>
          <w:rFonts w:ascii="宋体" w:hAnsi="宋体" w:eastAsia="宋体" w:cs="宋体"/>
          <w:color w:val="auto"/>
          <w:spacing w:val="-48"/>
          <w:sz w:val="24"/>
          <w:highlight w:val="none"/>
        </w:rPr>
        <w:t xml:space="preserve"> </w:t>
      </w:r>
      <w:r>
        <w:rPr>
          <w:rFonts w:ascii="宋体" w:hAnsi="宋体" w:eastAsia="宋体" w:cs="宋体"/>
          <w:color w:val="auto"/>
          <w:spacing w:val="-7"/>
          <w:sz w:val="24"/>
          <w:highlight w:val="none"/>
        </w:rPr>
        <w:t>服务标准</w:t>
      </w:r>
    </w:p>
    <w:p w14:paraId="57C4C679">
      <w:pPr>
        <w:spacing w:before="63" w:line="325" w:lineRule="auto"/>
        <w:ind w:left="2" w:firstLine="477"/>
        <w:rPr>
          <w:rFonts w:ascii="Times New Roman" w:hAnsi="Times New Roman" w:eastAsia="宋体" w:cs="Times New Roman"/>
          <w:color w:val="auto"/>
          <w:highlight w:val="none"/>
        </w:rPr>
      </w:pPr>
      <w:r>
        <w:rPr>
          <w:rFonts w:ascii="宋体" w:hAnsi="宋体" w:eastAsia="宋体" w:cs="宋体"/>
          <w:color w:val="auto"/>
          <w:spacing w:val="-2"/>
          <w:sz w:val="24"/>
          <w:highlight w:val="none"/>
        </w:rPr>
        <w:t>对主机系统日志进行采集分析处理，用于发现各种安全威胁、异常行为事件。</w:t>
      </w:r>
      <w:r>
        <w:rPr>
          <w:rFonts w:ascii="宋体" w:hAnsi="宋体" w:eastAsia="宋体" w:cs="宋体"/>
          <w:color w:val="auto"/>
          <w:spacing w:val="-1"/>
          <w:sz w:val="24"/>
          <w:highlight w:val="none"/>
        </w:rPr>
        <w:t>主机系统日志应集中存储，且日志存储时间不低于</w:t>
      </w:r>
      <w:r>
        <w:rPr>
          <w:rFonts w:ascii="宋体" w:hAnsi="宋体" w:eastAsia="宋体" w:cs="宋体"/>
          <w:color w:val="auto"/>
          <w:spacing w:val="-53"/>
          <w:sz w:val="24"/>
          <w:highlight w:val="none"/>
        </w:rPr>
        <w:t xml:space="preserve"> </w:t>
      </w:r>
      <w:r>
        <w:rPr>
          <w:rFonts w:hint="eastAsia" w:ascii="宋体" w:hAnsi="宋体" w:eastAsia="宋体" w:cs="宋体"/>
          <w:color w:val="auto"/>
          <w:spacing w:val="-1"/>
          <w:sz w:val="24"/>
          <w:highlight w:val="none"/>
        </w:rPr>
        <w:t>6</w:t>
      </w:r>
      <w:r>
        <w:rPr>
          <w:rFonts w:ascii="宋体" w:hAnsi="宋体" w:eastAsia="宋体" w:cs="宋体"/>
          <w:color w:val="auto"/>
          <w:spacing w:val="-51"/>
          <w:sz w:val="24"/>
          <w:highlight w:val="none"/>
        </w:rPr>
        <w:t xml:space="preserve"> </w:t>
      </w:r>
      <w:r>
        <w:rPr>
          <w:rFonts w:ascii="宋体" w:hAnsi="宋体" w:eastAsia="宋体" w:cs="宋体"/>
          <w:color w:val="auto"/>
          <w:spacing w:val="-1"/>
          <w:sz w:val="24"/>
          <w:highlight w:val="none"/>
        </w:rPr>
        <w:t>个</w:t>
      </w:r>
      <w:r>
        <w:rPr>
          <w:rFonts w:ascii="宋体" w:hAnsi="宋体" w:eastAsia="宋体" w:cs="宋体"/>
          <w:color w:val="auto"/>
          <w:spacing w:val="-2"/>
          <w:sz w:val="24"/>
          <w:highlight w:val="none"/>
        </w:rPr>
        <w:t>月。</w:t>
      </w:r>
    </w:p>
    <w:p w14:paraId="53CBAB36">
      <w:pPr>
        <w:keepNext/>
        <w:keepLines/>
        <w:widowControl w:val="0"/>
        <w:adjustRightInd w:val="0"/>
        <w:spacing w:before="280" w:after="290" w:line="376" w:lineRule="atLeast"/>
        <w:jc w:val="both"/>
        <w:textAlignment w:val="baseline"/>
        <w:outlineLvl w:val="3"/>
        <w:rPr>
          <w:rFonts w:ascii="Arial" w:hAnsi="Arial" w:eastAsia="黑体" w:cs="Times New Roman"/>
          <w:bCs/>
          <w:color w:val="auto"/>
          <w:kern w:val="0"/>
          <w:sz w:val="28"/>
          <w:szCs w:val="24"/>
          <w:highlight w:val="none"/>
          <w:lang w:val="en-US" w:eastAsia="zh-CN" w:bidi="ar-SA"/>
        </w:rPr>
      </w:pPr>
      <w:r>
        <w:rPr>
          <w:rFonts w:hint="eastAsia" w:ascii="Arial" w:hAnsi="Arial" w:eastAsia="黑体" w:cs="Times New Roman"/>
          <w:bCs/>
          <w:color w:val="auto"/>
          <w:kern w:val="0"/>
          <w:sz w:val="28"/>
          <w:szCs w:val="24"/>
          <w:highlight w:val="none"/>
          <w:lang w:val="en-US" w:eastAsia="zh-CN" w:bidi="ar-SA"/>
        </w:rPr>
        <w:t>2.6 基础软件支撑服务</w:t>
      </w:r>
    </w:p>
    <w:p w14:paraId="1D0FC53D">
      <w:pPr>
        <w:spacing w:before="293" w:line="219" w:lineRule="auto"/>
        <w:ind w:left="486"/>
        <w:rPr>
          <w:rFonts w:ascii="宋体" w:hAnsi="宋体" w:eastAsia="宋体" w:cs="宋体"/>
          <w:color w:val="auto"/>
          <w:sz w:val="24"/>
          <w:highlight w:val="none"/>
        </w:rPr>
      </w:pPr>
      <w:r>
        <w:rPr>
          <w:rFonts w:hint="eastAsia" w:ascii="楷体" w:hAnsi="楷体" w:eastAsia="楷体" w:cs="楷体"/>
          <w:color w:val="auto"/>
          <w:spacing w:val="-16"/>
          <w:sz w:val="24"/>
          <w:highlight w:val="none"/>
        </w:rPr>
        <w:t>2.6</w:t>
      </w:r>
      <w:r>
        <w:rPr>
          <w:rFonts w:ascii="宋体" w:hAnsi="宋体" w:eastAsia="宋体" w:cs="宋体"/>
          <w:color w:val="auto"/>
          <w:spacing w:val="-6"/>
          <w:sz w:val="24"/>
          <w:highlight w:val="none"/>
        </w:rPr>
        <w:t>.1</w:t>
      </w:r>
      <w:r>
        <w:rPr>
          <w:rFonts w:ascii="宋体" w:hAnsi="宋体" w:eastAsia="宋体" w:cs="宋体"/>
          <w:color w:val="auto"/>
          <w:spacing w:val="-47"/>
          <w:sz w:val="24"/>
          <w:highlight w:val="none"/>
        </w:rPr>
        <w:t xml:space="preserve"> </w:t>
      </w:r>
      <w:r>
        <w:rPr>
          <w:rFonts w:ascii="宋体" w:hAnsi="宋体" w:eastAsia="宋体" w:cs="宋体"/>
          <w:color w:val="auto"/>
          <w:spacing w:val="-6"/>
          <w:sz w:val="24"/>
          <w:highlight w:val="none"/>
        </w:rPr>
        <w:t>服务内容</w:t>
      </w:r>
    </w:p>
    <w:p w14:paraId="760172C9">
      <w:pPr>
        <w:spacing w:before="67" w:line="360" w:lineRule="auto"/>
        <w:ind w:left="3" w:firstLine="480"/>
        <w:rPr>
          <w:rFonts w:ascii="宋体" w:hAnsi="宋体" w:eastAsia="宋体" w:cs="宋体"/>
          <w:color w:val="auto"/>
          <w:sz w:val="24"/>
          <w:highlight w:val="none"/>
        </w:rPr>
      </w:pPr>
      <w:r>
        <w:rPr>
          <w:rFonts w:ascii="宋体" w:hAnsi="宋体" w:eastAsia="宋体" w:cs="宋体"/>
          <w:color w:val="auto"/>
          <w:spacing w:val="-2"/>
          <w:sz w:val="24"/>
          <w:highlight w:val="none"/>
        </w:rPr>
        <w:t>按照采购人的有关管理规定及具体需求，提供商用操作系统、开源操作系统、</w:t>
      </w:r>
      <w:r>
        <w:rPr>
          <w:rFonts w:ascii="宋体" w:hAnsi="宋体" w:eastAsia="宋体" w:cs="宋体"/>
          <w:color w:val="auto"/>
          <w:spacing w:val="3"/>
          <w:sz w:val="24"/>
          <w:highlight w:val="none"/>
        </w:rPr>
        <w:t>国产商用应用中间件、开源应用中间件、商用</w:t>
      </w:r>
      <w:r>
        <w:rPr>
          <w:rFonts w:ascii="宋体" w:hAnsi="宋体" w:eastAsia="宋体" w:cs="宋体"/>
          <w:color w:val="auto"/>
          <w:spacing w:val="2"/>
          <w:sz w:val="24"/>
          <w:highlight w:val="none"/>
        </w:rPr>
        <w:t>数据库、开源数据库等软件支撑服</w:t>
      </w:r>
      <w:r>
        <w:rPr>
          <w:rFonts w:ascii="宋体" w:hAnsi="宋体" w:eastAsia="宋体" w:cs="宋体"/>
          <w:color w:val="auto"/>
          <w:spacing w:val="-6"/>
          <w:sz w:val="24"/>
          <w:highlight w:val="none"/>
        </w:rPr>
        <w:t>务。</w:t>
      </w:r>
    </w:p>
    <w:p w14:paraId="59720529">
      <w:pPr>
        <w:spacing w:before="33" w:line="219" w:lineRule="auto"/>
        <w:ind w:left="486"/>
        <w:rPr>
          <w:rFonts w:ascii="宋体" w:hAnsi="宋体" w:eastAsia="宋体" w:cs="宋体"/>
          <w:color w:val="auto"/>
          <w:sz w:val="24"/>
          <w:highlight w:val="none"/>
        </w:rPr>
      </w:pPr>
      <w:r>
        <w:rPr>
          <w:rFonts w:hint="eastAsia" w:ascii="楷体" w:hAnsi="楷体" w:eastAsia="楷体" w:cs="楷体"/>
          <w:color w:val="auto"/>
          <w:spacing w:val="-16"/>
          <w:sz w:val="24"/>
          <w:highlight w:val="none"/>
        </w:rPr>
        <w:t>2.6</w:t>
      </w:r>
      <w:r>
        <w:rPr>
          <w:rFonts w:ascii="宋体" w:hAnsi="宋体" w:eastAsia="宋体" w:cs="宋体"/>
          <w:color w:val="auto"/>
          <w:spacing w:val="-6"/>
          <w:sz w:val="24"/>
          <w:highlight w:val="none"/>
        </w:rPr>
        <w:t>.2</w:t>
      </w:r>
      <w:r>
        <w:rPr>
          <w:rFonts w:ascii="宋体" w:hAnsi="宋体" w:eastAsia="宋体" w:cs="宋体"/>
          <w:color w:val="auto"/>
          <w:spacing w:val="-47"/>
          <w:sz w:val="24"/>
          <w:highlight w:val="none"/>
        </w:rPr>
        <w:t xml:space="preserve"> </w:t>
      </w:r>
      <w:r>
        <w:rPr>
          <w:rFonts w:ascii="宋体" w:hAnsi="宋体" w:eastAsia="宋体" w:cs="宋体"/>
          <w:color w:val="auto"/>
          <w:spacing w:val="-6"/>
          <w:sz w:val="24"/>
          <w:highlight w:val="none"/>
        </w:rPr>
        <w:t>服务标准</w:t>
      </w:r>
    </w:p>
    <w:p w14:paraId="3D26C0F1">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2.6.2.1 商用操作系统s套餐</w:t>
      </w:r>
    </w:p>
    <w:p w14:paraId="31A0CC9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提供主流商用操作系统服务，支持操作系统的安装部署和各种故障处理。</w:t>
      </w:r>
    </w:p>
    <w:p w14:paraId="0ACC893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2.6.2.2 国产Linux套餐</w:t>
      </w:r>
    </w:p>
    <w:p w14:paraId="7129C60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提供主流开源操作系统服务，支持国产 Linux 操作系统（银河麒麟/中标麒麟/统信等）的各种主流版本，并提供，并提供操作系统的安装部署和各种故障处理。</w:t>
      </w:r>
    </w:p>
    <w:p w14:paraId="0538877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2.6.2.3 中间件套餐</w:t>
      </w:r>
    </w:p>
    <w:p w14:paraId="636817C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提供主流中间件服务，支持国产中间件的主流版本，并提供中间件的安装部署以及各种故障处理和日常维护。</w:t>
      </w:r>
    </w:p>
    <w:p w14:paraId="7529A17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2.6.2.4 国产数据库套餐</w:t>
      </w:r>
    </w:p>
    <w:p w14:paraId="0F58A41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提供国产数据库服务，支持数据库单机、集群的主流版本，提供数据库的安装部署和各种故障处理及日常维护。</w:t>
      </w:r>
    </w:p>
    <w:p w14:paraId="3265C05F">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2.6.2.5 开源数据库套餐</w:t>
      </w:r>
    </w:p>
    <w:p w14:paraId="63B1939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提供主流开源数据库服务，支持 MYSQL 数据库的主流版本，提供数据库的安装部署和各种故障处理及配置优化，提供数据库日常维护。</w:t>
      </w:r>
    </w:p>
    <w:p w14:paraId="023BBC96">
      <w:pPr>
        <w:keepNext/>
        <w:keepLines/>
        <w:widowControl w:val="0"/>
        <w:adjustRightInd w:val="0"/>
        <w:spacing w:before="280" w:after="290" w:line="376" w:lineRule="atLeast"/>
        <w:jc w:val="both"/>
        <w:textAlignment w:val="baseline"/>
        <w:outlineLvl w:val="3"/>
        <w:rPr>
          <w:rFonts w:ascii="Arial" w:hAnsi="Arial" w:eastAsia="黑体" w:cs="Times New Roman"/>
          <w:color w:val="auto"/>
          <w:kern w:val="0"/>
          <w:sz w:val="28"/>
          <w:szCs w:val="24"/>
          <w:highlight w:val="none"/>
          <w:lang w:val="en-US" w:eastAsia="zh-CN" w:bidi="ar-SA"/>
        </w:rPr>
      </w:pPr>
      <w:bookmarkStart w:id="20" w:name="bookmark20"/>
      <w:bookmarkEnd w:id="20"/>
      <w:r>
        <w:rPr>
          <w:rFonts w:hint="eastAsia" w:ascii="Arial" w:hAnsi="Arial" w:eastAsia="黑体" w:cs="Times New Roman"/>
          <w:color w:val="auto"/>
          <w:kern w:val="0"/>
          <w:sz w:val="28"/>
          <w:szCs w:val="24"/>
          <w:highlight w:val="none"/>
          <w:lang w:val="en-US" w:eastAsia="zh-CN" w:bidi="ar-SA"/>
        </w:rPr>
        <w:t>2.7 其他服务</w:t>
      </w:r>
    </w:p>
    <w:p w14:paraId="1D16913D">
      <w:pPr>
        <w:spacing w:before="182" w:line="360" w:lineRule="auto"/>
        <w:ind w:firstLine="480"/>
        <w:rPr>
          <w:rFonts w:ascii="宋体" w:hAnsi="宋体" w:eastAsia="宋体" w:cs="宋体"/>
          <w:color w:val="auto"/>
          <w:spacing w:val="2"/>
          <w:sz w:val="24"/>
          <w:highlight w:val="none"/>
        </w:rPr>
      </w:pPr>
      <w:r>
        <w:rPr>
          <w:rFonts w:ascii="宋体" w:hAnsi="宋体" w:eastAsia="宋体" w:cs="宋体"/>
          <w:color w:val="auto"/>
          <w:spacing w:val="2"/>
          <w:sz w:val="24"/>
          <w:highlight w:val="none"/>
        </w:rPr>
        <w:t>按照采购人的需求提供个性化服务，包括数据库租用服务、数据库安全加固服务、网站安全管理服务、安全隔离网闸租赁服务、网站监测服务</w:t>
      </w:r>
      <w:r>
        <w:rPr>
          <w:rFonts w:hint="eastAsia" w:ascii="宋体" w:hAnsi="宋体" w:eastAsia="宋体" w:cs="宋体"/>
          <w:color w:val="auto"/>
          <w:spacing w:val="2"/>
          <w:sz w:val="24"/>
          <w:highlight w:val="none"/>
        </w:rPr>
        <w:t>－</w:t>
      </w:r>
      <w:r>
        <w:rPr>
          <w:rFonts w:ascii="宋体" w:hAnsi="宋体" w:eastAsia="宋体" w:cs="宋体"/>
          <w:color w:val="auto"/>
          <w:spacing w:val="2"/>
          <w:sz w:val="24"/>
          <w:highlight w:val="none"/>
        </w:rPr>
        <w:t>网站页面访问性能监控</w:t>
      </w:r>
      <w:r>
        <w:rPr>
          <w:rFonts w:hint="eastAsia" w:ascii="宋体" w:hAnsi="宋体" w:eastAsia="宋体" w:cs="宋体"/>
          <w:color w:val="auto"/>
          <w:spacing w:val="2"/>
          <w:sz w:val="24"/>
          <w:highlight w:val="none"/>
        </w:rPr>
        <w:t>等</w:t>
      </w:r>
      <w:r>
        <w:rPr>
          <w:rFonts w:ascii="宋体" w:hAnsi="宋体" w:eastAsia="宋体" w:cs="宋体"/>
          <w:color w:val="auto"/>
          <w:spacing w:val="2"/>
          <w:sz w:val="24"/>
          <w:highlight w:val="none"/>
        </w:rPr>
        <w:t>保测评、业务拓展保障服务。</w:t>
      </w:r>
    </w:p>
    <w:p w14:paraId="05098258">
      <w:pPr>
        <w:spacing w:before="294" w:line="219" w:lineRule="auto"/>
        <w:ind w:left="482"/>
        <w:rPr>
          <w:rFonts w:ascii="宋体" w:hAnsi="宋体" w:eastAsia="宋体" w:cs="宋体"/>
          <w:color w:val="auto"/>
          <w:sz w:val="24"/>
          <w:highlight w:val="none"/>
        </w:rPr>
      </w:pPr>
      <w:r>
        <w:rPr>
          <w:rFonts w:hint="eastAsia" w:ascii="楷体" w:hAnsi="楷体" w:eastAsia="楷体" w:cs="楷体"/>
          <w:color w:val="auto"/>
          <w:spacing w:val="-16"/>
          <w:sz w:val="24"/>
          <w:highlight w:val="none"/>
        </w:rPr>
        <w:t>2.7</w:t>
      </w:r>
      <w:r>
        <w:rPr>
          <w:rFonts w:ascii="宋体" w:hAnsi="宋体" w:eastAsia="宋体" w:cs="宋体"/>
          <w:color w:val="auto"/>
          <w:spacing w:val="-5"/>
          <w:sz w:val="24"/>
          <w:highlight w:val="none"/>
        </w:rPr>
        <w:t>.1</w:t>
      </w:r>
      <w:r>
        <w:rPr>
          <w:rFonts w:ascii="宋体" w:hAnsi="宋体" w:eastAsia="宋体" w:cs="宋体"/>
          <w:color w:val="auto"/>
          <w:spacing w:val="-51"/>
          <w:sz w:val="24"/>
          <w:highlight w:val="none"/>
        </w:rPr>
        <w:t xml:space="preserve"> </w:t>
      </w:r>
      <w:r>
        <w:rPr>
          <w:rFonts w:ascii="宋体" w:hAnsi="宋体" w:eastAsia="宋体" w:cs="宋体"/>
          <w:color w:val="auto"/>
          <w:spacing w:val="-5"/>
          <w:sz w:val="24"/>
          <w:highlight w:val="none"/>
        </w:rPr>
        <w:t>服务内容</w:t>
      </w:r>
    </w:p>
    <w:p w14:paraId="6AA6043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2.7.1.1 snat服务  按照采购人的具体需求，提供snat服务</w:t>
      </w:r>
    </w:p>
    <w:p w14:paraId="68A8917A">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2.7.1.2 16-GPU 按照采购人的具体需求，提供GPU计算服务；</w:t>
      </w:r>
    </w:p>
    <w:p w14:paraId="3462F138">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2.7.1.3 其他服务－增值服务 按照采购人的具体需求，提供语音网关等服务；</w:t>
      </w:r>
    </w:p>
    <w:p w14:paraId="4CA0886B">
      <w:pPr>
        <w:spacing w:before="35" w:line="219" w:lineRule="auto"/>
        <w:ind w:left="498"/>
        <w:rPr>
          <w:rFonts w:ascii="宋体" w:hAnsi="宋体" w:eastAsia="宋体" w:cs="宋体"/>
          <w:color w:val="auto"/>
          <w:sz w:val="24"/>
          <w:highlight w:val="none"/>
        </w:rPr>
      </w:pPr>
      <w:r>
        <w:rPr>
          <w:rFonts w:hint="eastAsia" w:ascii="楷体" w:hAnsi="楷体" w:eastAsia="楷体" w:cs="楷体"/>
          <w:color w:val="auto"/>
          <w:spacing w:val="-16"/>
          <w:sz w:val="24"/>
          <w:highlight w:val="none"/>
        </w:rPr>
        <w:t>2.7</w:t>
      </w:r>
      <w:r>
        <w:rPr>
          <w:rFonts w:ascii="宋体" w:hAnsi="宋体" w:eastAsia="宋体" w:cs="宋体"/>
          <w:color w:val="auto"/>
          <w:spacing w:val="-7"/>
          <w:sz w:val="24"/>
          <w:highlight w:val="none"/>
        </w:rPr>
        <w:t>.</w:t>
      </w:r>
      <w:r>
        <w:rPr>
          <w:rFonts w:hint="eastAsia" w:ascii="宋体" w:hAnsi="宋体" w:eastAsia="宋体" w:cs="宋体"/>
          <w:color w:val="auto"/>
          <w:spacing w:val="-7"/>
          <w:sz w:val="24"/>
          <w:highlight w:val="none"/>
        </w:rPr>
        <w:t>2</w:t>
      </w:r>
      <w:r>
        <w:rPr>
          <w:rFonts w:ascii="宋体" w:hAnsi="宋体" w:eastAsia="宋体" w:cs="宋体"/>
          <w:color w:val="auto"/>
          <w:spacing w:val="-7"/>
          <w:sz w:val="24"/>
          <w:highlight w:val="none"/>
        </w:rPr>
        <w:t>服务规范</w:t>
      </w:r>
    </w:p>
    <w:p w14:paraId="7BF5D310">
      <w:pPr>
        <w:spacing w:before="62" w:line="359" w:lineRule="auto"/>
        <w:ind w:left="2" w:firstLine="480"/>
        <w:rPr>
          <w:rFonts w:ascii="宋体" w:hAnsi="宋体" w:eastAsia="宋体" w:cs="宋体"/>
          <w:color w:val="auto"/>
          <w:sz w:val="24"/>
          <w:highlight w:val="none"/>
        </w:rPr>
      </w:pPr>
      <w:r>
        <w:rPr>
          <w:rFonts w:ascii="宋体" w:hAnsi="宋体" w:eastAsia="宋体" w:cs="宋体"/>
          <w:color w:val="auto"/>
          <w:spacing w:val="-2"/>
          <w:sz w:val="24"/>
          <w:highlight w:val="none"/>
        </w:rPr>
        <w:t>投标人须严格按照采购人制定的管理办法、流程及其他汇报制度、应急制</w:t>
      </w:r>
      <w:r>
        <w:rPr>
          <w:rFonts w:ascii="宋体" w:hAnsi="宋体" w:eastAsia="宋体" w:cs="宋体"/>
          <w:color w:val="auto"/>
          <w:spacing w:val="-3"/>
          <w:sz w:val="24"/>
          <w:highlight w:val="none"/>
        </w:rPr>
        <w:t>度、</w:t>
      </w:r>
      <w:r>
        <w:rPr>
          <w:rFonts w:ascii="宋体" w:hAnsi="宋体" w:eastAsia="宋体" w:cs="宋体"/>
          <w:color w:val="auto"/>
          <w:spacing w:val="3"/>
          <w:sz w:val="24"/>
          <w:highlight w:val="none"/>
        </w:rPr>
        <w:t>文档管理、资产管理、基线管理、人员管理、</w:t>
      </w:r>
      <w:r>
        <w:rPr>
          <w:rFonts w:ascii="宋体" w:hAnsi="宋体" w:eastAsia="宋体" w:cs="宋体"/>
          <w:color w:val="auto"/>
          <w:spacing w:val="2"/>
          <w:sz w:val="24"/>
          <w:highlight w:val="none"/>
        </w:rPr>
        <w:t>培训与考试、知识库管理、安全管</w:t>
      </w:r>
      <w:r>
        <w:rPr>
          <w:rFonts w:ascii="宋体" w:hAnsi="宋体" w:eastAsia="宋体" w:cs="宋体"/>
          <w:color w:val="auto"/>
          <w:spacing w:val="-1"/>
          <w:sz w:val="24"/>
          <w:highlight w:val="none"/>
        </w:rPr>
        <w:t>理等相关制度，开展标准化运维工作。</w:t>
      </w:r>
    </w:p>
    <w:p w14:paraId="3842BC71">
      <w:pPr>
        <w:spacing w:line="362" w:lineRule="auto"/>
        <w:ind w:left="6" w:right="80" w:firstLine="477"/>
        <w:rPr>
          <w:rFonts w:ascii="宋体" w:hAnsi="宋体" w:eastAsia="宋体" w:cs="宋体"/>
          <w:color w:val="auto"/>
          <w:sz w:val="24"/>
          <w:highlight w:val="none"/>
        </w:rPr>
      </w:pPr>
      <w:r>
        <w:rPr>
          <w:rFonts w:ascii="宋体" w:hAnsi="宋体" w:eastAsia="宋体" w:cs="宋体"/>
          <w:color w:val="auto"/>
          <w:spacing w:val="3"/>
          <w:sz w:val="24"/>
          <w:highlight w:val="none"/>
        </w:rPr>
        <w:t>投标人应遵从政务云管理单位的日常管理要求，包括</w:t>
      </w:r>
      <w:r>
        <w:rPr>
          <w:rFonts w:ascii="宋体" w:hAnsi="宋体" w:eastAsia="宋体" w:cs="宋体"/>
          <w:color w:val="auto"/>
          <w:spacing w:val="2"/>
          <w:sz w:val="24"/>
          <w:highlight w:val="none"/>
        </w:rPr>
        <w:t>应使用政务云</w:t>
      </w:r>
      <w:r>
        <w:rPr>
          <w:rFonts w:ascii="宋体" w:hAnsi="宋体" w:eastAsia="宋体" w:cs="宋体"/>
          <w:color w:val="auto"/>
          <w:spacing w:val="-1"/>
          <w:sz w:val="24"/>
          <w:highlight w:val="none"/>
        </w:rPr>
        <w:t>管理单位指定的安全通信工具，确保通信和协调信息处于可控范围。</w:t>
      </w:r>
    </w:p>
    <w:p w14:paraId="74051B55">
      <w:pPr>
        <w:spacing w:before="33" w:line="219" w:lineRule="auto"/>
        <w:ind w:left="498"/>
        <w:rPr>
          <w:rFonts w:ascii="宋体" w:hAnsi="宋体" w:eastAsia="宋体" w:cs="宋体"/>
          <w:color w:val="auto"/>
          <w:sz w:val="24"/>
          <w:highlight w:val="none"/>
        </w:rPr>
      </w:pPr>
      <w:r>
        <w:rPr>
          <w:rFonts w:hint="eastAsia" w:ascii="楷体" w:hAnsi="楷体" w:eastAsia="楷体" w:cs="楷体"/>
          <w:color w:val="auto"/>
          <w:spacing w:val="-16"/>
          <w:sz w:val="24"/>
          <w:highlight w:val="none"/>
        </w:rPr>
        <w:t>2.7</w:t>
      </w:r>
      <w:r>
        <w:rPr>
          <w:rFonts w:ascii="宋体" w:hAnsi="宋体" w:eastAsia="宋体" w:cs="宋体"/>
          <w:color w:val="auto"/>
          <w:spacing w:val="-6"/>
          <w:sz w:val="24"/>
          <w:highlight w:val="none"/>
        </w:rPr>
        <w:t>.3</w:t>
      </w:r>
      <w:r>
        <w:rPr>
          <w:rFonts w:ascii="宋体" w:hAnsi="宋体" w:eastAsia="宋体" w:cs="宋体"/>
          <w:color w:val="auto"/>
          <w:spacing w:val="-47"/>
          <w:sz w:val="24"/>
          <w:highlight w:val="none"/>
        </w:rPr>
        <w:t xml:space="preserve"> </w:t>
      </w:r>
      <w:r>
        <w:rPr>
          <w:rFonts w:ascii="宋体" w:hAnsi="宋体" w:eastAsia="宋体" w:cs="宋体"/>
          <w:color w:val="auto"/>
          <w:spacing w:val="-6"/>
          <w:sz w:val="24"/>
          <w:highlight w:val="none"/>
        </w:rPr>
        <w:t>支撑保障服务</w:t>
      </w:r>
    </w:p>
    <w:p w14:paraId="162D922D">
      <w:pPr>
        <w:spacing w:before="64" w:line="360" w:lineRule="auto"/>
        <w:ind w:firstLine="482"/>
        <w:rPr>
          <w:rFonts w:ascii="宋体" w:hAnsi="宋体" w:eastAsia="宋体" w:cs="宋体"/>
          <w:color w:val="auto"/>
          <w:sz w:val="24"/>
          <w:highlight w:val="none"/>
        </w:rPr>
      </w:pPr>
      <w:r>
        <w:rPr>
          <w:rFonts w:ascii="宋体" w:hAnsi="宋体" w:eastAsia="宋体" w:cs="宋体"/>
          <w:color w:val="auto"/>
          <w:spacing w:val="-2"/>
          <w:sz w:val="24"/>
          <w:highlight w:val="none"/>
        </w:rPr>
        <w:t>按照采购人有关国产数据库改造、国产密码应用改造等相关需求，提供咨询、</w:t>
      </w:r>
      <w:r>
        <w:rPr>
          <w:rFonts w:ascii="宋体" w:hAnsi="宋体" w:eastAsia="宋体" w:cs="宋体"/>
          <w:color w:val="auto"/>
          <w:spacing w:val="-1"/>
          <w:sz w:val="24"/>
          <w:highlight w:val="none"/>
        </w:rPr>
        <w:t>评估、论证、使用等支撑保障服务。</w:t>
      </w:r>
    </w:p>
    <w:p w14:paraId="6B20C9D7">
      <w:pPr>
        <w:spacing w:before="36" w:line="219" w:lineRule="auto"/>
        <w:ind w:left="498"/>
        <w:rPr>
          <w:rFonts w:ascii="宋体" w:hAnsi="宋体" w:eastAsia="宋体" w:cs="宋体"/>
          <w:color w:val="auto"/>
          <w:sz w:val="24"/>
          <w:highlight w:val="none"/>
        </w:rPr>
      </w:pPr>
      <w:r>
        <w:rPr>
          <w:rFonts w:hint="eastAsia" w:ascii="楷体" w:hAnsi="楷体" w:eastAsia="楷体" w:cs="楷体"/>
          <w:color w:val="auto"/>
          <w:spacing w:val="-16"/>
          <w:sz w:val="24"/>
          <w:highlight w:val="none"/>
        </w:rPr>
        <w:t>2.7</w:t>
      </w:r>
      <w:r>
        <w:rPr>
          <w:rFonts w:ascii="宋体" w:hAnsi="宋体" w:eastAsia="宋体" w:cs="宋体"/>
          <w:color w:val="auto"/>
          <w:spacing w:val="-6"/>
          <w:sz w:val="24"/>
          <w:highlight w:val="none"/>
        </w:rPr>
        <w:t>.4</w:t>
      </w:r>
      <w:r>
        <w:rPr>
          <w:rFonts w:ascii="宋体" w:hAnsi="宋体" w:eastAsia="宋体" w:cs="宋体"/>
          <w:color w:val="auto"/>
          <w:spacing w:val="-47"/>
          <w:sz w:val="24"/>
          <w:highlight w:val="none"/>
        </w:rPr>
        <w:t xml:space="preserve"> </w:t>
      </w:r>
      <w:r>
        <w:rPr>
          <w:rFonts w:ascii="宋体" w:hAnsi="宋体" w:eastAsia="宋体" w:cs="宋体"/>
          <w:color w:val="auto"/>
          <w:spacing w:val="-6"/>
          <w:sz w:val="24"/>
          <w:highlight w:val="none"/>
        </w:rPr>
        <w:t>其他技术服务</w:t>
      </w:r>
    </w:p>
    <w:p w14:paraId="63C1D03E">
      <w:pPr>
        <w:spacing w:before="65" w:line="360" w:lineRule="auto"/>
        <w:ind w:right="80" w:firstLine="480"/>
        <w:rPr>
          <w:rFonts w:ascii="楷体" w:hAnsi="楷体" w:eastAsia="楷体" w:cs="楷体"/>
          <w:color w:val="auto"/>
          <w:spacing w:val="-6"/>
          <w:sz w:val="24"/>
          <w:highlight w:val="none"/>
        </w:rPr>
      </w:pPr>
      <w:r>
        <w:rPr>
          <w:rFonts w:ascii="宋体" w:hAnsi="宋体" w:eastAsia="宋体" w:cs="宋体"/>
          <w:color w:val="auto"/>
          <w:spacing w:val="3"/>
          <w:sz w:val="24"/>
          <w:highlight w:val="none"/>
        </w:rPr>
        <w:t>提供性能测试、性能调优、深度巡检、重保护航、全链路</w:t>
      </w:r>
      <w:r>
        <w:rPr>
          <w:rFonts w:ascii="宋体" w:hAnsi="宋体" w:eastAsia="宋体" w:cs="宋体"/>
          <w:color w:val="auto"/>
          <w:spacing w:val="2"/>
          <w:sz w:val="24"/>
          <w:highlight w:val="none"/>
        </w:rPr>
        <w:t>压测、专项咨询等</w:t>
      </w:r>
      <w:r>
        <w:rPr>
          <w:rFonts w:ascii="宋体" w:hAnsi="宋体" w:eastAsia="宋体" w:cs="宋体"/>
          <w:color w:val="auto"/>
          <w:spacing w:val="-5"/>
          <w:sz w:val="24"/>
          <w:highlight w:val="none"/>
        </w:rPr>
        <w:t>服务</w:t>
      </w:r>
    </w:p>
    <w:p w14:paraId="197898FC">
      <w:pPr>
        <w:keepNext/>
        <w:keepLines/>
        <w:widowControl w:val="0"/>
        <w:adjustRightInd w:val="0"/>
        <w:spacing w:before="280" w:after="290" w:line="376" w:lineRule="atLeast"/>
        <w:jc w:val="both"/>
        <w:textAlignment w:val="baseline"/>
        <w:outlineLvl w:val="3"/>
        <w:rPr>
          <w:rFonts w:ascii="Arial" w:hAnsi="Arial" w:eastAsia="黑体" w:cs="Times New Roman"/>
          <w:color w:val="auto"/>
          <w:kern w:val="0"/>
          <w:sz w:val="28"/>
          <w:szCs w:val="24"/>
          <w:highlight w:val="none"/>
          <w:lang w:val="en-US" w:eastAsia="zh-CN" w:bidi="ar-SA"/>
        </w:rPr>
      </w:pPr>
      <w:bookmarkStart w:id="21" w:name="bookmark22"/>
      <w:bookmarkEnd w:id="21"/>
      <w:r>
        <w:rPr>
          <w:rFonts w:hint="eastAsia" w:ascii="Arial" w:hAnsi="Arial" w:eastAsia="黑体" w:cs="Times New Roman"/>
          <w:color w:val="auto"/>
          <w:kern w:val="0"/>
          <w:sz w:val="28"/>
          <w:szCs w:val="24"/>
          <w:highlight w:val="none"/>
          <w:lang w:val="en-US" w:eastAsia="zh-CN" w:bidi="ar-SA"/>
        </w:rPr>
        <w:t>2.8 运维服务</w:t>
      </w:r>
    </w:p>
    <w:p w14:paraId="00422BF5">
      <w:pPr>
        <w:spacing w:before="294" w:line="219" w:lineRule="auto"/>
        <w:ind w:left="482"/>
        <w:rPr>
          <w:rFonts w:ascii="宋体" w:hAnsi="宋体" w:eastAsia="宋体" w:cs="宋体"/>
          <w:color w:val="auto"/>
          <w:sz w:val="24"/>
          <w:highlight w:val="none"/>
        </w:rPr>
      </w:pPr>
      <w:r>
        <w:rPr>
          <w:rFonts w:hint="eastAsia" w:ascii="楷体" w:hAnsi="楷体" w:eastAsia="楷体" w:cs="楷体"/>
          <w:color w:val="auto"/>
          <w:spacing w:val="-16"/>
          <w:sz w:val="24"/>
          <w:highlight w:val="none"/>
        </w:rPr>
        <w:t>2.8</w:t>
      </w:r>
      <w:r>
        <w:rPr>
          <w:rFonts w:ascii="宋体" w:hAnsi="宋体" w:eastAsia="宋体" w:cs="宋体"/>
          <w:color w:val="auto"/>
          <w:spacing w:val="-5"/>
          <w:sz w:val="24"/>
          <w:highlight w:val="none"/>
        </w:rPr>
        <w:t>.1</w:t>
      </w:r>
      <w:r>
        <w:rPr>
          <w:rFonts w:ascii="宋体" w:hAnsi="宋体" w:eastAsia="宋体" w:cs="宋体"/>
          <w:color w:val="auto"/>
          <w:spacing w:val="-50"/>
          <w:sz w:val="24"/>
          <w:highlight w:val="none"/>
        </w:rPr>
        <w:t xml:space="preserve"> </w:t>
      </w:r>
      <w:r>
        <w:rPr>
          <w:rFonts w:ascii="宋体" w:hAnsi="宋体" w:eastAsia="宋体" w:cs="宋体"/>
          <w:color w:val="auto"/>
          <w:spacing w:val="-5"/>
          <w:sz w:val="24"/>
          <w:highlight w:val="none"/>
        </w:rPr>
        <w:t>服务内容</w:t>
      </w:r>
    </w:p>
    <w:p w14:paraId="2912FB7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2.8.1.1 负责机房环境资源、云平台硬件资产、虚拟化资产的管理工作；</w:t>
      </w:r>
    </w:p>
    <w:p w14:paraId="5B72BB3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2.8.1.2 信息系统入云、上线、变更、退出等各阶段的备案与信息变更等工作；</w:t>
      </w:r>
    </w:p>
    <w:p w14:paraId="3F7A9C4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2.8.1.3 执行云平台变更申请、审批流程；</w:t>
      </w:r>
    </w:p>
    <w:p w14:paraId="6ECF60B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2.8.1.4 云平台网络资源管理，针对内部地址使用情况、云平台专线接入情况、政务外网资源使用情况等做好统计工作；</w:t>
      </w:r>
    </w:p>
    <w:p w14:paraId="742E709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2.8.1.5 服务期内，投标人须配备运维团队，提供可靠的售后服务保障。投标人针对采购人要求的云平台运维服务相关内容，需指定专业技术能力较强的工程师，根据采购人要求配合开展相关维护服务。</w:t>
      </w:r>
    </w:p>
    <w:p w14:paraId="18BCCDA4">
      <w:pPr>
        <w:spacing w:before="183" w:line="359" w:lineRule="auto"/>
        <w:ind w:right="61" w:firstLine="482"/>
        <w:rPr>
          <w:rFonts w:ascii="宋体" w:hAnsi="宋体" w:eastAsia="宋体" w:cs="宋体"/>
          <w:color w:val="auto"/>
          <w:sz w:val="24"/>
          <w:highlight w:val="none"/>
        </w:rPr>
      </w:pPr>
      <w:r>
        <w:rPr>
          <w:rFonts w:hint="eastAsia" w:ascii="楷体" w:hAnsi="楷体" w:eastAsia="楷体" w:cs="楷体"/>
          <w:color w:val="auto"/>
          <w:spacing w:val="-16"/>
          <w:sz w:val="24"/>
          <w:highlight w:val="none"/>
        </w:rPr>
        <w:t>2.8</w:t>
      </w:r>
      <w:r>
        <w:rPr>
          <w:rFonts w:ascii="宋体" w:hAnsi="宋体" w:eastAsia="宋体" w:cs="宋体"/>
          <w:color w:val="auto"/>
          <w:spacing w:val="-5"/>
          <w:sz w:val="24"/>
          <w:highlight w:val="none"/>
        </w:rPr>
        <w:t>.2</w:t>
      </w:r>
      <w:r>
        <w:rPr>
          <w:rFonts w:ascii="宋体" w:hAnsi="宋体" w:eastAsia="宋体" w:cs="宋体"/>
          <w:color w:val="auto"/>
          <w:spacing w:val="-50"/>
          <w:sz w:val="24"/>
          <w:highlight w:val="none"/>
        </w:rPr>
        <w:t xml:space="preserve"> </w:t>
      </w:r>
      <w:r>
        <w:rPr>
          <w:rFonts w:ascii="宋体" w:hAnsi="宋体" w:eastAsia="宋体" w:cs="宋体"/>
          <w:color w:val="auto"/>
          <w:spacing w:val="-5"/>
          <w:sz w:val="24"/>
          <w:highlight w:val="none"/>
        </w:rPr>
        <w:t>服务标准</w:t>
      </w:r>
    </w:p>
    <w:p w14:paraId="4DBE44E5">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2.8.2.1 依据《北京市市级政务云管理办法》，投标人应当提供高效的系统维护服务，有效防范系统风险，系统对应负责人 7*24 小时电话畅通，能够在系统发生除宕机外的其他故障问题时，能够协调人力资源在 2 小时内到达政务云机房现场提供服务。系统发生宕机问题时，投标人应在 15 分钟内响应，能够协调人力资源在 2 小时内到达运维现场定位、排除故障，在 4 小时之内使系统恢复正常，故障处理完毕后提供相关系统宕机报告。</w:t>
      </w:r>
    </w:p>
    <w:p w14:paraId="5B78FBF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2.8.2.2 为保障业务高峰期内系统平稳运行，缓解系统高峰期内因业务发生量增大而带来系统压力风险，要求投标人根据业务周期性特点，加大运维保障力度，保证在业务高峰期内系统平稳运行。</w:t>
      </w:r>
    </w:p>
    <w:p w14:paraId="61C4A25C">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2.8.2.3 重点保障时期重要信息系统云主机资源调整时间不超过 1 小时，针对重点保障时期的重要信息系统重要云主机，投标人应按采购人要求进行实时监控，超过预警阈值时主动上调云资源，并第一时间通知采购人进行相应操作，确保系统平稳运行。</w:t>
      </w:r>
    </w:p>
    <w:p w14:paraId="60BF43D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2.8.2.4 按照国家、北京市相关规定和信息安全技术标准及规范要求， 落实安全保障措施， 通过信息安全测评机构的测评和政务云安全审查 。</w:t>
      </w:r>
    </w:p>
    <w:p w14:paraId="09B238B6">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2.8.2.5 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09568AD4">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2.8.2.6 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3D70761">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2.8.2.7 投标人应保障政务云规范运行。入云系统应开展网络安全测评及备案。应对数据进行分类分级管理，根据数据分级保护要求采取相应级别的安全防护措施；应按相关要求对重要数据进行异地备份。</w:t>
      </w:r>
    </w:p>
    <w:p w14:paraId="47E77C6B">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2.8.2.8 除不可抗力或计划内维护作业造成的政务云服务中断外，政务云实行24小时不间断运行。</w:t>
      </w:r>
    </w:p>
    <w:p w14:paraId="5B0CFE23">
      <w:pPr>
        <w:keepNext/>
        <w:keepLines/>
        <w:widowControl w:val="0"/>
        <w:adjustRightInd w:val="0"/>
        <w:spacing w:before="280" w:after="290" w:line="376" w:lineRule="atLeast"/>
        <w:jc w:val="both"/>
        <w:textAlignment w:val="baseline"/>
        <w:outlineLvl w:val="3"/>
        <w:rPr>
          <w:rFonts w:ascii="Arial" w:hAnsi="Arial" w:eastAsia="黑体" w:cs="Times New Roman"/>
          <w:bCs/>
          <w:color w:val="auto"/>
          <w:kern w:val="0"/>
          <w:sz w:val="28"/>
          <w:szCs w:val="24"/>
          <w:highlight w:val="none"/>
          <w:lang w:val="en-US" w:eastAsia="zh-CN" w:bidi="ar-SA"/>
        </w:rPr>
      </w:pPr>
      <w:bookmarkStart w:id="22" w:name="bookmark23"/>
      <w:bookmarkEnd w:id="22"/>
      <w:r>
        <w:rPr>
          <w:rFonts w:hint="eastAsia" w:ascii="Arial" w:hAnsi="Arial" w:eastAsia="黑体" w:cs="Times New Roman"/>
          <w:bCs/>
          <w:color w:val="auto"/>
          <w:kern w:val="0"/>
          <w:sz w:val="28"/>
          <w:szCs w:val="24"/>
          <w:highlight w:val="none"/>
          <w:lang w:val="en-US" w:eastAsia="zh-CN" w:bidi="ar-SA"/>
        </w:rPr>
        <w:t>2.9 备份服务</w:t>
      </w:r>
    </w:p>
    <w:p w14:paraId="3CAE0B41">
      <w:pPr>
        <w:spacing w:before="293" w:line="219" w:lineRule="auto"/>
        <w:ind w:left="481"/>
        <w:rPr>
          <w:rFonts w:ascii="宋体" w:hAnsi="宋体" w:eastAsia="宋体" w:cs="宋体"/>
          <w:color w:val="auto"/>
          <w:sz w:val="24"/>
          <w:highlight w:val="none"/>
        </w:rPr>
      </w:pPr>
      <w:r>
        <w:rPr>
          <w:rFonts w:hint="eastAsia" w:ascii="楷体" w:hAnsi="楷体" w:eastAsia="楷体" w:cs="楷体"/>
          <w:color w:val="auto"/>
          <w:spacing w:val="-16"/>
          <w:sz w:val="24"/>
          <w:highlight w:val="none"/>
        </w:rPr>
        <w:t>2.9</w:t>
      </w:r>
      <w:r>
        <w:rPr>
          <w:rFonts w:ascii="宋体" w:hAnsi="宋体" w:eastAsia="宋体" w:cs="宋体"/>
          <w:color w:val="auto"/>
          <w:spacing w:val="-5"/>
          <w:sz w:val="24"/>
          <w:highlight w:val="none"/>
        </w:rPr>
        <w:t>.1</w:t>
      </w:r>
      <w:r>
        <w:rPr>
          <w:rFonts w:ascii="宋体" w:hAnsi="宋体" w:eastAsia="宋体" w:cs="宋体"/>
          <w:color w:val="auto"/>
          <w:spacing w:val="-50"/>
          <w:sz w:val="24"/>
          <w:highlight w:val="none"/>
        </w:rPr>
        <w:t xml:space="preserve"> </w:t>
      </w:r>
      <w:r>
        <w:rPr>
          <w:rFonts w:ascii="宋体" w:hAnsi="宋体" w:eastAsia="宋体" w:cs="宋体"/>
          <w:color w:val="auto"/>
          <w:spacing w:val="-5"/>
          <w:sz w:val="24"/>
          <w:highlight w:val="none"/>
        </w:rPr>
        <w:t>服务内容</w:t>
      </w:r>
    </w:p>
    <w:p w14:paraId="50E871C8">
      <w:pPr>
        <w:spacing w:before="66" w:line="360" w:lineRule="auto"/>
        <w:ind w:left="6" w:right="80" w:firstLine="477"/>
        <w:rPr>
          <w:rFonts w:ascii="宋体" w:hAnsi="宋体" w:eastAsia="宋体" w:cs="宋体"/>
          <w:color w:val="auto"/>
          <w:sz w:val="24"/>
          <w:highlight w:val="none"/>
        </w:rPr>
      </w:pPr>
      <w:r>
        <w:rPr>
          <w:rFonts w:ascii="宋体" w:hAnsi="宋体" w:eastAsia="宋体" w:cs="宋体"/>
          <w:color w:val="auto"/>
          <w:spacing w:val="3"/>
          <w:sz w:val="24"/>
          <w:highlight w:val="none"/>
        </w:rPr>
        <w:t>投标人</w:t>
      </w:r>
      <w:r>
        <w:rPr>
          <w:rFonts w:hint="eastAsia" w:ascii="宋体" w:hAnsi="宋体" w:eastAsia="宋体" w:cs="宋体"/>
          <w:color w:val="auto"/>
          <w:spacing w:val="3"/>
          <w:sz w:val="24"/>
          <w:highlight w:val="none"/>
        </w:rPr>
        <w:t>须</w:t>
      </w:r>
      <w:r>
        <w:rPr>
          <w:rFonts w:ascii="宋体" w:hAnsi="宋体" w:eastAsia="宋体" w:cs="宋体"/>
          <w:color w:val="auto"/>
          <w:spacing w:val="3"/>
          <w:sz w:val="24"/>
          <w:highlight w:val="none"/>
        </w:rPr>
        <w:t>具有本地和同城异地数据级备份能力，并配</w:t>
      </w:r>
      <w:r>
        <w:rPr>
          <w:rFonts w:ascii="宋体" w:hAnsi="宋体" w:eastAsia="宋体" w:cs="宋体"/>
          <w:color w:val="auto"/>
          <w:spacing w:val="2"/>
          <w:sz w:val="24"/>
          <w:highlight w:val="none"/>
        </w:rPr>
        <w:t>合采购人完成数据级容</w:t>
      </w:r>
      <w:r>
        <w:rPr>
          <w:rFonts w:ascii="宋体" w:hAnsi="宋体" w:eastAsia="宋体" w:cs="宋体"/>
          <w:color w:val="auto"/>
          <w:spacing w:val="-2"/>
          <w:sz w:val="24"/>
          <w:highlight w:val="none"/>
        </w:rPr>
        <w:t>灾演练及恢复等工作。</w:t>
      </w:r>
    </w:p>
    <w:p w14:paraId="49529B5C">
      <w:pPr>
        <w:spacing w:before="60" w:line="219" w:lineRule="auto"/>
        <w:ind w:left="481"/>
        <w:rPr>
          <w:rFonts w:ascii="宋体" w:hAnsi="宋体" w:eastAsia="宋体" w:cs="宋体"/>
          <w:color w:val="auto"/>
          <w:sz w:val="24"/>
          <w:highlight w:val="none"/>
        </w:rPr>
      </w:pPr>
      <w:r>
        <w:rPr>
          <w:rFonts w:hint="eastAsia" w:ascii="楷体" w:hAnsi="楷体" w:eastAsia="楷体" w:cs="楷体"/>
          <w:color w:val="auto"/>
          <w:spacing w:val="-16"/>
          <w:sz w:val="24"/>
          <w:highlight w:val="none"/>
        </w:rPr>
        <w:t>2.9</w:t>
      </w:r>
      <w:r>
        <w:rPr>
          <w:rFonts w:ascii="宋体" w:hAnsi="宋体" w:eastAsia="宋体" w:cs="宋体"/>
          <w:color w:val="auto"/>
          <w:spacing w:val="-5"/>
          <w:sz w:val="24"/>
          <w:highlight w:val="none"/>
        </w:rPr>
        <w:t>.2</w:t>
      </w:r>
      <w:r>
        <w:rPr>
          <w:rFonts w:ascii="宋体" w:hAnsi="宋体" w:eastAsia="宋体" w:cs="宋体"/>
          <w:color w:val="auto"/>
          <w:spacing w:val="-50"/>
          <w:sz w:val="24"/>
          <w:highlight w:val="none"/>
        </w:rPr>
        <w:t xml:space="preserve"> </w:t>
      </w:r>
      <w:r>
        <w:rPr>
          <w:rFonts w:ascii="宋体" w:hAnsi="宋体" w:eastAsia="宋体" w:cs="宋体"/>
          <w:color w:val="auto"/>
          <w:spacing w:val="-5"/>
          <w:sz w:val="24"/>
          <w:highlight w:val="none"/>
        </w:rPr>
        <w:t>服务标准</w:t>
      </w:r>
    </w:p>
    <w:p w14:paraId="52D32B37">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3"/>
          <w:sz w:val="24"/>
          <w:highlight w:val="none"/>
        </w:rPr>
        <w:t>按照采购人的各个应用系统对资源的备份需求通过备份</w:t>
      </w:r>
      <w:r>
        <w:rPr>
          <w:rFonts w:ascii="宋体" w:hAnsi="宋体" w:eastAsia="宋体" w:cs="宋体"/>
          <w:color w:val="auto"/>
          <w:spacing w:val="2"/>
          <w:sz w:val="24"/>
          <w:highlight w:val="none"/>
        </w:rPr>
        <w:t>策略实现对用户数据（文件、操作系统、数据库）的本地备份（不包含备份存储空间费用</w:t>
      </w:r>
      <w:r>
        <w:rPr>
          <w:rFonts w:ascii="宋体" w:hAnsi="宋体" w:eastAsia="宋体" w:cs="宋体"/>
          <w:color w:val="auto"/>
          <w:spacing w:val="13"/>
          <w:sz w:val="24"/>
          <w:highlight w:val="none"/>
        </w:rPr>
        <w:t>），</w:t>
      </w:r>
      <w:r>
        <w:rPr>
          <w:rFonts w:hint="eastAsia" w:ascii="宋体" w:hAnsi="宋体" w:eastAsia="宋体" w:cs="宋体"/>
          <w:color w:val="auto"/>
          <w:spacing w:val="-1"/>
          <w:sz w:val="24"/>
          <w:highlight w:val="none"/>
        </w:rPr>
        <w:t>默认提供非结构化数据保护与文件备份保护。备份应满足如下要求：</w:t>
      </w:r>
    </w:p>
    <w:p w14:paraId="410A66F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2.9.2.1 备份介质本身具备高可用性和冗余性。</w:t>
      </w:r>
    </w:p>
    <w:p w14:paraId="6B69C44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2.9.2.2 备份方式包括完整备份、差异备份和增量备份。</w:t>
      </w:r>
    </w:p>
    <w:p w14:paraId="0FCCE58F">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2.9.2.3 支持Windows 系列操作系统、Linux 主流系统操作系统、主流数据库软件、主流中间件软件、结构化数据以及非结构化数据等备份对象。</w:t>
      </w:r>
    </w:p>
    <w:p w14:paraId="34ED4E8E">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2.9.2.4 支持建立统一的备份管理系统，用来管理本地备份和异地备份。</w:t>
      </w:r>
    </w:p>
    <w:p w14:paraId="6FCF3480">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2.9.2.5 投标人应提供对备份过程状态、备份结果提供运维监控保障服务，确保备份任务执行成功以及备份的数据完整性。</w:t>
      </w:r>
    </w:p>
    <w:p w14:paraId="2CD69E90">
      <w:pPr>
        <w:keepNext/>
        <w:keepLines/>
        <w:widowControl w:val="0"/>
        <w:adjustRightInd w:val="0"/>
        <w:spacing w:before="280" w:after="290" w:line="376" w:lineRule="atLeast"/>
        <w:jc w:val="both"/>
        <w:textAlignment w:val="baseline"/>
        <w:outlineLvl w:val="3"/>
        <w:rPr>
          <w:rFonts w:ascii="Times New Roman" w:hAnsi="Times New Roman" w:eastAsia="宋体" w:cs="Times New Roman"/>
          <w:color w:val="auto"/>
          <w:kern w:val="0"/>
          <w:sz w:val="24"/>
          <w:szCs w:val="20"/>
          <w:highlight w:val="none"/>
          <w:lang w:val="en-US" w:eastAsia="zh-CN" w:bidi="ar-SA"/>
        </w:rPr>
      </w:pPr>
      <w:bookmarkStart w:id="23" w:name="bookmark24"/>
      <w:bookmarkEnd w:id="23"/>
      <w:bookmarkStart w:id="24" w:name="bookmark25"/>
      <w:bookmarkEnd w:id="24"/>
      <w:r>
        <w:rPr>
          <w:rFonts w:hint="eastAsia" w:ascii="Times New Roman" w:hAnsi="Times New Roman" w:eastAsia="宋体" w:cs="Times New Roman"/>
          <w:color w:val="auto"/>
          <w:kern w:val="0"/>
          <w:sz w:val="24"/>
          <w:szCs w:val="20"/>
          <w:highlight w:val="none"/>
          <w:lang w:val="en-US" w:eastAsia="zh-CN" w:bidi="ar-SA"/>
        </w:rPr>
        <w:t>2.10 迁移服务</w:t>
      </w:r>
    </w:p>
    <w:p w14:paraId="4FBAC5F0">
      <w:pPr>
        <w:spacing w:before="293" w:line="219" w:lineRule="auto"/>
        <w:ind w:left="499"/>
        <w:rPr>
          <w:rFonts w:ascii="宋体" w:hAnsi="宋体" w:eastAsia="宋体" w:cs="宋体"/>
          <w:color w:val="auto"/>
          <w:sz w:val="24"/>
          <w:highlight w:val="none"/>
        </w:rPr>
      </w:pPr>
      <w:r>
        <w:rPr>
          <w:rFonts w:hint="eastAsia" w:ascii="楷体" w:hAnsi="楷体" w:eastAsia="楷体" w:cs="楷体"/>
          <w:color w:val="auto"/>
          <w:spacing w:val="-6"/>
          <w:sz w:val="24"/>
          <w:highlight w:val="none"/>
        </w:rPr>
        <w:t>2.10</w:t>
      </w:r>
      <w:r>
        <w:rPr>
          <w:rFonts w:ascii="宋体" w:hAnsi="宋体" w:eastAsia="宋体" w:cs="宋体"/>
          <w:color w:val="auto"/>
          <w:spacing w:val="-7"/>
          <w:sz w:val="24"/>
          <w:highlight w:val="none"/>
        </w:rPr>
        <w:t>.1</w:t>
      </w:r>
      <w:r>
        <w:rPr>
          <w:rFonts w:ascii="宋体" w:hAnsi="宋体" w:eastAsia="宋体" w:cs="宋体"/>
          <w:color w:val="auto"/>
          <w:spacing w:val="-48"/>
          <w:sz w:val="24"/>
          <w:highlight w:val="none"/>
        </w:rPr>
        <w:t xml:space="preserve"> </w:t>
      </w:r>
      <w:r>
        <w:rPr>
          <w:rFonts w:ascii="宋体" w:hAnsi="宋体" w:eastAsia="宋体" w:cs="宋体"/>
          <w:color w:val="auto"/>
          <w:spacing w:val="-7"/>
          <w:sz w:val="24"/>
          <w:highlight w:val="none"/>
        </w:rPr>
        <w:t>服务内容</w:t>
      </w:r>
    </w:p>
    <w:p w14:paraId="5F741C4D">
      <w:pPr>
        <w:spacing w:before="67" w:line="360" w:lineRule="auto"/>
        <w:ind w:right="61" w:firstLine="483"/>
        <w:rPr>
          <w:rFonts w:ascii="宋体" w:hAnsi="宋体" w:eastAsia="宋体" w:cs="宋体"/>
          <w:color w:val="auto"/>
          <w:sz w:val="24"/>
          <w:highlight w:val="none"/>
        </w:rPr>
      </w:pPr>
      <w:r>
        <w:rPr>
          <w:rFonts w:ascii="宋体" w:hAnsi="宋体" w:eastAsia="宋体" w:cs="宋体"/>
          <w:color w:val="auto"/>
          <w:spacing w:val="-2"/>
          <w:sz w:val="24"/>
          <w:highlight w:val="none"/>
        </w:rPr>
        <w:t>投标人需提供整体的业务上云迁移服务，应支持X86</w:t>
      </w:r>
      <w:r>
        <w:rPr>
          <w:rFonts w:ascii="宋体" w:hAnsi="宋体" w:eastAsia="宋体" w:cs="宋体"/>
          <w:color w:val="auto"/>
          <w:spacing w:val="-28"/>
          <w:sz w:val="24"/>
          <w:highlight w:val="none"/>
        </w:rPr>
        <w:t xml:space="preserve"> </w:t>
      </w:r>
      <w:r>
        <w:rPr>
          <w:rFonts w:ascii="宋体" w:hAnsi="宋体" w:eastAsia="宋体" w:cs="宋体"/>
          <w:color w:val="auto"/>
          <w:spacing w:val="-2"/>
          <w:sz w:val="24"/>
          <w:highlight w:val="none"/>
        </w:rPr>
        <w:t>云主机迁移、X86</w:t>
      </w:r>
      <w:r>
        <w:rPr>
          <w:rFonts w:ascii="宋体" w:hAnsi="宋体" w:eastAsia="宋体" w:cs="宋体"/>
          <w:color w:val="auto"/>
          <w:spacing w:val="-51"/>
          <w:sz w:val="24"/>
          <w:highlight w:val="none"/>
        </w:rPr>
        <w:t xml:space="preserve"> </w:t>
      </w:r>
      <w:r>
        <w:rPr>
          <w:rFonts w:ascii="宋体" w:hAnsi="宋体" w:eastAsia="宋体" w:cs="宋体"/>
          <w:color w:val="auto"/>
          <w:spacing w:val="-2"/>
          <w:sz w:val="24"/>
          <w:highlight w:val="none"/>
        </w:rPr>
        <w:t>物理主</w:t>
      </w:r>
      <w:r>
        <w:rPr>
          <w:rFonts w:ascii="宋体" w:hAnsi="宋体" w:eastAsia="宋体" w:cs="宋体"/>
          <w:color w:val="auto"/>
          <w:spacing w:val="3"/>
          <w:sz w:val="24"/>
          <w:highlight w:val="none"/>
        </w:rPr>
        <w:t>机迁移、单机数据库迁移、高可用数据库迁移等迁移</w:t>
      </w:r>
      <w:r>
        <w:rPr>
          <w:rFonts w:ascii="宋体" w:hAnsi="宋体" w:eastAsia="宋体" w:cs="宋体"/>
          <w:color w:val="auto"/>
          <w:spacing w:val="2"/>
          <w:sz w:val="24"/>
          <w:highlight w:val="none"/>
        </w:rPr>
        <w:t>场景。负责需求调研、架构</w:t>
      </w:r>
      <w:r>
        <w:rPr>
          <w:rFonts w:ascii="宋体" w:hAnsi="宋体" w:eastAsia="宋体" w:cs="宋体"/>
          <w:color w:val="auto"/>
          <w:spacing w:val="-1"/>
          <w:sz w:val="24"/>
          <w:highlight w:val="none"/>
        </w:rPr>
        <w:t>规划设计、应用迁移部署等工作。</w:t>
      </w:r>
    </w:p>
    <w:p w14:paraId="060C5297">
      <w:pPr>
        <w:spacing w:before="32" w:line="219" w:lineRule="auto"/>
        <w:ind w:left="499"/>
        <w:rPr>
          <w:rFonts w:ascii="宋体" w:hAnsi="宋体" w:eastAsia="宋体" w:cs="宋体"/>
          <w:color w:val="auto"/>
          <w:sz w:val="24"/>
          <w:highlight w:val="none"/>
        </w:rPr>
      </w:pPr>
      <w:r>
        <w:rPr>
          <w:rFonts w:hint="eastAsia" w:ascii="楷体" w:hAnsi="楷体" w:eastAsia="楷体" w:cs="楷体"/>
          <w:color w:val="auto"/>
          <w:spacing w:val="-6"/>
          <w:sz w:val="24"/>
          <w:highlight w:val="none"/>
        </w:rPr>
        <w:t>2.10</w:t>
      </w:r>
      <w:r>
        <w:rPr>
          <w:rFonts w:ascii="宋体" w:hAnsi="宋体" w:eastAsia="宋体" w:cs="宋体"/>
          <w:color w:val="auto"/>
          <w:spacing w:val="-7"/>
          <w:sz w:val="24"/>
          <w:highlight w:val="none"/>
        </w:rPr>
        <w:t>.2</w:t>
      </w:r>
      <w:r>
        <w:rPr>
          <w:rFonts w:ascii="宋体" w:hAnsi="宋体" w:eastAsia="宋体" w:cs="宋体"/>
          <w:color w:val="auto"/>
          <w:spacing w:val="-48"/>
          <w:sz w:val="24"/>
          <w:highlight w:val="none"/>
        </w:rPr>
        <w:t xml:space="preserve"> </w:t>
      </w:r>
      <w:r>
        <w:rPr>
          <w:rFonts w:ascii="宋体" w:hAnsi="宋体" w:eastAsia="宋体" w:cs="宋体"/>
          <w:color w:val="auto"/>
          <w:spacing w:val="-7"/>
          <w:sz w:val="24"/>
          <w:highlight w:val="none"/>
        </w:rPr>
        <w:t>服务标准</w:t>
      </w:r>
    </w:p>
    <w:p w14:paraId="755394F8">
      <w:pPr>
        <w:spacing w:before="183" w:line="359" w:lineRule="auto"/>
        <w:ind w:right="61" w:firstLine="482"/>
        <w:rPr>
          <w:rFonts w:ascii="宋体" w:hAnsi="宋体" w:eastAsia="宋体" w:cs="宋体"/>
          <w:color w:val="auto"/>
          <w:spacing w:val="-1"/>
          <w:sz w:val="24"/>
          <w:highlight w:val="none"/>
        </w:rPr>
      </w:pPr>
      <w:r>
        <w:rPr>
          <w:rFonts w:ascii="宋体" w:hAnsi="宋体" w:eastAsia="宋体" w:cs="宋体"/>
          <w:color w:val="auto"/>
          <w:spacing w:val="-3"/>
          <w:sz w:val="24"/>
          <w:highlight w:val="none"/>
        </w:rPr>
        <w:t>本项目涉及的业务系统为采购人在用的生产系统，目前在政务云上平稳运行，</w:t>
      </w:r>
      <w:r>
        <w:rPr>
          <w:rFonts w:hint="eastAsia" w:ascii="宋体" w:hAnsi="宋体" w:eastAsia="宋体" w:cs="宋体"/>
          <w:color w:val="auto"/>
          <w:spacing w:val="-1"/>
          <w:sz w:val="24"/>
          <w:highlight w:val="none"/>
        </w:rPr>
        <w:t>因此保障业务连续性是重要的保障需求。迁移服务具体要求如下：</w:t>
      </w:r>
    </w:p>
    <w:p w14:paraId="55E9D439">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2.10.2.1 投标人需编制业务连续性服务方案。</w:t>
      </w:r>
    </w:p>
    <w:p w14:paraId="2E927212">
      <w:pPr>
        <w:spacing w:before="183" w:line="359" w:lineRule="auto"/>
        <w:ind w:right="61" w:firstLine="482"/>
        <w:rPr>
          <w:rFonts w:ascii="宋体" w:hAnsi="宋体" w:eastAsia="宋体" w:cs="宋体"/>
          <w:color w:val="auto"/>
          <w:spacing w:val="-1"/>
          <w:sz w:val="24"/>
          <w:highlight w:val="none"/>
        </w:rPr>
      </w:pPr>
      <w:r>
        <w:rPr>
          <w:rFonts w:hint="eastAsia" w:ascii="宋体" w:hAnsi="宋体" w:eastAsia="宋体" w:cs="宋体"/>
          <w:color w:val="auto"/>
          <w:spacing w:val="-1"/>
          <w:sz w:val="24"/>
          <w:highlight w:val="none"/>
        </w:rPr>
        <w:t>2.10.2.2 本项目如涉及系统迁移，在连续性服务方案中需提供确实可行的迁移部署服务子方案，迁移部署服务子方案应包括迁移部署流程（包含应用、虚拟机和数据类迁移）、业务系统部署迁移方案。迁移部署服务子方案应明确需要采购人配合的具体工作内容及时长，针对系统迁移过程中容易造成业务系统中断的环节，包含互联网及政务外网 IP 变更割接、业务数据同步及切换上线、应急回退方案等，进行风险评估，提出详细解决方案。</w:t>
      </w:r>
    </w:p>
    <w:p w14:paraId="21D8BB5B">
      <w:pPr>
        <w:snapToGrid w:val="0"/>
        <w:spacing w:before="183" w:line="359" w:lineRule="auto"/>
        <w:ind w:left="360" w:right="61" w:firstLine="482"/>
        <w:rPr>
          <w:rFonts w:ascii="Times New Roman" w:hAnsi="宋体" w:eastAsia="宋体" w:cs="宋体"/>
          <w:color w:val="auto"/>
          <w:spacing w:val="-1"/>
          <w:highlight w:val="none"/>
        </w:rPr>
      </w:pPr>
      <w:r>
        <w:rPr>
          <w:rFonts w:ascii="宋体" w:hAnsi="宋体" w:eastAsia="宋体" w:cs="宋体"/>
          <w:color w:val="auto"/>
          <w:spacing w:val="-1"/>
          <w:sz w:val="24"/>
          <w:highlight w:val="none"/>
        </w:rPr>
        <w:t xml:space="preserve">2.10.2.3 </w:t>
      </w:r>
      <w:r>
        <w:rPr>
          <w:rFonts w:hint="eastAsia" w:ascii="宋体" w:hAnsi="宋体" w:eastAsia="宋体" w:cs="宋体"/>
          <w:color w:val="auto"/>
          <w:spacing w:val="-1"/>
          <w:sz w:val="24"/>
          <w:highlight w:val="none"/>
        </w:rPr>
        <w:t>投标人须承诺，若涉及业务迁移，需在不中断业务的前提下，自合同生效之日起</w:t>
      </w:r>
      <w:r>
        <w:rPr>
          <w:rFonts w:ascii="宋体" w:hAnsi="宋体" w:eastAsia="宋体" w:cs="宋体"/>
          <w:color w:val="auto"/>
          <w:spacing w:val="-1"/>
          <w:sz w:val="24"/>
          <w:highlight w:val="none"/>
        </w:rPr>
        <w:t>8</w:t>
      </w:r>
      <w:r>
        <w:rPr>
          <w:rFonts w:hint="eastAsia" w:ascii="宋体" w:hAnsi="宋体" w:eastAsia="宋体" w:cs="宋体"/>
          <w:color w:val="auto"/>
          <w:spacing w:val="-1"/>
          <w:sz w:val="24"/>
          <w:highlight w:val="none"/>
        </w:rPr>
        <w:t>个工作日内完成全部系统迁移，并且不能改变和影响原有系统的功能、技术状态以及采购人的使用习惯，因此产生的各项费用（包括测试阶段的云资源费用，系统运维商对业务系统的部署、调试费用等）由投标人承担。迁移完成后，投标人需确保原有系统的功能、技术状态及采购人使用习惯无任何改变或影响，并提交迁移、测试及功能验证报告后，由采购人组织验收。</w:t>
      </w:r>
    </w:p>
    <w:p w14:paraId="0802519F">
      <w:pPr>
        <w:spacing w:before="183" w:line="359" w:lineRule="auto"/>
        <w:ind w:right="61" w:firstLine="0"/>
        <w:rPr>
          <w:rFonts w:ascii="宋体" w:hAnsi="宋体" w:eastAsia="宋体" w:cs="宋体"/>
          <w:color w:val="auto"/>
          <w:spacing w:val="3"/>
          <w:sz w:val="24"/>
          <w:highlight w:val="none"/>
        </w:rPr>
      </w:pPr>
      <w:r>
        <w:rPr>
          <w:rFonts w:hint="eastAsia" w:ascii="宋体" w:hAnsi="宋体" w:eastAsia="宋体" w:cs="宋体"/>
          <w:color w:val="auto"/>
          <w:spacing w:val="-1"/>
          <w:sz w:val="24"/>
          <w:highlight w:val="none"/>
        </w:rPr>
        <w:t>未按时完成迁移或验收不合格且逾期未整改的，每逾期</w:t>
      </w:r>
      <w:r>
        <w:rPr>
          <w:rFonts w:ascii="宋体" w:hAnsi="宋体" w:eastAsia="宋体" w:cs="宋体"/>
          <w:color w:val="auto"/>
          <w:spacing w:val="-1"/>
          <w:sz w:val="24"/>
          <w:highlight w:val="none"/>
        </w:rPr>
        <w:t>1日，投标人应向采购人支付合同总金额0.3%的违约金；逾期超过7日的，采购人有权解除合同，投标人应向采购人支付合同总金额20%的违约金，并赔偿采购人因此造成的全部实际损失（包括业务中断损失、重新招标成本、第三方索赔等）。</w:t>
      </w:r>
    </w:p>
    <w:p w14:paraId="6DF94003">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bookmarkStart w:id="25" w:name="bookmark26"/>
      <w:bookmarkEnd w:id="25"/>
      <w:r>
        <w:rPr>
          <w:rFonts w:hint="eastAsia" w:ascii="Times New Roman" w:hAnsi="Times New Roman" w:eastAsia="宋体" w:cs="Times New Roman"/>
          <w:bCs/>
          <w:color w:val="auto"/>
          <w:kern w:val="0"/>
          <w:sz w:val="24"/>
          <w:szCs w:val="20"/>
          <w:highlight w:val="none"/>
          <w:lang w:val="en-US" w:eastAsia="zh-CN" w:bidi="ar-SA"/>
        </w:rPr>
        <w:t xml:space="preserve">2.11 </w:t>
      </w:r>
      <w:r>
        <w:rPr>
          <w:rFonts w:ascii="Times New Roman" w:hAnsi="Times New Roman" w:eastAsia="宋体" w:cs="Times New Roman"/>
          <w:bCs/>
          <w:color w:val="auto"/>
          <w:kern w:val="0"/>
          <w:sz w:val="24"/>
          <w:szCs w:val="20"/>
          <w:highlight w:val="none"/>
          <w:lang w:val="en-US" w:eastAsia="zh-CN" w:bidi="ar-SA"/>
        </w:rPr>
        <w:t>培训服务</w:t>
      </w:r>
    </w:p>
    <w:p w14:paraId="6B9BC3E6">
      <w:pPr>
        <w:spacing w:before="254" w:line="362" w:lineRule="auto"/>
        <w:ind w:left="9" w:firstLine="475"/>
        <w:rPr>
          <w:rFonts w:ascii="宋体" w:hAnsi="宋体" w:eastAsia="宋体" w:cs="宋体"/>
          <w:bCs/>
          <w:color w:val="auto"/>
          <w:sz w:val="24"/>
          <w:highlight w:val="none"/>
        </w:rPr>
      </w:pPr>
      <w:r>
        <w:rPr>
          <w:rFonts w:ascii="宋体" w:hAnsi="宋体" w:eastAsia="宋体" w:cs="宋体"/>
          <w:bCs/>
          <w:color w:val="auto"/>
          <w:spacing w:val="3"/>
          <w:sz w:val="24"/>
          <w:highlight w:val="none"/>
        </w:rPr>
        <w:t>投标人提供云服务操作手册，并为采购人提供必要的</w:t>
      </w:r>
      <w:r>
        <w:rPr>
          <w:rFonts w:ascii="宋体" w:hAnsi="宋体" w:eastAsia="宋体" w:cs="宋体"/>
          <w:bCs/>
          <w:color w:val="auto"/>
          <w:spacing w:val="2"/>
          <w:sz w:val="24"/>
          <w:highlight w:val="none"/>
        </w:rPr>
        <w:t>使用培训，</w:t>
      </w:r>
      <w:r>
        <w:rPr>
          <w:rFonts w:hint="eastAsia" w:ascii="宋体" w:hAnsi="宋体" w:eastAsia="宋体" w:cs="宋体"/>
          <w:bCs/>
          <w:color w:val="auto"/>
          <w:spacing w:val="2"/>
          <w:sz w:val="24"/>
          <w:highlight w:val="none"/>
        </w:rPr>
        <w:t>按需</w:t>
      </w:r>
      <w:r>
        <w:rPr>
          <w:rFonts w:ascii="宋体" w:hAnsi="宋体" w:eastAsia="宋体" w:cs="宋体"/>
          <w:bCs/>
          <w:color w:val="auto"/>
          <w:spacing w:val="2"/>
          <w:sz w:val="24"/>
          <w:highlight w:val="none"/>
        </w:rPr>
        <w:t>提供以</w:t>
      </w:r>
      <w:r>
        <w:rPr>
          <w:rFonts w:ascii="宋体" w:hAnsi="宋体" w:eastAsia="宋体" w:cs="宋体"/>
          <w:bCs/>
          <w:color w:val="auto"/>
          <w:spacing w:val="-5"/>
          <w:sz w:val="24"/>
          <w:highlight w:val="none"/>
        </w:rPr>
        <w:t>下内容：</w:t>
      </w:r>
    </w:p>
    <w:p w14:paraId="054F297E">
      <w:pPr>
        <w:spacing w:before="127" w:line="219" w:lineRule="auto"/>
        <w:ind w:left="499"/>
        <w:rPr>
          <w:rFonts w:ascii="宋体" w:hAnsi="宋体" w:eastAsia="宋体" w:cs="宋体"/>
          <w:bCs/>
          <w:color w:val="auto"/>
          <w:sz w:val="24"/>
          <w:highlight w:val="none"/>
        </w:rPr>
      </w:pPr>
      <w:r>
        <w:rPr>
          <w:rFonts w:hint="eastAsia" w:ascii="楷体" w:hAnsi="楷体" w:eastAsia="楷体" w:cs="楷体"/>
          <w:bCs/>
          <w:color w:val="auto"/>
          <w:spacing w:val="-6"/>
          <w:sz w:val="24"/>
          <w:highlight w:val="none"/>
        </w:rPr>
        <w:t>2.11</w:t>
      </w:r>
      <w:r>
        <w:rPr>
          <w:rFonts w:ascii="宋体" w:hAnsi="宋体" w:eastAsia="宋体" w:cs="宋体"/>
          <w:bCs/>
          <w:color w:val="auto"/>
          <w:spacing w:val="-11"/>
          <w:sz w:val="24"/>
          <w:highlight w:val="none"/>
        </w:rPr>
        <w:t>.1</w:t>
      </w:r>
      <w:r>
        <w:rPr>
          <w:rFonts w:ascii="宋体" w:hAnsi="宋体" w:eastAsia="宋体" w:cs="宋体"/>
          <w:bCs/>
          <w:color w:val="auto"/>
          <w:spacing w:val="-16"/>
          <w:sz w:val="24"/>
          <w:highlight w:val="none"/>
        </w:rPr>
        <w:t xml:space="preserve"> </w:t>
      </w:r>
      <w:r>
        <w:rPr>
          <w:rFonts w:ascii="宋体" w:hAnsi="宋体" w:eastAsia="宋体" w:cs="宋体"/>
          <w:bCs/>
          <w:color w:val="auto"/>
          <w:spacing w:val="-11"/>
          <w:sz w:val="24"/>
          <w:highlight w:val="none"/>
        </w:rPr>
        <w:t>内部培训</w:t>
      </w:r>
    </w:p>
    <w:p w14:paraId="0223A729">
      <w:pPr>
        <w:spacing w:before="161" w:line="219" w:lineRule="auto"/>
        <w:ind w:left="510"/>
        <w:rPr>
          <w:rFonts w:ascii="宋体" w:hAnsi="宋体" w:eastAsia="宋体" w:cs="宋体"/>
          <w:bCs/>
          <w:color w:val="auto"/>
          <w:sz w:val="24"/>
          <w:highlight w:val="none"/>
        </w:rPr>
      </w:pPr>
      <w:r>
        <w:rPr>
          <w:rFonts w:ascii="宋体" w:hAnsi="宋体" w:eastAsia="宋体" w:cs="宋体"/>
          <w:bCs/>
          <w:color w:val="auto"/>
          <w:spacing w:val="-1"/>
          <w:sz w:val="24"/>
          <w:highlight w:val="none"/>
        </w:rPr>
        <w:t>内部培训旨在提高云平台运维能力，规范运维管理。内</w:t>
      </w:r>
      <w:r>
        <w:rPr>
          <w:rFonts w:ascii="宋体" w:hAnsi="宋体" w:eastAsia="宋体" w:cs="宋体"/>
          <w:bCs/>
          <w:color w:val="auto"/>
          <w:spacing w:val="-2"/>
          <w:sz w:val="24"/>
          <w:highlight w:val="none"/>
        </w:rPr>
        <w:t>容包括：</w:t>
      </w:r>
    </w:p>
    <w:p w14:paraId="058F1323">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w:t>
      </w:r>
      <w:r>
        <w:rPr>
          <w:rFonts w:ascii="宋体" w:hAnsi="宋体" w:eastAsia="宋体" w:cs="宋体"/>
          <w:bCs/>
          <w:color w:val="auto"/>
          <w:spacing w:val="-3"/>
          <w:sz w:val="24"/>
          <w:highlight w:val="none"/>
        </w:rPr>
        <w:t>.1.1 面向项目管理人员、系统管理人员的培训，确保此类人员能清晰地了解云平台的设计理念和设计方法，掌握云平台的整体结构，以及各类云资源的申请、审核、开通、回收等管理流程。</w:t>
      </w:r>
    </w:p>
    <w:p w14:paraId="37EA0F41">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w:t>
      </w:r>
      <w:r>
        <w:rPr>
          <w:rFonts w:ascii="宋体" w:hAnsi="宋体" w:eastAsia="宋体" w:cs="宋体"/>
          <w:bCs/>
          <w:color w:val="auto"/>
          <w:spacing w:val="-3"/>
          <w:sz w:val="24"/>
          <w:highlight w:val="none"/>
        </w:rPr>
        <w:t>.1.2 面向系统维护人员的培训，确保此类人员能理解和掌握云平台的相关技术知识，能够熟练地维护云平台，快速定位和解决系统出现的问题，保证云平台服务期间正常运转，并持续提高运维服务质量。</w:t>
      </w:r>
    </w:p>
    <w:p w14:paraId="3518AC9F">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w:t>
      </w:r>
      <w:r>
        <w:rPr>
          <w:rFonts w:ascii="宋体" w:hAnsi="宋体" w:eastAsia="宋体" w:cs="宋体"/>
          <w:bCs/>
          <w:color w:val="auto"/>
          <w:spacing w:val="-3"/>
          <w:sz w:val="24"/>
          <w:highlight w:val="none"/>
        </w:rPr>
        <w:t>.1.3 本单位人员的安全培训教育，确保工作人员符合岗位要求。</w:t>
      </w:r>
    </w:p>
    <w:p w14:paraId="68A44569">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w:t>
      </w:r>
      <w:r>
        <w:rPr>
          <w:rFonts w:ascii="宋体" w:hAnsi="宋体" w:eastAsia="宋体" w:cs="宋体"/>
          <w:bCs/>
          <w:color w:val="auto"/>
          <w:spacing w:val="-3"/>
          <w:sz w:val="24"/>
          <w:highlight w:val="none"/>
        </w:rPr>
        <w:t>.1.4 云平台维护人员的定期业务培训和保密培训，重保前的业务培训和应急保障培训等。</w:t>
      </w:r>
    </w:p>
    <w:p w14:paraId="4CEB331B">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w:t>
      </w:r>
      <w:r>
        <w:rPr>
          <w:rFonts w:ascii="宋体" w:hAnsi="宋体" w:eastAsia="宋体" w:cs="宋体"/>
          <w:bCs/>
          <w:color w:val="auto"/>
          <w:spacing w:val="-3"/>
          <w:sz w:val="24"/>
          <w:highlight w:val="none"/>
        </w:rPr>
        <w:t>.1.5 面向管理单位的培训，确保此类人员充分了解云平台的技术架构、服务水平等。</w:t>
      </w:r>
    </w:p>
    <w:p w14:paraId="51E1EA47">
      <w:pPr>
        <w:spacing w:before="132" w:line="219" w:lineRule="auto"/>
        <w:ind w:left="499"/>
        <w:rPr>
          <w:rFonts w:ascii="宋体" w:hAnsi="宋体" w:eastAsia="宋体" w:cs="宋体"/>
          <w:bCs/>
          <w:color w:val="auto"/>
          <w:sz w:val="24"/>
          <w:highlight w:val="none"/>
        </w:rPr>
      </w:pPr>
      <w:r>
        <w:rPr>
          <w:rFonts w:hint="eastAsia" w:ascii="楷体" w:hAnsi="楷体" w:eastAsia="楷体" w:cs="楷体"/>
          <w:bCs/>
          <w:color w:val="auto"/>
          <w:spacing w:val="-6"/>
          <w:sz w:val="24"/>
          <w:highlight w:val="none"/>
        </w:rPr>
        <w:t>2.11</w:t>
      </w:r>
      <w:r>
        <w:rPr>
          <w:rFonts w:ascii="宋体" w:hAnsi="宋体" w:eastAsia="宋体" w:cs="宋体"/>
          <w:bCs/>
          <w:color w:val="auto"/>
          <w:spacing w:val="-8"/>
          <w:sz w:val="24"/>
          <w:highlight w:val="none"/>
        </w:rPr>
        <w:t>.2</w:t>
      </w:r>
      <w:r>
        <w:rPr>
          <w:rFonts w:ascii="宋体" w:hAnsi="宋体" w:eastAsia="宋体" w:cs="宋体"/>
          <w:bCs/>
          <w:color w:val="auto"/>
          <w:spacing w:val="-40"/>
          <w:sz w:val="24"/>
          <w:highlight w:val="none"/>
        </w:rPr>
        <w:t xml:space="preserve"> </w:t>
      </w:r>
      <w:r>
        <w:rPr>
          <w:rFonts w:ascii="宋体" w:hAnsi="宋体" w:eastAsia="宋体" w:cs="宋体"/>
          <w:bCs/>
          <w:color w:val="auto"/>
          <w:spacing w:val="-8"/>
          <w:sz w:val="24"/>
          <w:highlight w:val="none"/>
        </w:rPr>
        <w:t>外部培训</w:t>
      </w:r>
    </w:p>
    <w:p w14:paraId="2F3FE13D">
      <w:pPr>
        <w:spacing w:before="183" w:line="359" w:lineRule="auto"/>
        <w:ind w:right="61" w:firstLine="482"/>
        <w:rPr>
          <w:rFonts w:ascii="宋体" w:hAnsi="宋体" w:eastAsia="宋体" w:cs="宋体"/>
          <w:bCs/>
          <w:color w:val="auto"/>
          <w:spacing w:val="-3"/>
          <w:sz w:val="24"/>
          <w:highlight w:val="none"/>
        </w:rPr>
      </w:pPr>
      <w:r>
        <w:rPr>
          <w:rFonts w:ascii="宋体" w:hAnsi="宋体" w:eastAsia="宋体" w:cs="宋体"/>
          <w:bCs/>
          <w:color w:val="auto"/>
          <w:spacing w:val="3"/>
          <w:sz w:val="24"/>
          <w:highlight w:val="none"/>
        </w:rPr>
        <w:t>投标人应根据本项目的特点制定培训方案并提供培训</w:t>
      </w:r>
      <w:r>
        <w:rPr>
          <w:rFonts w:ascii="宋体" w:hAnsi="宋体" w:eastAsia="宋体" w:cs="宋体"/>
          <w:bCs/>
          <w:color w:val="auto"/>
          <w:spacing w:val="2"/>
          <w:sz w:val="24"/>
          <w:highlight w:val="none"/>
        </w:rPr>
        <w:t>，负责安排专业培训讲</w:t>
      </w:r>
      <w:r>
        <w:rPr>
          <w:rFonts w:ascii="宋体" w:hAnsi="宋体" w:eastAsia="宋体" w:cs="宋体"/>
          <w:bCs/>
          <w:color w:val="auto"/>
          <w:spacing w:val="3"/>
          <w:sz w:val="24"/>
          <w:highlight w:val="none"/>
        </w:rPr>
        <w:t>师授课，并提供全套培训教材和培训课程计划表，</w:t>
      </w:r>
      <w:r>
        <w:rPr>
          <w:rFonts w:ascii="宋体" w:hAnsi="宋体" w:eastAsia="宋体" w:cs="宋体"/>
          <w:bCs/>
          <w:color w:val="auto"/>
          <w:spacing w:val="2"/>
          <w:sz w:val="24"/>
          <w:highlight w:val="none"/>
        </w:rPr>
        <w:t>培训课程涵盖云平台使用</w:t>
      </w:r>
      <w:r>
        <w:rPr>
          <w:rFonts w:hint="eastAsia" w:ascii="宋体" w:hAnsi="宋体" w:eastAsia="宋体" w:cs="宋体"/>
          <w:bCs/>
          <w:color w:val="auto"/>
          <w:spacing w:val="-3"/>
          <w:sz w:val="24"/>
          <w:highlight w:val="none"/>
        </w:rPr>
        <w:t>和管理培训，采购人在培训后能够独立使用相关服务功能。投标人每年应组织安排至少一次针对采购人的系统入云及用户培训。投标人应将所有培训费用（含培训教材费）及各项支出计入资源租赁费用中，不单独报价。内容包括：</w:t>
      </w:r>
    </w:p>
    <w:p w14:paraId="1F14FE91">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2.11.2.1 面向采购人和开发人员的技术交流，包括云架构规划咨询、应用系统部署、迁移，云平台运维及其他技术服务。</w:t>
      </w:r>
    </w:p>
    <w:p w14:paraId="650EF2C9">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2.11.2.2 面向采购人的培训，确保云平台最终用户能理解和掌握各类云服务的使用方法和操作技巧，能够高效、熟练地基于云平台部署上层业务应用，最终使采购人在培训后能够独立使用相关服务功能，而不必依赖投标人现场指导。</w:t>
      </w:r>
    </w:p>
    <w:p w14:paraId="677D447A">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2.11.2.3 面向开发人员的培训，确保其能理解和掌握基于云平台的开发规范，针对具体的业务应用场景能够充分发挥云平台的技术优势，合理地设计上层业务应用的技术架构，制订部署、迁移方案，评估云资源的容量需求。</w:t>
      </w:r>
    </w:p>
    <w:p w14:paraId="10B900A0">
      <w:pPr>
        <w:spacing w:before="183" w:line="359" w:lineRule="auto"/>
        <w:ind w:right="61" w:firstLine="482"/>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2.11.2.4 定期对系统相关的人员进行应急预案培训，并进行应急预案的演练；每年至少开展 1 次云平台应急演练。</w:t>
      </w:r>
    </w:p>
    <w:p w14:paraId="4E2D1F68">
      <w:pPr>
        <w:spacing w:before="183" w:line="359" w:lineRule="auto"/>
        <w:ind w:right="61" w:firstLine="482"/>
        <w:rPr>
          <w:rFonts w:ascii="宋体" w:hAnsi="宋体" w:eastAsia="宋体" w:cs="宋体"/>
          <w:bCs/>
          <w:color w:val="auto"/>
          <w:spacing w:val="-1"/>
          <w:sz w:val="24"/>
          <w:highlight w:val="none"/>
        </w:rPr>
      </w:pPr>
      <w:r>
        <w:rPr>
          <w:rFonts w:hint="eastAsia" w:ascii="宋体" w:hAnsi="宋体" w:eastAsia="宋体" w:cs="宋体"/>
          <w:bCs/>
          <w:color w:val="auto"/>
          <w:spacing w:val="-3"/>
          <w:sz w:val="24"/>
          <w:highlight w:val="none"/>
        </w:rPr>
        <w:t>2.11.2.5 投标人应在此基础上制定针</w:t>
      </w:r>
      <w:r>
        <w:rPr>
          <w:rFonts w:ascii="宋体" w:hAnsi="宋体" w:eastAsia="宋体" w:cs="宋体"/>
          <w:bCs/>
          <w:color w:val="auto"/>
          <w:spacing w:val="-1"/>
          <w:sz w:val="24"/>
          <w:highlight w:val="none"/>
        </w:rPr>
        <w:t>对本单位的培训方案。</w:t>
      </w:r>
    </w:p>
    <w:p w14:paraId="30C22C70">
      <w:pPr>
        <w:keepNext/>
        <w:keepLines/>
        <w:widowControl w:val="0"/>
        <w:autoSpaceDE w:val="0"/>
        <w:autoSpaceDN w:val="0"/>
        <w:adjustRightInd w:val="0"/>
        <w:spacing w:before="360" w:after="120"/>
        <w:jc w:val="left"/>
        <w:outlineLvl w:val="2"/>
        <w:rPr>
          <w:rFonts w:ascii="宋体" w:hAnsi="Times New Roman" w:eastAsia="宋体" w:cs="Times New Roman"/>
          <w:b w:val="0"/>
          <w:bCs/>
          <w:color w:val="auto"/>
          <w:kern w:val="0"/>
          <w:sz w:val="24"/>
          <w:szCs w:val="20"/>
          <w:highlight w:val="none"/>
          <w:u w:val="single"/>
          <w:lang w:val="en-US" w:eastAsia="zh-CN" w:bidi="ar-SA"/>
        </w:rPr>
      </w:pPr>
      <w:r>
        <w:rPr>
          <w:rFonts w:hint="eastAsia" w:ascii="宋体" w:hAnsi="Times New Roman" w:eastAsia="宋体" w:cs="Times New Roman"/>
          <w:b w:val="0"/>
          <w:bCs/>
          <w:color w:val="auto"/>
          <w:kern w:val="0"/>
          <w:sz w:val="24"/>
          <w:szCs w:val="20"/>
          <w:highlight w:val="none"/>
          <w:u w:val="single"/>
          <w:lang w:val="en-US" w:eastAsia="zh-CN" w:bidi="ar-SA"/>
        </w:rPr>
        <w:t>3</w:t>
      </w:r>
      <w:r>
        <w:rPr>
          <w:rFonts w:ascii="宋体" w:hAnsi="Times New Roman" w:eastAsia="宋体" w:cs="Times New Roman"/>
          <w:b w:val="0"/>
          <w:bCs/>
          <w:color w:val="auto"/>
          <w:kern w:val="0"/>
          <w:sz w:val="24"/>
          <w:szCs w:val="20"/>
          <w:highlight w:val="none"/>
          <w:u w:val="single"/>
          <w:lang w:val="en-US" w:eastAsia="zh-CN" w:bidi="ar-SA"/>
        </w:rPr>
        <w:t>.</w:t>
      </w:r>
      <w:r>
        <w:rPr>
          <w:rFonts w:hint="eastAsia" w:ascii="宋体" w:hAnsi="Times New Roman" w:eastAsia="宋体" w:cs="Times New Roman"/>
          <w:b w:val="0"/>
          <w:bCs/>
          <w:color w:val="auto"/>
          <w:kern w:val="0"/>
          <w:sz w:val="24"/>
          <w:szCs w:val="20"/>
          <w:highlight w:val="none"/>
          <w:u w:val="single"/>
          <w:lang w:val="en-US" w:eastAsia="zh-CN" w:bidi="ar-SA"/>
        </w:rPr>
        <w:t>验收标准</w:t>
      </w:r>
    </w:p>
    <w:p w14:paraId="247EF478">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3</w:t>
      </w:r>
      <w:r>
        <w:rPr>
          <w:rFonts w:ascii="Times New Roman" w:hAnsi="Times New Roman" w:eastAsia="宋体" w:cs="Times New Roman"/>
          <w:bCs/>
          <w:color w:val="auto"/>
          <w:kern w:val="0"/>
          <w:sz w:val="24"/>
          <w:szCs w:val="20"/>
          <w:highlight w:val="none"/>
          <w:lang w:val="en-US" w:eastAsia="zh-CN" w:bidi="ar-SA"/>
        </w:rPr>
        <w:t xml:space="preserve">.1.服务绩效指标 </w:t>
      </w:r>
    </w:p>
    <w:p w14:paraId="57190B15">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（1）云</w:t>
      </w:r>
      <w:r>
        <w:rPr>
          <w:rFonts w:hint="eastAsia" w:ascii="宋体" w:hAnsi="宋体" w:eastAsia="宋体" w:cs="Times New Roman"/>
          <w:bCs/>
          <w:color w:val="auto"/>
          <w:sz w:val="24"/>
          <w:highlight w:val="none"/>
        </w:rPr>
        <w:t>服务</w:t>
      </w:r>
      <w:r>
        <w:rPr>
          <w:rFonts w:ascii="宋体" w:hAnsi="宋体" w:eastAsia="宋体" w:cs="Times New Roman"/>
          <w:bCs/>
          <w:color w:val="auto"/>
          <w:sz w:val="24"/>
          <w:highlight w:val="none"/>
        </w:rPr>
        <w:t>期内整体可用性应不低于99.99%，数据可靠性应不低于99.9999%。</w:t>
      </w:r>
    </w:p>
    <w:p w14:paraId="18FBFDB1">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 xml:space="preserve">（2）故障响应率100%； </w:t>
      </w:r>
    </w:p>
    <w:p w14:paraId="0CB69D46">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（3）应急响应时间≤10分钟（重大事件1分钟内响应）；</w:t>
      </w:r>
    </w:p>
    <w:p w14:paraId="325CE4D0">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3</w:t>
      </w:r>
      <w:r>
        <w:rPr>
          <w:rFonts w:ascii="Times New Roman" w:hAnsi="Times New Roman" w:eastAsia="宋体" w:cs="Times New Roman"/>
          <w:bCs/>
          <w:color w:val="auto"/>
          <w:kern w:val="0"/>
          <w:sz w:val="24"/>
          <w:szCs w:val="20"/>
          <w:highlight w:val="none"/>
          <w:lang w:val="en-US" w:eastAsia="zh-CN" w:bidi="ar-SA"/>
        </w:rPr>
        <w:t xml:space="preserve">.2.项目验收要求 </w:t>
      </w:r>
    </w:p>
    <w:p w14:paraId="3735AA1E">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 xml:space="preserve">（1）投标人所提供的北京市市级政务云基础资源服务应遵循客观、科学、合理的原则，符合《北京市市级政务云管理办法》的相关标准及要求。 </w:t>
      </w:r>
    </w:p>
    <w:p w14:paraId="6F6F1E59">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 xml:space="preserve">（2）投标人所提供资源应满足采购文件规定的要求。保证合同期内系统安全稳定运行，不因硬件故障导致累计服务中断23小时及以上。 </w:t>
      </w:r>
    </w:p>
    <w:p w14:paraId="30BF0D14">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 xml:space="preserve">（3）供应商于合同服务期结束后的15个工作日内向采购人提交验收申请及项目验收材料，采购人在收到验收申请后的5个工作日内，确定具体验收日期。投标人应当在采购人指定的验收日前向采购人提交验收报告。验收报告的内容包括，合同规定的各项服务清单，各系统设备运行情况。 </w:t>
      </w:r>
    </w:p>
    <w:p w14:paraId="4CCC195E">
      <w:pPr>
        <w:spacing w:line="360" w:lineRule="auto"/>
        <w:ind w:firstLine="420"/>
        <w:rPr>
          <w:rFonts w:ascii="宋体" w:hAnsi="宋体" w:eastAsia="宋体" w:cs="Times New Roman"/>
          <w:bCs/>
          <w:color w:val="auto"/>
          <w:sz w:val="24"/>
          <w:highlight w:val="none"/>
        </w:rPr>
      </w:pPr>
      <w:r>
        <w:rPr>
          <w:rFonts w:ascii="宋体" w:hAnsi="宋体" w:eastAsia="宋体" w:cs="Times New Roman"/>
          <w:bCs/>
          <w:color w:val="auto"/>
          <w:sz w:val="24"/>
          <w:highlight w:val="none"/>
        </w:rPr>
        <w:t>（4）服务期届</w:t>
      </w:r>
      <w:r>
        <w:rPr>
          <w:rFonts w:hint="eastAsia" w:ascii="宋体" w:hAnsi="宋体" w:eastAsia="宋体" w:cs="Times New Roman"/>
          <w:bCs/>
          <w:color w:val="auto"/>
          <w:sz w:val="24"/>
          <w:highlight w:val="none"/>
        </w:rPr>
        <w:t>满后</w:t>
      </w:r>
      <w:r>
        <w:rPr>
          <w:rFonts w:ascii="宋体" w:hAnsi="宋体" w:eastAsia="宋体" w:cs="Times New Roman"/>
          <w:bCs/>
          <w:color w:val="auto"/>
          <w:sz w:val="24"/>
          <w:highlight w:val="none"/>
        </w:rPr>
        <w:t>，投标人按照采购人要求完成所有项目，各项记录、报告等文档齐全，无任何系统遗留问题，并通过由采购人组织的专家验收评审，方可通过验收。</w:t>
      </w:r>
    </w:p>
    <w:p w14:paraId="0D52DBE7">
      <w:pPr>
        <w:keepNext/>
        <w:keepLines/>
        <w:widowControl w:val="0"/>
        <w:autoSpaceDE w:val="0"/>
        <w:autoSpaceDN w:val="0"/>
        <w:adjustRightInd w:val="0"/>
        <w:spacing w:before="360" w:after="120"/>
        <w:jc w:val="left"/>
        <w:outlineLvl w:val="2"/>
        <w:rPr>
          <w:rFonts w:ascii="宋体" w:hAnsi="Times New Roman" w:eastAsia="宋体" w:cs="Times New Roman"/>
          <w:b w:val="0"/>
          <w:bCs/>
          <w:color w:val="auto"/>
          <w:kern w:val="0"/>
          <w:sz w:val="24"/>
          <w:szCs w:val="20"/>
          <w:highlight w:val="none"/>
          <w:u w:val="single"/>
          <w:lang w:val="en-US" w:eastAsia="zh-CN" w:bidi="ar-SA"/>
        </w:rPr>
      </w:pPr>
      <w:r>
        <w:rPr>
          <w:rFonts w:hint="eastAsia" w:ascii="宋体" w:hAnsi="Times New Roman" w:eastAsia="宋体" w:cs="Times New Roman"/>
          <w:b w:val="0"/>
          <w:bCs/>
          <w:color w:val="auto"/>
          <w:kern w:val="0"/>
          <w:sz w:val="24"/>
          <w:szCs w:val="20"/>
          <w:highlight w:val="none"/>
          <w:u w:val="single"/>
          <w:lang w:val="en-US" w:eastAsia="zh-CN" w:bidi="ar-SA"/>
        </w:rPr>
        <w:t>4</w:t>
      </w:r>
      <w:r>
        <w:rPr>
          <w:rFonts w:ascii="宋体" w:hAnsi="Times New Roman" w:eastAsia="宋体" w:cs="Times New Roman"/>
          <w:b w:val="0"/>
          <w:bCs/>
          <w:color w:val="auto"/>
          <w:kern w:val="0"/>
          <w:sz w:val="24"/>
          <w:szCs w:val="20"/>
          <w:highlight w:val="none"/>
          <w:u w:val="single"/>
          <w:lang w:val="en-US" w:eastAsia="zh-CN" w:bidi="ar-SA"/>
        </w:rPr>
        <w:t>.</w:t>
      </w:r>
      <w:r>
        <w:rPr>
          <w:rFonts w:hint="eastAsia" w:ascii="宋体" w:hAnsi="Times New Roman" w:eastAsia="宋体" w:cs="Times New Roman"/>
          <w:b w:val="0"/>
          <w:bCs/>
          <w:color w:val="auto"/>
          <w:kern w:val="0"/>
          <w:sz w:val="24"/>
          <w:szCs w:val="20"/>
          <w:highlight w:val="none"/>
          <w:u w:val="single"/>
          <w:lang w:val="en-US" w:eastAsia="zh-CN" w:bidi="ar-SA"/>
        </w:rPr>
        <w:t>其他要求</w:t>
      </w:r>
    </w:p>
    <w:p w14:paraId="7EB2573B">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4</w:t>
      </w:r>
      <w:r>
        <w:rPr>
          <w:rFonts w:ascii="Times New Roman" w:hAnsi="Times New Roman" w:eastAsia="宋体" w:cs="Times New Roman"/>
          <w:bCs/>
          <w:color w:val="auto"/>
          <w:kern w:val="0"/>
          <w:sz w:val="24"/>
          <w:szCs w:val="20"/>
          <w:highlight w:val="none"/>
          <w:lang w:val="en-US" w:eastAsia="zh-CN" w:bidi="ar-SA"/>
        </w:rPr>
        <w:t>.1.</w:t>
      </w:r>
      <w:r>
        <w:rPr>
          <w:rFonts w:hint="eastAsia" w:ascii="Times New Roman" w:hAnsi="Times New Roman" w:eastAsia="宋体" w:cs="Times New Roman"/>
          <w:bCs/>
          <w:color w:val="auto"/>
          <w:kern w:val="0"/>
          <w:sz w:val="24"/>
          <w:szCs w:val="20"/>
          <w:highlight w:val="none"/>
          <w:lang w:val="en-US" w:eastAsia="zh-CN" w:bidi="ar-SA"/>
        </w:rPr>
        <w:t>售后服务</w:t>
      </w:r>
    </w:p>
    <w:p w14:paraId="1D9A3FE6">
      <w:pPr>
        <w:widowControl w:val="0"/>
        <w:autoSpaceDE w:val="0"/>
        <w:autoSpaceDN w:val="0"/>
        <w:adjustRightInd w:val="0"/>
        <w:snapToGrid w:val="0"/>
        <w:spacing w:line="360" w:lineRule="auto"/>
        <w:ind w:firstLine="480"/>
        <w:jc w:val="left"/>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服务期内，投标人须设有7×24小时电话响应服务、具备运维团队，提供售后服务保障。团队成员应明确职责，架构清晰，岗位设置合理，且具备与本项目相关的项目经验。</w:t>
      </w:r>
    </w:p>
    <w:p w14:paraId="3E833AD7">
      <w:pPr>
        <w:widowControl w:val="0"/>
        <w:autoSpaceDE w:val="0"/>
        <w:autoSpaceDN w:val="0"/>
        <w:adjustRightInd w:val="0"/>
        <w:snapToGrid w:val="0"/>
        <w:spacing w:line="360" w:lineRule="auto"/>
        <w:ind w:firstLine="480"/>
        <w:jc w:val="left"/>
        <w:rPr>
          <w:rFonts w:ascii="仿宋_GB2312" w:hAnsi="仿宋_GB2312" w:eastAsia="仿宋_GB2312" w:cs="仿宋_GB2312"/>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投标人须提供1名项目经理及7名项目团队专职人员，为本项目提供服务。项目经理需按照采购人要求，承担云资源服务保障具体工作，技术支持人员要求如下：</w:t>
      </w:r>
    </w:p>
    <w:p w14:paraId="5ABFA14A">
      <w:pPr>
        <w:widowControl w:val="0"/>
        <w:autoSpaceDE w:val="0"/>
        <w:autoSpaceDN w:val="0"/>
        <w:adjustRightInd w:val="0"/>
        <w:snapToGrid w:val="0"/>
        <w:spacing w:line="360" w:lineRule="auto"/>
        <w:ind w:firstLine="3120" w:firstLineChars="1300"/>
        <w:jc w:val="left"/>
        <w:rPr>
          <w:rFonts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服务团队人员要求</w:t>
      </w:r>
    </w:p>
    <w:tbl>
      <w:tblPr>
        <w:tblStyle w:val="2"/>
        <w:tblW w:w="8517" w:type="dxa"/>
        <w:tblInd w:w="0" w:type="dxa"/>
        <w:tblLayout w:type="fixed"/>
        <w:tblCellMar>
          <w:top w:w="0" w:type="dxa"/>
          <w:left w:w="108" w:type="dxa"/>
          <w:bottom w:w="0" w:type="dxa"/>
          <w:right w:w="108" w:type="dxa"/>
        </w:tblCellMar>
      </w:tblPr>
      <w:tblGrid>
        <w:gridCol w:w="957"/>
        <w:gridCol w:w="714"/>
        <w:gridCol w:w="1352"/>
        <w:gridCol w:w="1962"/>
        <w:gridCol w:w="3532"/>
      </w:tblGrid>
      <w:tr w14:paraId="1877834A">
        <w:tblPrEx>
          <w:tblCellMar>
            <w:top w:w="0" w:type="dxa"/>
            <w:left w:w="108" w:type="dxa"/>
            <w:bottom w:w="0" w:type="dxa"/>
            <w:right w:w="108" w:type="dxa"/>
          </w:tblCellMar>
        </w:tblPrEx>
        <w:trPr>
          <w:trHeight w:val="700" w:hRule="atLeast"/>
        </w:trPr>
        <w:tc>
          <w:tcPr>
            <w:tcW w:w="957" w:type="dxa"/>
            <w:tcBorders>
              <w:top w:val="single" w:color="auto" w:sz="4" w:space="0"/>
              <w:left w:val="single" w:color="auto" w:sz="4" w:space="0"/>
              <w:bottom w:val="single" w:color="auto" w:sz="4" w:space="0"/>
              <w:right w:val="single" w:color="auto" w:sz="4" w:space="0"/>
            </w:tcBorders>
            <w:vAlign w:val="center"/>
          </w:tcPr>
          <w:p w14:paraId="75516F43">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岗位</w:t>
            </w:r>
          </w:p>
        </w:tc>
        <w:tc>
          <w:tcPr>
            <w:tcW w:w="714" w:type="dxa"/>
            <w:tcBorders>
              <w:top w:val="single" w:color="auto" w:sz="4" w:space="0"/>
              <w:left w:val="single" w:color="auto" w:sz="4" w:space="0"/>
              <w:bottom w:val="single" w:color="auto" w:sz="4" w:space="0"/>
              <w:right w:val="single" w:color="auto" w:sz="4" w:space="0"/>
            </w:tcBorders>
            <w:vAlign w:val="center"/>
          </w:tcPr>
          <w:p w14:paraId="196348DE">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数量</w:t>
            </w:r>
          </w:p>
        </w:tc>
        <w:tc>
          <w:tcPr>
            <w:tcW w:w="1352" w:type="dxa"/>
            <w:tcBorders>
              <w:top w:val="single" w:color="auto" w:sz="4" w:space="0"/>
              <w:left w:val="single" w:color="auto" w:sz="4" w:space="0"/>
              <w:bottom w:val="single" w:color="auto" w:sz="4" w:space="0"/>
              <w:right w:val="single" w:color="auto" w:sz="4" w:space="0"/>
            </w:tcBorders>
            <w:vAlign w:val="center"/>
          </w:tcPr>
          <w:p w14:paraId="0A51B512">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学历</w:t>
            </w:r>
          </w:p>
        </w:tc>
        <w:tc>
          <w:tcPr>
            <w:tcW w:w="1962" w:type="dxa"/>
            <w:tcBorders>
              <w:top w:val="single" w:color="auto" w:sz="6" w:space="0"/>
              <w:left w:val="single" w:color="auto" w:sz="4" w:space="0"/>
              <w:bottom w:val="single" w:color="auto" w:sz="6" w:space="0"/>
              <w:right w:val="single" w:color="auto" w:sz="6" w:space="0"/>
            </w:tcBorders>
            <w:vAlign w:val="center"/>
          </w:tcPr>
          <w:p w14:paraId="3B2DC90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工作经验</w:t>
            </w:r>
          </w:p>
        </w:tc>
        <w:tc>
          <w:tcPr>
            <w:tcW w:w="3532" w:type="dxa"/>
            <w:tcBorders>
              <w:top w:val="single" w:color="auto" w:sz="6" w:space="0"/>
              <w:left w:val="single" w:color="auto" w:sz="6" w:space="0"/>
              <w:bottom w:val="single" w:color="auto" w:sz="4" w:space="0"/>
              <w:right w:val="single" w:color="auto" w:sz="6" w:space="0"/>
            </w:tcBorders>
            <w:vAlign w:val="center"/>
          </w:tcPr>
          <w:p w14:paraId="79DABA90">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岗位须具备的上岗资格证等要求</w:t>
            </w:r>
          </w:p>
        </w:tc>
      </w:tr>
      <w:tr w14:paraId="0CDE686F">
        <w:tblPrEx>
          <w:tblCellMar>
            <w:top w:w="0" w:type="dxa"/>
            <w:left w:w="108" w:type="dxa"/>
            <w:bottom w:w="0" w:type="dxa"/>
            <w:right w:w="108" w:type="dxa"/>
          </w:tblCellMar>
        </w:tblPrEx>
        <w:trPr>
          <w:trHeight w:val="1270" w:hRule="atLeast"/>
        </w:trPr>
        <w:tc>
          <w:tcPr>
            <w:tcW w:w="957" w:type="dxa"/>
            <w:tcBorders>
              <w:top w:val="single" w:color="auto" w:sz="4" w:space="0"/>
              <w:left w:val="single" w:color="auto" w:sz="4" w:space="0"/>
              <w:bottom w:val="single" w:color="auto" w:sz="4" w:space="0"/>
              <w:right w:val="single" w:color="auto" w:sz="4" w:space="0"/>
            </w:tcBorders>
            <w:vAlign w:val="center"/>
          </w:tcPr>
          <w:p w14:paraId="246EC8B3">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项目</w:t>
            </w:r>
          </w:p>
          <w:p w14:paraId="5D32C96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经理</w:t>
            </w:r>
          </w:p>
        </w:tc>
        <w:tc>
          <w:tcPr>
            <w:tcW w:w="714" w:type="dxa"/>
            <w:tcBorders>
              <w:top w:val="single" w:color="auto" w:sz="4" w:space="0"/>
              <w:left w:val="single" w:color="auto" w:sz="4" w:space="0"/>
              <w:bottom w:val="single" w:color="auto" w:sz="4" w:space="0"/>
              <w:right w:val="single" w:color="auto" w:sz="4" w:space="0"/>
            </w:tcBorders>
            <w:vAlign w:val="center"/>
          </w:tcPr>
          <w:p w14:paraId="7F348D3F">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4F3C532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2B98B5ED">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有5年及以上类似工作经验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4B29FF96">
            <w:pPr>
              <w:spacing w:line="360" w:lineRule="auto"/>
              <w:rPr>
                <w:rFonts w:ascii="仿宋_GB2312" w:hAnsi="仿宋_GB2312" w:eastAsia="仿宋_GB2312" w:cs="仿宋_GB2312"/>
                <w:bCs/>
                <w:color w:val="auto"/>
                <w:sz w:val="24"/>
                <w:highlight w:val="none"/>
              </w:rPr>
            </w:pPr>
            <w:r>
              <w:rPr>
                <w:rFonts w:hint="eastAsia" w:ascii="宋体" w:hAnsi="宋体" w:eastAsia="宋体" w:cs="宋体"/>
                <w:bCs/>
                <w:color w:val="auto"/>
                <w:szCs w:val="21"/>
                <w:highlight w:val="none"/>
                <w:lang w:bidi="ar"/>
              </w:rPr>
              <w:t>信息系统项目管理师（高级）</w:t>
            </w:r>
          </w:p>
        </w:tc>
      </w:tr>
      <w:tr w14:paraId="5AB82B9C">
        <w:tblPrEx>
          <w:tblCellMar>
            <w:top w:w="0" w:type="dxa"/>
            <w:left w:w="108" w:type="dxa"/>
            <w:bottom w:w="0" w:type="dxa"/>
            <w:right w:w="108" w:type="dxa"/>
          </w:tblCellMar>
        </w:tblPrEx>
        <w:trPr>
          <w:trHeight w:val="1405" w:hRule="atLeast"/>
        </w:trPr>
        <w:tc>
          <w:tcPr>
            <w:tcW w:w="957" w:type="dxa"/>
            <w:tcBorders>
              <w:top w:val="single" w:color="auto" w:sz="4" w:space="0"/>
              <w:left w:val="single" w:color="auto" w:sz="4" w:space="0"/>
              <w:bottom w:val="single" w:color="auto" w:sz="4" w:space="0"/>
              <w:right w:val="single" w:color="auto" w:sz="4" w:space="0"/>
            </w:tcBorders>
            <w:vAlign w:val="center"/>
          </w:tcPr>
          <w:p w14:paraId="3ECA33FF">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技术负责人</w:t>
            </w:r>
          </w:p>
        </w:tc>
        <w:tc>
          <w:tcPr>
            <w:tcW w:w="714" w:type="dxa"/>
            <w:tcBorders>
              <w:top w:val="single" w:color="auto" w:sz="4" w:space="0"/>
              <w:left w:val="single" w:color="auto" w:sz="4" w:space="0"/>
              <w:bottom w:val="single" w:color="auto" w:sz="4" w:space="0"/>
              <w:right w:val="single" w:color="auto" w:sz="4" w:space="0"/>
            </w:tcBorders>
            <w:vAlign w:val="center"/>
          </w:tcPr>
          <w:p w14:paraId="6E2D8D23">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31BAE63C">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56F26ABC">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有5年及以上类似工作经验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7BE98C41">
            <w:pPr>
              <w:adjustRightInd w:val="0"/>
              <w:spacing w:line="360" w:lineRule="auto"/>
              <w:jc w:val="left"/>
              <w:textAlignment w:val="baseline"/>
              <w:rPr>
                <w:rFonts w:hint="eastAsia" w:ascii="仿宋_GB2312" w:hAnsi="仿宋_GB2312" w:eastAsia="宋体" w:cs="仿宋_GB2312"/>
                <w:bCs/>
                <w:color w:val="auto"/>
                <w:sz w:val="24"/>
                <w:highlight w:val="none"/>
                <w:lang w:eastAsia="zh-CN"/>
              </w:rPr>
            </w:pPr>
            <w:r>
              <w:rPr>
                <w:rFonts w:hint="eastAsia" w:ascii="宋体" w:hAnsi="宋体" w:eastAsia="宋体" w:cs="宋体"/>
                <w:bCs/>
                <w:color w:val="auto"/>
                <w:szCs w:val="21"/>
                <w:highlight w:val="none"/>
                <w:lang w:bidi="ar"/>
              </w:rPr>
              <w:t>注册信息安全专业人员</w:t>
            </w: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bidi="ar"/>
              </w:rPr>
              <w:t>CISP</w:t>
            </w:r>
            <w:r>
              <w:rPr>
                <w:rFonts w:hint="eastAsia" w:ascii="宋体" w:hAnsi="宋体" w:eastAsia="宋体" w:cs="宋体"/>
                <w:bCs/>
                <w:color w:val="auto"/>
                <w:szCs w:val="21"/>
                <w:highlight w:val="none"/>
                <w:lang w:eastAsia="zh-CN" w:bidi="ar"/>
              </w:rPr>
              <w:t>）</w:t>
            </w:r>
          </w:p>
        </w:tc>
      </w:tr>
      <w:tr w14:paraId="58683C34">
        <w:tblPrEx>
          <w:tblCellMar>
            <w:top w:w="0" w:type="dxa"/>
            <w:left w:w="108" w:type="dxa"/>
            <w:bottom w:w="0" w:type="dxa"/>
            <w:right w:w="108" w:type="dxa"/>
          </w:tblCellMar>
        </w:tblPrEx>
        <w:trPr>
          <w:trHeight w:val="1405" w:hRule="atLeast"/>
        </w:trPr>
        <w:tc>
          <w:tcPr>
            <w:tcW w:w="957" w:type="dxa"/>
            <w:tcBorders>
              <w:top w:val="single" w:color="auto" w:sz="4" w:space="0"/>
              <w:left w:val="single" w:color="auto" w:sz="4" w:space="0"/>
              <w:bottom w:val="single" w:color="auto" w:sz="4" w:space="0"/>
              <w:right w:val="single" w:color="auto" w:sz="4" w:space="0"/>
            </w:tcBorders>
            <w:vAlign w:val="center"/>
          </w:tcPr>
          <w:p w14:paraId="4367DB33">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项目</w:t>
            </w:r>
          </w:p>
          <w:p w14:paraId="70A689F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人员</w:t>
            </w:r>
          </w:p>
        </w:tc>
        <w:tc>
          <w:tcPr>
            <w:tcW w:w="714" w:type="dxa"/>
            <w:tcBorders>
              <w:top w:val="single" w:color="auto" w:sz="4" w:space="0"/>
              <w:left w:val="single" w:color="auto" w:sz="4" w:space="0"/>
              <w:bottom w:val="single" w:color="auto" w:sz="4" w:space="0"/>
              <w:right w:val="single" w:color="auto" w:sz="4" w:space="0"/>
            </w:tcBorders>
            <w:vAlign w:val="center"/>
          </w:tcPr>
          <w:p w14:paraId="4357CE41">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6</w:t>
            </w:r>
          </w:p>
        </w:tc>
        <w:tc>
          <w:tcPr>
            <w:tcW w:w="1352" w:type="dxa"/>
            <w:tcBorders>
              <w:top w:val="single" w:color="auto" w:sz="4" w:space="0"/>
              <w:left w:val="single" w:color="auto" w:sz="4" w:space="0"/>
              <w:bottom w:val="single" w:color="auto" w:sz="4" w:space="0"/>
              <w:right w:val="single" w:color="auto" w:sz="4" w:space="0"/>
            </w:tcBorders>
            <w:vAlign w:val="center"/>
          </w:tcPr>
          <w:p w14:paraId="44A24CD9">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4" w:space="0"/>
            </w:tcBorders>
            <w:vAlign w:val="center"/>
          </w:tcPr>
          <w:p w14:paraId="67302218">
            <w:pPr>
              <w:adjustRightInd w:val="0"/>
              <w:spacing w:line="360" w:lineRule="auto"/>
              <w:jc w:val="center"/>
              <w:textAlignment w:val="baseline"/>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有1年及以上类似工作经验</w:t>
            </w:r>
          </w:p>
        </w:tc>
        <w:tc>
          <w:tcPr>
            <w:tcW w:w="3532" w:type="dxa"/>
            <w:tcBorders>
              <w:top w:val="single" w:color="auto" w:sz="4" w:space="0"/>
              <w:left w:val="single" w:color="auto" w:sz="4" w:space="0"/>
              <w:bottom w:val="single" w:color="auto" w:sz="4" w:space="0"/>
              <w:right w:val="single" w:color="auto" w:sz="4" w:space="0"/>
            </w:tcBorders>
            <w:vAlign w:val="center"/>
          </w:tcPr>
          <w:p w14:paraId="351E87F2">
            <w:pPr>
              <w:adjustRightInd w:val="0"/>
              <w:spacing w:line="360" w:lineRule="auto"/>
              <w:jc w:val="left"/>
              <w:textAlignment w:val="baseline"/>
              <w:rPr>
                <w:rFonts w:ascii="仿宋_GB2312" w:hAnsi="仿宋_GB2312" w:eastAsia="仿宋_GB2312" w:cs="仿宋_GB2312"/>
                <w:bCs/>
                <w:color w:val="auto"/>
                <w:sz w:val="24"/>
                <w:highlight w:val="none"/>
              </w:rPr>
            </w:pPr>
            <w:r>
              <w:rPr>
                <w:rFonts w:hint="eastAsia" w:ascii="宋体" w:hAnsi="宋体" w:eastAsia="宋体" w:cs="宋体"/>
                <w:bCs/>
                <w:color w:val="auto"/>
                <w:szCs w:val="21"/>
                <w:highlight w:val="none"/>
                <w:lang w:bidi="ar"/>
              </w:rPr>
              <w:t>注册信息安全专业人员</w:t>
            </w: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bidi="ar"/>
              </w:rPr>
              <w:t>CISP</w:t>
            </w: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bidi="ar"/>
              </w:rPr>
              <w:t>或网络工程师</w:t>
            </w:r>
          </w:p>
        </w:tc>
      </w:tr>
    </w:tbl>
    <w:p w14:paraId="7AA19E87">
      <w:pPr>
        <w:spacing w:line="360" w:lineRule="auto"/>
        <w:ind w:firstLine="42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项目经理不少于</w:t>
      </w: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人，需为本科及以上学历，具备</w:t>
      </w:r>
      <w:r>
        <w:rPr>
          <w:rFonts w:hint="eastAsia" w:ascii="宋体" w:hAnsi="宋体" w:eastAsia="宋体" w:cs="Times New Roman"/>
          <w:bCs/>
          <w:color w:val="auto"/>
          <w:sz w:val="24"/>
          <w:highlight w:val="none"/>
          <w:lang w:val="en-US" w:eastAsia="zh-CN"/>
        </w:rPr>
        <w:t>5</w:t>
      </w:r>
      <w:r>
        <w:rPr>
          <w:rFonts w:hint="eastAsia" w:ascii="宋体" w:hAnsi="宋体" w:eastAsia="宋体" w:cs="Times New Roman"/>
          <w:bCs/>
          <w:color w:val="auto"/>
          <w:sz w:val="24"/>
          <w:highlight w:val="none"/>
        </w:rPr>
        <w:t>年（含）以上的工作经验，并具有信息系统项目管理师（高级）证书。</w:t>
      </w:r>
    </w:p>
    <w:p w14:paraId="47EAF736">
      <w:pPr>
        <w:spacing w:line="360" w:lineRule="auto"/>
        <w:ind w:firstLine="42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技术负责人</w:t>
      </w: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人，需为本科及以上学历，具备</w:t>
      </w:r>
      <w:r>
        <w:rPr>
          <w:rFonts w:hint="eastAsia" w:ascii="宋体" w:hAnsi="宋体" w:eastAsia="宋体" w:cs="Times New Roman"/>
          <w:bCs/>
          <w:color w:val="auto"/>
          <w:sz w:val="24"/>
          <w:highlight w:val="none"/>
          <w:lang w:val="en-US" w:eastAsia="zh-CN"/>
        </w:rPr>
        <w:t>5</w:t>
      </w:r>
      <w:r>
        <w:rPr>
          <w:rFonts w:hint="eastAsia" w:ascii="宋体" w:hAnsi="宋体" w:eastAsia="宋体" w:cs="Times New Roman"/>
          <w:bCs/>
          <w:color w:val="auto"/>
          <w:sz w:val="24"/>
          <w:highlight w:val="none"/>
        </w:rPr>
        <w:t>年（含）以上的工作经验，须同时具有注册信息安全专业人员（CISP）证书。</w:t>
      </w:r>
    </w:p>
    <w:p w14:paraId="687A9060">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项目团队，除项目经理、技术负责人、质量管理专员外，需配备不少于6名成员，每位成员均具备</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年（含）以上项目实施经验，具备注册信息安全专业人员（CISP）或网络工程师其中一项资质证书。</w:t>
      </w:r>
    </w:p>
    <w:p w14:paraId="7472948B">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投标人须确保运维队伍的稳定。项目实施过程中，投标人调整驻场服务人员，应提前30个工作日通知采购人。</w:t>
      </w:r>
    </w:p>
    <w:p w14:paraId="053E5B3A">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投标人须利用监控系统或人工对硬件设备及应用系统的运行情况进行7*24小时的不间断巡检监控，及时发现安全隐患，通知相关人员及时处理，并形成监控报告。</w:t>
      </w:r>
    </w:p>
    <w:p w14:paraId="181C7001">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投标人负责设立技术支持热线，并安排专人值守，提供7*24小时热线支持服务。投标人针对采购人要求的云平台运维服务相关内容，需指定专业技术能力较强的工程师，根据采购人要求配合开展相关维护服务。</w:t>
      </w:r>
    </w:p>
    <w:p w14:paraId="5CD6D4F5">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4</w:t>
      </w:r>
      <w:r>
        <w:rPr>
          <w:rFonts w:ascii="Times New Roman" w:hAnsi="Times New Roman" w:eastAsia="宋体" w:cs="Times New Roman"/>
          <w:bCs/>
          <w:color w:val="auto"/>
          <w:kern w:val="0"/>
          <w:sz w:val="24"/>
          <w:szCs w:val="20"/>
          <w:highlight w:val="none"/>
          <w:lang w:val="en-US" w:eastAsia="zh-CN" w:bidi="ar-SA"/>
        </w:rPr>
        <w:t>.2.</w:t>
      </w:r>
      <w:r>
        <w:rPr>
          <w:rFonts w:hint="eastAsia" w:ascii="Times New Roman" w:hAnsi="Times New Roman" w:eastAsia="宋体" w:cs="Times New Roman"/>
          <w:bCs/>
          <w:color w:val="auto"/>
          <w:kern w:val="0"/>
          <w:sz w:val="24"/>
          <w:szCs w:val="20"/>
          <w:highlight w:val="none"/>
          <w:lang w:val="en-US" w:eastAsia="zh-CN" w:bidi="ar-SA"/>
        </w:rPr>
        <w:t>故障响应服务</w:t>
      </w:r>
    </w:p>
    <w:p w14:paraId="085951C3">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投标人应当提供高效的系统维护服务，有效防范系统风险，投标人需保持7*24小时电话畅通，能够在系统发生除宕机外的其他故障问题时，能够协调人力资源在2小时内到达运维现场提供服务。系统发生宕机问题时，投标人应在15分钟内响应，故障处理完毕后提供相关系统宕机报告。</w:t>
      </w:r>
    </w:p>
    <w:p w14:paraId="3599E894">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4</w:t>
      </w:r>
      <w:r>
        <w:rPr>
          <w:rFonts w:ascii="Times New Roman" w:hAnsi="Times New Roman" w:eastAsia="宋体" w:cs="Times New Roman"/>
          <w:bCs/>
          <w:color w:val="auto"/>
          <w:kern w:val="0"/>
          <w:sz w:val="24"/>
          <w:szCs w:val="20"/>
          <w:highlight w:val="none"/>
          <w:lang w:val="en-US" w:eastAsia="zh-CN" w:bidi="ar-SA"/>
        </w:rPr>
        <w:t>.3.</w:t>
      </w:r>
      <w:r>
        <w:rPr>
          <w:rFonts w:hint="eastAsia" w:ascii="Times New Roman" w:hAnsi="Times New Roman" w:eastAsia="宋体" w:cs="Times New Roman"/>
          <w:bCs/>
          <w:color w:val="auto"/>
          <w:kern w:val="0"/>
          <w:sz w:val="24"/>
          <w:szCs w:val="20"/>
          <w:highlight w:val="none"/>
          <w:lang w:val="en-US" w:eastAsia="zh-CN" w:bidi="ar-SA"/>
        </w:rPr>
        <w:t>重点保障要求</w:t>
      </w:r>
    </w:p>
    <w:p w14:paraId="4F909252">
      <w:pPr>
        <w:spacing w:line="360" w:lineRule="auto"/>
        <w:ind w:firstLine="42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为保障业务高峰期内系统平稳运行，缓解系统高峰期内因业务发生量增大而带来系统压力风险，要求投标人根据业务周期性特点，提供满足三级等保的运维值守服务，包含所有云主机的运维维保和远程值守以及定期的巡检服务，包含重要时间节点如春节、两会、国庆等重大时间点的重保服务，在值守服务基础上增加每天10次人工巡检查看网站访问情况、应急处置、安全事件验证、分析、事件报告等内容，加大运维保障力度，保证在业务高峰期内系统平稳运行。</w:t>
      </w:r>
    </w:p>
    <w:p w14:paraId="3BD3A318">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4</w:t>
      </w:r>
      <w:r>
        <w:rPr>
          <w:rFonts w:ascii="Times New Roman" w:hAnsi="Times New Roman" w:eastAsia="宋体" w:cs="Times New Roman"/>
          <w:bCs/>
          <w:color w:val="auto"/>
          <w:kern w:val="0"/>
          <w:sz w:val="24"/>
          <w:szCs w:val="20"/>
          <w:highlight w:val="none"/>
          <w:lang w:val="en-US" w:eastAsia="zh-CN" w:bidi="ar-SA"/>
        </w:rPr>
        <w:t>.4.</w:t>
      </w:r>
      <w:r>
        <w:rPr>
          <w:rFonts w:hint="eastAsia" w:ascii="Times New Roman" w:hAnsi="Times New Roman" w:eastAsia="宋体" w:cs="Times New Roman"/>
          <w:bCs/>
          <w:color w:val="auto"/>
          <w:kern w:val="0"/>
          <w:sz w:val="24"/>
          <w:szCs w:val="20"/>
          <w:highlight w:val="none"/>
          <w:lang w:val="en-US" w:eastAsia="zh-CN" w:bidi="ar-SA"/>
        </w:rPr>
        <w:t>安全及保密要求</w:t>
      </w:r>
    </w:p>
    <w:p w14:paraId="02B6AC5D">
      <w:pPr>
        <w:spacing w:line="360" w:lineRule="auto"/>
        <w:ind w:firstLine="420"/>
        <w:rPr>
          <w:rFonts w:ascii="宋体" w:hAnsi="宋体" w:eastAsia="宋体" w:cs="宋体"/>
          <w:bCs/>
          <w:color w:val="auto"/>
          <w:sz w:val="24"/>
          <w:highlight w:val="none"/>
        </w:rPr>
      </w:pPr>
      <w:r>
        <w:rPr>
          <w:rFonts w:hint="eastAsia" w:ascii="宋体" w:hAnsi="宋体" w:eastAsia="宋体" w:cs="宋体"/>
          <w:bCs/>
          <w:color w:val="auto"/>
          <w:sz w:val="24"/>
          <w:highlight w:val="none"/>
        </w:rPr>
        <w:t>投标人须严格遵守采购人的相关信息安全规定，本项目涉及人员须与投标人签订保密协议，项目中标后本项目服务人员须与采购人签订针对本项目的保密协议，投标人应选派具有良好职业道德的人员参与和从事本项目工作，不得利用系统维护服务时的便利对采购人数据及其他信息擅自修改或透露，投标人须承担相关保密责任。</w:t>
      </w:r>
    </w:p>
    <w:p w14:paraId="04F2B252">
      <w:pPr>
        <w:keepNext/>
        <w:keepLines/>
        <w:widowControl w:val="0"/>
        <w:adjustRightInd w:val="0"/>
        <w:spacing w:before="280" w:after="290" w:line="376" w:lineRule="atLeast"/>
        <w:jc w:val="both"/>
        <w:textAlignment w:val="baseline"/>
        <w:outlineLvl w:val="3"/>
        <w:rPr>
          <w:rFonts w:ascii="Times New Roman" w:hAnsi="Times New Roman" w:eastAsia="宋体" w:cs="Times New Roman"/>
          <w:bCs/>
          <w:color w:val="auto"/>
          <w:kern w:val="0"/>
          <w:sz w:val="24"/>
          <w:szCs w:val="20"/>
          <w:highlight w:val="none"/>
          <w:lang w:val="en-US" w:eastAsia="zh-CN" w:bidi="ar-SA"/>
        </w:rPr>
      </w:pPr>
      <w:r>
        <w:rPr>
          <w:rFonts w:hint="eastAsia" w:ascii="Times New Roman" w:hAnsi="Times New Roman" w:eastAsia="宋体" w:cs="Times New Roman"/>
          <w:bCs/>
          <w:color w:val="auto"/>
          <w:kern w:val="0"/>
          <w:sz w:val="24"/>
          <w:szCs w:val="20"/>
          <w:highlight w:val="none"/>
          <w:lang w:val="en-US" w:eastAsia="zh-CN" w:bidi="ar-SA"/>
        </w:rPr>
        <w:t>4</w:t>
      </w:r>
      <w:r>
        <w:rPr>
          <w:rFonts w:ascii="Times New Roman" w:hAnsi="Times New Roman" w:eastAsia="宋体" w:cs="Times New Roman"/>
          <w:bCs/>
          <w:color w:val="auto"/>
          <w:kern w:val="0"/>
          <w:sz w:val="24"/>
          <w:szCs w:val="20"/>
          <w:highlight w:val="none"/>
          <w:lang w:val="en-US" w:eastAsia="zh-CN" w:bidi="ar-SA"/>
        </w:rPr>
        <w:t>.5.</w:t>
      </w:r>
      <w:r>
        <w:rPr>
          <w:rFonts w:hint="eastAsia" w:ascii="Times New Roman" w:hAnsi="Times New Roman" w:eastAsia="宋体" w:cs="Times New Roman"/>
          <w:bCs/>
          <w:color w:val="auto"/>
          <w:kern w:val="0"/>
          <w:sz w:val="24"/>
          <w:szCs w:val="20"/>
          <w:highlight w:val="none"/>
          <w:lang w:val="en-US" w:eastAsia="zh-CN" w:bidi="ar-SA"/>
        </w:rPr>
        <w:t>迁移要求</w:t>
      </w:r>
    </w:p>
    <w:p w14:paraId="3304B998">
      <w:pPr>
        <w:spacing w:line="360" w:lineRule="auto"/>
        <w:ind w:firstLine="420"/>
        <w:rPr>
          <w:rFonts w:ascii="宋体" w:hAnsi="宋体" w:eastAsia="宋体" w:cs="宋体"/>
          <w:bCs/>
          <w:color w:val="auto"/>
          <w:sz w:val="24"/>
          <w:highlight w:val="none"/>
        </w:rPr>
      </w:pPr>
      <w:r>
        <w:rPr>
          <w:rFonts w:ascii="宋体" w:hAnsi="宋体" w:eastAsia="宋体" w:cs="宋体"/>
          <w:bCs/>
          <w:color w:val="auto"/>
          <w:sz w:val="24"/>
          <w:highlight w:val="none"/>
        </w:rPr>
        <w:t>投标人</w:t>
      </w:r>
      <w:r>
        <w:rPr>
          <w:rFonts w:hint="eastAsia" w:ascii="宋体" w:hAnsi="宋体" w:eastAsia="宋体" w:cs="宋体"/>
          <w:bCs/>
          <w:color w:val="auto"/>
          <w:sz w:val="24"/>
          <w:highlight w:val="none"/>
        </w:rPr>
        <w:t>须</w:t>
      </w:r>
      <w:r>
        <w:rPr>
          <w:rFonts w:ascii="宋体" w:hAnsi="宋体" w:eastAsia="宋体" w:cs="宋体"/>
          <w:bCs/>
          <w:color w:val="auto"/>
          <w:sz w:val="24"/>
          <w:highlight w:val="none"/>
        </w:rPr>
        <w:t>承诺</w:t>
      </w:r>
      <w:r>
        <w:rPr>
          <w:rFonts w:hint="eastAsia" w:ascii="宋体" w:hAnsi="宋体" w:eastAsia="宋体" w:cs="宋体"/>
          <w:bCs/>
          <w:color w:val="auto"/>
          <w:sz w:val="24"/>
          <w:highlight w:val="none"/>
        </w:rPr>
        <w:t>，若涉及业务迁移，需在不中断业务的前提下，自合同生效之日起承诺期限内完成全部系统迁移</w:t>
      </w:r>
      <w:r>
        <w:rPr>
          <w:rFonts w:ascii="宋体" w:hAnsi="宋体" w:eastAsia="宋体" w:cs="宋体"/>
          <w:bCs/>
          <w:color w:val="auto"/>
          <w:sz w:val="24"/>
          <w:highlight w:val="none"/>
        </w:rPr>
        <w:t>，并且不能改变和影响原有系统的功能、技术状态以及</w:t>
      </w:r>
      <w:r>
        <w:rPr>
          <w:rFonts w:hint="eastAsia" w:ascii="宋体" w:hAnsi="宋体" w:eastAsia="宋体" w:cs="宋体"/>
          <w:bCs/>
          <w:color w:val="auto"/>
          <w:sz w:val="24"/>
          <w:highlight w:val="none"/>
        </w:rPr>
        <w:t>采购人</w:t>
      </w:r>
      <w:r>
        <w:rPr>
          <w:rFonts w:ascii="宋体" w:hAnsi="宋体" w:eastAsia="宋体" w:cs="宋体"/>
          <w:bCs/>
          <w:color w:val="auto"/>
          <w:sz w:val="24"/>
          <w:highlight w:val="none"/>
        </w:rPr>
        <w:t>的使用习惯</w:t>
      </w:r>
      <w:r>
        <w:rPr>
          <w:rFonts w:hint="eastAsia" w:ascii="宋体" w:hAnsi="宋体" w:eastAsia="宋体" w:cs="宋体"/>
          <w:bCs/>
          <w:color w:val="auto"/>
          <w:sz w:val="24"/>
          <w:highlight w:val="none"/>
        </w:rPr>
        <w:t>，</w:t>
      </w:r>
      <w:r>
        <w:rPr>
          <w:rFonts w:hint="eastAsia" w:ascii="宋体" w:hAnsi="宋体" w:eastAsia="宋体" w:cs="宋体"/>
          <w:bCs/>
          <w:color w:val="auto"/>
          <w:spacing w:val="-1"/>
          <w:sz w:val="24"/>
          <w:highlight w:val="none"/>
        </w:rPr>
        <w:t>因此产生的各项费用（包括测试阶段的云资源费用，系统运维商对业务系统的部署、调试费用等）由投标人承担</w:t>
      </w:r>
      <w:r>
        <w:rPr>
          <w:rFonts w:ascii="宋体" w:hAnsi="宋体" w:eastAsia="宋体" w:cs="宋体"/>
          <w:bCs/>
          <w:color w:val="auto"/>
          <w:sz w:val="24"/>
          <w:highlight w:val="none"/>
        </w:rPr>
        <w:t>。迁移完成后，投标人需确保原有系统的功能、技术状态及采购人使用习惯无任何改变或影响，并提交迁移、测试及功能验证报告</w:t>
      </w:r>
      <w:r>
        <w:rPr>
          <w:rFonts w:hint="eastAsia" w:ascii="宋体" w:hAnsi="宋体" w:eastAsia="宋体" w:cs="宋体"/>
          <w:bCs/>
          <w:color w:val="auto"/>
          <w:sz w:val="24"/>
          <w:highlight w:val="none"/>
        </w:rPr>
        <w:t>后</w:t>
      </w:r>
      <w:r>
        <w:rPr>
          <w:rFonts w:ascii="宋体" w:hAnsi="宋体" w:eastAsia="宋体" w:cs="宋体"/>
          <w:bCs/>
          <w:color w:val="auto"/>
          <w:sz w:val="24"/>
          <w:highlight w:val="none"/>
        </w:rPr>
        <w:t>，</w:t>
      </w:r>
      <w:r>
        <w:rPr>
          <w:rFonts w:hint="eastAsia" w:ascii="宋体" w:hAnsi="宋体" w:eastAsia="宋体" w:cs="宋体"/>
          <w:bCs/>
          <w:color w:val="auto"/>
          <w:sz w:val="24"/>
          <w:highlight w:val="none"/>
        </w:rPr>
        <w:t>由</w:t>
      </w:r>
      <w:r>
        <w:rPr>
          <w:rFonts w:ascii="宋体" w:hAnsi="宋体" w:eastAsia="宋体" w:cs="宋体"/>
          <w:bCs/>
          <w:color w:val="auto"/>
          <w:sz w:val="24"/>
          <w:highlight w:val="none"/>
        </w:rPr>
        <w:t>采购人</w:t>
      </w:r>
      <w:r>
        <w:rPr>
          <w:rFonts w:hint="eastAsia" w:ascii="宋体" w:hAnsi="宋体" w:eastAsia="宋体" w:cs="宋体"/>
          <w:bCs/>
          <w:color w:val="auto"/>
          <w:sz w:val="24"/>
          <w:highlight w:val="none"/>
        </w:rPr>
        <w:t>组织</w:t>
      </w:r>
      <w:r>
        <w:rPr>
          <w:rFonts w:ascii="宋体" w:hAnsi="宋体" w:eastAsia="宋体" w:cs="宋体"/>
          <w:bCs/>
          <w:color w:val="auto"/>
          <w:sz w:val="24"/>
          <w:highlight w:val="none"/>
        </w:rPr>
        <w:t>验收。</w:t>
      </w:r>
    </w:p>
    <w:p w14:paraId="163FF1BD">
      <w:pPr>
        <w:spacing w:line="360" w:lineRule="auto"/>
        <w:ind w:firstLine="420"/>
        <w:rPr>
          <w:rFonts w:ascii="宋体" w:hAnsi="宋体" w:eastAsia="宋体" w:cs="Times New Roman"/>
          <w:bCs/>
          <w:color w:val="auto"/>
          <w:sz w:val="24"/>
          <w:highlight w:val="none"/>
        </w:rPr>
      </w:pPr>
      <w:r>
        <w:rPr>
          <w:rFonts w:ascii="宋体" w:hAnsi="宋体" w:eastAsia="宋体" w:cs="宋体"/>
          <w:bCs/>
          <w:color w:val="auto"/>
          <w:sz w:val="24"/>
          <w:highlight w:val="none"/>
        </w:rPr>
        <w:t>未按时完成迁移或验收不合格且逾期未整改的，每逾期 1 日，投标人应向采购人支付合同总金额 0.3% 的违约金；逾期超过 7 日的，采购人有权解除合同，投标人应向采购人支付合同总金额 20% 的违约金，并赔偿采购人因此造成的全部实际损失（包括业务中断损失、重新招标成本、第三方索赔等）。</w:t>
      </w:r>
    </w:p>
    <w:p w14:paraId="4C64C3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140AE"/>
    <w:multiLevelType w:val="singleLevel"/>
    <w:tmpl w:val="A2A140AE"/>
    <w:lvl w:ilvl="0" w:tentative="0">
      <w:start w:val="1"/>
      <w:numFmt w:val="decimal"/>
      <w:lvlText w:val="(%1)"/>
      <w:lvlJc w:val="left"/>
      <w:pPr>
        <w:ind w:left="425" w:hanging="425"/>
      </w:pPr>
      <w:rPr>
        <w:rFonts w:hint="default"/>
      </w:rPr>
    </w:lvl>
  </w:abstractNum>
  <w:abstractNum w:abstractNumId="1">
    <w:nsid w:val="EFEB759F"/>
    <w:multiLevelType w:val="singleLevel"/>
    <w:tmpl w:val="EFEB759F"/>
    <w:lvl w:ilvl="0" w:tentative="0">
      <w:start w:val="1"/>
      <w:numFmt w:val="decimal"/>
      <w:lvlText w:val="(%1)"/>
      <w:lvlJc w:val="left"/>
      <w:pPr>
        <w:ind w:left="425" w:hanging="425"/>
      </w:pPr>
      <w:rPr>
        <w:rFonts w:hint="default"/>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BD19E9"/>
    <w:multiLevelType w:val="multilevel"/>
    <w:tmpl w:val="20BD19E9"/>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default"/>
        <w:color w:val="auto"/>
      </w:rPr>
    </w:lvl>
    <w:lvl w:ilvl="2" w:tentative="0">
      <w:start w:val="1"/>
      <w:numFmt w:val="decimal"/>
      <w:lvlText w:val="%1.%2.%3."/>
      <w:lvlJc w:val="left"/>
      <w:pPr>
        <w:ind w:left="709" w:hanging="709"/>
      </w:pPr>
      <w:rPr>
        <w:rFonts w:hint="default"/>
        <w:color w:val="auto"/>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341C50EB"/>
    <w:multiLevelType w:val="multilevel"/>
    <w:tmpl w:val="341C50E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459B15C1"/>
    <w:multiLevelType w:val="singleLevel"/>
    <w:tmpl w:val="459B15C1"/>
    <w:lvl w:ilvl="0" w:tentative="0">
      <w:start w:val="1"/>
      <w:numFmt w:val="decimal"/>
      <w:lvlText w:val="(%1)"/>
      <w:lvlJc w:val="left"/>
      <w:pPr>
        <w:ind w:left="425" w:hanging="425"/>
      </w:pPr>
      <w:rPr>
        <w:rFonts w:hint="default"/>
      </w:rPr>
    </w:lvl>
  </w:abstractNum>
  <w:abstractNum w:abstractNumId="6">
    <w:nsid w:val="5EA07434"/>
    <w:multiLevelType w:val="singleLevel"/>
    <w:tmpl w:val="5EA07434"/>
    <w:lvl w:ilvl="0" w:tentative="0">
      <w:start w:val="1"/>
      <w:numFmt w:val="decimal"/>
      <w:lvlText w:val="(%1)"/>
      <w:lvlJc w:val="left"/>
      <w:pPr>
        <w:ind w:left="425" w:hanging="425"/>
      </w:pPr>
      <w:rPr>
        <w:rFonts w:hint="default"/>
      </w:rPr>
    </w:lvl>
  </w:abstractNum>
  <w:abstractNum w:abstractNumId="7">
    <w:nsid w:val="6F371F04"/>
    <w:multiLevelType w:val="singleLevel"/>
    <w:tmpl w:val="6F371F04"/>
    <w:lvl w:ilvl="0" w:tentative="0">
      <w:start w:val="1"/>
      <w:numFmt w:val="decimal"/>
      <w:suff w:val="space"/>
      <w:lvlText w:val="%1."/>
      <w:lvlJc w:val="left"/>
    </w:lvl>
  </w:abstractNum>
  <w:abstractNum w:abstractNumId="8">
    <w:nsid w:val="714CA2C4"/>
    <w:multiLevelType w:val="multilevel"/>
    <w:tmpl w:val="714CA2C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7A08DB31"/>
    <w:multiLevelType w:val="singleLevel"/>
    <w:tmpl w:val="7A08DB31"/>
    <w:lvl w:ilvl="0" w:tentative="0">
      <w:start w:val="1"/>
      <w:numFmt w:val="decimal"/>
      <w:lvlText w:val="(%1)"/>
      <w:lvlJc w:val="left"/>
      <w:pPr>
        <w:ind w:left="425" w:hanging="425"/>
      </w:pPr>
      <w:rPr>
        <w:rFonts w:hint="default"/>
      </w:rPr>
    </w:lvl>
  </w:abstractNum>
  <w:num w:numId="1">
    <w:abstractNumId w:val="2"/>
  </w:num>
  <w:num w:numId="2">
    <w:abstractNumId w:val="7"/>
  </w:num>
  <w:num w:numId="3">
    <w:abstractNumId w:val="0"/>
  </w:num>
  <w:num w:numId="4">
    <w:abstractNumId w:val="9"/>
  </w:num>
  <w:num w:numId="5">
    <w:abstractNumId w:val="1"/>
  </w:num>
  <w:num w:numId="6">
    <w:abstractNumId w:val="5"/>
  </w:num>
  <w:num w:numId="7">
    <w:abstractNumId w:val="8"/>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60DF1"/>
    <w:rsid w:val="07560DF1"/>
    <w:rsid w:val="4573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15738</Words>
  <Characters>18028</Characters>
  <Lines>0</Lines>
  <Paragraphs>0</Paragraphs>
  <TotalTime>13</TotalTime>
  <ScaleCrop>false</ScaleCrop>
  <LinksUpToDate>false</LinksUpToDate>
  <CharactersWithSpaces>18215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2026-05-15T06:15:00Z</dcterms:created>
  <dc:creator>栋</dc:creator>
  <cp:lastModifiedBy>栋</cp:lastModifiedBy>
  <dcterms:modified xsi:type="dcterms:W3CDTF">2026-05-15T07:37:03Z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926BB8F9874E4B6E945C0415AC6C84C5_11</vt:lpwstr>
  </property>
  <property fmtid="{D5CDD505-2E9C-101B-9397-08002B2CF9AE}" pid="4" name="KSOTemplateDocerSaveRecord">
    <vt:lpwstr>eyJoZGlkIjoiOTU5MTdjOGU3ZmY4YzIwMmE0NTgwNDBkMTdmMjJiYTUiLCJ1c2VySWQiOiI0NTA3NDAzODYifQ==</vt:lpwstr>
  </property>
</Properties>
</file>