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103D4">
      <w:pPr>
        <w:spacing w:line="360" w:lineRule="auto"/>
        <w:jc w:val="center"/>
        <w:outlineLvl w:val="0"/>
        <w:rPr>
          <w:b/>
          <w:sz w:val="36"/>
          <w:szCs w:val="36"/>
        </w:rPr>
      </w:pPr>
      <w:bookmarkStart w:id="9" w:name="_GoBack"/>
      <w:bookmarkEnd w:id="9"/>
      <w:bookmarkStart w:id="0" w:name="_Toc99301424"/>
      <w:r>
        <w:rPr>
          <w:b/>
          <w:sz w:val="36"/>
          <w:szCs w:val="36"/>
        </w:rPr>
        <w:t>采购需求</w:t>
      </w:r>
      <w:bookmarkEnd w:id="0"/>
    </w:p>
    <w:p w14:paraId="149EA02D">
      <w:pPr>
        <w:pStyle w:val="8"/>
        <w:numPr>
          <w:ilvl w:val="0"/>
          <w:numId w:val="1"/>
        </w:numPr>
        <w:spacing w:line="560" w:lineRule="exact"/>
        <w:ind w:firstLineChars="0"/>
        <w:contextualSpacing/>
        <w:rPr>
          <w:rFonts w:ascii="Times New Roman" w:hAnsi="Times New Roman"/>
          <w:b/>
          <w:sz w:val="24"/>
          <w:szCs w:val="24"/>
        </w:rPr>
      </w:pPr>
      <w:r>
        <w:rPr>
          <w:rFonts w:ascii="Times New Roman" w:hAnsi="Times New Roman"/>
          <w:b/>
          <w:sz w:val="24"/>
          <w:szCs w:val="24"/>
        </w:rPr>
        <w:t>采购标的</w:t>
      </w:r>
    </w:p>
    <w:p w14:paraId="13D0E33C">
      <w:pPr>
        <w:spacing w:line="560" w:lineRule="exact"/>
        <w:contextualSpacing/>
        <w:rPr>
          <w:bCs/>
          <w:sz w:val="24"/>
        </w:rPr>
      </w:pPr>
      <w:r>
        <w:rPr>
          <w:bCs/>
          <w:sz w:val="24"/>
        </w:rPr>
        <w:t>1. 采购标的（简要服务内容及数量）</w:t>
      </w:r>
    </w:p>
    <w:p w14:paraId="3890DE61">
      <w:pPr>
        <w:adjustRightInd w:val="0"/>
        <w:snapToGrid w:val="0"/>
        <w:spacing w:line="560" w:lineRule="exact"/>
        <w:rPr>
          <w:rFonts w:ascii="宋体" w:hAnsi="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采购</w:t>
      </w:r>
      <w:r>
        <w:rPr>
          <w:rFonts w:hint="eastAsia" w:ascii="宋体" w:hAnsi="宋体" w:eastAsia="宋体" w:cs="宋体"/>
          <w:sz w:val="24"/>
          <w:lang w:val="en-US" w:eastAsia="zh-CN"/>
        </w:rPr>
        <w:t>包情况</w:t>
      </w:r>
      <w:r>
        <w:rPr>
          <w:rFonts w:hint="eastAsia" w:ascii="宋体" w:hAnsi="宋体" w:eastAsia="宋体" w:cs="宋体"/>
          <w:sz w:val="24"/>
        </w:rPr>
        <w:t>：</w:t>
      </w:r>
    </w:p>
    <w:tbl>
      <w:tblPr>
        <w:tblStyle w:val="5"/>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841"/>
        <w:gridCol w:w="2890"/>
        <w:gridCol w:w="1753"/>
      </w:tblGrid>
      <w:tr w14:paraId="15A6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noWrap w:val="0"/>
            <w:vAlign w:val="center"/>
          </w:tcPr>
          <w:p w14:paraId="00FF7F33">
            <w:pPr>
              <w:adjustRightInd w:val="0"/>
              <w:snapToGrid w:val="0"/>
              <w:spacing w:line="560" w:lineRule="exact"/>
              <w:jc w:val="center"/>
              <w:rPr>
                <w:bCs/>
                <w:sz w:val="24"/>
              </w:rPr>
            </w:pPr>
            <w:r>
              <w:rPr>
                <w:rFonts w:hint="eastAsia"/>
                <w:bCs/>
                <w:sz w:val="24"/>
              </w:rPr>
              <w:t>包号</w:t>
            </w:r>
          </w:p>
        </w:tc>
        <w:tc>
          <w:tcPr>
            <w:tcW w:w="2841" w:type="dxa"/>
            <w:noWrap w:val="0"/>
            <w:vAlign w:val="center"/>
          </w:tcPr>
          <w:p w14:paraId="758EC4DE">
            <w:pPr>
              <w:adjustRightInd w:val="0"/>
              <w:snapToGrid w:val="0"/>
              <w:spacing w:line="560" w:lineRule="exact"/>
              <w:jc w:val="center"/>
              <w:rPr>
                <w:bCs/>
                <w:sz w:val="24"/>
              </w:rPr>
            </w:pPr>
            <w:r>
              <w:rPr>
                <w:rFonts w:hint="eastAsia"/>
                <w:bCs/>
                <w:sz w:val="24"/>
              </w:rPr>
              <w:t>标的名称</w:t>
            </w:r>
          </w:p>
        </w:tc>
        <w:tc>
          <w:tcPr>
            <w:tcW w:w="2890" w:type="dxa"/>
            <w:noWrap w:val="0"/>
            <w:vAlign w:val="center"/>
          </w:tcPr>
          <w:p w14:paraId="4231CA68">
            <w:pPr>
              <w:adjustRightInd w:val="0"/>
              <w:snapToGrid w:val="0"/>
              <w:spacing w:line="560" w:lineRule="exact"/>
              <w:jc w:val="center"/>
              <w:rPr>
                <w:bCs/>
                <w:sz w:val="24"/>
              </w:rPr>
            </w:pPr>
            <w:r>
              <w:rPr>
                <w:rFonts w:hint="eastAsia"/>
                <w:bCs/>
                <w:sz w:val="24"/>
              </w:rPr>
              <w:t>采购包预算金额</w:t>
            </w:r>
            <w:r>
              <w:rPr>
                <w:rFonts w:hint="eastAsia"/>
                <w:bCs/>
                <w:sz w:val="24"/>
                <w:lang w:eastAsia="zh-CN"/>
              </w:rPr>
              <w:t>（</w:t>
            </w:r>
            <w:r>
              <w:rPr>
                <w:rFonts w:hint="eastAsia"/>
                <w:bCs/>
                <w:sz w:val="24"/>
              </w:rPr>
              <w:t>万元）</w:t>
            </w:r>
          </w:p>
        </w:tc>
        <w:tc>
          <w:tcPr>
            <w:tcW w:w="1753" w:type="dxa"/>
            <w:noWrap w:val="0"/>
            <w:vAlign w:val="center"/>
          </w:tcPr>
          <w:p w14:paraId="2161E3F7">
            <w:pPr>
              <w:adjustRightInd w:val="0"/>
              <w:snapToGrid w:val="0"/>
              <w:spacing w:line="560" w:lineRule="exact"/>
              <w:jc w:val="center"/>
              <w:rPr>
                <w:bCs/>
                <w:sz w:val="24"/>
              </w:rPr>
            </w:pPr>
            <w:r>
              <w:rPr>
                <w:rFonts w:hint="eastAsia"/>
                <w:bCs/>
                <w:sz w:val="24"/>
              </w:rPr>
              <w:t>数量</w:t>
            </w:r>
          </w:p>
        </w:tc>
      </w:tr>
      <w:tr w14:paraId="1FFA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noWrap w:val="0"/>
            <w:vAlign w:val="center"/>
          </w:tcPr>
          <w:p w14:paraId="24E65196">
            <w:pPr>
              <w:adjustRightInd w:val="0"/>
              <w:snapToGrid w:val="0"/>
              <w:spacing w:line="560" w:lineRule="exact"/>
              <w:jc w:val="center"/>
              <w:rPr>
                <w:bCs/>
                <w:sz w:val="24"/>
              </w:rPr>
            </w:pPr>
            <w:r>
              <w:rPr>
                <w:bCs/>
                <w:sz w:val="24"/>
              </w:rPr>
              <w:t>1</w:t>
            </w:r>
          </w:p>
        </w:tc>
        <w:tc>
          <w:tcPr>
            <w:tcW w:w="2841" w:type="dxa"/>
            <w:noWrap w:val="0"/>
            <w:vAlign w:val="center"/>
          </w:tcPr>
          <w:p w14:paraId="5C579416">
            <w:pPr>
              <w:adjustRightInd w:val="0"/>
              <w:snapToGrid w:val="0"/>
              <w:spacing w:line="560" w:lineRule="exact"/>
              <w:jc w:val="both"/>
              <w:rPr>
                <w:bCs/>
                <w:sz w:val="24"/>
              </w:rPr>
            </w:pPr>
            <w:r>
              <w:rPr>
                <w:rFonts w:hint="eastAsia"/>
                <w:bCs/>
                <w:sz w:val="24"/>
                <w:lang w:eastAsia="zh-CN"/>
              </w:rPr>
              <w:t>北京市台胞交流服务中心2026年物业管理服务北京台湾会馆物业项目</w:t>
            </w:r>
          </w:p>
        </w:tc>
        <w:tc>
          <w:tcPr>
            <w:tcW w:w="2890" w:type="dxa"/>
            <w:noWrap w:val="0"/>
            <w:vAlign w:val="center"/>
          </w:tcPr>
          <w:p w14:paraId="5A024985">
            <w:pPr>
              <w:adjustRightInd w:val="0"/>
              <w:snapToGrid w:val="0"/>
              <w:spacing w:line="560" w:lineRule="exact"/>
              <w:ind w:firstLine="480" w:firstLineChars="200"/>
              <w:jc w:val="center"/>
              <w:rPr>
                <w:rFonts w:hint="default" w:eastAsia="宋体"/>
                <w:bCs/>
                <w:sz w:val="24"/>
                <w:lang w:val="en-US" w:eastAsia="zh-CN"/>
              </w:rPr>
            </w:pPr>
            <w:r>
              <w:rPr>
                <w:rFonts w:hint="eastAsia" w:eastAsia="宋体"/>
                <w:bCs/>
                <w:sz w:val="24"/>
                <w:lang w:val="en-US" w:eastAsia="zh-CN"/>
              </w:rPr>
              <w:t>136.8</w:t>
            </w:r>
          </w:p>
        </w:tc>
        <w:tc>
          <w:tcPr>
            <w:tcW w:w="1753" w:type="dxa"/>
            <w:noWrap w:val="0"/>
            <w:vAlign w:val="center"/>
          </w:tcPr>
          <w:p w14:paraId="61410FF4">
            <w:pPr>
              <w:adjustRightInd w:val="0"/>
              <w:snapToGrid w:val="0"/>
              <w:spacing w:line="560" w:lineRule="exact"/>
              <w:jc w:val="center"/>
              <w:rPr>
                <w:bCs/>
                <w:sz w:val="24"/>
              </w:rPr>
            </w:pPr>
            <w:r>
              <w:rPr>
                <w:rFonts w:hint="eastAsia"/>
                <w:bCs/>
                <w:sz w:val="24"/>
              </w:rPr>
              <w:t>1</w:t>
            </w:r>
          </w:p>
        </w:tc>
      </w:tr>
    </w:tbl>
    <w:p w14:paraId="50AFECE0">
      <w:pPr>
        <w:spacing w:line="560" w:lineRule="exac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合同履行期限：</w:t>
      </w:r>
      <w:r>
        <w:rPr>
          <w:rFonts w:hint="eastAsia"/>
          <w:sz w:val="24"/>
          <w:u w:val="single"/>
        </w:rPr>
        <w:t>2</w:t>
      </w:r>
      <w:r>
        <w:rPr>
          <w:sz w:val="24"/>
          <w:u w:val="single"/>
        </w:rPr>
        <w:t>026</w:t>
      </w:r>
      <w:r>
        <w:rPr>
          <w:rFonts w:hint="eastAsia"/>
          <w:sz w:val="24"/>
          <w:u w:val="single"/>
        </w:rPr>
        <w:t>年</w:t>
      </w:r>
      <w:r>
        <w:rPr>
          <w:rFonts w:hint="eastAsia"/>
          <w:sz w:val="24"/>
          <w:u w:val="single"/>
          <w:lang w:val="en-US" w:eastAsia="zh-CN"/>
        </w:rPr>
        <w:t>6</w:t>
      </w:r>
      <w:r>
        <w:rPr>
          <w:rFonts w:hint="eastAsia"/>
          <w:sz w:val="24"/>
          <w:u w:val="single"/>
        </w:rPr>
        <w:t>月</w:t>
      </w:r>
      <w:r>
        <w:rPr>
          <w:rFonts w:hint="eastAsia"/>
          <w:sz w:val="24"/>
          <w:u w:val="single"/>
          <w:lang w:val="en-US" w:eastAsia="zh-CN"/>
        </w:rPr>
        <w:t>20</w:t>
      </w:r>
      <w:r>
        <w:rPr>
          <w:rFonts w:hint="eastAsia"/>
          <w:sz w:val="24"/>
          <w:u w:val="single"/>
        </w:rPr>
        <w:t>日至202</w:t>
      </w:r>
      <w:r>
        <w:rPr>
          <w:rFonts w:hint="eastAsia"/>
          <w:sz w:val="24"/>
          <w:u w:val="single"/>
          <w:lang w:val="en-US" w:eastAsia="zh-CN"/>
        </w:rPr>
        <w:t>7</w:t>
      </w:r>
      <w:r>
        <w:rPr>
          <w:rFonts w:hint="eastAsia"/>
          <w:sz w:val="24"/>
          <w:u w:val="single"/>
        </w:rPr>
        <w:t>年</w:t>
      </w:r>
      <w:r>
        <w:rPr>
          <w:rFonts w:hint="eastAsia"/>
          <w:sz w:val="24"/>
          <w:u w:val="single"/>
          <w:lang w:val="en-US" w:eastAsia="zh-CN"/>
        </w:rPr>
        <w:t>4</w:t>
      </w:r>
      <w:r>
        <w:rPr>
          <w:rFonts w:hint="eastAsia"/>
          <w:sz w:val="24"/>
          <w:u w:val="single"/>
        </w:rPr>
        <w:t>月</w:t>
      </w:r>
      <w:r>
        <w:rPr>
          <w:rFonts w:hint="eastAsia"/>
          <w:sz w:val="24"/>
          <w:u w:val="single"/>
          <w:lang w:val="en-US" w:eastAsia="zh-CN"/>
        </w:rPr>
        <w:t>6</w:t>
      </w:r>
      <w:r>
        <w:rPr>
          <w:rFonts w:hint="eastAsia"/>
          <w:sz w:val="24"/>
          <w:u w:val="single"/>
        </w:rPr>
        <w:t>日</w:t>
      </w:r>
    </w:p>
    <w:p w14:paraId="06A4D8AB">
      <w:pPr>
        <w:adjustRightInd w:val="0"/>
        <w:snapToGrid w:val="0"/>
        <w:spacing w:line="560" w:lineRule="exac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 xml:space="preserve">本项目是否接受联合体投标：□是  </w:t>
      </w:r>
      <w:r>
        <w:rPr>
          <w:rFonts w:hint="eastAsia" w:ascii="Segoe UI Symbol" w:hAnsi="Segoe UI Symbol" w:eastAsia="仿宋_GB2312" w:cs="Segoe UI Symbol"/>
          <w:sz w:val="30"/>
          <w:szCs w:val="30"/>
          <w:lang w:eastAsia="zh-CN"/>
        </w:rPr>
        <w:sym w:font="Wingdings 2" w:char="0052"/>
      </w:r>
      <w:r>
        <w:rPr>
          <w:rFonts w:hint="eastAsia" w:ascii="宋体" w:hAnsi="宋体" w:cs="宋体"/>
          <w:sz w:val="24"/>
        </w:rPr>
        <w:t>否。</w:t>
      </w:r>
    </w:p>
    <w:p w14:paraId="09D19851">
      <w:pPr>
        <w:pStyle w:val="8"/>
        <w:numPr>
          <w:ilvl w:val="0"/>
          <w:numId w:val="0"/>
        </w:numPr>
        <w:adjustRightInd w:val="0"/>
        <w:snapToGrid w:val="0"/>
        <w:spacing w:line="560" w:lineRule="exact"/>
        <w:ind w:left="0" w:firstLine="0" w:firstLineChars="0"/>
        <w:outlineLvl w:val="1"/>
        <w:rPr>
          <w:rFonts w:ascii="Times New Roman" w:hAnsi="Times New Roman" w:eastAsia="宋体" w:cs="Times New Roman"/>
          <w:bCs/>
          <w:spacing w:val="0"/>
          <w:sz w:val="24"/>
          <w:szCs w:val="24"/>
        </w:rPr>
      </w:pPr>
      <w:r>
        <w:rPr>
          <w:rFonts w:hint="default" w:ascii="Times New Roman" w:hAnsi="Times New Roman" w:eastAsia="宋体" w:cs="Times New Roman"/>
          <w:b w:val="0"/>
          <w:bCs/>
          <w:sz w:val="24"/>
          <w:szCs w:val="24"/>
          <w:lang w:val="en-US" w:eastAsia="zh-CN"/>
        </w:rPr>
        <w:t xml:space="preserve">2. </w:t>
      </w:r>
      <w:r>
        <w:rPr>
          <w:rFonts w:hint="default" w:ascii="Times New Roman" w:hAnsi="Times New Roman" w:eastAsia="宋体" w:cs="Times New Roman"/>
          <w:b w:val="0"/>
          <w:bCs/>
          <w:sz w:val="24"/>
          <w:szCs w:val="24"/>
        </w:rPr>
        <w:t>采购方式：</w:t>
      </w:r>
      <w:r>
        <w:rPr>
          <w:rFonts w:hint="eastAsia" w:ascii="Times New Roman" w:hAnsi="Times New Roman" w:eastAsia="宋体" w:cs="Times New Roman"/>
          <w:bCs/>
          <w:spacing w:val="0"/>
          <w:sz w:val="24"/>
          <w:szCs w:val="24"/>
          <w:lang w:eastAsia="zh-CN"/>
        </w:rPr>
        <w:t>公开招标</w:t>
      </w:r>
    </w:p>
    <w:p w14:paraId="22D352BA">
      <w:pPr>
        <w:spacing w:line="560" w:lineRule="exact"/>
        <w:contextualSpacing/>
        <w:rPr>
          <w:bCs/>
          <w:sz w:val="24"/>
        </w:rPr>
      </w:pPr>
      <w:r>
        <w:rPr>
          <w:rFonts w:hint="eastAsia"/>
          <w:bCs/>
          <w:sz w:val="24"/>
          <w:lang w:val="en-US" w:eastAsia="zh-CN"/>
        </w:rPr>
        <w:t>3</w:t>
      </w:r>
      <w:r>
        <w:rPr>
          <w:bCs/>
          <w:sz w:val="24"/>
        </w:rPr>
        <w:t>. 项目背景/项目概述</w:t>
      </w:r>
    </w:p>
    <w:p w14:paraId="4546BB74">
      <w:pPr>
        <w:spacing w:line="560" w:lineRule="exact"/>
        <w:ind w:firstLine="480" w:firstLineChars="200"/>
        <w:contextualSpacing/>
        <w:rPr>
          <w:rFonts w:ascii="Times New Roman" w:hAnsi="Times New Roman" w:eastAsia="宋体" w:cs="Times New Roman"/>
          <w:bCs/>
          <w:sz w:val="24"/>
        </w:rPr>
      </w:pPr>
      <w:r>
        <w:rPr>
          <w:rFonts w:ascii="Times New Roman" w:hAnsi="Times New Roman" w:eastAsia="宋体" w:cs="Times New Roman"/>
          <w:bCs/>
          <w:sz w:val="24"/>
          <w:lang w:val="en-US" w:eastAsia="zh-CN"/>
        </w:rPr>
        <w:t>本项目为北京台湾会馆物业管理服务专项政府采购项目，</w:t>
      </w:r>
      <w:r>
        <w:rPr>
          <w:rFonts w:hint="eastAsia" w:ascii="Times New Roman" w:hAnsi="Times New Roman" w:eastAsia="宋体" w:cs="Times New Roman"/>
          <w:bCs/>
          <w:sz w:val="24"/>
          <w:lang w:val="en-US" w:eastAsia="zh-CN"/>
        </w:rPr>
        <w:t>立足台湾</w:t>
      </w:r>
      <w:r>
        <w:rPr>
          <w:rFonts w:ascii="Times New Roman" w:hAnsi="Times New Roman" w:eastAsia="宋体" w:cs="Times New Roman"/>
          <w:bCs/>
          <w:sz w:val="24"/>
          <w:lang w:val="en-US" w:eastAsia="zh-CN"/>
        </w:rPr>
        <w:t>会馆作为涉台交流重要阵地、历史文化保护建筑的特殊属性，通过公开、公平、公正的政府采购方式，遴选具备专业资质、服务经验、应急保障能力的物业服务机构，为会馆提供全周期、标准化、精细化的物业管理服务，筑牢安全运营防线、优化公共服务环境，全力保障会馆各类涉台交流活动、文化展示、公务办公及日常运维工作有序开展。</w:t>
      </w:r>
    </w:p>
    <w:p w14:paraId="2D44731B">
      <w:pPr>
        <w:spacing w:line="560" w:lineRule="exact"/>
        <w:ind w:firstLine="480" w:firstLineChars="200"/>
        <w:contextualSpacing/>
        <w:rPr>
          <w:rFonts w:ascii="Times New Roman" w:hAnsi="Times New Roman" w:eastAsia="宋体" w:cs="Times New Roman"/>
          <w:bCs/>
          <w:sz w:val="24"/>
          <w:lang w:val="en-US" w:eastAsia="zh-CN"/>
        </w:rPr>
      </w:pPr>
      <w:r>
        <w:rPr>
          <w:rFonts w:ascii="Times New Roman" w:hAnsi="Times New Roman" w:eastAsia="宋体" w:cs="Times New Roman"/>
          <w:bCs/>
          <w:sz w:val="24"/>
          <w:lang w:val="en-US" w:eastAsia="zh-CN"/>
        </w:rPr>
        <w:t>本项目以安全第一、规范运维、优质服务、保障有力为核心目标，通过专业化物业服务落地，实现会馆环境整洁有序、设施运转稳定、应急响应迅速、接待服务贴心，切实维护北京台湾会馆的公共形象与功能价值，为两岸交流交往、文化传承传播提供坚实的后勤服务保障，确保各项服务工作合规高效、零重大安全责任事故。</w:t>
      </w:r>
    </w:p>
    <w:p w14:paraId="4C35E992">
      <w:pPr>
        <w:pStyle w:val="3"/>
        <w:spacing w:before="0" w:line="560" w:lineRule="exact"/>
        <w:ind w:firstLine="0" w:firstLineChars="0"/>
        <w:rPr>
          <w:rFonts w:ascii="Times New Roman" w:hAnsi="Times New Roman" w:eastAsia="宋体" w:cs="Times New Roman"/>
          <w:bCs/>
        </w:rPr>
      </w:pP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lang w:val="en-US" w:eastAsia="zh-CN"/>
        </w:rPr>
        <w:t>1</w:t>
      </w:r>
      <w:r>
        <w:rPr>
          <w:rFonts w:hint="default" w:ascii="Times New Roman" w:hAnsi="Times New Roman" w:eastAsia="宋体" w:cs="Times New Roman"/>
          <w:b w:val="0"/>
          <w:bCs/>
          <w:lang w:eastAsia="zh-CN"/>
        </w:rPr>
        <w:t>）</w:t>
      </w:r>
      <w:r>
        <w:rPr>
          <w:rFonts w:ascii="Times New Roman" w:hAnsi="Times New Roman" w:eastAsia="宋体" w:cs="Times New Roman"/>
          <w:b w:val="0"/>
          <w:bCs/>
        </w:rPr>
        <w:t>项目服务地点：</w:t>
      </w:r>
      <w:r>
        <w:rPr>
          <w:rFonts w:hint="default" w:ascii="Times New Roman" w:hAnsi="Times New Roman" w:eastAsia="宋体" w:cs="Times New Roman"/>
          <w:bCs/>
          <w:lang w:eastAsia="zh-CN"/>
        </w:rPr>
        <w:t>台湾会馆，</w:t>
      </w:r>
      <w:r>
        <w:rPr>
          <w:rFonts w:ascii="Times New Roman" w:hAnsi="Times New Roman" w:eastAsia="宋体" w:cs="Times New Roman"/>
          <w:bCs/>
        </w:rPr>
        <w:t>位于北京市</w:t>
      </w:r>
      <w:r>
        <w:rPr>
          <w:rFonts w:hint="default" w:ascii="Times New Roman" w:hAnsi="Times New Roman" w:eastAsia="宋体" w:cs="Times New Roman"/>
          <w:bCs/>
        </w:rPr>
        <w:t>东城区</w:t>
      </w:r>
      <w:r>
        <w:rPr>
          <w:rFonts w:hint="default" w:ascii="Times New Roman" w:hAnsi="Times New Roman" w:eastAsia="宋体" w:cs="Times New Roman"/>
          <w:bCs/>
          <w:lang w:eastAsia="zh-CN"/>
        </w:rPr>
        <w:t>前门东路大江胡同</w:t>
      </w:r>
      <w:r>
        <w:rPr>
          <w:rFonts w:hint="default" w:ascii="Times New Roman" w:hAnsi="Times New Roman" w:eastAsia="宋体" w:cs="Times New Roman"/>
          <w:bCs/>
          <w:lang w:val="en-US" w:eastAsia="zh-CN"/>
        </w:rPr>
        <w:t>114号</w:t>
      </w:r>
      <w:r>
        <w:rPr>
          <w:rFonts w:hint="default" w:ascii="Times New Roman" w:hAnsi="Times New Roman" w:eastAsia="宋体" w:cs="Times New Roman"/>
          <w:bCs/>
        </w:rPr>
        <w:t>；</w:t>
      </w:r>
    </w:p>
    <w:p w14:paraId="00715406">
      <w:pPr>
        <w:adjustRightInd w:val="0"/>
        <w:snapToGrid w:val="0"/>
        <w:spacing w:line="560" w:lineRule="exact"/>
        <w:ind w:firstLine="0" w:firstLineChars="0"/>
        <w:rPr>
          <w:rFonts w:ascii="Times New Roman" w:hAnsi="Times New Roman" w:eastAsia="宋体" w:cs="Times New Roman"/>
          <w:bCs/>
          <w:color w:val="auto"/>
          <w:sz w:val="24"/>
        </w:rPr>
      </w:pPr>
      <w:r>
        <w:rPr>
          <w:rFonts w:hint="default" w:ascii="Times New Roman" w:hAnsi="Times New Roman" w:eastAsia="宋体" w:cs="Times New Roman"/>
          <w:b w:val="0"/>
          <w:bCs/>
          <w:color w:val="auto"/>
          <w:sz w:val="24"/>
          <w:lang w:eastAsia="zh-CN"/>
        </w:rPr>
        <w:t>（</w:t>
      </w:r>
      <w:r>
        <w:rPr>
          <w:rFonts w:hint="default" w:ascii="Times New Roman" w:hAnsi="Times New Roman" w:eastAsia="宋体" w:cs="Times New Roman"/>
          <w:b w:val="0"/>
          <w:bCs/>
          <w:color w:val="auto"/>
          <w:sz w:val="24"/>
          <w:lang w:val="en-US" w:eastAsia="zh-CN"/>
        </w:rPr>
        <w:t>2</w:t>
      </w:r>
      <w:r>
        <w:rPr>
          <w:rFonts w:hint="default" w:ascii="Times New Roman" w:hAnsi="Times New Roman" w:eastAsia="宋体" w:cs="Times New Roman"/>
          <w:b w:val="0"/>
          <w:bCs/>
          <w:color w:val="auto"/>
          <w:sz w:val="24"/>
          <w:lang w:eastAsia="zh-CN"/>
        </w:rPr>
        <w:t>）</w:t>
      </w:r>
      <w:r>
        <w:rPr>
          <w:rFonts w:hint="default" w:ascii="Times New Roman" w:hAnsi="Times New Roman" w:eastAsia="宋体" w:cs="Times New Roman"/>
          <w:bCs/>
          <w:color w:val="auto"/>
          <w:sz w:val="24"/>
        </w:rPr>
        <w:t>采购人可提供物业办公室1间，位于</w:t>
      </w:r>
      <w:r>
        <w:rPr>
          <w:rFonts w:hint="default" w:ascii="Times New Roman" w:hAnsi="Times New Roman" w:eastAsia="宋体" w:cs="Times New Roman"/>
          <w:bCs/>
          <w:color w:val="auto"/>
          <w:sz w:val="24"/>
          <w:lang w:eastAsia="zh-CN"/>
        </w:rPr>
        <w:t>台湾会馆</w:t>
      </w:r>
      <w:r>
        <w:rPr>
          <w:rFonts w:hint="default" w:ascii="Times New Roman" w:hAnsi="Times New Roman" w:eastAsia="宋体" w:cs="Times New Roman"/>
          <w:bCs/>
          <w:color w:val="auto"/>
          <w:sz w:val="24"/>
        </w:rPr>
        <w:t>B1层，约2</w:t>
      </w:r>
      <w:r>
        <w:rPr>
          <w:rFonts w:hint="eastAsia" w:ascii="Times New Roman" w:hAnsi="Times New Roman" w:eastAsia="宋体" w:cs="Times New Roman"/>
          <w:bCs/>
          <w:color w:val="auto"/>
          <w:sz w:val="24"/>
          <w:lang w:eastAsia="zh-CN"/>
        </w:rPr>
        <w:t>3</w:t>
      </w:r>
      <w:r>
        <w:rPr>
          <w:rFonts w:hint="default" w:ascii="Times New Roman" w:hAnsi="Times New Roman" w:eastAsia="宋体" w:cs="Times New Roman"/>
          <w:bCs/>
          <w:color w:val="auto"/>
          <w:sz w:val="24"/>
        </w:rPr>
        <w:t>㎡，办公室内办公桌椅4套</w:t>
      </w:r>
      <w:r>
        <w:rPr>
          <w:rFonts w:hint="eastAsia" w:ascii="Times New Roman" w:hAnsi="Times New Roman" w:eastAsia="宋体" w:cs="Times New Roman"/>
          <w:bCs/>
          <w:color w:val="auto"/>
          <w:sz w:val="24"/>
          <w:lang w:eastAsia="zh-CN"/>
        </w:rPr>
        <w:t>、办公</w:t>
      </w:r>
      <w:r>
        <w:rPr>
          <w:rFonts w:hint="eastAsia" w:ascii="Times New Roman" w:hAnsi="Times New Roman" w:eastAsia="宋体" w:cs="Times New Roman"/>
          <w:bCs/>
          <w:color w:val="auto"/>
          <w:sz w:val="24"/>
          <w:lang w:val="en-US" w:eastAsia="zh-CN"/>
        </w:rPr>
        <w:t>电脑4台、</w:t>
      </w:r>
      <w:r>
        <w:rPr>
          <w:rFonts w:hint="default" w:ascii="Times New Roman" w:hAnsi="Times New Roman" w:eastAsia="宋体" w:cs="Times New Roman"/>
          <w:bCs/>
          <w:color w:val="auto"/>
          <w:sz w:val="24"/>
        </w:rPr>
        <w:t>文件柜</w:t>
      </w:r>
      <w:r>
        <w:rPr>
          <w:rFonts w:hint="eastAsia" w:ascii="Times New Roman" w:hAnsi="Times New Roman" w:eastAsia="宋体" w:cs="Times New Roman"/>
          <w:bCs/>
          <w:color w:val="auto"/>
          <w:sz w:val="24"/>
          <w:lang w:eastAsia="zh-CN"/>
        </w:rPr>
        <w:t>1</w:t>
      </w:r>
      <w:r>
        <w:rPr>
          <w:rFonts w:hint="default" w:ascii="Times New Roman" w:hAnsi="Times New Roman" w:eastAsia="宋体" w:cs="Times New Roman"/>
          <w:bCs/>
          <w:color w:val="auto"/>
          <w:sz w:val="24"/>
        </w:rPr>
        <w:t>个</w:t>
      </w: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打印机3台</w:t>
      </w:r>
      <w:r>
        <w:rPr>
          <w:rFonts w:hint="default" w:ascii="Times New Roman" w:hAnsi="Times New Roman" w:eastAsia="宋体" w:cs="Times New Roman"/>
          <w:bCs/>
          <w:color w:val="auto"/>
          <w:sz w:val="24"/>
        </w:rPr>
        <w:t>；</w:t>
      </w:r>
    </w:p>
    <w:p w14:paraId="6D1C1BAC">
      <w:pPr>
        <w:adjustRightInd w:val="0"/>
        <w:snapToGrid w:val="0"/>
        <w:spacing w:line="560" w:lineRule="exact"/>
        <w:ind w:firstLine="0" w:firstLineChars="0"/>
        <w:rPr>
          <w:rFonts w:ascii="Times New Roman" w:hAnsi="Times New Roman" w:eastAsia="宋体" w:cs="Times New Roman"/>
          <w:bCs/>
          <w:sz w:val="24"/>
        </w:rPr>
      </w:pPr>
      <w:r>
        <w:rPr>
          <w:rFonts w:hint="default" w:ascii="Times New Roman" w:hAnsi="Times New Roman" w:eastAsia="宋体" w:cs="Times New Roman"/>
          <w:b w:val="0"/>
          <w:bCs/>
          <w:sz w:val="24"/>
          <w:lang w:eastAsia="zh-CN"/>
        </w:rPr>
        <w:t>（</w:t>
      </w:r>
      <w:r>
        <w:rPr>
          <w:rFonts w:hint="eastAsia" w:ascii="Times New Roman" w:hAnsi="Times New Roman" w:eastAsia="宋体" w:cs="Times New Roman"/>
          <w:b w:val="0"/>
          <w:bCs/>
          <w:sz w:val="24"/>
          <w:lang w:val="en-US" w:eastAsia="zh-CN"/>
        </w:rPr>
        <w:t>3</w:t>
      </w:r>
      <w:r>
        <w:rPr>
          <w:rFonts w:hint="default" w:ascii="Times New Roman" w:hAnsi="Times New Roman" w:eastAsia="宋体" w:cs="Times New Roman"/>
          <w:b w:val="0"/>
          <w:bCs/>
          <w:sz w:val="24"/>
          <w:lang w:eastAsia="zh-CN"/>
        </w:rPr>
        <w:t>）</w:t>
      </w:r>
      <w:r>
        <w:rPr>
          <w:rFonts w:hint="default" w:ascii="Times New Roman" w:hAnsi="Times New Roman" w:eastAsia="宋体" w:cs="Times New Roman"/>
          <w:bCs/>
          <w:sz w:val="24"/>
        </w:rPr>
        <w:t>采购人不提供</w:t>
      </w:r>
      <w:r>
        <w:rPr>
          <w:rFonts w:hint="eastAsia" w:ascii="Times New Roman" w:hAnsi="Times New Roman" w:eastAsia="宋体" w:cs="Times New Roman"/>
          <w:bCs/>
          <w:sz w:val="24"/>
          <w:lang w:eastAsia="zh-CN"/>
        </w:rPr>
        <w:t>食</w:t>
      </w:r>
      <w:r>
        <w:rPr>
          <w:rFonts w:hint="default" w:ascii="Times New Roman" w:hAnsi="Times New Roman" w:eastAsia="宋体" w:cs="Times New Roman"/>
          <w:bCs/>
          <w:sz w:val="24"/>
        </w:rPr>
        <w:t>宿；</w:t>
      </w:r>
    </w:p>
    <w:p w14:paraId="0CA52CE2">
      <w:pPr>
        <w:adjustRightInd w:val="0"/>
        <w:snapToGrid w:val="0"/>
        <w:spacing w:line="560" w:lineRule="exact"/>
        <w:ind w:firstLine="0" w:firstLineChars="0"/>
        <w:rPr>
          <w:rFonts w:ascii="宋体" w:hAnsi="宋体" w:cs="宋体"/>
          <w:sz w:val="24"/>
        </w:rPr>
      </w:pPr>
      <w:r>
        <w:rPr>
          <w:rFonts w:hint="default" w:ascii="Times New Roman" w:hAnsi="Times New Roman" w:eastAsia="宋体" w:cs="Times New Roman"/>
          <w:b w:val="0"/>
          <w:bCs/>
          <w:sz w:val="24"/>
          <w:lang w:eastAsia="zh-CN"/>
        </w:rPr>
        <w:t>（</w:t>
      </w:r>
      <w:r>
        <w:rPr>
          <w:rFonts w:hint="eastAsia" w:ascii="Times New Roman" w:hAnsi="Times New Roman" w:eastAsia="宋体" w:cs="Times New Roman"/>
          <w:b w:val="0"/>
          <w:bCs/>
          <w:sz w:val="24"/>
          <w:lang w:val="en-US" w:eastAsia="zh-CN"/>
        </w:rPr>
        <w:t>4</w:t>
      </w:r>
      <w:r>
        <w:rPr>
          <w:rFonts w:hint="default" w:ascii="Times New Roman" w:hAnsi="Times New Roman" w:eastAsia="宋体" w:cs="Times New Roman"/>
          <w:b w:val="0"/>
          <w:bCs/>
          <w:sz w:val="24"/>
          <w:lang w:eastAsia="zh-CN"/>
        </w:rPr>
        <w:t>）</w:t>
      </w:r>
      <w:r>
        <w:rPr>
          <w:rFonts w:hint="default" w:ascii="Times New Roman" w:hAnsi="Times New Roman" w:eastAsia="宋体" w:cs="Times New Roman"/>
          <w:bCs/>
          <w:sz w:val="24"/>
        </w:rPr>
        <w:t>采购人可提供水、暖、电料等零星维修材料</w:t>
      </w:r>
      <w:r>
        <w:rPr>
          <w:rFonts w:hint="eastAsia" w:ascii="宋体" w:hAnsi="宋体" w:cs="宋体"/>
          <w:sz w:val="24"/>
        </w:rPr>
        <w:t>；</w:t>
      </w:r>
    </w:p>
    <w:p w14:paraId="294AE6D7">
      <w:pPr>
        <w:adjustRightInd w:val="0"/>
        <w:snapToGrid w:val="0"/>
        <w:spacing w:line="560" w:lineRule="exact"/>
        <w:ind w:firstLine="0" w:firstLineChars="0"/>
        <w:rPr>
          <w:rFonts w:ascii="宋体" w:hAnsi="宋体" w:cs="宋体"/>
          <w:sz w:val="24"/>
        </w:rPr>
      </w:pPr>
      <w:r>
        <w:rPr>
          <w:rFonts w:hint="eastAsia" w:ascii="宋体" w:hAnsi="宋体" w:cs="宋体"/>
          <w:b/>
          <w:sz w:val="24"/>
          <w:lang w:eastAsia="zh-CN"/>
        </w:rPr>
        <w:t>（</w:t>
      </w:r>
      <w:r>
        <w:rPr>
          <w:rFonts w:hint="eastAsia" w:ascii="宋体" w:hAnsi="宋体" w:cs="宋体"/>
          <w:b/>
          <w:sz w:val="24"/>
          <w:lang w:val="en-US" w:eastAsia="zh-CN"/>
        </w:rPr>
        <w:t>5</w:t>
      </w:r>
      <w:r>
        <w:rPr>
          <w:rFonts w:hint="eastAsia" w:ascii="宋体" w:hAnsi="宋体" w:cs="宋体"/>
          <w:b/>
          <w:sz w:val="24"/>
          <w:lang w:eastAsia="zh-CN"/>
        </w:rPr>
        <w:t>）</w:t>
      </w:r>
      <w:r>
        <w:rPr>
          <w:rFonts w:hint="eastAsia" w:ascii="宋体" w:hAnsi="宋体" w:cs="宋体"/>
          <w:sz w:val="24"/>
        </w:rPr>
        <w:t>采购人可提供卫生间卫生纸、擦手纸、洗手液等消耗品；会议室相关服务所需物品由采购人提供。</w:t>
      </w:r>
    </w:p>
    <w:p w14:paraId="69350249">
      <w:pPr>
        <w:numPr>
          <w:ilvl w:val="0"/>
          <w:numId w:val="2"/>
        </w:numPr>
        <w:spacing w:line="560" w:lineRule="exact"/>
        <w:contextualSpacing/>
        <w:rPr>
          <w:rFonts w:ascii="Times New Roman" w:hAnsi="Times New Roman" w:eastAsia="宋体" w:cs="Times New Roman"/>
          <w:b w:val="0"/>
          <w:bCs/>
          <w:sz w:val="24"/>
        </w:rPr>
      </w:pPr>
      <w:r>
        <w:rPr>
          <w:rFonts w:hint="default" w:ascii="Times New Roman" w:hAnsi="Times New Roman" w:eastAsia="宋体" w:cs="Times New Roman"/>
          <w:b w:val="0"/>
          <w:bCs/>
          <w:sz w:val="24"/>
        </w:rPr>
        <w:t>物业服务范围：</w:t>
      </w:r>
    </w:p>
    <w:p w14:paraId="05421846">
      <w:pPr>
        <w:pStyle w:val="3"/>
        <w:spacing w:before="0" w:line="560" w:lineRule="exact"/>
        <w:ind w:firstLine="480" w:firstLineChars="200"/>
        <w:rPr>
          <w:rFonts w:hint="default" w:eastAsia="宋体" w:cs="宋体"/>
          <w:lang w:val="en-US" w:eastAsia="zh-CN"/>
        </w:rPr>
      </w:pPr>
      <w:r>
        <w:rPr>
          <w:rFonts w:hint="default" w:eastAsia="宋体" w:cs="宋体"/>
          <w:lang w:val="en-US" w:eastAsia="zh-CN"/>
        </w:rPr>
        <w:t>经区房屋行政管理部门核定的物业管理区域四至范围： </w:t>
      </w:r>
      <w:r>
        <w:rPr>
          <w:rFonts w:hint="default" w:eastAsia="宋体" w:cs="宋体"/>
          <w:lang w:val="en-US" w:eastAsia="zh-CN"/>
        </w:rPr>
        <w:br w:type="textWrapping"/>
      </w:r>
      <w:r>
        <w:rPr>
          <w:rFonts w:hint="default" w:eastAsia="宋体" w:cs="宋体"/>
          <w:lang w:val="en-US" w:eastAsia="zh-CN"/>
        </w:rPr>
        <w:t>　　东至前门东路 ，西至南晓顺胡同，南至罗家井胡同，北至大江胡同，以上范围不包括公共面积。 </w:t>
      </w:r>
      <w:r>
        <w:rPr>
          <w:rFonts w:hint="eastAsia" w:eastAsia="宋体" w:cs="宋体"/>
          <w:lang w:val="en-US" w:eastAsia="zh-CN"/>
        </w:rPr>
        <w:t>包含：</w:t>
      </w:r>
      <w:r>
        <w:rPr>
          <w:rFonts w:hint="default" w:eastAsia="宋体" w:cs="宋体"/>
          <w:lang w:val="en-US" w:eastAsia="zh-CN"/>
        </w:rPr>
        <w:t>北京台湾会馆地上、地下建筑，以及周边附属设备、设施和四至土地。</w:t>
      </w:r>
      <w:r>
        <w:rPr>
          <w:rFonts w:hint="default" w:eastAsia="宋体" w:cs="宋体"/>
          <w:lang w:val="en-US" w:eastAsia="zh-CN"/>
        </w:rPr>
        <w:br w:type="textWrapping"/>
      </w:r>
      <w:r>
        <w:rPr>
          <w:rFonts w:hint="default" w:eastAsia="宋体" w:cs="宋体"/>
          <w:lang w:val="en-US" w:eastAsia="zh-CN"/>
        </w:rPr>
        <w:t>　　总建筑面积</w:t>
      </w:r>
      <w:r>
        <w:rPr>
          <w:rFonts w:hint="eastAsia" w:cs="宋体"/>
          <w:lang w:val="en-US" w:eastAsia="zh-CN"/>
        </w:rPr>
        <w:t>：</w:t>
      </w:r>
      <w:r>
        <w:rPr>
          <w:rFonts w:hint="default" w:eastAsia="宋体" w:cs="宋体"/>
          <w:lang w:val="en-US" w:eastAsia="zh-CN"/>
        </w:rPr>
        <w:t>3859.61平方米。</w:t>
      </w:r>
    </w:p>
    <w:p w14:paraId="0A76EA18">
      <w:pPr>
        <w:pStyle w:val="8"/>
        <w:numPr>
          <w:ilvl w:val="0"/>
          <w:numId w:val="1"/>
        </w:numPr>
        <w:spacing w:line="560" w:lineRule="exact"/>
        <w:ind w:firstLineChars="0"/>
        <w:contextualSpacing/>
        <w:rPr>
          <w:rFonts w:ascii="Times New Roman" w:hAnsi="Times New Roman"/>
          <w:b/>
          <w:sz w:val="24"/>
          <w:szCs w:val="24"/>
        </w:rPr>
      </w:pPr>
      <w:r>
        <w:rPr>
          <w:rFonts w:ascii="Times New Roman" w:hAnsi="Times New Roman"/>
          <w:b/>
          <w:sz w:val="24"/>
          <w:szCs w:val="24"/>
        </w:rPr>
        <w:t>商务要求</w:t>
      </w:r>
    </w:p>
    <w:p w14:paraId="0652B2A4">
      <w:pPr>
        <w:spacing w:line="560" w:lineRule="exact"/>
        <w:contextualSpacing/>
        <w:rPr>
          <w:i/>
          <w:sz w:val="24"/>
        </w:rPr>
      </w:pPr>
      <w:r>
        <w:rPr>
          <w:sz w:val="24"/>
        </w:rPr>
        <w:t>1. 交付（实施）的时间（期限）和地点（范围）</w:t>
      </w:r>
    </w:p>
    <w:p w14:paraId="22AB1D54">
      <w:pPr>
        <w:spacing w:line="560" w:lineRule="exact"/>
        <w:contextualSpacing/>
        <w:rPr>
          <w:rFonts w:hint="default"/>
          <w:sz w:val="24"/>
          <w:lang w:val="en-US" w:eastAsia="zh-CN"/>
        </w:rPr>
      </w:pPr>
      <w:r>
        <w:rPr>
          <w:rFonts w:hint="eastAsia"/>
          <w:sz w:val="24"/>
          <w:lang w:eastAsia="zh-CN"/>
        </w:rPr>
        <w:t>（</w:t>
      </w:r>
      <w:r>
        <w:rPr>
          <w:rFonts w:hint="eastAsia"/>
          <w:sz w:val="24"/>
          <w:lang w:val="en-US" w:eastAsia="zh-CN"/>
        </w:rPr>
        <w:t>1</w:t>
      </w:r>
      <w:r>
        <w:rPr>
          <w:rFonts w:hint="eastAsia"/>
          <w:sz w:val="24"/>
          <w:lang w:eastAsia="zh-CN"/>
        </w:rPr>
        <w:t>）</w:t>
      </w:r>
      <w:r>
        <w:rPr>
          <w:sz w:val="24"/>
        </w:rPr>
        <w:t>交付（实施）的时间（期限）</w:t>
      </w:r>
      <w:r>
        <w:rPr>
          <w:rFonts w:hint="eastAsia"/>
          <w:sz w:val="24"/>
          <w:lang w:eastAsia="zh-CN"/>
        </w:rPr>
        <w:t>：</w:t>
      </w:r>
      <w:r>
        <w:rPr>
          <w:rFonts w:hint="eastAsia"/>
          <w:sz w:val="24"/>
          <w:lang w:val="en-US" w:eastAsia="zh-CN"/>
        </w:rPr>
        <w:t>2026年6月20日至2027年4月6日止（9.6个月）</w:t>
      </w:r>
    </w:p>
    <w:p w14:paraId="4015C7C1">
      <w:pPr>
        <w:spacing w:line="560" w:lineRule="exact"/>
        <w:contextualSpacing/>
        <w:rPr>
          <w:rFonts w:hint="eastAsia" w:eastAsia="宋体"/>
          <w:i/>
          <w:sz w:val="24"/>
          <w:lang w:eastAsia="zh-CN"/>
        </w:rPr>
      </w:pPr>
      <w:r>
        <w:rPr>
          <w:rFonts w:hint="default" w:ascii="Times New Roman" w:hAnsi="Times New Roman" w:eastAsia="宋体" w:cs="Times New Roman"/>
          <w:b w:val="0"/>
          <w:bCs w:val="0"/>
          <w:kern w:val="2"/>
          <w:sz w:val="24"/>
          <w:szCs w:val="24"/>
          <w:lang w:val="en-US" w:eastAsia="zh-CN" w:bidi="ar-SA"/>
        </w:rPr>
        <w:t>（</w:t>
      </w:r>
      <w:r>
        <w:rPr>
          <w:rFonts w:hint="eastAsia" w:ascii="Times New Roman" w:hAnsi="Times New Roman" w:eastAsia="宋体" w:cs="Times New Roman"/>
          <w:b w:val="0"/>
          <w:bCs w:val="0"/>
          <w:kern w:val="2"/>
          <w:sz w:val="24"/>
          <w:szCs w:val="24"/>
          <w:lang w:val="en-US" w:eastAsia="zh-CN" w:bidi="ar-SA"/>
        </w:rPr>
        <w:t>2</w:t>
      </w:r>
      <w:r>
        <w:rPr>
          <w:rFonts w:hint="default" w:ascii="Times New Roman" w:hAnsi="Times New Roman" w:eastAsia="宋体" w:cs="Times New Roman"/>
          <w:b w:val="0"/>
          <w:bCs w:val="0"/>
          <w:kern w:val="2"/>
          <w:sz w:val="24"/>
          <w:szCs w:val="24"/>
          <w:lang w:val="en-US" w:eastAsia="zh-CN" w:bidi="ar-SA"/>
        </w:rPr>
        <w:t>）交付（实施）的</w:t>
      </w:r>
      <w:r>
        <w:rPr>
          <w:sz w:val="24"/>
        </w:rPr>
        <w:t>地点（范围）</w:t>
      </w:r>
      <w:r>
        <w:rPr>
          <w:rFonts w:hint="eastAsia"/>
          <w:sz w:val="24"/>
          <w:lang w:eastAsia="zh-CN"/>
        </w:rPr>
        <w:t>：北京台湾会馆（北京市东城区前门东路大江胡同</w:t>
      </w:r>
      <w:r>
        <w:rPr>
          <w:rFonts w:hint="eastAsia"/>
          <w:sz w:val="24"/>
          <w:lang w:val="en-US" w:eastAsia="zh-CN"/>
        </w:rPr>
        <w:t>114号</w:t>
      </w:r>
      <w:r>
        <w:rPr>
          <w:rFonts w:hint="eastAsia"/>
          <w:sz w:val="24"/>
          <w:lang w:eastAsia="zh-CN"/>
        </w:rPr>
        <w:t>）</w:t>
      </w:r>
    </w:p>
    <w:p w14:paraId="71910D4B">
      <w:pPr>
        <w:spacing w:line="560" w:lineRule="exact"/>
        <w:contextualSpacing/>
        <w:rPr>
          <w:sz w:val="24"/>
        </w:rPr>
      </w:pPr>
      <w:r>
        <w:rPr>
          <w:sz w:val="24"/>
        </w:rPr>
        <w:t>2. 付款条件（进度和方式）</w:t>
      </w:r>
    </w:p>
    <w:p w14:paraId="6588BDA5">
      <w:pPr>
        <w:spacing w:line="560" w:lineRule="exact"/>
        <w:contextualSpacing/>
        <w:rPr>
          <w:rFonts w:hint="eastAsia"/>
          <w:bCs/>
          <w:sz w:val="24"/>
          <w:lang w:eastAsia="zh-CN"/>
        </w:rPr>
      </w:pPr>
      <w:r>
        <w:rPr>
          <w:rFonts w:hint="eastAsia"/>
          <w:bCs/>
          <w:sz w:val="24"/>
          <w:lang w:val="zh-TW" w:eastAsia="zh-CN"/>
        </w:rPr>
        <w:t>（</w:t>
      </w:r>
      <w:r>
        <w:rPr>
          <w:rFonts w:hint="eastAsia"/>
          <w:bCs/>
          <w:sz w:val="24"/>
          <w:lang w:val="en-US" w:eastAsia="zh-CN"/>
        </w:rPr>
        <w:t>1</w:t>
      </w:r>
      <w:r>
        <w:rPr>
          <w:rFonts w:hint="eastAsia"/>
          <w:bCs/>
          <w:sz w:val="24"/>
          <w:lang w:val="zh-TW" w:eastAsia="zh-CN"/>
        </w:rPr>
        <w:t>）本物业区域物业服务费</w:t>
      </w:r>
      <w:r>
        <w:rPr>
          <w:rFonts w:hint="eastAsia"/>
          <w:bCs/>
          <w:sz w:val="24"/>
          <w:lang w:eastAsia="zh-CN"/>
        </w:rPr>
        <w:t>用包含采购</w:t>
      </w:r>
      <w:r>
        <w:rPr>
          <w:rFonts w:hint="eastAsia"/>
          <w:bCs/>
          <w:sz w:val="24"/>
          <w:lang w:val="en-US" w:eastAsia="zh-CN"/>
        </w:rPr>
        <w:t>人</w:t>
      </w:r>
      <w:r>
        <w:rPr>
          <w:rFonts w:hint="eastAsia"/>
          <w:bCs/>
          <w:sz w:val="24"/>
          <w:lang w:eastAsia="zh-CN"/>
        </w:rPr>
        <w:t>工作人员工作餐费用</w:t>
      </w:r>
      <w:r>
        <w:rPr>
          <w:rFonts w:hint="eastAsia"/>
          <w:bCs/>
          <w:sz w:val="24"/>
          <w:lang w:val="en-US" w:eastAsia="zh-CN"/>
        </w:rPr>
        <w:t>6.4万元。餐饮服务允许分包，分包金额6.4万元，餐饮服务分包承接主体须为具备独立法人资格的合法经营企事业单位，持有有效营业执照及匹配经营范围的食品经营许可证，具备完善的食品安全管理制度、专职管理人员及持证从业人员，近三年无重大食品安全事故和严重违法失信记录，拥有相应餐饮服务、食材保障及现场运营能力，严格遵守食品安全、反食品浪费、节能降耗等规定，严禁转包及违规二次分包，满足公共机构日常餐饮保障与节约型建设相关管理要求。</w:t>
      </w:r>
    </w:p>
    <w:p w14:paraId="10861F53">
      <w:pPr>
        <w:spacing w:line="560" w:lineRule="exact"/>
        <w:contextualSpacing/>
        <w:rPr>
          <w:rFonts w:hint="eastAsia"/>
          <w:bCs/>
          <w:sz w:val="24"/>
          <w:lang w:eastAsia="zh-CN"/>
        </w:rPr>
      </w:pPr>
      <w:r>
        <w:rPr>
          <w:rFonts w:hint="eastAsia"/>
          <w:bCs/>
          <w:sz w:val="24"/>
          <w:lang w:val="zh-TW" w:eastAsia="zh-CN"/>
        </w:rPr>
        <w:t>（</w:t>
      </w:r>
      <w:r>
        <w:rPr>
          <w:rFonts w:hint="eastAsia"/>
          <w:bCs/>
          <w:sz w:val="24"/>
          <w:lang w:val="en-US" w:eastAsia="zh-CN"/>
        </w:rPr>
        <w:t>2</w:t>
      </w:r>
      <w:r>
        <w:rPr>
          <w:rFonts w:hint="eastAsia"/>
          <w:bCs/>
          <w:sz w:val="24"/>
          <w:lang w:val="zh-TW" w:eastAsia="zh-CN"/>
        </w:rPr>
        <w:t>）物业服务费用构成包括物业服务人工成本、</w:t>
      </w:r>
      <w:r>
        <w:rPr>
          <w:rFonts w:hint="eastAsia"/>
          <w:bCs/>
          <w:sz w:val="24"/>
          <w:lang w:eastAsia="zh-CN"/>
        </w:rPr>
        <w:t>约定服务成本、</w:t>
      </w:r>
      <w:r>
        <w:rPr>
          <w:rFonts w:hint="eastAsia"/>
          <w:bCs/>
          <w:sz w:val="24"/>
          <w:lang w:val="zh-TW" w:eastAsia="zh-CN"/>
        </w:rPr>
        <w:t>法定税费和物业管理企业利润等。</w:t>
      </w:r>
    </w:p>
    <w:p w14:paraId="28A7E619">
      <w:pPr>
        <w:spacing w:line="560" w:lineRule="exact"/>
        <w:contextualSpacing/>
        <w:rPr>
          <w:rFonts w:hint="eastAsia"/>
          <w:bCs/>
          <w:sz w:val="24"/>
          <w:lang w:eastAsia="zh-CN"/>
        </w:rPr>
      </w:pPr>
      <w:r>
        <w:rPr>
          <w:rFonts w:hint="eastAsia"/>
          <w:bCs/>
          <w:sz w:val="24"/>
          <w:lang w:eastAsia="zh-CN"/>
        </w:rPr>
        <w:t>（</w:t>
      </w:r>
      <w:r>
        <w:rPr>
          <w:rFonts w:hint="eastAsia"/>
          <w:bCs/>
          <w:sz w:val="24"/>
          <w:lang w:val="en-US" w:eastAsia="zh-CN"/>
        </w:rPr>
        <w:t>3</w:t>
      </w:r>
      <w:r>
        <w:rPr>
          <w:rFonts w:hint="eastAsia"/>
          <w:bCs/>
          <w:sz w:val="24"/>
          <w:lang w:eastAsia="zh-CN"/>
        </w:rPr>
        <w:t>）采购人</w:t>
      </w:r>
      <w:r>
        <w:rPr>
          <w:rFonts w:hint="eastAsia"/>
          <w:bCs/>
          <w:sz w:val="24"/>
          <w:lang w:val="zh-TW" w:eastAsia="zh-CN"/>
        </w:rPr>
        <w:t>应当在合同有效期内按合同约定方式支付物业服务费。</w:t>
      </w:r>
    </w:p>
    <w:p w14:paraId="3BCAD2E6">
      <w:pPr>
        <w:spacing w:line="560" w:lineRule="exact"/>
        <w:contextualSpacing/>
        <w:rPr>
          <w:rFonts w:hint="eastAsia" w:ascii="Times New Roman" w:hAnsi="Times New Roman" w:eastAsia="宋体" w:cs="Times New Roman"/>
          <w:bCs/>
          <w:sz w:val="24"/>
          <w:lang w:val="zh-TW" w:eastAsia="zh-CN"/>
        </w:rPr>
      </w:pPr>
      <w:r>
        <w:rPr>
          <w:rFonts w:hint="eastAsia"/>
          <w:bCs/>
          <w:sz w:val="24"/>
          <w:lang w:eastAsia="zh-CN"/>
        </w:rPr>
        <w:t>（</w:t>
      </w:r>
      <w:r>
        <w:rPr>
          <w:rFonts w:hint="eastAsia"/>
          <w:bCs/>
          <w:sz w:val="24"/>
          <w:lang w:val="en-US" w:eastAsia="zh-CN"/>
        </w:rPr>
        <w:t>4</w:t>
      </w:r>
      <w:r>
        <w:rPr>
          <w:rFonts w:hint="eastAsia"/>
          <w:bCs/>
          <w:sz w:val="24"/>
          <w:lang w:eastAsia="zh-CN"/>
        </w:rPr>
        <w:t xml:space="preserve">）物业服务费支付。采购人于物业服务期限开始后，分 </w:t>
      </w:r>
      <w:r>
        <w:rPr>
          <w:rFonts w:hint="eastAsia"/>
          <w:bCs/>
          <w:sz w:val="24"/>
          <w:lang w:val="en-US" w:eastAsia="zh-CN"/>
        </w:rPr>
        <w:t>3</w:t>
      </w:r>
      <w:r>
        <w:rPr>
          <w:rFonts w:hint="eastAsia"/>
          <w:bCs/>
          <w:sz w:val="24"/>
          <w:lang w:eastAsia="zh-CN"/>
        </w:rPr>
        <w:t xml:space="preserve"> 次支付年度物</w:t>
      </w:r>
      <w:r>
        <w:rPr>
          <w:rFonts w:hint="eastAsia" w:ascii="Times New Roman" w:hAnsi="Times New Roman" w:eastAsia="宋体" w:cs="Times New Roman"/>
          <w:bCs/>
          <w:sz w:val="24"/>
          <w:lang w:val="zh-TW" w:eastAsia="zh-CN"/>
        </w:rPr>
        <w:t>业服务费。具体方式如下：</w:t>
      </w:r>
    </w:p>
    <w:p w14:paraId="1808AC83">
      <w:pPr>
        <w:ind w:firstLine="480" w:firstLineChars="200"/>
        <w:jc w:val="left"/>
        <w:rPr>
          <w:highlight w:val="none"/>
        </w:rPr>
      </w:pPr>
      <w:r>
        <w:rPr>
          <w:rFonts w:hint="eastAsia"/>
          <w:bCs/>
          <w:sz w:val="24"/>
          <w:highlight w:val="none"/>
          <w:lang w:eastAsia="zh-CN"/>
        </w:rPr>
        <w:t>中标人</w:t>
      </w:r>
      <w:r>
        <w:rPr>
          <w:rFonts w:hint="eastAsia" w:ascii="Times New Roman" w:hAnsi="Times New Roman" w:eastAsia="宋体" w:cs="Times New Roman"/>
          <w:bCs/>
          <w:sz w:val="24"/>
          <w:highlight w:val="none"/>
          <w:lang w:val="zh-TW" w:eastAsia="zh-CN"/>
        </w:rPr>
        <w:t>提供服务之日算起，</w:t>
      </w:r>
      <w:r>
        <w:rPr>
          <w:bCs/>
          <w:sz w:val="24"/>
          <w:highlight w:val="none"/>
        </w:rPr>
        <w:t>采购人</w:t>
      </w:r>
      <w:r>
        <w:rPr>
          <w:rFonts w:hint="eastAsia"/>
          <w:bCs/>
          <w:sz w:val="24"/>
          <w:highlight w:val="none"/>
          <w:lang w:eastAsia="zh-CN"/>
        </w:rPr>
        <w:t>于收到发票</w:t>
      </w:r>
      <w:r>
        <w:rPr>
          <w:rFonts w:hint="eastAsia"/>
          <w:bCs/>
          <w:sz w:val="24"/>
          <w:highlight w:val="none"/>
          <w:lang w:val="en-US" w:eastAsia="zh-CN"/>
        </w:rPr>
        <w:t>10日内</w:t>
      </w:r>
      <w:r>
        <w:rPr>
          <w:rFonts w:hint="eastAsia" w:ascii="Times New Roman" w:hAnsi="Times New Roman" w:eastAsia="宋体" w:cs="Times New Roman"/>
          <w:bCs/>
          <w:sz w:val="24"/>
          <w:highlight w:val="none"/>
          <w:lang w:val="zh-TW" w:eastAsia="zh-CN"/>
        </w:rPr>
        <w:t>预付</w:t>
      </w:r>
      <w:r>
        <w:rPr>
          <w:rFonts w:hint="eastAsia"/>
          <w:bCs/>
          <w:sz w:val="24"/>
          <w:highlight w:val="none"/>
          <w:lang w:eastAsia="zh-CN"/>
        </w:rPr>
        <w:t>中标人</w:t>
      </w:r>
      <w:r>
        <w:rPr>
          <w:rFonts w:hint="eastAsia" w:cs="Times New Roman"/>
          <w:bCs/>
          <w:sz w:val="24"/>
          <w:highlight w:val="none"/>
          <w:lang w:val="zh-TW" w:eastAsia="zh-CN"/>
        </w:rPr>
        <w:t>本</w:t>
      </w:r>
      <w:r>
        <w:rPr>
          <w:rFonts w:hint="eastAsia" w:ascii="Times New Roman" w:hAnsi="Times New Roman" w:eastAsia="宋体" w:cs="Times New Roman"/>
          <w:bCs/>
          <w:sz w:val="24"/>
          <w:highlight w:val="none"/>
          <w:lang w:val="zh-TW" w:eastAsia="zh-CN"/>
        </w:rPr>
        <w:t>合同总金额的80%，即人民币</w:t>
      </w:r>
      <w:r>
        <w:rPr>
          <w:rFonts w:hint="eastAsia" w:cs="Times New Roman"/>
          <w:bCs/>
          <w:sz w:val="24"/>
          <w:highlight w:val="none"/>
          <w:lang w:val="en-US" w:eastAsia="zh-CN"/>
        </w:rPr>
        <w:t xml:space="preserve">    </w:t>
      </w:r>
      <w:r>
        <w:rPr>
          <w:rFonts w:hint="eastAsia" w:ascii="Times New Roman" w:hAnsi="Times New Roman" w:eastAsia="宋体" w:cs="Times New Roman"/>
          <w:bCs/>
          <w:sz w:val="24"/>
          <w:highlight w:val="none"/>
          <w:lang w:val="zh-TW" w:eastAsia="zh-CN"/>
        </w:rPr>
        <w:t>（￥</w:t>
      </w:r>
      <w:r>
        <w:rPr>
          <w:rFonts w:hint="eastAsia" w:cs="Times New Roman"/>
          <w:bCs/>
          <w:sz w:val="24"/>
          <w:highlight w:val="none"/>
          <w:lang w:val="en-US" w:eastAsia="zh-CN"/>
        </w:rPr>
        <w:t xml:space="preserve">    </w:t>
      </w:r>
      <w:r>
        <w:rPr>
          <w:rFonts w:hint="eastAsia" w:ascii="Times New Roman" w:hAnsi="Times New Roman" w:eastAsia="宋体" w:cs="Times New Roman"/>
          <w:bCs/>
          <w:sz w:val="24"/>
          <w:highlight w:val="none"/>
          <w:lang w:val="zh-TW" w:eastAsia="zh-CN"/>
        </w:rPr>
        <w:t>元）；</w:t>
      </w:r>
      <w:r>
        <w:rPr>
          <w:rFonts w:hint="eastAsia"/>
          <w:bCs/>
          <w:sz w:val="24"/>
          <w:highlight w:val="none"/>
          <w:lang w:eastAsia="zh-CN"/>
        </w:rPr>
        <w:t>中标人</w:t>
      </w:r>
      <w:r>
        <w:rPr>
          <w:rFonts w:hint="eastAsia" w:ascii="Times New Roman" w:hAnsi="Times New Roman" w:eastAsia="宋体" w:cs="Times New Roman"/>
          <w:bCs/>
          <w:sz w:val="24"/>
          <w:highlight w:val="none"/>
          <w:lang w:val="zh-TW" w:eastAsia="zh-CN"/>
        </w:rPr>
        <w:t>执行本合同期满3个月，</w:t>
      </w:r>
      <w:r>
        <w:rPr>
          <w:bCs/>
          <w:sz w:val="24"/>
          <w:highlight w:val="none"/>
        </w:rPr>
        <w:t>采购人</w:t>
      </w:r>
      <w:r>
        <w:rPr>
          <w:rFonts w:hint="eastAsia" w:ascii="Times New Roman" w:hAnsi="Times New Roman" w:eastAsia="宋体" w:cs="Times New Roman"/>
          <w:bCs/>
          <w:sz w:val="24"/>
          <w:highlight w:val="none"/>
          <w:lang w:val="zh-TW" w:eastAsia="zh-CN"/>
        </w:rPr>
        <w:t>7日内支付</w:t>
      </w:r>
      <w:r>
        <w:rPr>
          <w:rFonts w:hint="eastAsia"/>
          <w:bCs/>
          <w:sz w:val="24"/>
          <w:highlight w:val="none"/>
          <w:lang w:eastAsia="zh-CN"/>
        </w:rPr>
        <w:t>中标人</w:t>
      </w:r>
      <w:r>
        <w:rPr>
          <w:rFonts w:hint="eastAsia" w:ascii="Times New Roman" w:hAnsi="Times New Roman" w:eastAsia="宋体" w:cs="Times New Roman"/>
          <w:bCs/>
          <w:sz w:val="24"/>
          <w:highlight w:val="none"/>
          <w:lang w:val="zh-TW" w:eastAsia="zh-CN"/>
        </w:rPr>
        <w:t>本合同总金额的10%，即人民币</w:t>
      </w:r>
      <w:r>
        <w:rPr>
          <w:rFonts w:hint="eastAsia" w:cs="Times New Roman"/>
          <w:bCs/>
          <w:sz w:val="24"/>
          <w:highlight w:val="none"/>
          <w:u w:val="single"/>
          <w:lang w:val="en-US" w:eastAsia="zh-CN"/>
        </w:rPr>
        <w:t xml:space="preserve">        </w:t>
      </w:r>
      <w:r>
        <w:rPr>
          <w:rFonts w:hint="eastAsia" w:ascii="Times New Roman" w:hAnsi="Times New Roman" w:eastAsia="宋体" w:cs="Times New Roman"/>
          <w:bCs/>
          <w:sz w:val="24"/>
          <w:highlight w:val="none"/>
          <w:lang w:val="zh-TW" w:eastAsia="zh-CN"/>
        </w:rPr>
        <w:t>元整（￥</w:t>
      </w:r>
      <w:r>
        <w:rPr>
          <w:rFonts w:hint="eastAsia" w:cs="Times New Roman"/>
          <w:bCs/>
          <w:sz w:val="24"/>
          <w:highlight w:val="none"/>
          <w:u w:val="single"/>
          <w:lang w:val="en-US" w:eastAsia="zh-CN"/>
        </w:rPr>
        <w:t xml:space="preserve">       </w:t>
      </w:r>
      <w:r>
        <w:rPr>
          <w:rFonts w:hint="eastAsia" w:ascii="Times New Roman" w:hAnsi="Times New Roman" w:eastAsia="宋体" w:cs="Times New Roman"/>
          <w:bCs/>
          <w:sz w:val="24"/>
          <w:highlight w:val="none"/>
          <w:lang w:val="zh-TW" w:eastAsia="zh-CN"/>
        </w:rPr>
        <w:t>元）；</w:t>
      </w:r>
      <w:r>
        <w:rPr>
          <w:rFonts w:hint="eastAsia"/>
          <w:bCs/>
          <w:sz w:val="24"/>
          <w:highlight w:val="none"/>
          <w:lang w:eastAsia="zh-CN"/>
        </w:rPr>
        <w:t>中标人</w:t>
      </w:r>
      <w:r>
        <w:rPr>
          <w:rFonts w:hint="eastAsia" w:ascii="Times New Roman" w:hAnsi="Times New Roman" w:eastAsia="宋体" w:cs="Times New Roman"/>
          <w:bCs/>
          <w:sz w:val="24"/>
          <w:highlight w:val="none"/>
          <w:lang w:val="zh-TW" w:eastAsia="zh-CN"/>
        </w:rPr>
        <w:t>执行本合同期满6个月，</w:t>
      </w:r>
      <w:r>
        <w:rPr>
          <w:bCs/>
          <w:sz w:val="24"/>
          <w:highlight w:val="none"/>
        </w:rPr>
        <w:t>采购人</w:t>
      </w:r>
      <w:r>
        <w:rPr>
          <w:rFonts w:hint="eastAsia" w:ascii="Times New Roman" w:hAnsi="Times New Roman" w:eastAsia="宋体" w:cs="Times New Roman"/>
          <w:bCs/>
          <w:sz w:val="24"/>
          <w:highlight w:val="none"/>
          <w:lang w:val="zh-TW" w:eastAsia="zh-CN"/>
        </w:rPr>
        <w:t>7日内支付</w:t>
      </w:r>
      <w:r>
        <w:rPr>
          <w:rFonts w:hint="eastAsia"/>
          <w:bCs/>
          <w:sz w:val="24"/>
          <w:highlight w:val="none"/>
          <w:lang w:eastAsia="zh-CN"/>
        </w:rPr>
        <w:t>中标人</w:t>
      </w:r>
      <w:r>
        <w:rPr>
          <w:rFonts w:hint="eastAsia" w:ascii="Times New Roman" w:hAnsi="Times New Roman" w:eastAsia="宋体" w:cs="Times New Roman"/>
          <w:bCs/>
          <w:sz w:val="24"/>
          <w:highlight w:val="none"/>
          <w:lang w:val="zh-TW" w:eastAsia="zh-CN"/>
        </w:rPr>
        <w:t>本合同总金额的10%，即人民币</w:t>
      </w:r>
      <w:r>
        <w:rPr>
          <w:rFonts w:hint="eastAsia" w:cs="Times New Roman"/>
          <w:bCs/>
          <w:sz w:val="24"/>
          <w:highlight w:val="none"/>
          <w:u w:val="single"/>
          <w:lang w:val="en-US" w:eastAsia="zh-CN"/>
        </w:rPr>
        <w:t xml:space="preserve">            </w:t>
      </w:r>
    </w:p>
    <w:p w14:paraId="0C9BF238">
      <w:pPr>
        <w:spacing w:line="560" w:lineRule="exact"/>
        <w:ind w:firstLine="480" w:firstLineChars="200"/>
        <w:contextualSpacing/>
        <w:jc w:val="left"/>
        <w:rPr>
          <w:rFonts w:hint="eastAsia" w:ascii="Times New Roman" w:hAnsi="Times New Roman" w:eastAsia="宋体" w:cs="Times New Roman"/>
          <w:bCs/>
          <w:sz w:val="24"/>
          <w:highlight w:val="none"/>
          <w:lang w:val="zh-TW" w:eastAsia="zh-CN"/>
        </w:rPr>
      </w:pPr>
      <w:r>
        <w:rPr>
          <w:rFonts w:hint="eastAsia" w:ascii="Times New Roman" w:hAnsi="Times New Roman" w:eastAsia="宋体" w:cs="Times New Roman"/>
          <w:bCs/>
          <w:sz w:val="24"/>
          <w:highlight w:val="none"/>
          <w:lang w:val="zh-TW" w:eastAsia="zh-CN"/>
        </w:rPr>
        <w:t>整（￥</w:t>
      </w:r>
      <w:r>
        <w:rPr>
          <w:rFonts w:hint="eastAsia" w:cs="Times New Roman"/>
          <w:bCs/>
          <w:sz w:val="24"/>
          <w:highlight w:val="none"/>
          <w:u w:val="single"/>
          <w:lang w:val="en-US" w:eastAsia="zh-CN"/>
        </w:rPr>
        <w:t xml:space="preserve">        </w:t>
      </w:r>
      <w:r>
        <w:rPr>
          <w:rFonts w:hint="eastAsia" w:ascii="Times New Roman" w:hAnsi="Times New Roman" w:eastAsia="宋体" w:cs="Times New Roman"/>
          <w:bCs/>
          <w:sz w:val="24"/>
          <w:highlight w:val="none"/>
          <w:lang w:val="zh-TW" w:eastAsia="zh-CN"/>
        </w:rPr>
        <w:t>元）。</w:t>
      </w:r>
      <w:r>
        <w:rPr>
          <w:bCs/>
          <w:sz w:val="24"/>
          <w:highlight w:val="none"/>
        </w:rPr>
        <w:t>采购人</w:t>
      </w:r>
      <w:r>
        <w:rPr>
          <w:rFonts w:hint="eastAsia" w:ascii="Times New Roman" w:hAnsi="Times New Roman" w:eastAsia="宋体" w:cs="Times New Roman"/>
          <w:bCs/>
          <w:sz w:val="24"/>
          <w:highlight w:val="none"/>
          <w:lang w:val="zh-TW" w:eastAsia="zh-CN"/>
        </w:rPr>
        <w:t>付款时，</w:t>
      </w:r>
      <w:r>
        <w:rPr>
          <w:rFonts w:hint="eastAsia"/>
          <w:bCs/>
          <w:sz w:val="24"/>
          <w:highlight w:val="none"/>
          <w:lang w:eastAsia="zh-CN"/>
        </w:rPr>
        <w:t>中标人</w:t>
      </w:r>
      <w:r>
        <w:rPr>
          <w:rFonts w:hint="eastAsia" w:ascii="Times New Roman" w:hAnsi="Times New Roman" w:eastAsia="宋体" w:cs="Times New Roman"/>
          <w:bCs/>
          <w:sz w:val="24"/>
          <w:highlight w:val="none"/>
          <w:lang w:val="zh-TW" w:eastAsia="zh-CN"/>
        </w:rPr>
        <w:t>需提供正规发票；除上述费用之外，</w:t>
      </w:r>
      <w:r>
        <w:rPr>
          <w:bCs/>
          <w:sz w:val="24"/>
          <w:highlight w:val="none"/>
        </w:rPr>
        <w:t>采购人</w:t>
      </w:r>
      <w:r>
        <w:rPr>
          <w:rFonts w:hint="eastAsia" w:ascii="Times New Roman" w:hAnsi="Times New Roman" w:eastAsia="宋体" w:cs="Times New Roman"/>
          <w:bCs/>
          <w:sz w:val="24"/>
          <w:highlight w:val="none"/>
          <w:lang w:val="zh-TW" w:eastAsia="zh-CN"/>
        </w:rPr>
        <w:t>不再向</w:t>
      </w:r>
      <w:r>
        <w:rPr>
          <w:rFonts w:hint="eastAsia"/>
          <w:bCs/>
          <w:sz w:val="24"/>
          <w:highlight w:val="none"/>
          <w:lang w:eastAsia="zh-CN"/>
        </w:rPr>
        <w:t>中标人</w:t>
      </w:r>
      <w:r>
        <w:rPr>
          <w:rFonts w:hint="eastAsia" w:ascii="Times New Roman" w:hAnsi="Times New Roman" w:eastAsia="宋体" w:cs="Times New Roman"/>
          <w:bCs/>
          <w:sz w:val="24"/>
          <w:highlight w:val="none"/>
          <w:lang w:val="zh-TW" w:eastAsia="zh-CN"/>
        </w:rPr>
        <w:t>支付任何费用（另行约定除外）。</w:t>
      </w:r>
    </w:p>
    <w:p w14:paraId="63D9FB6D">
      <w:pPr>
        <w:spacing w:line="560" w:lineRule="exact"/>
        <w:ind w:firstLine="480" w:firstLineChars="200"/>
        <w:contextualSpacing/>
        <w:rPr>
          <w:bCs/>
          <w:sz w:val="24"/>
          <w:highlight w:val="none"/>
        </w:rPr>
      </w:pPr>
      <w:r>
        <w:rPr>
          <w:rFonts w:hint="eastAsia" w:ascii="Times New Roman" w:hAnsi="Times New Roman" w:eastAsia="宋体" w:cs="Times New Roman"/>
          <w:bCs/>
          <w:sz w:val="24"/>
          <w:highlight w:val="none"/>
          <w:lang w:val="zh-TW" w:eastAsia="zh-CN"/>
        </w:rPr>
        <w:t>（</w:t>
      </w:r>
      <w:r>
        <w:rPr>
          <w:rFonts w:hint="eastAsia" w:ascii="Times New Roman" w:hAnsi="Times New Roman" w:eastAsia="宋体" w:cs="Times New Roman"/>
          <w:bCs/>
          <w:sz w:val="24"/>
          <w:highlight w:val="none"/>
          <w:lang w:val="en-US" w:eastAsia="zh-CN"/>
        </w:rPr>
        <w:t>5</w:t>
      </w:r>
      <w:r>
        <w:rPr>
          <w:rFonts w:hint="eastAsia" w:ascii="Times New Roman" w:hAnsi="Times New Roman" w:eastAsia="宋体" w:cs="Times New Roman"/>
          <w:bCs/>
          <w:sz w:val="24"/>
          <w:highlight w:val="none"/>
          <w:lang w:val="zh-TW" w:eastAsia="zh-CN"/>
        </w:rPr>
        <w:t>）</w:t>
      </w:r>
      <w:r>
        <w:rPr>
          <w:rFonts w:hint="eastAsia"/>
          <w:bCs/>
          <w:sz w:val="24"/>
          <w:highlight w:val="none"/>
          <w:lang w:eastAsia="zh-CN"/>
        </w:rPr>
        <w:t>付款方式：</w:t>
      </w:r>
      <w:r>
        <w:rPr>
          <w:bCs/>
          <w:sz w:val="24"/>
          <w:highlight w:val="none"/>
        </w:rPr>
        <w:t>采购人原则上自收到发票后</w:t>
      </w:r>
      <w:r>
        <w:rPr>
          <w:rFonts w:hint="eastAsia"/>
          <w:bCs/>
          <w:sz w:val="24"/>
          <w:highlight w:val="none"/>
          <w:lang w:val="en-US" w:eastAsia="zh-CN"/>
        </w:rPr>
        <w:t>10</w:t>
      </w:r>
      <w:r>
        <w:rPr>
          <w:bCs/>
          <w:sz w:val="24"/>
          <w:highlight w:val="none"/>
        </w:rPr>
        <w:t>个工作日内将资金支付到合同约定的</w:t>
      </w:r>
      <w:r>
        <w:rPr>
          <w:rFonts w:hint="eastAsia"/>
          <w:bCs/>
          <w:sz w:val="24"/>
          <w:highlight w:val="none"/>
          <w:lang w:eastAsia="zh-CN"/>
        </w:rPr>
        <w:t>中标人</w:t>
      </w:r>
      <w:r>
        <w:rPr>
          <w:bCs/>
          <w:sz w:val="24"/>
          <w:highlight w:val="none"/>
        </w:rPr>
        <w:t>账户。采购人和</w:t>
      </w:r>
      <w:r>
        <w:rPr>
          <w:rFonts w:hint="eastAsia"/>
          <w:bCs/>
          <w:sz w:val="24"/>
          <w:highlight w:val="none"/>
          <w:lang w:eastAsia="zh-CN"/>
        </w:rPr>
        <w:t>中标人</w:t>
      </w:r>
      <w:r>
        <w:rPr>
          <w:bCs/>
          <w:sz w:val="24"/>
          <w:highlight w:val="none"/>
        </w:rPr>
        <w:t>对资金支付产生争议的，应当按照法律规定和合同约定及时解决，保证资金支付效率。</w:t>
      </w:r>
    </w:p>
    <w:p w14:paraId="7762850E">
      <w:pPr>
        <w:numPr>
          <w:ilvl w:val="0"/>
          <w:numId w:val="0"/>
        </w:numPr>
        <w:spacing w:line="560" w:lineRule="exact"/>
        <w:contextualSpacing/>
        <w:rPr>
          <w:bCs/>
          <w:sz w:val="24"/>
        </w:rPr>
      </w:pPr>
      <w:r>
        <w:rPr>
          <w:rFonts w:hint="eastAsia"/>
          <w:bCs/>
          <w:sz w:val="24"/>
          <w:lang w:eastAsia="zh-CN"/>
        </w:rPr>
        <w:t>（</w:t>
      </w:r>
      <w:r>
        <w:rPr>
          <w:rFonts w:hint="eastAsia"/>
          <w:bCs/>
          <w:sz w:val="24"/>
          <w:lang w:val="en-US" w:eastAsia="zh-CN"/>
        </w:rPr>
        <w:t>6</w:t>
      </w:r>
      <w:r>
        <w:rPr>
          <w:rFonts w:hint="eastAsia"/>
          <w:bCs/>
          <w:sz w:val="24"/>
          <w:lang w:eastAsia="zh-CN"/>
        </w:rPr>
        <w:t>）付款标准：</w:t>
      </w:r>
      <w:r>
        <w:rPr>
          <w:rFonts w:hint="eastAsia"/>
          <w:bCs/>
          <w:sz w:val="24"/>
        </w:rPr>
        <w:t>季度物业服务费具体金额根据采购人对中标人的考核及验收情况确定。具体标准如下：</w:t>
      </w:r>
    </w:p>
    <w:tbl>
      <w:tblPr>
        <w:tblStyle w:val="5"/>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6314"/>
      </w:tblGrid>
      <w:tr w14:paraId="19B0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noWrap w:val="0"/>
            <w:vAlign w:val="top"/>
          </w:tcPr>
          <w:p w14:paraId="1A544B61">
            <w:pPr>
              <w:numPr>
                <w:ilvl w:val="0"/>
                <w:numId w:val="0"/>
              </w:numPr>
              <w:spacing w:line="560" w:lineRule="exact"/>
              <w:contextualSpacing/>
              <w:jc w:val="center"/>
              <w:rPr>
                <w:rFonts w:hint="eastAsia" w:ascii="方正黑体_GBK" w:hAnsi="方正黑体_GBK" w:eastAsia="方正黑体_GBK" w:cs="方正黑体_GBK"/>
                <w:bCs/>
                <w:sz w:val="24"/>
              </w:rPr>
            </w:pPr>
            <w:r>
              <w:rPr>
                <w:rFonts w:hint="eastAsia" w:ascii="方正黑体_GBK" w:hAnsi="方正黑体_GBK" w:eastAsia="方正黑体_GBK" w:cs="方正黑体_GBK"/>
                <w:bCs/>
                <w:sz w:val="24"/>
              </w:rPr>
              <w:t>考核得分</w:t>
            </w:r>
          </w:p>
        </w:tc>
        <w:tc>
          <w:tcPr>
            <w:tcW w:w="6314" w:type="dxa"/>
            <w:noWrap w:val="0"/>
            <w:vAlign w:val="top"/>
          </w:tcPr>
          <w:p w14:paraId="52F83EBE">
            <w:pPr>
              <w:numPr>
                <w:ilvl w:val="0"/>
                <w:numId w:val="0"/>
              </w:numPr>
              <w:spacing w:line="560" w:lineRule="exact"/>
              <w:contextualSpacing/>
              <w:jc w:val="center"/>
              <w:rPr>
                <w:rFonts w:hint="eastAsia" w:ascii="方正黑体_GBK" w:hAnsi="方正黑体_GBK" w:eastAsia="方正黑体_GBK" w:cs="方正黑体_GBK"/>
                <w:bCs/>
                <w:sz w:val="24"/>
              </w:rPr>
            </w:pPr>
            <w:r>
              <w:rPr>
                <w:rFonts w:hint="eastAsia" w:ascii="方正黑体_GBK" w:hAnsi="方正黑体_GBK" w:eastAsia="方正黑体_GBK" w:cs="方正黑体_GBK"/>
                <w:bCs/>
                <w:sz w:val="24"/>
              </w:rPr>
              <w:t>当</w:t>
            </w:r>
            <w:r>
              <w:rPr>
                <w:rFonts w:hint="eastAsia" w:ascii="方正黑体_GBK" w:hAnsi="方正黑体_GBK" w:eastAsia="方正黑体_GBK" w:cs="方正黑体_GBK"/>
                <w:bCs/>
                <w:sz w:val="24"/>
                <w:lang w:eastAsia="zh-CN"/>
              </w:rPr>
              <w:t>次</w:t>
            </w:r>
            <w:r>
              <w:rPr>
                <w:rFonts w:hint="eastAsia" w:ascii="方正黑体_GBK" w:hAnsi="方正黑体_GBK" w:eastAsia="方正黑体_GBK" w:cs="方正黑体_GBK"/>
                <w:bCs/>
                <w:sz w:val="24"/>
              </w:rPr>
              <w:t>物业费用支付标准</w:t>
            </w:r>
          </w:p>
        </w:tc>
      </w:tr>
      <w:tr w14:paraId="15F6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182" w:type="dxa"/>
            <w:noWrap w:val="0"/>
            <w:vAlign w:val="top"/>
          </w:tcPr>
          <w:p w14:paraId="771D3799">
            <w:pPr>
              <w:numPr>
                <w:ilvl w:val="0"/>
                <w:numId w:val="0"/>
              </w:numPr>
              <w:spacing w:line="560" w:lineRule="exact"/>
              <w:contextualSpacing/>
              <w:jc w:val="center"/>
              <w:rPr>
                <w:bCs/>
                <w:sz w:val="24"/>
              </w:rPr>
            </w:pPr>
            <w:r>
              <w:rPr>
                <w:rFonts w:hint="eastAsia"/>
                <w:bCs/>
                <w:sz w:val="24"/>
              </w:rPr>
              <w:t>考核分≥80</w:t>
            </w:r>
          </w:p>
        </w:tc>
        <w:tc>
          <w:tcPr>
            <w:tcW w:w="6314" w:type="dxa"/>
            <w:noWrap w:val="0"/>
            <w:vAlign w:val="top"/>
          </w:tcPr>
          <w:p w14:paraId="6FF4EEF6">
            <w:pPr>
              <w:numPr>
                <w:ilvl w:val="0"/>
                <w:numId w:val="0"/>
              </w:numPr>
              <w:spacing w:line="560" w:lineRule="exact"/>
              <w:contextualSpacing/>
              <w:rPr>
                <w:bCs/>
                <w:sz w:val="24"/>
              </w:rPr>
            </w:pPr>
            <w:r>
              <w:rPr>
                <w:rFonts w:hint="eastAsia"/>
                <w:bCs/>
                <w:sz w:val="24"/>
              </w:rPr>
              <w:t>全额支付。</w:t>
            </w:r>
          </w:p>
        </w:tc>
      </w:tr>
      <w:tr w14:paraId="08AE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82" w:type="dxa"/>
            <w:noWrap w:val="0"/>
            <w:vAlign w:val="top"/>
          </w:tcPr>
          <w:p w14:paraId="4C0BF642">
            <w:pPr>
              <w:numPr>
                <w:ilvl w:val="0"/>
                <w:numId w:val="0"/>
              </w:numPr>
              <w:spacing w:line="560" w:lineRule="exact"/>
              <w:contextualSpacing/>
              <w:jc w:val="center"/>
              <w:rPr>
                <w:bCs/>
                <w:sz w:val="24"/>
              </w:rPr>
            </w:pPr>
            <w:r>
              <w:rPr>
                <w:rFonts w:hint="eastAsia"/>
                <w:bCs/>
                <w:sz w:val="24"/>
              </w:rPr>
              <w:t>70≤考核分＜80</w:t>
            </w:r>
          </w:p>
        </w:tc>
        <w:tc>
          <w:tcPr>
            <w:tcW w:w="6314" w:type="dxa"/>
            <w:noWrap w:val="0"/>
            <w:vAlign w:val="top"/>
          </w:tcPr>
          <w:p w14:paraId="63F3EE48">
            <w:pPr>
              <w:numPr>
                <w:ilvl w:val="0"/>
                <w:numId w:val="0"/>
              </w:numPr>
              <w:spacing w:line="560" w:lineRule="exact"/>
              <w:contextualSpacing/>
              <w:rPr>
                <w:bCs/>
                <w:sz w:val="24"/>
              </w:rPr>
            </w:pPr>
            <w:r>
              <w:rPr>
                <w:rFonts w:hint="eastAsia"/>
                <w:bCs/>
                <w:sz w:val="24"/>
              </w:rPr>
              <w:t>扣除当</w:t>
            </w:r>
            <w:r>
              <w:rPr>
                <w:rFonts w:hint="eastAsia"/>
                <w:bCs/>
                <w:sz w:val="24"/>
                <w:lang w:eastAsia="zh-CN"/>
              </w:rPr>
              <w:t>次</w:t>
            </w:r>
            <w:r>
              <w:rPr>
                <w:rFonts w:hint="eastAsia"/>
                <w:bCs/>
                <w:sz w:val="24"/>
              </w:rPr>
              <w:t>物业服务费的2%。</w:t>
            </w:r>
          </w:p>
        </w:tc>
      </w:tr>
      <w:tr w14:paraId="5302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noWrap w:val="0"/>
            <w:vAlign w:val="top"/>
          </w:tcPr>
          <w:p w14:paraId="396D6CDC">
            <w:pPr>
              <w:numPr>
                <w:ilvl w:val="0"/>
                <w:numId w:val="0"/>
              </w:numPr>
              <w:spacing w:line="560" w:lineRule="exact"/>
              <w:contextualSpacing/>
              <w:jc w:val="center"/>
              <w:rPr>
                <w:bCs/>
                <w:sz w:val="24"/>
              </w:rPr>
            </w:pPr>
            <w:r>
              <w:rPr>
                <w:rFonts w:hint="eastAsia"/>
                <w:bCs/>
                <w:sz w:val="24"/>
              </w:rPr>
              <w:t>考核分＜70</w:t>
            </w:r>
          </w:p>
        </w:tc>
        <w:tc>
          <w:tcPr>
            <w:tcW w:w="6314" w:type="dxa"/>
            <w:noWrap w:val="0"/>
            <w:vAlign w:val="top"/>
          </w:tcPr>
          <w:p w14:paraId="571062DE">
            <w:pPr>
              <w:numPr>
                <w:ilvl w:val="0"/>
                <w:numId w:val="0"/>
              </w:numPr>
              <w:spacing w:line="560" w:lineRule="exact"/>
              <w:contextualSpacing/>
              <w:rPr>
                <w:bCs/>
                <w:sz w:val="24"/>
              </w:rPr>
            </w:pPr>
            <w:r>
              <w:rPr>
                <w:rFonts w:hint="eastAsia"/>
                <w:bCs/>
                <w:sz w:val="24"/>
              </w:rPr>
              <w:t>扣除当</w:t>
            </w:r>
            <w:r>
              <w:rPr>
                <w:rFonts w:hint="eastAsia"/>
                <w:bCs/>
                <w:sz w:val="24"/>
                <w:lang w:eastAsia="zh-CN"/>
              </w:rPr>
              <w:t>次</w:t>
            </w:r>
            <w:r>
              <w:rPr>
                <w:rFonts w:hint="eastAsia"/>
                <w:bCs/>
                <w:sz w:val="24"/>
              </w:rPr>
              <w:t>物业服务费的5%。</w:t>
            </w:r>
          </w:p>
        </w:tc>
      </w:tr>
    </w:tbl>
    <w:p w14:paraId="458B1EAB">
      <w:pPr>
        <w:numPr>
          <w:ilvl w:val="0"/>
          <w:numId w:val="0"/>
        </w:numPr>
        <w:spacing w:line="560" w:lineRule="exact"/>
        <w:contextualSpacing/>
        <w:rPr>
          <w:bCs/>
          <w:sz w:val="24"/>
        </w:rPr>
      </w:pPr>
      <w:r>
        <w:rPr>
          <w:rFonts w:hint="eastAsia"/>
          <w:bCs/>
          <w:sz w:val="24"/>
          <w:lang w:eastAsia="zh-CN"/>
        </w:rPr>
        <w:t>（</w:t>
      </w:r>
      <w:r>
        <w:rPr>
          <w:rFonts w:hint="eastAsia"/>
          <w:bCs/>
          <w:sz w:val="24"/>
          <w:lang w:val="en-US" w:eastAsia="zh-CN"/>
        </w:rPr>
        <w:t>6.1</w:t>
      </w:r>
      <w:r>
        <w:rPr>
          <w:rFonts w:hint="eastAsia"/>
          <w:bCs/>
          <w:sz w:val="24"/>
          <w:lang w:eastAsia="zh-CN"/>
        </w:rPr>
        <w:t>）</w:t>
      </w:r>
      <w:r>
        <w:rPr>
          <w:rFonts w:hint="eastAsia"/>
          <w:bCs/>
          <w:sz w:val="24"/>
        </w:rPr>
        <w:t>双方共同确认的考核验收评分标准为：</w:t>
      </w:r>
    </w:p>
    <w:tbl>
      <w:tblPr>
        <w:tblStyle w:val="5"/>
        <w:tblpPr w:leftFromText="180" w:rightFromText="180" w:vertAnchor="text" w:horzAnchor="page" w:tblpX="1787" w:tblpY="81"/>
        <w:tblOverlap w:val="never"/>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526"/>
        <w:gridCol w:w="1273"/>
        <w:gridCol w:w="2694"/>
        <w:gridCol w:w="3360"/>
        <w:gridCol w:w="457"/>
      </w:tblGrid>
      <w:tr w14:paraId="5486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6" w:type="dxa"/>
            <w:noWrap w:val="0"/>
            <w:vAlign w:val="center"/>
          </w:tcPr>
          <w:p w14:paraId="214DCBC6">
            <w:pPr>
              <w:numPr>
                <w:ilvl w:val="0"/>
                <w:numId w:val="0"/>
              </w:numPr>
              <w:spacing w:line="560" w:lineRule="exact"/>
              <w:contextualSpacing/>
              <w:rPr>
                <w:bCs/>
                <w:sz w:val="24"/>
              </w:rPr>
            </w:pPr>
            <w:r>
              <w:rPr>
                <w:bCs/>
                <w:sz w:val="24"/>
              </w:rPr>
              <w:t>类别</w:t>
            </w:r>
          </w:p>
        </w:tc>
        <w:tc>
          <w:tcPr>
            <w:tcW w:w="526" w:type="dxa"/>
            <w:noWrap w:val="0"/>
            <w:vAlign w:val="center"/>
          </w:tcPr>
          <w:p w14:paraId="29CDE9D3">
            <w:pPr>
              <w:numPr>
                <w:ilvl w:val="0"/>
                <w:numId w:val="0"/>
              </w:numPr>
              <w:spacing w:line="560" w:lineRule="exact"/>
              <w:contextualSpacing/>
              <w:rPr>
                <w:bCs/>
                <w:sz w:val="24"/>
              </w:rPr>
            </w:pPr>
            <w:r>
              <w:rPr>
                <w:bCs/>
                <w:sz w:val="24"/>
              </w:rPr>
              <w:t>分值</w:t>
            </w:r>
          </w:p>
        </w:tc>
        <w:tc>
          <w:tcPr>
            <w:tcW w:w="1273" w:type="dxa"/>
            <w:noWrap w:val="0"/>
            <w:vAlign w:val="center"/>
          </w:tcPr>
          <w:p w14:paraId="08938207">
            <w:pPr>
              <w:numPr>
                <w:ilvl w:val="0"/>
                <w:numId w:val="0"/>
              </w:numPr>
              <w:spacing w:line="560" w:lineRule="exact"/>
              <w:contextualSpacing/>
              <w:rPr>
                <w:bCs/>
                <w:sz w:val="24"/>
              </w:rPr>
            </w:pPr>
            <w:r>
              <w:rPr>
                <w:bCs/>
                <w:sz w:val="24"/>
              </w:rPr>
              <w:t>检查项目</w:t>
            </w:r>
          </w:p>
        </w:tc>
        <w:tc>
          <w:tcPr>
            <w:tcW w:w="2694" w:type="dxa"/>
            <w:noWrap w:val="0"/>
            <w:vAlign w:val="center"/>
          </w:tcPr>
          <w:p w14:paraId="427BC3F7">
            <w:pPr>
              <w:numPr>
                <w:ilvl w:val="0"/>
                <w:numId w:val="0"/>
              </w:numPr>
              <w:spacing w:line="560" w:lineRule="exact"/>
              <w:contextualSpacing/>
              <w:rPr>
                <w:bCs/>
                <w:sz w:val="24"/>
              </w:rPr>
            </w:pPr>
            <w:r>
              <w:rPr>
                <w:bCs/>
                <w:sz w:val="24"/>
              </w:rPr>
              <w:t>检查内容</w:t>
            </w:r>
          </w:p>
        </w:tc>
        <w:tc>
          <w:tcPr>
            <w:tcW w:w="3360" w:type="dxa"/>
            <w:noWrap w:val="0"/>
            <w:vAlign w:val="center"/>
          </w:tcPr>
          <w:p w14:paraId="106DB078">
            <w:pPr>
              <w:numPr>
                <w:ilvl w:val="0"/>
                <w:numId w:val="0"/>
              </w:numPr>
              <w:spacing w:line="560" w:lineRule="exact"/>
              <w:contextualSpacing/>
              <w:rPr>
                <w:bCs/>
                <w:sz w:val="24"/>
              </w:rPr>
            </w:pPr>
            <w:r>
              <w:rPr>
                <w:bCs/>
                <w:sz w:val="24"/>
              </w:rPr>
              <w:t>考核标准</w:t>
            </w:r>
          </w:p>
        </w:tc>
        <w:tc>
          <w:tcPr>
            <w:tcW w:w="457" w:type="dxa"/>
            <w:noWrap w:val="0"/>
            <w:vAlign w:val="center"/>
          </w:tcPr>
          <w:p w14:paraId="33F4F644">
            <w:pPr>
              <w:numPr>
                <w:ilvl w:val="0"/>
                <w:numId w:val="0"/>
              </w:numPr>
              <w:spacing w:line="560" w:lineRule="exact"/>
              <w:contextualSpacing/>
              <w:rPr>
                <w:bCs/>
                <w:sz w:val="24"/>
              </w:rPr>
            </w:pPr>
            <w:r>
              <w:rPr>
                <w:bCs/>
                <w:sz w:val="24"/>
              </w:rPr>
              <w:t>分值</w:t>
            </w:r>
          </w:p>
        </w:tc>
      </w:tr>
      <w:tr w14:paraId="7C39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36" w:type="dxa"/>
            <w:vMerge w:val="restart"/>
            <w:noWrap w:val="0"/>
            <w:vAlign w:val="center"/>
          </w:tcPr>
          <w:p w14:paraId="3F215BB4">
            <w:pPr>
              <w:numPr>
                <w:ilvl w:val="0"/>
                <w:numId w:val="0"/>
              </w:numPr>
              <w:spacing w:line="560" w:lineRule="exact"/>
              <w:contextualSpacing/>
              <w:rPr>
                <w:bCs/>
                <w:sz w:val="24"/>
              </w:rPr>
            </w:pPr>
            <w:r>
              <w:rPr>
                <w:bCs/>
                <w:sz w:val="24"/>
              </w:rPr>
              <w:t>人员保障</w:t>
            </w:r>
          </w:p>
        </w:tc>
        <w:tc>
          <w:tcPr>
            <w:tcW w:w="526" w:type="dxa"/>
            <w:noWrap w:val="0"/>
            <w:vAlign w:val="center"/>
          </w:tcPr>
          <w:p w14:paraId="405D2F0A">
            <w:pPr>
              <w:numPr>
                <w:ilvl w:val="0"/>
                <w:numId w:val="0"/>
              </w:numPr>
              <w:spacing w:line="560" w:lineRule="exact"/>
              <w:contextualSpacing/>
              <w:rPr>
                <w:bCs/>
                <w:sz w:val="24"/>
              </w:rPr>
            </w:pPr>
            <w:r>
              <w:rPr>
                <w:bCs/>
                <w:sz w:val="24"/>
              </w:rPr>
              <w:t>10</w:t>
            </w:r>
          </w:p>
        </w:tc>
        <w:tc>
          <w:tcPr>
            <w:tcW w:w="1273" w:type="dxa"/>
            <w:noWrap w:val="0"/>
            <w:vAlign w:val="center"/>
          </w:tcPr>
          <w:p w14:paraId="30C3E44A">
            <w:pPr>
              <w:numPr>
                <w:ilvl w:val="0"/>
                <w:numId w:val="0"/>
              </w:numPr>
              <w:spacing w:line="560" w:lineRule="exact"/>
              <w:contextualSpacing/>
              <w:rPr>
                <w:bCs/>
                <w:sz w:val="24"/>
              </w:rPr>
            </w:pPr>
            <w:r>
              <w:rPr>
                <w:bCs/>
                <w:sz w:val="24"/>
              </w:rPr>
              <w:t>人员配置</w:t>
            </w:r>
          </w:p>
        </w:tc>
        <w:tc>
          <w:tcPr>
            <w:tcW w:w="2694" w:type="dxa"/>
            <w:noWrap w:val="0"/>
            <w:vAlign w:val="center"/>
          </w:tcPr>
          <w:p w14:paraId="25117B66">
            <w:pPr>
              <w:numPr>
                <w:ilvl w:val="0"/>
                <w:numId w:val="0"/>
              </w:numPr>
              <w:spacing w:line="560" w:lineRule="exact"/>
              <w:contextualSpacing/>
              <w:rPr>
                <w:bCs/>
                <w:sz w:val="24"/>
              </w:rPr>
            </w:pPr>
            <w:r>
              <w:rPr>
                <w:bCs/>
                <w:sz w:val="24"/>
              </w:rPr>
              <w:t>按岗位、职责、工种配备符合要求的管理和专业技术人员，对照投标文件人员配备标准检查。</w:t>
            </w:r>
          </w:p>
        </w:tc>
        <w:tc>
          <w:tcPr>
            <w:tcW w:w="3360" w:type="dxa"/>
            <w:noWrap w:val="0"/>
            <w:vAlign w:val="center"/>
          </w:tcPr>
          <w:p w14:paraId="39987AD6">
            <w:pPr>
              <w:numPr>
                <w:ilvl w:val="0"/>
                <w:numId w:val="0"/>
              </w:numPr>
              <w:spacing w:line="560" w:lineRule="exact"/>
              <w:contextualSpacing/>
              <w:rPr>
                <w:bCs/>
                <w:sz w:val="24"/>
              </w:rPr>
            </w:pPr>
            <w:r>
              <w:rPr>
                <w:bCs/>
                <w:sz w:val="24"/>
              </w:rPr>
              <w:t>□ 配置充分，得10分</w:t>
            </w:r>
            <w:r>
              <w:rPr>
                <w:bCs/>
                <w:sz w:val="24"/>
              </w:rPr>
              <w:br w:type="textWrapping"/>
            </w:r>
            <w:r>
              <w:rPr>
                <w:bCs/>
                <w:sz w:val="24"/>
              </w:rPr>
              <w:t>□ 配置少于5%，得8分</w:t>
            </w:r>
            <w:r>
              <w:rPr>
                <w:bCs/>
                <w:sz w:val="24"/>
              </w:rPr>
              <w:br w:type="textWrapping"/>
            </w:r>
            <w:r>
              <w:rPr>
                <w:bCs/>
                <w:sz w:val="24"/>
              </w:rPr>
              <w:t>□ 配置少于10%，得5分</w:t>
            </w:r>
            <w:r>
              <w:rPr>
                <w:bCs/>
                <w:sz w:val="24"/>
              </w:rPr>
              <w:br w:type="textWrapping"/>
            </w:r>
            <w:r>
              <w:rPr>
                <w:bCs/>
                <w:sz w:val="24"/>
              </w:rPr>
              <w:t>□ 配置少于20%不得分</w:t>
            </w:r>
          </w:p>
        </w:tc>
        <w:tc>
          <w:tcPr>
            <w:tcW w:w="457" w:type="dxa"/>
            <w:noWrap/>
            <w:vAlign w:val="center"/>
          </w:tcPr>
          <w:p w14:paraId="0D1AD5FA">
            <w:pPr>
              <w:numPr>
                <w:ilvl w:val="0"/>
                <w:numId w:val="0"/>
              </w:numPr>
              <w:spacing w:line="560" w:lineRule="exact"/>
              <w:contextualSpacing/>
              <w:rPr>
                <w:bCs/>
                <w:sz w:val="24"/>
              </w:rPr>
            </w:pPr>
          </w:p>
        </w:tc>
      </w:tr>
      <w:tr w14:paraId="7E57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36" w:type="dxa"/>
            <w:vMerge w:val="continue"/>
            <w:noWrap w:val="0"/>
            <w:vAlign w:val="center"/>
          </w:tcPr>
          <w:p w14:paraId="4A351860">
            <w:pPr>
              <w:numPr>
                <w:ilvl w:val="0"/>
                <w:numId w:val="0"/>
              </w:numPr>
              <w:spacing w:line="560" w:lineRule="exact"/>
              <w:contextualSpacing/>
              <w:rPr>
                <w:bCs/>
                <w:sz w:val="24"/>
              </w:rPr>
            </w:pPr>
          </w:p>
        </w:tc>
        <w:tc>
          <w:tcPr>
            <w:tcW w:w="526" w:type="dxa"/>
            <w:noWrap w:val="0"/>
            <w:vAlign w:val="center"/>
          </w:tcPr>
          <w:p w14:paraId="077455B2">
            <w:pPr>
              <w:numPr>
                <w:ilvl w:val="0"/>
                <w:numId w:val="0"/>
              </w:numPr>
              <w:spacing w:line="560" w:lineRule="exact"/>
              <w:contextualSpacing/>
              <w:rPr>
                <w:bCs/>
                <w:sz w:val="24"/>
              </w:rPr>
            </w:pPr>
            <w:r>
              <w:rPr>
                <w:bCs/>
                <w:sz w:val="24"/>
              </w:rPr>
              <w:t>5</w:t>
            </w:r>
          </w:p>
        </w:tc>
        <w:tc>
          <w:tcPr>
            <w:tcW w:w="1273" w:type="dxa"/>
            <w:noWrap w:val="0"/>
            <w:vAlign w:val="center"/>
          </w:tcPr>
          <w:p w14:paraId="5B523364">
            <w:pPr>
              <w:numPr>
                <w:ilvl w:val="0"/>
                <w:numId w:val="0"/>
              </w:numPr>
              <w:spacing w:line="560" w:lineRule="exact"/>
              <w:contextualSpacing/>
              <w:rPr>
                <w:bCs/>
                <w:sz w:val="24"/>
              </w:rPr>
            </w:pPr>
            <w:r>
              <w:rPr>
                <w:bCs/>
                <w:sz w:val="24"/>
              </w:rPr>
              <w:t>员工行为规范</w:t>
            </w:r>
          </w:p>
        </w:tc>
        <w:tc>
          <w:tcPr>
            <w:tcW w:w="2694" w:type="dxa"/>
            <w:noWrap w:val="0"/>
            <w:vAlign w:val="center"/>
          </w:tcPr>
          <w:p w14:paraId="0C3696B5">
            <w:pPr>
              <w:numPr>
                <w:ilvl w:val="0"/>
                <w:numId w:val="0"/>
              </w:numPr>
              <w:spacing w:line="560" w:lineRule="exact"/>
              <w:contextualSpacing/>
              <w:rPr>
                <w:bCs/>
                <w:sz w:val="24"/>
              </w:rPr>
            </w:pPr>
            <w:r>
              <w:rPr>
                <w:rFonts w:hint="eastAsia"/>
                <w:bCs/>
                <w:sz w:val="24"/>
                <w:lang w:val="en-US" w:eastAsia="zh-CN"/>
              </w:rPr>
              <w:t>1.</w:t>
            </w:r>
            <w:r>
              <w:rPr>
                <w:bCs/>
                <w:sz w:val="24"/>
              </w:rPr>
              <w:t>着装规范、佩戴工牌证件</w:t>
            </w:r>
            <w:r>
              <w:rPr>
                <w:bCs/>
                <w:sz w:val="24"/>
              </w:rPr>
              <w:br w:type="textWrapping"/>
            </w:r>
            <w:r>
              <w:rPr>
                <w:rFonts w:hint="eastAsia"/>
                <w:bCs/>
                <w:sz w:val="24"/>
                <w:lang w:val="en-US" w:eastAsia="zh-CN"/>
              </w:rPr>
              <w:t>2.</w:t>
            </w:r>
            <w:r>
              <w:rPr>
                <w:bCs/>
                <w:sz w:val="24"/>
              </w:rPr>
              <w:t>无酒后上岗、禁止吸烟</w:t>
            </w:r>
            <w:r>
              <w:rPr>
                <w:bCs/>
                <w:sz w:val="24"/>
              </w:rPr>
              <w:br w:type="textWrapping"/>
            </w:r>
            <w:r>
              <w:rPr>
                <w:rFonts w:hint="eastAsia"/>
                <w:bCs/>
                <w:sz w:val="24"/>
                <w:lang w:val="en-US" w:eastAsia="zh-CN"/>
              </w:rPr>
              <w:t>3.</w:t>
            </w:r>
            <w:r>
              <w:rPr>
                <w:bCs/>
                <w:sz w:val="24"/>
              </w:rPr>
              <w:t>文明服务，无与</w:t>
            </w:r>
            <w:r>
              <w:rPr>
                <w:rFonts w:hint="eastAsia"/>
                <w:bCs/>
                <w:sz w:val="24"/>
                <w:lang w:eastAsia="zh-CN"/>
              </w:rPr>
              <w:t>服务对象</w:t>
            </w:r>
            <w:r>
              <w:rPr>
                <w:bCs/>
                <w:sz w:val="24"/>
              </w:rPr>
              <w:t>发生口角。</w:t>
            </w:r>
          </w:p>
        </w:tc>
        <w:tc>
          <w:tcPr>
            <w:tcW w:w="3360" w:type="dxa"/>
            <w:noWrap w:val="0"/>
            <w:vAlign w:val="center"/>
          </w:tcPr>
          <w:p w14:paraId="6B857D82">
            <w:pPr>
              <w:numPr>
                <w:ilvl w:val="0"/>
                <w:numId w:val="0"/>
              </w:numPr>
              <w:spacing w:line="560" w:lineRule="exact"/>
              <w:contextualSpacing/>
              <w:rPr>
                <w:bCs/>
                <w:sz w:val="24"/>
              </w:rPr>
            </w:pPr>
            <w:r>
              <w:rPr>
                <w:bCs/>
                <w:sz w:val="24"/>
              </w:rPr>
              <w:t>□合规，得 5分</w:t>
            </w:r>
            <w:r>
              <w:rPr>
                <w:bCs/>
                <w:sz w:val="24"/>
              </w:rPr>
              <w:br w:type="textWrapping"/>
            </w:r>
            <w:r>
              <w:rPr>
                <w:bCs/>
                <w:sz w:val="24"/>
              </w:rPr>
              <w:t>□3次以下不合规，得3分</w:t>
            </w:r>
            <w:r>
              <w:rPr>
                <w:bCs/>
                <w:sz w:val="24"/>
              </w:rPr>
              <w:br w:type="textWrapping"/>
            </w:r>
            <w:r>
              <w:rPr>
                <w:bCs/>
                <w:sz w:val="24"/>
              </w:rPr>
              <w:t>□3次以上不合规的，不得分</w:t>
            </w:r>
          </w:p>
        </w:tc>
        <w:tc>
          <w:tcPr>
            <w:tcW w:w="457" w:type="dxa"/>
            <w:noWrap w:val="0"/>
            <w:vAlign w:val="center"/>
          </w:tcPr>
          <w:p w14:paraId="5E2E9806">
            <w:pPr>
              <w:numPr>
                <w:ilvl w:val="0"/>
                <w:numId w:val="0"/>
              </w:numPr>
              <w:spacing w:line="560" w:lineRule="exact"/>
              <w:contextualSpacing/>
              <w:rPr>
                <w:bCs/>
                <w:sz w:val="24"/>
              </w:rPr>
            </w:pPr>
            <w:r>
              <w:rPr>
                <w:bCs/>
                <w:sz w:val="24"/>
              </w:rPr>
              <w:t>　</w:t>
            </w:r>
          </w:p>
        </w:tc>
      </w:tr>
      <w:tr w14:paraId="551A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36" w:type="dxa"/>
            <w:noWrap/>
            <w:vAlign w:val="center"/>
          </w:tcPr>
          <w:p w14:paraId="36E76FB1">
            <w:pPr>
              <w:numPr>
                <w:ilvl w:val="0"/>
                <w:numId w:val="0"/>
              </w:numPr>
              <w:spacing w:line="560" w:lineRule="exact"/>
              <w:contextualSpacing/>
              <w:rPr>
                <w:bCs/>
                <w:sz w:val="24"/>
              </w:rPr>
            </w:pPr>
            <w:r>
              <w:rPr>
                <w:bCs/>
                <w:sz w:val="24"/>
              </w:rPr>
              <w:t>管理制度</w:t>
            </w:r>
          </w:p>
        </w:tc>
        <w:tc>
          <w:tcPr>
            <w:tcW w:w="526" w:type="dxa"/>
            <w:noWrap w:val="0"/>
            <w:vAlign w:val="center"/>
          </w:tcPr>
          <w:p w14:paraId="504C3539">
            <w:pPr>
              <w:numPr>
                <w:ilvl w:val="0"/>
                <w:numId w:val="0"/>
              </w:numPr>
              <w:spacing w:line="560" w:lineRule="exact"/>
              <w:contextualSpacing/>
              <w:rPr>
                <w:bCs/>
                <w:sz w:val="24"/>
              </w:rPr>
            </w:pPr>
            <w:r>
              <w:rPr>
                <w:bCs/>
                <w:sz w:val="24"/>
              </w:rPr>
              <w:t>10</w:t>
            </w:r>
          </w:p>
        </w:tc>
        <w:tc>
          <w:tcPr>
            <w:tcW w:w="1273" w:type="dxa"/>
            <w:noWrap w:val="0"/>
            <w:vAlign w:val="center"/>
          </w:tcPr>
          <w:p w14:paraId="3A10D5D7">
            <w:pPr>
              <w:numPr>
                <w:ilvl w:val="0"/>
                <w:numId w:val="0"/>
              </w:numPr>
              <w:spacing w:line="560" w:lineRule="exact"/>
              <w:contextualSpacing/>
              <w:rPr>
                <w:bCs/>
                <w:sz w:val="24"/>
              </w:rPr>
            </w:pPr>
            <w:r>
              <w:rPr>
                <w:bCs/>
                <w:sz w:val="24"/>
              </w:rPr>
              <w:t>各类设施设备管理制度和操作规程</w:t>
            </w:r>
          </w:p>
        </w:tc>
        <w:tc>
          <w:tcPr>
            <w:tcW w:w="2694" w:type="dxa"/>
            <w:noWrap w:val="0"/>
            <w:vAlign w:val="center"/>
          </w:tcPr>
          <w:p w14:paraId="73FBBFD8">
            <w:pPr>
              <w:numPr>
                <w:ilvl w:val="0"/>
                <w:numId w:val="0"/>
              </w:numPr>
              <w:spacing w:line="560" w:lineRule="exact"/>
              <w:contextualSpacing/>
              <w:rPr>
                <w:bCs/>
                <w:sz w:val="24"/>
              </w:rPr>
            </w:pPr>
            <w:r>
              <w:rPr>
                <w:bCs/>
                <w:sz w:val="24"/>
              </w:rPr>
              <w:t>1.齐全并上墙</w:t>
            </w:r>
            <w:r>
              <w:rPr>
                <w:bCs/>
                <w:sz w:val="24"/>
              </w:rPr>
              <w:br w:type="textWrapping"/>
            </w:r>
            <w:r>
              <w:rPr>
                <w:bCs/>
                <w:sz w:val="24"/>
              </w:rPr>
              <w:t>2.行之有效并结合实际每半年修订一次</w:t>
            </w:r>
          </w:p>
        </w:tc>
        <w:tc>
          <w:tcPr>
            <w:tcW w:w="3360" w:type="dxa"/>
            <w:noWrap w:val="0"/>
            <w:vAlign w:val="center"/>
          </w:tcPr>
          <w:p w14:paraId="4F42165D">
            <w:pPr>
              <w:numPr>
                <w:ilvl w:val="0"/>
                <w:numId w:val="0"/>
              </w:numPr>
              <w:spacing w:line="560" w:lineRule="exact"/>
              <w:contextualSpacing/>
              <w:rPr>
                <w:bCs/>
                <w:sz w:val="24"/>
              </w:rPr>
            </w:pPr>
            <w:r>
              <w:rPr>
                <w:bCs/>
                <w:sz w:val="24"/>
              </w:rPr>
              <w:t>□ 1.齐全，得 10分</w:t>
            </w:r>
            <w:r>
              <w:rPr>
                <w:bCs/>
                <w:sz w:val="24"/>
              </w:rPr>
              <w:br w:type="textWrapping"/>
            </w:r>
            <w:r>
              <w:rPr>
                <w:bCs/>
                <w:sz w:val="24"/>
              </w:rPr>
              <w:t>□ 2.缺项（不完善）的，2 项以内，可得5 分</w:t>
            </w:r>
            <w:r>
              <w:rPr>
                <w:bCs/>
                <w:sz w:val="24"/>
              </w:rPr>
              <w:br w:type="textWrapping"/>
            </w:r>
            <w:r>
              <w:rPr>
                <w:bCs/>
                <w:sz w:val="24"/>
              </w:rPr>
              <w:t>□ 3.缺项（不完善）的 3 项以上不得分</w:t>
            </w:r>
            <w:r>
              <w:rPr>
                <w:bCs/>
                <w:sz w:val="24"/>
              </w:rPr>
              <w:br w:type="textWrapping"/>
            </w:r>
            <w:r>
              <w:rPr>
                <w:bCs/>
                <w:sz w:val="24"/>
              </w:rPr>
              <w:t>□ 有 2、3 的均限下月前完成整改</w:t>
            </w:r>
          </w:p>
        </w:tc>
        <w:tc>
          <w:tcPr>
            <w:tcW w:w="457" w:type="dxa"/>
            <w:noWrap/>
            <w:vAlign w:val="center"/>
          </w:tcPr>
          <w:p w14:paraId="61D710F4">
            <w:pPr>
              <w:numPr>
                <w:ilvl w:val="0"/>
                <w:numId w:val="0"/>
              </w:numPr>
              <w:spacing w:line="560" w:lineRule="exact"/>
              <w:contextualSpacing/>
              <w:rPr>
                <w:bCs/>
                <w:sz w:val="24"/>
              </w:rPr>
            </w:pPr>
            <w:r>
              <w:rPr>
                <w:bCs/>
                <w:sz w:val="24"/>
              </w:rPr>
              <w:t>　</w:t>
            </w:r>
          </w:p>
          <w:p w14:paraId="39E82FEB">
            <w:pPr>
              <w:numPr>
                <w:ilvl w:val="0"/>
                <w:numId w:val="0"/>
              </w:numPr>
              <w:spacing w:line="560" w:lineRule="exact"/>
              <w:contextualSpacing/>
              <w:rPr>
                <w:bCs/>
                <w:sz w:val="24"/>
              </w:rPr>
            </w:pPr>
            <w:r>
              <w:rPr>
                <w:bCs/>
                <w:sz w:val="24"/>
              </w:rPr>
              <w:t>　</w:t>
            </w:r>
          </w:p>
        </w:tc>
      </w:tr>
      <w:tr w14:paraId="4924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6" w:type="dxa"/>
            <w:vMerge w:val="restart"/>
            <w:noWrap/>
            <w:vAlign w:val="center"/>
          </w:tcPr>
          <w:p w14:paraId="7AC2A033">
            <w:pPr>
              <w:numPr>
                <w:ilvl w:val="0"/>
                <w:numId w:val="0"/>
              </w:numPr>
              <w:spacing w:line="560" w:lineRule="exact"/>
              <w:contextualSpacing/>
              <w:rPr>
                <w:bCs/>
                <w:sz w:val="24"/>
              </w:rPr>
            </w:pPr>
            <w:r>
              <w:rPr>
                <w:bCs/>
                <w:sz w:val="24"/>
              </w:rPr>
              <w:t>档案管理</w:t>
            </w:r>
          </w:p>
        </w:tc>
        <w:tc>
          <w:tcPr>
            <w:tcW w:w="526" w:type="dxa"/>
            <w:noWrap w:val="0"/>
            <w:vAlign w:val="center"/>
          </w:tcPr>
          <w:p w14:paraId="1519F96F">
            <w:pPr>
              <w:numPr>
                <w:ilvl w:val="0"/>
                <w:numId w:val="0"/>
              </w:numPr>
              <w:spacing w:line="560" w:lineRule="exact"/>
              <w:contextualSpacing/>
              <w:rPr>
                <w:bCs/>
                <w:sz w:val="24"/>
              </w:rPr>
            </w:pPr>
            <w:r>
              <w:rPr>
                <w:bCs/>
                <w:sz w:val="24"/>
              </w:rPr>
              <w:t>10</w:t>
            </w:r>
          </w:p>
        </w:tc>
        <w:tc>
          <w:tcPr>
            <w:tcW w:w="1273" w:type="dxa"/>
            <w:noWrap w:val="0"/>
            <w:vAlign w:val="center"/>
          </w:tcPr>
          <w:p w14:paraId="10CF38B3">
            <w:pPr>
              <w:numPr>
                <w:ilvl w:val="0"/>
                <w:numId w:val="0"/>
              </w:numPr>
              <w:spacing w:line="560" w:lineRule="exact"/>
              <w:contextualSpacing/>
              <w:rPr>
                <w:bCs/>
                <w:sz w:val="24"/>
              </w:rPr>
            </w:pPr>
            <w:r>
              <w:rPr>
                <w:rFonts w:hint="eastAsia"/>
                <w:bCs/>
                <w:sz w:val="24"/>
                <w:lang w:eastAsia="zh-CN"/>
              </w:rPr>
              <w:t>协助采购人</w:t>
            </w:r>
            <w:r>
              <w:rPr>
                <w:bCs/>
                <w:sz w:val="24"/>
              </w:rPr>
              <w:t>监管第三方维保记录</w:t>
            </w:r>
          </w:p>
        </w:tc>
        <w:tc>
          <w:tcPr>
            <w:tcW w:w="2694" w:type="dxa"/>
            <w:noWrap/>
            <w:vAlign w:val="center"/>
          </w:tcPr>
          <w:p w14:paraId="68195690">
            <w:pPr>
              <w:numPr>
                <w:ilvl w:val="0"/>
                <w:numId w:val="0"/>
              </w:numPr>
              <w:spacing w:line="560" w:lineRule="exact"/>
              <w:contextualSpacing/>
              <w:rPr>
                <w:bCs/>
                <w:sz w:val="24"/>
              </w:rPr>
            </w:pPr>
            <w:r>
              <w:rPr>
                <w:bCs/>
                <w:sz w:val="24"/>
              </w:rPr>
              <w:t>记录及时、完整、无漏记</w:t>
            </w:r>
          </w:p>
        </w:tc>
        <w:tc>
          <w:tcPr>
            <w:tcW w:w="3360" w:type="dxa"/>
            <w:noWrap w:val="0"/>
            <w:vAlign w:val="center"/>
          </w:tcPr>
          <w:p w14:paraId="6E838546">
            <w:pPr>
              <w:numPr>
                <w:ilvl w:val="0"/>
                <w:numId w:val="0"/>
              </w:numPr>
              <w:spacing w:line="560" w:lineRule="exact"/>
              <w:contextualSpacing/>
              <w:rPr>
                <w:bCs/>
                <w:sz w:val="24"/>
              </w:rPr>
            </w:pPr>
            <w:r>
              <w:rPr>
                <w:bCs/>
                <w:sz w:val="24"/>
              </w:rPr>
              <w:t>□ 1.齐全，得 10 分</w:t>
            </w:r>
            <w:r>
              <w:rPr>
                <w:bCs/>
                <w:sz w:val="24"/>
              </w:rPr>
              <w:br w:type="textWrapping"/>
            </w:r>
            <w:r>
              <w:rPr>
                <w:bCs/>
                <w:sz w:val="24"/>
              </w:rPr>
              <w:t>□ 2.有缺项（不完善）的 得 0-9 分</w:t>
            </w:r>
          </w:p>
        </w:tc>
        <w:tc>
          <w:tcPr>
            <w:tcW w:w="457" w:type="dxa"/>
            <w:noWrap/>
            <w:vAlign w:val="center"/>
          </w:tcPr>
          <w:p w14:paraId="747762A7">
            <w:pPr>
              <w:numPr>
                <w:ilvl w:val="0"/>
                <w:numId w:val="0"/>
              </w:numPr>
              <w:spacing w:line="560" w:lineRule="exact"/>
              <w:contextualSpacing/>
              <w:rPr>
                <w:bCs/>
                <w:sz w:val="24"/>
              </w:rPr>
            </w:pPr>
            <w:r>
              <w:rPr>
                <w:bCs/>
                <w:sz w:val="24"/>
              </w:rPr>
              <w:t>　</w:t>
            </w:r>
          </w:p>
        </w:tc>
      </w:tr>
      <w:tr w14:paraId="27E4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36" w:type="dxa"/>
            <w:vMerge w:val="continue"/>
            <w:noWrap w:val="0"/>
            <w:vAlign w:val="center"/>
          </w:tcPr>
          <w:p w14:paraId="0430F59D">
            <w:pPr>
              <w:numPr>
                <w:ilvl w:val="0"/>
                <w:numId w:val="0"/>
              </w:numPr>
              <w:spacing w:line="560" w:lineRule="exact"/>
              <w:contextualSpacing/>
              <w:rPr>
                <w:bCs/>
                <w:sz w:val="24"/>
              </w:rPr>
            </w:pPr>
          </w:p>
        </w:tc>
        <w:tc>
          <w:tcPr>
            <w:tcW w:w="526" w:type="dxa"/>
            <w:noWrap w:val="0"/>
            <w:vAlign w:val="center"/>
          </w:tcPr>
          <w:p w14:paraId="44B19AB1">
            <w:pPr>
              <w:numPr>
                <w:ilvl w:val="0"/>
                <w:numId w:val="0"/>
              </w:numPr>
              <w:spacing w:line="560" w:lineRule="exact"/>
              <w:contextualSpacing/>
              <w:rPr>
                <w:bCs/>
                <w:sz w:val="24"/>
              </w:rPr>
            </w:pPr>
            <w:r>
              <w:rPr>
                <w:bCs/>
                <w:sz w:val="24"/>
              </w:rPr>
              <w:t>5</w:t>
            </w:r>
          </w:p>
        </w:tc>
        <w:tc>
          <w:tcPr>
            <w:tcW w:w="1273" w:type="dxa"/>
            <w:noWrap w:val="0"/>
            <w:vAlign w:val="center"/>
          </w:tcPr>
          <w:p w14:paraId="5DE09DC2">
            <w:pPr>
              <w:numPr>
                <w:ilvl w:val="0"/>
                <w:numId w:val="0"/>
              </w:numPr>
              <w:spacing w:line="560" w:lineRule="exact"/>
              <w:contextualSpacing/>
              <w:rPr>
                <w:bCs/>
                <w:sz w:val="24"/>
              </w:rPr>
            </w:pPr>
            <w:r>
              <w:rPr>
                <w:bCs/>
                <w:sz w:val="24"/>
              </w:rPr>
              <w:t>巡视检查记录</w:t>
            </w:r>
          </w:p>
        </w:tc>
        <w:tc>
          <w:tcPr>
            <w:tcW w:w="2694" w:type="dxa"/>
            <w:noWrap/>
            <w:vAlign w:val="center"/>
          </w:tcPr>
          <w:p w14:paraId="6ED8003F">
            <w:pPr>
              <w:numPr>
                <w:ilvl w:val="0"/>
                <w:numId w:val="0"/>
              </w:numPr>
              <w:spacing w:line="560" w:lineRule="exact"/>
              <w:contextualSpacing/>
              <w:rPr>
                <w:bCs/>
                <w:sz w:val="24"/>
              </w:rPr>
            </w:pPr>
            <w:r>
              <w:rPr>
                <w:bCs/>
                <w:sz w:val="24"/>
              </w:rPr>
              <w:t>计划巡检与巡检记录对应</w:t>
            </w:r>
          </w:p>
        </w:tc>
        <w:tc>
          <w:tcPr>
            <w:tcW w:w="3360" w:type="dxa"/>
            <w:noWrap w:val="0"/>
            <w:vAlign w:val="center"/>
          </w:tcPr>
          <w:p w14:paraId="29CB8904">
            <w:pPr>
              <w:numPr>
                <w:ilvl w:val="0"/>
                <w:numId w:val="0"/>
              </w:numPr>
              <w:spacing w:line="560" w:lineRule="exact"/>
              <w:contextualSpacing/>
              <w:rPr>
                <w:bCs/>
                <w:sz w:val="24"/>
              </w:rPr>
            </w:pPr>
            <w:r>
              <w:rPr>
                <w:bCs/>
                <w:sz w:val="24"/>
              </w:rPr>
              <w:t>□ 完整，得 5分</w:t>
            </w:r>
            <w:r>
              <w:rPr>
                <w:bCs/>
                <w:sz w:val="24"/>
              </w:rPr>
              <w:br w:type="textWrapping"/>
            </w:r>
            <w:r>
              <w:rPr>
                <w:bCs/>
                <w:sz w:val="24"/>
              </w:rPr>
              <w:t>□ 缺失或虚假记录，不得分</w:t>
            </w:r>
          </w:p>
        </w:tc>
        <w:tc>
          <w:tcPr>
            <w:tcW w:w="457" w:type="dxa"/>
            <w:noWrap/>
            <w:vAlign w:val="center"/>
          </w:tcPr>
          <w:p w14:paraId="51295733">
            <w:pPr>
              <w:numPr>
                <w:ilvl w:val="0"/>
                <w:numId w:val="0"/>
              </w:numPr>
              <w:spacing w:line="560" w:lineRule="exact"/>
              <w:contextualSpacing/>
              <w:rPr>
                <w:bCs/>
                <w:sz w:val="24"/>
              </w:rPr>
            </w:pPr>
            <w:r>
              <w:rPr>
                <w:bCs/>
                <w:sz w:val="24"/>
              </w:rPr>
              <w:t>　</w:t>
            </w:r>
          </w:p>
        </w:tc>
      </w:tr>
      <w:tr w14:paraId="07AC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6" w:type="dxa"/>
            <w:vMerge w:val="continue"/>
            <w:noWrap w:val="0"/>
            <w:vAlign w:val="center"/>
          </w:tcPr>
          <w:p w14:paraId="7AA4C111">
            <w:pPr>
              <w:numPr>
                <w:ilvl w:val="0"/>
                <w:numId w:val="0"/>
              </w:numPr>
              <w:spacing w:line="560" w:lineRule="exact"/>
              <w:contextualSpacing/>
              <w:rPr>
                <w:bCs/>
                <w:sz w:val="24"/>
              </w:rPr>
            </w:pPr>
          </w:p>
        </w:tc>
        <w:tc>
          <w:tcPr>
            <w:tcW w:w="526" w:type="dxa"/>
            <w:noWrap w:val="0"/>
            <w:vAlign w:val="center"/>
          </w:tcPr>
          <w:p w14:paraId="029F42A5">
            <w:pPr>
              <w:numPr>
                <w:ilvl w:val="0"/>
                <w:numId w:val="0"/>
              </w:numPr>
              <w:spacing w:line="560" w:lineRule="exact"/>
              <w:contextualSpacing/>
              <w:rPr>
                <w:bCs/>
                <w:sz w:val="24"/>
              </w:rPr>
            </w:pPr>
            <w:r>
              <w:rPr>
                <w:bCs/>
                <w:sz w:val="24"/>
              </w:rPr>
              <w:t>5</w:t>
            </w:r>
          </w:p>
        </w:tc>
        <w:tc>
          <w:tcPr>
            <w:tcW w:w="1273" w:type="dxa"/>
            <w:noWrap w:val="0"/>
            <w:vAlign w:val="center"/>
          </w:tcPr>
          <w:p w14:paraId="2D447900">
            <w:pPr>
              <w:numPr>
                <w:ilvl w:val="0"/>
                <w:numId w:val="0"/>
              </w:numPr>
              <w:spacing w:line="560" w:lineRule="exact"/>
              <w:contextualSpacing/>
              <w:rPr>
                <w:bCs/>
                <w:sz w:val="24"/>
              </w:rPr>
            </w:pPr>
            <w:r>
              <w:rPr>
                <w:bCs/>
                <w:sz w:val="24"/>
              </w:rPr>
              <w:t>培训与考核记录</w:t>
            </w:r>
          </w:p>
        </w:tc>
        <w:tc>
          <w:tcPr>
            <w:tcW w:w="2694" w:type="dxa"/>
            <w:noWrap/>
            <w:vAlign w:val="center"/>
          </w:tcPr>
          <w:p w14:paraId="4AB6D951">
            <w:pPr>
              <w:numPr>
                <w:ilvl w:val="0"/>
                <w:numId w:val="0"/>
              </w:numPr>
              <w:spacing w:line="560" w:lineRule="exact"/>
              <w:contextualSpacing/>
              <w:rPr>
                <w:bCs/>
                <w:sz w:val="24"/>
              </w:rPr>
            </w:pPr>
            <w:r>
              <w:rPr>
                <w:bCs/>
                <w:sz w:val="24"/>
              </w:rPr>
              <w:t>新入职员工</w:t>
            </w:r>
            <w:r>
              <w:rPr>
                <w:rFonts w:hint="eastAsia"/>
                <w:bCs/>
                <w:sz w:val="24"/>
                <w:lang w:eastAsia="zh-CN"/>
              </w:rPr>
              <w:t>与日常</w:t>
            </w:r>
            <w:r>
              <w:rPr>
                <w:bCs/>
                <w:sz w:val="24"/>
              </w:rPr>
              <w:t>培训与考核记录。</w:t>
            </w:r>
          </w:p>
        </w:tc>
        <w:tc>
          <w:tcPr>
            <w:tcW w:w="3360" w:type="dxa"/>
            <w:noWrap w:val="0"/>
            <w:vAlign w:val="center"/>
          </w:tcPr>
          <w:p w14:paraId="580D5046">
            <w:pPr>
              <w:numPr>
                <w:ilvl w:val="0"/>
                <w:numId w:val="0"/>
              </w:numPr>
              <w:spacing w:line="560" w:lineRule="exact"/>
              <w:contextualSpacing/>
              <w:rPr>
                <w:bCs/>
                <w:sz w:val="24"/>
              </w:rPr>
            </w:pPr>
            <w:r>
              <w:rPr>
                <w:bCs/>
                <w:sz w:val="24"/>
              </w:rPr>
              <w:t>□ 1.齐全，得 5 分</w:t>
            </w:r>
            <w:r>
              <w:rPr>
                <w:bCs/>
                <w:sz w:val="24"/>
              </w:rPr>
              <w:br w:type="textWrapping"/>
            </w:r>
            <w:r>
              <w:rPr>
                <w:bCs/>
                <w:sz w:val="24"/>
              </w:rPr>
              <w:t>□ 2.有缺项（不完善）的， 不得分，限下月前完成整改</w:t>
            </w:r>
          </w:p>
        </w:tc>
        <w:tc>
          <w:tcPr>
            <w:tcW w:w="457" w:type="dxa"/>
            <w:noWrap/>
            <w:vAlign w:val="center"/>
          </w:tcPr>
          <w:p w14:paraId="523263A3">
            <w:pPr>
              <w:numPr>
                <w:ilvl w:val="0"/>
                <w:numId w:val="0"/>
              </w:numPr>
              <w:spacing w:line="560" w:lineRule="exact"/>
              <w:contextualSpacing/>
              <w:rPr>
                <w:bCs/>
                <w:sz w:val="24"/>
              </w:rPr>
            </w:pPr>
            <w:r>
              <w:rPr>
                <w:bCs/>
                <w:sz w:val="24"/>
              </w:rPr>
              <w:t>　</w:t>
            </w:r>
          </w:p>
        </w:tc>
      </w:tr>
      <w:tr w14:paraId="764F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36" w:type="dxa"/>
            <w:vMerge w:val="restart"/>
            <w:noWrap/>
            <w:vAlign w:val="center"/>
          </w:tcPr>
          <w:p w14:paraId="276C2F5F">
            <w:pPr>
              <w:numPr>
                <w:ilvl w:val="0"/>
                <w:numId w:val="0"/>
              </w:numPr>
              <w:spacing w:line="560" w:lineRule="exact"/>
              <w:contextualSpacing/>
              <w:rPr>
                <w:bCs/>
                <w:sz w:val="24"/>
              </w:rPr>
            </w:pPr>
          </w:p>
          <w:p w14:paraId="13C93E46">
            <w:pPr>
              <w:numPr>
                <w:ilvl w:val="0"/>
                <w:numId w:val="0"/>
              </w:numPr>
              <w:spacing w:line="560" w:lineRule="exact"/>
              <w:contextualSpacing/>
              <w:rPr>
                <w:bCs/>
                <w:sz w:val="24"/>
              </w:rPr>
            </w:pPr>
          </w:p>
          <w:p w14:paraId="6316F304">
            <w:pPr>
              <w:numPr>
                <w:ilvl w:val="0"/>
                <w:numId w:val="0"/>
              </w:numPr>
              <w:spacing w:line="560" w:lineRule="exact"/>
              <w:contextualSpacing/>
              <w:rPr>
                <w:bCs/>
                <w:sz w:val="24"/>
              </w:rPr>
            </w:pPr>
          </w:p>
          <w:p w14:paraId="3CA31262">
            <w:pPr>
              <w:numPr>
                <w:ilvl w:val="0"/>
                <w:numId w:val="0"/>
              </w:numPr>
              <w:spacing w:line="560" w:lineRule="exact"/>
              <w:contextualSpacing/>
              <w:rPr>
                <w:bCs/>
                <w:sz w:val="24"/>
              </w:rPr>
            </w:pPr>
            <w:r>
              <w:rPr>
                <w:bCs/>
                <w:sz w:val="24"/>
              </w:rPr>
              <w:t>应急机制</w:t>
            </w:r>
          </w:p>
        </w:tc>
        <w:tc>
          <w:tcPr>
            <w:tcW w:w="526" w:type="dxa"/>
            <w:noWrap w:val="0"/>
            <w:vAlign w:val="center"/>
          </w:tcPr>
          <w:p w14:paraId="00519426">
            <w:pPr>
              <w:numPr>
                <w:ilvl w:val="0"/>
                <w:numId w:val="0"/>
              </w:numPr>
              <w:spacing w:line="560" w:lineRule="exact"/>
              <w:contextualSpacing/>
              <w:rPr>
                <w:bCs/>
                <w:sz w:val="24"/>
              </w:rPr>
            </w:pPr>
            <w:r>
              <w:rPr>
                <w:bCs/>
                <w:sz w:val="24"/>
              </w:rPr>
              <w:t>5</w:t>
            </w:r>
          </w:p>
        </w:tc>
        <w:tc>
          <w:tcPr>
            <w:tcW w:w="1273" w:type="dxa"/>
            <w:noWrap w:val="0"/>
            <w:vAlign w:val="center"/>
          </w:tcPr>
          <w:p w14:paraId="60B845C2">
            <w:pPr>
              <w:numPr>
                <w:ilvl w:val="0"/>
                <w:numId w:val="0"/>
              </w:numPr>
              <w:spacing w:line="560" w:lineRule="exact"/>
              <w:contextualSpacing/>
              <w:rPr>
                <w:bCs/>
                <w:sz w:val="24"/>
              </w:rPr>
            </w:pPr>
            <w:r>
              <w:rPr>
                <w:bCs/>
                <w:sz w:val="24"/>
              </w:rPr>
              <w:t>各类应急预案</w:t>
            </w:r>
          </w:p>
        </w:tc>
        <w:tc>
          <w:tcPr>
            <w:tcW w:w="2694" w:type="dxa"/>
            <w:noWrap w:val="0"/>
            <w:vAlign w:val="center"/>
          </w:tcPr>
          <w:p w14:paraId="0D4377FA">
            <w:pPr>
              <w:numPr>
                <w:ilvl w:val="0"/>
                <w:numId w:val="0"/>
              </w:numPr>
              <w:spacing w:line="560" w:lineRule="exact"/>
              <w:contextualSpacing/>
              <w:rPr>
                <w:bCs/>
                <w:sz w:val="24"/>
              </w:rPr>
            </w:pPr>
            <w:r>
              <w:rPr>
                <w:rFonts w:hint="eastAsia"/>
                <w:bCs/>
                <w:sz w:val="24"/>
                <w:lang w:val="en-US" w:eastAsia="zh-CN"/>
              </w:rPr>
              <w:t>1.</w:t>
            </w:r>
            <w:r>
              <w:rPr>
                <w:bCs/>
                <w:sz w:val="24"/>
              </w:rPr>
              <w:t>应急预案齐全；</w:t>
            </w:r>
            <w:r>
              <w:rPr>
                <w:bCs/>
                <w:sz w:val="24"/>
              </w:rPr>
              <w:br w:type="textWrapping"/>
            </w:r>
            <w:r>
              <w:rPr>
                <w:rFonts w:hint="eastAsia"/>
                <w:bCs/>
                <w:sz w:val="24"/>
                <w:lang w:val="en-US" w:eastAsia="zh-CN"/>
              </w:rPr>
              <w:t>2.</w:t>
            </w:r>
            <w:r>
              <w:rPr>
                <w:bCs/>
                <w:sz w:val="24"/>
              </w:rPr>
              <w:t>应急处理流程及紧急联络表上墙。</w:t>
            </w:r>
            <w:r>
              <w:rPr>
                <w:bCs/>
                <w:sz w:val="24"/>
              </w:rPr>
              <w:br w:type="textWrapping"/>
            </w:r>
            <w:r>
              <w:rPr>
                <w:rFonts w:hint="eastAsia"/>
                <w:bCs/>
                <w:sz w:val="24"/>
                <w:lang w:val="en-US" w:eastAsia="zh-CN"/>
              </w:rPr>
              <w:t>3.</w:t>
            </w:r>
            <w:r>
              <w:rPr>
                <w:bCs/>
                <w:sz w:val="24"/>
              </w:rPr>
              <w:t>行之有效并</w:t>
            </w:r>
            <w:r>
              <w:rPr>
                <w:rFonts w:hint="eastAsia"/>
                <w:bCs/>
                <w:sz w:val="24"/>
                <w:lang w:eastAsia="zh-CN"/>
              </w:rPr>
              <w:t>按规定</w:t>
            </w:r>
            <w:r>
              <w:rPr>
                <w:bCs/>
                <w:sz w:val="24"/>
              </w:rPr>
              <w:t>演练后及时总结修订</w:t>
            </w:r>
          </w:p>
        </w:tc>
        <w:tc>
          <w:tcPr>
            <w:tcW w:w="3360" w:type="dxa"/>
            <w:noWrap w:val="0"/>
            <w:vAlign w:val="center"/>
          </w:tcPr>
          <w:p w14:paraId="27BBA7AF">
            <w:pPr>
              <w:numPr>
                <w:ilvl w:val="0"/>
                <w:numId w:val="0"/>
              </w:numPr>
              <w:spacing w:line="560" w:lineRule="exact"/>
              <w:contextualSpacing/>
              <w:rPr>
                <w:bCs/>
                <w:sz w:val="24"/>
              </w:rPr>
            </w:pPr>
            <w:r>
              <w:rPr>
                <w:bCs/>
                <w:sz w:val="24"/>
              </w:rPr>
              <w:t>□ 1.齐全，得 5分</w:t>
            </w:r>
            <w:r>
              <w:rPr>
                <w:bCs/>
                <w:sz w:val="24"/>
              </w:rPr>
              <w:br w:type="textWrapping"/>
            </w:r>
            <w:r>
              <w:rPr>
                <w:bCs/>
                <w:sz w:val="24"/>
              </w:rPr>
              <w:t>□ 1.齐全，但内容不结合实际， 得3分</w:t>
            </w:r>
            <w:r>
              <w:rPr>
                <w:bCs/>
                <w:sz w:val="24"/>
              </w:rPr>
              <w:br w:type="textWrapping"/>
            </w:r>
            <w:r>
              <w:rPr>
                <w:bCs/>
                <w:sz w:val="24"/>
              </w:rPr>
              <w:t>□ 2.有缺项，不得分，限下月前完成整改</w:t>
            </w:r>
          </w:p>
        </w:tc>
        <w:tc>
          <w:tcPr>
            <w:tcW w:w="457" w:type="dxa"/>
            <w:noWrap/>
            <w:vAlign w:val="center"/>
          </w:tcPr>
          <w:p w14:paraId="072C9A64">
            <w:pPr>
              <w:numPr>
                <w:ilvl w:val="0"/>
                <w:numId w:val="0"/>
              </w:numPr>
              <w:spacing w:line="560" w:lineRule="exact"/>
              <w:contextualSpacing/>
              <w:rPr>
                <w:bCs/>
                <w:sz w:val="24"/>
              </w:rPr>
            </w:pPr>
            <w:r>
              <w:rPr>
                <w:bCs/>
                <w:sz w:val="24"/>
              </w:rPr>
              <w:t>　</w:t>
            </w:r>
          </w:p>
        </w:tc>
      </w:tr>
      <w:tr w14:paraId="6BC0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36" w:type="dxa"/>
            <w:vMerge w:val="continue"/>
            <w:noWrap w:val="0"/>
            <w:vAlign w:val="center"/>
          </w:tcPr>
          <w:p w14:paraId="1C48440B">
            <w:pPr>
              <w:numPr>
                <w:ilvl w:val="0"/>
                <w:numId w:val="0"/>
              </w:numPr>
              <w:spacing w:line="560" w:lineRule="exact"/>
              <w:contextualSpacing/>
              <w:rPr>
                <w:bCs/>
                <w:sz w:val="24"/>
              </w:rPr>
            </w:pPr>
          </w:p>
        </w:tc>
        <w:tc>
          <w:tcPr>
            <w:tcW w:w="526" w:type="dxa"/>
            <w:noWrap w:val="0"/>
            <w:vAlign w:val="center"/>
          </w:tcPr>
          <w:p w14:paraId="7E015AFE">
            <w:pPr>
              <w:numPr>
                <w:ilvl w:val="0"/>
                <w:numId w:val="0"/>
              </w:numPr>
              <w:spacing w:line="560" w:lineRule="exact"/>
              <w:contextualSpacing/>
              <w:rPr>
                <w:bCs/>
                <w:sz w:val="24"/>
              </w:rPr>
            </w:pPr>
            <w:r>
              <w:rPr>
                <w:bCs/>
                <w:sz w:val="24"/>
              </w:rPr>
              <w:t>10</w:t>
            </w:r>
          </w:p>
        </w:tc>
        <w:tc>
          <w:tcPr>
            <w:tcW w:w="1273" w:type="dxa"/>
            <w:noWrap w:val="0"/>
            <w:vAlign w:val="center"/>
          </w:tcPr>
          <w:p w14:paraId="31927CD4">
            <w:pPr>
              <w:numPr>
                <w:ilvl w:val="0"/>
                <w:numId w:val="0"/>
              </w:numPr>
              <w:spacing w:line="560" w:lineRule="exact"/>
              <w:contextualSpacing/>
              <w:rPr>
                <w:bCs/>
                <w:sz w:val="24"/>
              </w:rPr>
            </w:pPr>
            <w:r>
              <w:rPr>
                <w:bCs/>
                <w:sz w:val="24"/>
              </w:rPr>
              <w:t>各类应急演练计划和定期演练及记录总结</w:t>
            </w:r>
          </w:p>
        </w:tc>
        <w:tc>
          <w:tcPr>
            <w:tcW w:w="2694" w:type="dxa"/>
            <w:noWrap w:val="0"/>
            <w:vAlign w:val="center"/>
          </w:tcPr>
          <w:p w14:paraId="255AD26C">
            <w:pPr>
              <w:numPr>
                <w:ilvl w:val="0"/>
                <w:numId w:val="0"/>
              </w:numPr>
              <w:spacing w:line="560" w:lineRule="exact"/>
              <w:contextualSpacing/>
              <w:rPr>
                <w:bCs/>
                <w:sz w:val="24"/>
              </w:rPr>
            </w:pPr>
            <w:r>
              <w:rPr>
                <w:rFonts w:hint="eastAsia"/>
                <w:bCs/>
                <w:sz w:val="24"/>
                <w:lang w:val="en-US" w:eastAsia="zh-CN"/>
              </w:rPr>
              <w:t>4.</w:t>
            </w:r>
            <w:r>
              <w:rPr>
                <w:bCs/>
                <w:sz w:val="24"/>
              </w:rPr>
              <w:t>有计划并报采购人备案</w:t>
            </w:r>
            <w:r>
              <w:rPr>
                <w:bCs/>
                <w:sz w:val="24"/>
              </w:rPr>
              <w:br w:type="textWrapping"/>
            </w:r>
            <w:r>
              <w:rPr>
                <w:rFonts w:hint="eastAsia"/>
                <w:bCs/>
                <w:sz w:val="24"/>
                <w:lang w:val="en-US" w:eastAsia="zh-CN"/>
              </w:rPr>
              <w:t>5.</w:t>
            </w:r>
            <w:r>
              <w:rPr>
                <w:bCs/>
                <w:sz w:val="24"/>
              </w:rPr>
              <w:t>按计划时间完成演练和记录总结，并报采购人备案</w:t>
            </w:r>
          </w:p>
        </w:tc>
        <w:tc>
          <w:tcPr>
            <w:tcW w:w="3360" w:type="dxa"/>
            <w:noWrap w:val="0"/>
            <w:vAlign w:val="center"/>
          </w:tcPr>
          <w:p w14:paraId="171828F6">
            <w:pPr>
              <w:numPr>
                <w:ilvl w:val="0"/>
                <w:numId w:val="0"/>
              </w:numPr>
              <w:spacing w:line="560" w:lineRule="exact"/>
              <w:contextualSpacing/>
              <w:rPr>
                <w:bCs/>
                <w:sz w:val="24"/>
              </w:rPr>
            </w:pPr>
            <w:r>
              <w:rPr>
                <w:bCs/>
                <w:sz w:val="24"/>
              </w:rPr>
              <w:t>□ 1.有演练计划及记录，得 10分</w:t>
            </w:r>
            <w:r>
              <w:rPr>
                <w:bCs/>
                <w:sz w:val="24"/>
              </w:rPr>
              <w:br w:type="textWrapping"/>
            </w:r>
            <w:r>
              <w:rPr>
                <w:bCs/>
                <w:sz w:val="24"/>
              </w:rPr>
              <w:t>□ 2.未按计划时间进行演练，当月不得分，限下月前完成整改</w:t>
            </w:r>
          </w:p>
        </w:tc>
        <w:tc>
          <w:tcPr>
            <w:tcW w:w="457" w:type="dxa"/>
            <w:noWrap/>
            <w:vAlign w:val="center"/>
          </w:tcPr>
          <w:p w14:paraId="11D59517">
            <w:pPr>
              <w:numPr>
                <w:ilvl w:val="0"/>
                <w:numId w:val="0"/>
              </w:numPr>
              <w:spacing w:line="560" w:lineRule="exact"/>
              <w:contextualSpacing/>
              <w:rPr>
                <w:bCs/>
                <w:sz w:val="24"/>
              </w:rPr>
            </w:pPr>
            <w:r>
              <w:rPr>
                <w:bCs/>
                <w:sz w:val="24"/>
              </w:rPr>
              <w:t>　</w:t>
            </w:r>
          </w:p>
        </w:tc>
      </w:tr>
      <w:tr w14:paraId="7B6E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436" w:type="dxa"/>
            <w:vMerge w:val="restart"/>
            <w:noWrap w:val="0"/>
            <w:vAlign w:val="center"/>
          </w:tcPr>
          <w:p w14:paraId="3C3BB3BD">
            <w:pPr>
              <w:numPr>
                <w:ilvl w:val="0"/>
                <w:numId w:val="0"/>
              </w:numPr>
              <w:spacing w:line="560" w:lineRule="exact"/>
              <w:contextualSpacing/>
              <w:rPr>
                <w:bCs/>
                <w:sz w:val="24"/>
              </w:rPr>
            </w:pPr>
            <w:r>
              <w:rPr>
                <w:bCs/>
                <w:sz w:val="24"/>
              </w:rPr>
              <w:t>节能、维修</w:t>
            </w:r>
          </w:p>
        </w:tc>
        <w:tc>
          <w:tcPr>
            <w:tcW w:w="526" w:type="dxa"/>
            <w:noWrap w:val="0"/>
            <w:vAlign w:val="center"/>
          </w:tcPr>
          <w:p w14:paraId="1A922A55">
            <w:pPr>
              <w:numPr>
                <w:ilvl w:val="0"/>
                <w:numId w:val="0"/>
              </w:numPr>
              <w:spacing w:line="560" w:lineRule="exact"/>
              <w:contextualSpacing/>
              <w:rPr>
                <w:bCs/>
                <w:sz w:val="24"/>
              </w:rPr>
            </w:pPr>
            <w:r>
              <w:rPr>
                <w:bCs/>
                <w:sz w:val="24"/>
              </w:rPr>
              <w:t>5</w:t>
            </w:r>
          </w:p>
        </w:tc>
        <w:tc>
          <w:tcPr>
            <w:tcW w:w="1273" w:type="dxa"/>
            <w:noWrap w:val="0"/>
            <w:vAlign w:val="center"/>
          </w:tcPr>
          <w:p w14:paraId="1EC332FA">
            <w:pPr>
              <w:numPr>
                <w:ilvl w:val="0"/>
                <w:numId w:val="0"/>
              </w:numPr>
              <w:spacing w:line="560" w:lineRule="exact"/>
              <w:contextualSpacing/>
              <w:rPr>
                <w:bCs/>
                <w:sz w:val="24"/>
              </w:rPr>
            </w:pPr>
            <w:r>
              <w:rPr>
                <w:bCs/>
                <w:sz w:val="24"/>
              </w:rPr>
              <w:t>各类设备间、库房及值班室秩序</w:t>
            </w:r>
          </w:p>
        </w:tc>
        <w:tc>
          <w:tcPr>
            <w:tcW w:w="2694" w:type="dxa"/>
            <w:noWrap w:val="0"/>
            <w:vAlign w:val="center"/>
          </w:tcPr>
          <w:p w14:paraId="0F3F7E1D">
            <w:pPr>
              <w:numPr>
                <w:ilvl w:val="0"/>
                <w:numId w:val="0"/>
              </w:numPr>
              <w:spacing w:line="560" w:lineRule="exact"/>
              <w:contextualSpacing/>
              <w:rPr>
                <w:bCs/>
                <w:sz w:val="24"/>
              </w:rPr>
            </w:pPr>
            <w:r>
              <w:rPr>
                <w:rFonts w:hint="eastAsia"/>
                <w:bCs/>
                <w:sz w:val="24"/>
                <w:lang w:val="en-US" w:eastAsia="zh-CN"/>
              </w:rPr>
              <w:t>1.</w:t>
            </w:r>
            <w:r>
              <w:rPr>
                <w:bCs/>
                <w:sz w:val="24"/>
              </w:rPr>
              <w:t>环境整洁，无杂物、无易燃易爆危险品</w:t>
            </w:r>
            <w:r>
              <w:rPr>
                <w:bCs/>
                <w:sz w:val="24"/>
              </w:rPr>
              <w:br w:type="textWrapping"/>
            </w:r>
            <w:r>
              <w:rPr>
                <w:rFonts w:hint="eastAsia"/>
                <w:bCs/>
                <w:sz w:val="24"/>
                <w:lang w:val="en-US" w:eastAsia="zh-CN"/>
              </w:rPr>
              <w:t>2.</w:t>
            </w:r>
            <w:r>
              <w:rPr>
                <w:bCs/>
                <w:sz w:val="24"/>
              </w:rPr>
              <w:t>严禁吸烟</w:t>
            </w:r>
            <w:r>
              <w:rPr>
                <w:bCs/>
                <w:sz w:val="24"/>
              </w:rPr>
              <w:br w:type="textWrapping"/>
            </w:r>
            <w:r>
              <w:rPr>
                <w:rFonts w:hint="eastAsia"/>
                <w:bCs/>
                <w:sz w:val="24"/>
                <w:lang w:val="en-US" w:eastAsia="zh-CN"/>
              </w:rPr>
              <w:t>3.</w:t>
            </w:r>
            <w:r>
              <w:rPr>
                <w:bCs/>
                <w:sz w:val="24"/>
              </w:rPr>
              <w:t>设备运转正常</w:t>
            </w:r>
          </w:p>
        </w:tc>
        <w:tc>
          <w:tcPr>
            <w:tcW w:w="3360" w:type="dxa"/>
            <w:noWrap w:val="0"/>
            <w:vAlign w:val="center"/>
          </w:tcPr>
          <w:p w14:paraId="6AA539BD">
            <w:pPr>
              <w:numPr>
                <w:ilvl w:val="0"/>
                <w:numId w:val="0"/>
              </w:numPr>
              <w:spacing w:line="560" w:lineRule="exact"/>
              <w:contextualSpacing/>
              <w:rPr>
                <w:bCs/>
                <w:sz w:val="24"/>
              </w:rPr>
            </w:pPr>
            <w:r>
              <w:rPr>
                <w:bCs/>
                <w:sz w:val="24"/>
              </w:rPr>
              <w:t>□ 1.正常，得 5 分</w:t>
            </w:r>
            <w:r>
              <w:rPr>
                <w:bCs/>
                <w:sz w:val="24"/>
              </w:rPr>
              <w:br w:type="textWrapping"/>
            </w:r>
            <w:r>
              <w:rPr>
                <w:bCs/>
                <w:sz w:val="24"/>
              </w:rPr>
              <w:t>□ 2.有 2 处以内的，可得 2 分</w:t>
            </w:r>
            <w:r>
              <w:rPr>
                <w:bCs/>
                <w:sz w:val="24"/>
              </w:rPr>
              <w:br w:type="textWrapping"/>
            </w:r>
            <w:r>
              <w:rPr>
                <w:bCs/>
                <w:sz w:val="24"/>
              </w:rPr>
              <w:t>□ 3.有 4 处以上的，不得分</w:t>
            </w:r>
            <w:r>
              <w:rPr>
                <w:bCs/>
                <w:sz w:val="24"/>
              </w:rPr>
              <w:br w:type="textWrapping"/>
            </w:r>
            <w:r>
              <w:rPr>
                <w:bCs/>
                <w:sz w:val="24"/>
              </w:rPr>
              <w:t>□ 有 2、3 的均限下月前完成整改</w:t>
            </w:r>
          </w:p>
        </w:tc>
        <w:tc>
          <w:tcPr>
            <w:tcW w:w="457" w:type="dxa"/>
            <w:noWrap/>
            <w:vAlign w:val="center"/>
          </w:tcPr>
          <w:p w14:paraId="2F7798AC">
            <w:pPr>
              <w:numPr>
                <w:ilvl w:val="0"/>
                <w:numId w:val="0"/>
              </w:numPr>
              <w:spacing w:line="560" w:lineRule="exact"/>
              <w:contextualSpacing/>
              <w:rPr>
                <w:bCs/>
                <w:sz w:val="24"/>
              </w:rPr>
            </w:pPr>
            <w:r>
              <w:rPr>
                <w:bCs/>
                <w:sz w:val="24"/>
              </w:rPr>
              <w:t>　</w:t>
            </w:r>
          </w:p>
        </w:tc>
      </w:tr>
      <w:tr w14:paraId="7ED1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436" w:type="dxa"/>
            <w:vMerge w:val="continue"/>
            <w:noWrap w:val="0"/>
            <w:vAlign w:val="center"/>
          </w:tcPr>
          <w:p w14:paraId="6007F86D">
            <w:pPr>
              <w:numPr>
                <w:ilvl w:val="0"/>
                <w:numId w:val="0"/>
              </w:numPr>
              <w:spacing w:line="560" w:lineRule="exact"/>
              <w:contextualSpacing/>
              <w:rPr>
                <w:bCs/>
                <w:sz w:val="24"/>
              </w:rPr>
            </w:pPr>
          </w:p>
        </w:tc>
        <w:tc>
          <w:tcPr>
            <w:tcW w:w="526" w:type="dxa"/>
            <w:noWrap w:val="0"/>
            <w:vAlign w:val="center"/>
          </w:tcPr>
          <w:p w14:paraId="47AF973D">
            <w:pPr>
              <w:numPr>
                <w:ilvl w:val="0"/>
                <w:numId w:val="0"/>
              </w:numPr>
              <w:spacing w:line="560" w:lineRule="exact"/>
              <w:contextualSpacing/>
              <w:rPr>
                <w:bCs/>
                <w:sz w:val="24"/>
              </w:rPr>
            </w:pPr>
            <w:r>
              <w:rPr>
                <w:bCs/>
                <w:sz w:val="24"/>
              </w:rPr>
              <w:t>5</w:t>
            </w:r>
          </w:p>
        </w:tc>
        <w:tc>
          <w:tcPr>
            <w:tcW w:w="1273" w:type="dxa"/>
            <w:noWrap w:val="0"/>
            <w:vAlign w:val="center"/>
          </w:tcPr>
          <w:p w14:paraId="67D6EAB5">
            <w:pPr>
              <w:numPr>
                <w:ilvl w:val="0"/>
                <w:numId w:val="0"/>
              </w:numPr>
              <w:spacing w:line="560" w:lineRule="exact"/>
              <w:contextualSpacing/>
              <w:rPr>
                <w:bCs/>
                <w:sz w:val="24"/>
              </w:rPr>
            </w:pPr>
            <w:r>
              <w:rPr>
                <w:bCs/>
                <w:sz w:val="24"/>
              </w:rPr>
              <w:t>节能措施</w:t>
            </w:r>
          </w:p>
        </w:tc>
        <w:tc>
          <w:tcPr>
            <w:tcW w:w="2694" w:type="dxa"/>
            <w:noWrap w:val="0"/>
            <w:vAlign w:val="center"/>
          </w:tcPr>
          <w:p w14:paraId="52933D07">
            <w:pPr>
              <w:numPr>
                <w:ilvl w:val="0"/>
                <w:numId w:val="0"/>
              </w:numPr>
              <w:spacing w:line="560" w:lineRule="exact"/>
              <w:contextualSpacing/>
              <w:rPr>
                <w:bCs/>
                <w:sz w:val="24"/>
              </w:rPr>
            </w:pPr>
            <w:r>
              <w:rPr>
                <w:rFonts w:hint="eastAsia"/>
                <w:bCs/>
                <w:sz w:val="24"/>
                <w:lang w:val="en-US" w:eastAsia="zh-CN"/>
              </w:rPr>
              <w:t>1.</w:t>
            </w:r>
            <w:r>
              <w:rPr>
                <w:bCs/>
                <w:sz w:val="24"/>
              </w:rPr>
              <w:t>节能措施的应知</w:t>
            </w:r>
            <w:r>
              <w:rPr>
                <w:bCs/>
                <w:sz w:val="24"/>
              </w:rPr>
              <w:br w:type="textWrapping"/>
            </w:r>
            <w:r>
              <w:rPr>
                <w:rFonts w:hint="eastAsia"/>
                <w:bCs/>
                <w:sz w:val="24"/>
                <w:lang w:val="en-US" w:eastAsia="zh-CN"/>
              </w:rPr>
              <w:t>2.</w:t>
            </w:r>
            <w:r>
              <w:rPr>
                <w:bCs/>
                <w:sz w:val="24"/>
              </w:rPr>
              <w:t>各工作场所应人走断电关水并检查</w:t>
            </w:r>
          </w:p>
        </w:tc>
        <w:tc>
          <w:tcPr>
            <w:tcW w:w="3360" w:type="dxa"/>
            <w:noWrap w:val="0"/>
            <w:vAlign w:val="center"/>
          </w:tcPr>
          <w:p w14:paraId="458384EA">
            <w:pPr>
              <w:numPr>
                <w:ilvl w:val="0"/>
                <w:numId w:val="0"/>
              </w:numPr>
              <w:spacing w:line="560" w:lineRule="exact"/>
              <w:contextualSpacing/>
              <w:rPr>
                <w:bCs/>
                <w:sz w:val="24"/>
              </w:rPr>
            </w:pPr>
            <w:r>
              <w:rPr>
                <w:bCs/>
                <w:sz w:val="24"/>
              </w:rPr>
              <w:t>□ 1.正常，得 5 分</w:t>
            </w:r>
            <w:r>
              <w:rPr>
                <w:bCs/>
                <w:sz w:val="24"/>
              </w:rPr>
              <w:br w:type="textWrapping"/>
            </w:r>
            <w:r>
              <w:rPr>
                <w:bCs/>
                <w:sz w:val="24"/>
              </w:rPr>
              <w:t>□ 2.有 3 处以内的，可得 3 分</w:t>
            </w:r>
            <w:r>
              <w:rPr>
                <w:bCs/>
                <w:sz w:val="24"/>
              </w:rPr>
              <w:br w:type="textWrapping"/>
            </w:r>
            <w:r>
              <w:rPr>
                <w:bCs/>
                <w:sz w:val="24"/>
              </w:rPr>
              <w:t>□ 3.有 4-6 处的，不得 分</w:t>
            </w:r>
            <w:r>
              <w:rPr>
                <w:bCs/>
                <w:sz w:val="24"/>
              </w:rPr>
              <w:br w:type="textWrapping"/>
            </w:r>
            <w:r>
              <w:rPr>
                <w:bCs/>
                <w:sz w:val="24"/>
              </w:rPr>
              <w:t>□ 有 2、3的均限下月前完成整改</w:t>
            </w:r>
          </w:p>
        </w:tc>
        <w:tc>
          <w:tcPr>
            <w:tcW w:w="457" w:type="dxa"/>
            <w:noWrap/>
            <w:vAlign w:val="center"/>
          </w:tcPr>
          <w:p w14:paraId="64707707">
            <w:pPr>
              <w:numPr>
                <w:ilvl w:val="0"/>
                <w:numId w:val="0"/>
              </w:numPr>
              <w:spacing w:line="560" w:lineRule="exact"/>
              <w:contextualSpacing/>
              <w:rPr>
                <w:bCs/>
                <w:sz w:val="24"/>
              </w:rPr>
            </w:pPr>
            <w:r>
              <w:rPr>
                <w:bCs/>
                <w:sz w:val="24"/>
              </w:rPr>
              <w:t>　</w:t>
            </w:r>
          </w:p>
        </w:tc>
      </w:tr>
      <w:tr w14:paraId="3D64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36" w:type="dxa"/>
            <w:vMerge w:val="continue"/>
            <w:noWrap w:val="0"/>
            <w:vAlign w:val="center"/>
          </w:tcPr>
          <w:p w14:paraId="70FDD030">
            <w:pPr>
              <w:numPr>
                <w:ilvl w:val="0"/>
                <w:numId w:val="0"/>
              </w:numPr>
              <w:spacing w:line="560" w:lineRule="exact"/>
              <w:contextualSpacing/>
              <w:rPr>
                <w:bCs/>
                <w:sz w:val="24"/>
              </w:rPr>
            </w:pPr>
          </w:p>
        </w:tc>
        <w:tc>
          <w:tcPr>
            <w:tcW w:w="526" w:type="dxa"/>
            <w:noWrap w:val="0"/>
            <w:vAlign w:val="center"/>
          </w:tcPr>
          <w:p w14:paraId="3CC1BFE8">
            <w:pPr>
              <w:numPr>
                <w:ilvl w:val="0"/>
                <w:numId w:val="0"/>
              </w:numPr>
              <w:spacing w:line="560" w:lineRule="exact"/>
              <w:contextualSpacing/>
              <w:rPr>
                <w:bCs/>
                <w:sz w:val="24"/>
              </w:rPr>
            </w:pPr>
            <w:r>
              <w:rPr>
                <w:bCs/>
                <w:sz w:val="24"/>
              </w:rPr>
              <w:t>15</w:t>
            </w:r>
          </w:p>
        </w:tc>
        <w:tc>
          <w:tcPr>
            <w:tcW w:w="1273" w:type="dxa"/>
            <w:noWrap w:val="0"/>
            <w:vAlign w:val="center"/>
          </w:tcPr>
          <w:p w14:paraId="21E9CD26">
            <w:pPr>
              <w:numPr>
                <w:ilvl w:val="0"/>
                <w:numId w:val="0"/>
              </w:numPr>
              <w:spacing w:line="560" w:lineRule="exact"/>
              <w:contextualSpacing/>
              <w:rPr>
                <w:bCs/>
                <w:sz w:val="24"/>
              </w:rPr>
            </w:pPr>
            <w:r>
              <w:rPr>
                <w:bCs/>
                <w:sz w:val="24"/>
              </w:rPr>
              <w:t>基础设施安全</w:t>
            </w:r>
          </w:p>
        </w:tc>
        <w:tc>
          <w:tcPr>
            <w:tcW w:w="2694" w:type="dxa"/>
            <w:noWrap w:val="0"/>
            <w:vAlign w:val="center"/>
          </w:tcPr>
          <w:p w14:paraId="2C9033B8">
            <w:pPr>
              <w:numPr>
                <w:ilvl w:val="0"/>
                <w:numId w:val="0"/>
              </w:numPr>
              <w:spacing w:line="560" w:lineRule="exact"/>
              <w:contextualSpacing/>
              <w:rPr>
                <w:bCs/>
                <w:sz w:val="24"/>
              </w:rPr>
            </w:pPr>
            <w:r>
              <w:rPr>
                <w:bCs/>
                <w:sz w:val="24"/>
              </w:rPr>
              <w:t>针对各类建筑物基础设施，</w:t>
            </w:r>
            <w:r>
              <w:rPr>
                <w:rFonts w:hint="eastAsia"/>
                <w:bCs/>
                <w:sz w:val="24"/>
                <w:lang w:eastAsia="zh-CN"/>
              </w:rPr>
              <w:t>采购人</w:t>
            </w:r>
            <w:r>
              <w:rPr>
                <w:bCs/>
                <w:sz w:val="24"/>
              </w:rPr>
              <w:t>每月不定期进行检查，并下达《整改单》。季度底对整改单进行回头看。</w:t>
            </w:r>
          </w:p>
        </w:tc>
        <w:tc>
          <w:tcPr>
            <w:tcW w:w="3360" w:type="dxa"/>
            <w:noWrap w:val="0"/>
            <w:vAlign w:val="center"/>
          </w:tcPr>
          <w:p w14:paraId="6DA11A01">
            <w:pPr>
              <w:numPr>
                <w:ilvl w:val="0"/>
                <w:numId w:val="0"/>
              </w:numPr>
              <w:spacing w:line="560" w:lineRule="exact"/>
              <w:contextualSpacing/>
              <w:rPr>
                <w:bCs/>
                <w:sz w:val="24"/>
              </w:rPr>
            </w:pPr>
            <w:r>
              <w:rPr>
                <w:bCs/>
                <w:sz w:val="24"/>
              </w:rPr>
              <w:t>□ 1.全部整改完成，得 15 分</w:t>
            </w:r>
            <w:r>
              <w:rPr>
                <w:bCs/>
                <w:sz w:val="24"/>
              </w:rPr>
              <w:br w:type="textWrapping"/>
            </w:r>
            <w:r>
              <w:rPr>
                <w:bCs/>
                <w:sz w:val="24"/>
              </w:rPr>
              <w:t>□ 2.部分整改完成，根据情况可 得 8-14分</w:t>
            </w:r>
            <w:r>
              <w:rPr>
                <w:bCs/>
                <w:sz w:val="24"/>
              </w:rPr>
              <w:br w:type="textWrapping"/>
            </w:r>
            <w:r>
              <w:rPr>
                <w:bCs/>
                <w:sz w:val="24"/>
              </w:rPr>
              <w:t>□ 3.一半以上未整改完成，不得分，并限下月前完成整改。</w:t>
            </w:r>
          </w:p>
        </w:tc>
        <w:tc>
          <w:tcPr>
            <w:tcW w:w="457" w:type="dxa"/>
            <w:noWrap/>
            <w:vAlign w:val="center"/>
          </w:tcPr>
          <w:p w14:paraId="08901839">
            <w:pPr>
              <w:numPr>
                <w:ilvl w:val="0"/>
                <w:numId w:val="0"/>
              </w:numPr>
              <w:spacing w:line="560" w:lineRule="exact"/>
              <w:contextualSpacing/>
              <w:rPr>
                <w:bCs/>
                <w:sz w:val="24"/>
              </w:rPr>
            </w:pPr>
            <w:r>
              <w:rPr>
                <w:bCs/>
                <w:sz w:val="24"/>
              </w:rPr>
              <w:t>　</w:t>
            </w:r>
          </w:p>
        </w:tc>
      </w:tr>
      <w:tr w14:paraId="5CDC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36" w:type="dxa"/>
            <w:vMerge w:val="restart"/>
            <w:noWrap w:val="0"/>
            <w:vAlign w:val="center"/>
          </w:tcPr>
          <w:p w14:paraId="287477CA">
            <w:pPr>
              <w:numPr>
                <w:ilvl w:val="0"/>
                <w:numId w:val="0"/>
              </w:numPr>
              <w:spacing w:line="560" w:lineRule="exact"/>
              <w:contextualSpacing/>
              <w:rPr>
                <w:bCs/>
                <w:sz w:val="24"/>
              </w:rPr>
            </w:pPr>
            <w:r>
              <w:rPr>
                <w:bCs/>
                <w:sz w:val="24"/>
              </w:rPr>
              <w:t>服务</w:t>
            </w:r>
            <w:r>
              <w:rPr>
                <w:bCs/>
                <w:sz w:val="24"/>
              </w:rPr>
              <w:br w:type="textWrapping"/>
            </w:r>
            <w:r>
              <w:rPr>
                <w:bCs/>
                <w:sz w:val="24"/>
              </w:rPr>
              <w:t>质量</w:t>
            </w:r>
          </w:p>
        </w:tc>
        <w:tc>
          <w:tcPr>
            <w:tcW w:w="526" w:type="dxa"/>
            <w:noWrap w:val="0"/>
            <w:vAlign w:val="center"/>
          </w:tcPr>
          <w:p w14:paraId="1F37D068">
            <w:pPr>
              <w:numPr>
                <w:ilvl w:val="0"/>
                <w:numId w:val="0"/>
              </w:numPr>
              <w:spacing w:line="560" w:lineRule="exact"/>
              <w:contextualSpacing/>
              <w:rPr>
                <w:bCs/>
                <w:sz w:val="24"/>
              </w:rPr>
            </w:pPr>
            <w:r>
              <w:rPr>
                <w:bCs/>
                <w:sz w:val="24"/>
              </w:rPr>
              <w:t>5</w:t>
            </w:r>
          </w:p>
        </w:tc>
        <w:tc>
          <w:tcPr>
            <w:tcW w:w="1273" w:type="dxa"/>
            <w:noWrap w:val="0"/>
            <w:vAlign w:val="center"/>
          </w:tcPr>
          <w:p w14:paraId="092BD2EC">
            <w:pPr>
              <w:numPr>
                <w:ilvl w:val="0"/>
                <w:numId w:val="0"/>
              </w:numPr>
              <w:spacing w:line="560" w:lineRule="exact"/>
              <w:contextualSpacing/>
              <w:rPr>
                <w:bCs/>
                <w:sz w:val="24"/>
              </w:rPr>
            </w:pPr>
            <w:r>
              <w:rPr>
                <w:bCs/>
                <w:sz w:val="24"/>
              </w:rPr>
              <w:t>维修及时</w:t>
            </w:r>
          </w:p>
        </w:tc>
        <w:tc>
          <w:tcPr>
            <w:tcW w:w="2694" w:type="dxa"/>
            <w:noWrap/>
            <w:vAlign w:val="center"/>
          </w:tcPr>
          <w:p w14:paraId="300C0ABA">
            <w:pPr>
              <w:numPr>
                <w:ilvl w:val="0"/>
                <w:numId w:val="0"/>
              </w:numPr>
              <w:spacing w:line="560" w:lineRule="exact"/>
              <w:contextualSpacing/>
              <w:rPr>
                <w:bCs/>
                <w:sz w:val="24"/>
              </w:rPr>
            </w:pPr>
            <w:r>
              <w:rPr>
                <w:bCs/>
                <w:sz w:val="24"/>
              </w:rPr>
              <w:t>及时到场、操作规范、完成良好</w:t>
            </w:r>
          </w:p>
        </w:tc>
        <w:tc>
          <w:tcPr>
            <w:tcW w:w="3360" w:type="dxa"/>
            <w:noWrap w:val="0"/>
            <w:vAlign w:val="center"/>
          </w:tcPr>
          <w:p w14:paraId="586EE29E">
            <w:pPr>
              <w:numPr>
                <w:ilvl w:val="0"/>
                <w:numId w:val="0"/>
              </w:numPr>
              <w:spacing w:line="560" w:lineRule="exact"/>
              <w:contextualSpacing/>
              <w:rPr>
                <w:bCs/>
                <w:sz w:val="24"/>
              </w:rPr>
            </w:pPr>
            <w:r>
              <w:rPr>
                <w:bCs/>
                <w:sz w:val="24"/>
              </w:rPr>
              <w:t>□ 1.正常，无投诉，得 5 分</w:t>
            </w:r>
            <w:r>
              <w:rPr>
                <w:bCs/>
                <w:sz w:val="24"/>
              </w:rPr>
              <w:br w:type="textWrapping"/>
            </w:r>
            <w:r>
              <w:rPr>
                <w:bCs/>
                <w:sz w:val="24"/>
              </w:rPr>
              <w:t>□ 2.被投诉经核实的，一次扣1分</w:t>
            </w:r>
          </w:p>
        </w:tc>
        <w:tc>
          <w:tcPr>
            <w:tcW w:w="457" w:type="dxa"/>
            <w:noWrap/>
            <w:vAlign w:val="center"/>
          </w:tcPr>
          <w:p w14:paraId="1ABD9D5A">
            <w:pPr>
              <w:numPr>
                <w:ilvl w:val="0"/>
                <w:numId w:val="0"/>
              </w:numPr>
              <w:spacing w:line="560" w:lineRule="exact"/>
              <w:contextualSpacing/>
              <w:rPr>
                <w:bCs/>
                <w:sz w:val="24"/>
              </w:rPr>
            </w:pPr>
            <w:r>
              <w:rPr>
                <w:bCs/>
                <w:sz w:val="24"/>
              </w:rPr>
              <w:t>　</w:t>
            </w:r>
          </w:p>
        </w:tc>
      </w:tr>
      <w:tr w14:paraId="11D5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36" w:type="dxa"/>
            <w:vMerge w:val="continue"/>
            <w:noWrap w:val="0"/>
            <w:vAlign w:val="center"/>
          </w:tcPr>
          <w:p w14:paraId="1A0E4650">
            <w:pPr>
              <w:numPr>
                <w:ilvl w:val="0"/>
                <w:numId w:val="0"/>
              </w:numPr>
              <w:spacing w:line="560" w:lineRule="exact"/>
              <w:contextualSpacing/>
              <w:rPr>
                <w:bCs/>
                <w:sz w:val="24"/>
              </w:rPr>
            </w:pPr>
          </w:p>
        </w:tc>
        <w:tc>
          <w:tcPr>
            <w:tcW w:w="526" w:type="dxa"/>
            <w:noWrap w:val="0"/>
            <w:vAlign w:val="center"/>
          </w:tcPr>
          <w:p w14:paraId="199E54BC">
            <w:pPr>
              <w:numPr>
                <w:ilvl w:val="0"/>
                <w:numId w:val="0"/>
              </w:numPr>
              <w:spacing w:line="560" w:lineRule="exact"/>
              <w:contextualSpacing/>
              <w:rPr>
                <w:bCs/>
                <w:sz w:val="24"/>
              </w:rPr>
            </w:pPr>
            <w:r>
              <w:rPr>
                <w:bCs/>
                <w:sz w:val="24"/>
              </w:rPr>
              <w:t>10</w:t>
            </w:r>
          </w:p>
        </w:tc>
        <w:tc>
          <w:tcPr>
            <w:tcW w:w="1273" w:type="dxa"/>
            <w:noWrap w:val="0"/>
            <w:vAlign w:val="center"/>
          </w:tcPr>
          <w:p w14:paraId="4F5605AB">
            <w:pPr>
              <w:numPr>
                <w:ilvl w:val="0"/>
                <w:numId w:val="0"/>
              </w:numPr>
              <w:spacing w:line="560" w:lineRule="exact"/>
              <w:contextualSpacing/>
              <w:rPr>
                <w:bCs/>
                <w:sz w:val="24"/>
              </w:rPr>
            </w:pPr>
            <w:r>
              <w:rPr>
                <w:bCs/>
                <w:sz w:val="24"/>
              </w:rPr>
              <w:t>季度满意度调查</w:t>
            </w:r>
          </w:p>
        </w:tc>
        <w:tc>
          <w:tcPr>
            <w:tcW w:w="2694" w:type="dxa"/>
            <w:noWrap/>
            <w:vAlign w:val="center"/>
          </w:tcPr>
          <w:p w14:paraId="53623C35">
            <w:pPr>
              <w:numPr>
                <w:ilvl w:val="0"/>
                <w:numId w:val="0"/>
              </w:numPr>
              <w:spacing w:line="560" w:lineRule="exact"/>
              <w:contextualSpacing/>
              <w:rPr>
                <w:bCs/>
                <w:sz w:val="24"/>
              </w:rPr>
            </w:pPr>
            <w:r>
              <w:rPr>
                <w:bCs/>
                <w:sz w:val="24"/>
              </w:rPr>
              <w:t>每季度结束前</w:t>
            </w:r>
            <w:r>
              <w:rPr>
                <w:rFonts w:hint="eastAsia"/>
                <w:bCs/>
                <w:sz w:val="24"/>
                <w:lang w:eastAsia="zh-CN"/>
              </w:rPr>
              <w:t>由采购人进行</w:t>
            </w:r>
            <w:r>
              <w:rPr>
                <w:bCs/>
                <w:sz w:val="24"/>
              </w:rPr>
              <w:t>满意度调查</w:t>
            </w:r>
          </w:p>
        </w:tc>
        <w:tc>
          <w:tcPr>
            <w:tcW w:w="3360" w:type="dxa"/>
            <w:noWrap w:val="0"/>
            <w:vAlign w:val="center"/>
          </w:tcPr>
          <w:p w14:paraId="4940FD25">
            <w:pPr>
              <w:numPr>
                <w:ilvl w:val="0"/>
                <w:numId w:val="0"/>
              </w:numPr>
              <w:spacing w:line="560" w:lineRule="exact"/>
              <w:contextualSpacing/>
              <w:rPr>
                <w:bCs/>
                <w:sz w:val="24"/>
              </w:rPr>
            </w:pPr>
            <w:r>
              <w:rPr>
                <w:bCs/>
                <w:sz w:val="24"/>
              </w:rPr>
              <w:t>□ 1.平均90分以上，得 10分</w:t>
            </w:r>
            <w:r>
              <w:rPr>
                <w:bCs/>
                <w:sz w:val="24"/>
              </w:rPr>
              <w:br w:type="textWrapping"/>
            </w:r>
            <w:r>
              <w:rPr>
                <w:bCs/>
                <w:sz w:val="24"/>
              </w:rPr>
              <w:t>□ 2.平均分每降10分，扣2分</w:t>
            </w:r>
            <w:r>
              <w:rPr>
                <w:bCs/>
                <w:sz w:val="24"/>
              </w:rPr>
              <w:br w:type="textWrapping"/>
            </w:r>
            <w:r>
              <w:rPr>
                <w:bCs/>
                <w:sz w:val="24"/>
              </w:rPr>
              <w:t>□ 有投诉的均限下月前完成整改</w:t>
            </w:r>
          </w:p>
        </w:tc>
        <w:tc>
          <w:tcPr>
            <w:tcW w:w="457" w:type="dxa"/>
            <w:noWrap/>
            <w:vAlign w:val="center"/>
          </w:tcPr>
          <w:p w14:paraId="326E927C">
            <w:pPr>
              <w:numPr>
                <w:ilvl w:val="0"/>
                <w:numId w:val="0"/>
              </w:numPr>
              <w:spacing w:line="560" w:lineRule="exact"/>
              <w:contextualSpacing/>
              <w:rPr>
                <w:bCs/>
                <w:sz w:val="24"/>
              </w:rPr>
            </w:pPr>
            <w:r>
              <w:rPr>
                <w:bCs/>
                <w:sz w:val="24"/>
              </w:rPr>
              <w:t>　</w:t>
            </w:r>
          </w:p>
        </w:tc>
      </w:tr>
    </w:tbl>
    <w:p w14:paraId="657F009C">
      <w:pPr>
        <w:numPr>
          <w:ilvl w:val="0"/>
          <w:numId w:val="0"/>
        </w:numPr>
        <w:spacing w:line="560" w:lineRule="exact"/>
        <w:contextualSpacing/>
        <w:rPr>
          <w:bCs/>
          <w:sz w:val="24"/>
        </w:rPr>
      </w:pPr>
    </w:p>
    <w:p w14:paraId="72338677">
      <w:pPr>
        <w:numPr>
          <w:ilvl w:val="0"/>
          <w:numId w:val="0"/>
        </w:numPr>
        <w:spacing w:line="560" w:lineRule="exact"/>
        <w:contextualSpacing/>
        <w:rPr>
          <w:bCs/>
          <w:sz w:val="24"/>
        </w:rPr>
      </w:pPr>
      <w:r>
        <w:rPr>
          <w:rFonts w:hint="eastAsia"/>
          <w:bCs/>
          <w:sz w:val="24"/>
          <w:lang w:eastAsia="zh-CN"/>
        </w:rPr>
        <w:t>（</w:t>
      </w:r>
      <w:r>
        <w:rPr>
          <w:rFonts w:hint="eastAsia"/>
          <w:bCs/>
          <w:sz w:val="24"/>
          <w:lang w:val="en-US" w:eastAsia="zh-CN"/>
        </w:rPr>
        <w:t>6.2</w:t>
      </w:r>
      <w:r>
        <w:rPr>
          <w:rFonts w:hint="eastAsia"/>
          <w:bCs/>
          <w:sz w:val="24"/>
          <w:lang w:eastAsia="zh-CN"/>
        </w:rPr>
        <w:t>）</w:t>
      </w:r>
      <w:r>
        <w:rPr>
          <w:rFonts w:hint="eastAsia"/>
          <w:bCs/>
          <w:sz w:val="24"/>
        </w:rPr>
        <w:t>每季度进行满意度评测，建立通报和约谈机制：</w:t>
      </w:r>
    </w:p>
    <w:tbl>
      <w:tblPr>
        <w:tblStyle w:val="6"/>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2"/>
        <w:gridCol w:w="4362"/>
      </w:tblGrid>
      <w:tr w14:paraId="536B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2" w:type="dxa"/>
            <w:noWrap w:val="0"/>
            <w:vAlign w:val="top"/>
          </w:tcPr>
          <w:p w14:paraId="0BA03B35">
            <w:pPr>
              <w:numPr>
                <w:ilvl w:val="0"/>
                <w:numId w:val="0"/>
              </w:numPr>
              <w:spacing w:line="560" w:lineRule="exact"/>
              <w:contextualSpacing/>
              <w:jc w:val="center"/>
              <w:rPr>
                <w:rFonts w:hint="eastAsia" w:ascii="方正黑体_GBK" w:hAnsi="方正黑体_GBK" w:eastAsia="方正黑体_GBK" w:cs="方正黑体_GBK"/>
                <w:bCs/>
                <w:sz w:val="24"/>
                <w:vertAlign w:val="baseline"/>
              </w:rPr>
            </w:pPr>
            <w:r>
              <w:rPr>
                <w:rFonts w:hint="eastAsia" w:ascii="方正黑体_GBK" w:hAnsi="方正黑体_GBK" w:eastAsia="方正黑体_GBK" w:cs="方正黑体_GBK"/>
                <w:bCs/>
                <w:sz w:val="24"/>
              </w:rPr>
              <w:t>满意度评测得分</w:t>
            </w:r>
          </w:p>
        </w:tc>
        <w:tc>
          <w:tcPr>
            <w:tcW w:w="4362" w:type="dxa"/>
            <w:noWrap w:val="0"/>
            <w:vAlign w:val="top"/>
          </w:tcPr>
          <w:p w14:paraId="27F6F81E">
            <w:pPr>
              <w:numPr>
                <w:ilvl w:val="0"/>
                <w:numId w:val="0"/>
              </w:numPr>
              <w:spacing w:line="560" w:lineRule="exact"/>
              <w:contextualSpacing/>
              <w:jc w:val="center"/>
              <w:rPr>
                <w:rFonts w:hint="eastAsia" w:ascii="方正黑体_GBK" w:hAnsi="方正黑体_GBK" w:eastAsia="方正黑体_GBK" w:cs="方正黑体_GBK"/>
                <w:bCs/>
                <w:sz w:val="24"/>
                <w:vertAlign w:val="baseline"/>
              </w:rPr>
            </w:pPr>
            <w:r>
              <w:rPr>
                <w:rFonts w:hint="eastAsia" w:ascii="方正黑体_GBK" w:hAnsi="方正黑体_GBK" w:eastAsia="方正黑体_GBK" w:cs="方正黑体_GBK"/>
                <w:bCs/>
                <w:sz w:val="24"/>
              </w:rPr>
              <w:t>对应措施</w:t>
            </w:r>
          </w:p>
        </w:tc>
      </w:tr>
      <w:tr w14:paraId="6500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2" w:type="dxa"/>
            <w:noWrap w:val="0"/>
            <w:vAlign w:val="top"/>
          </w:tcPr>
          <w:p w14:paraId="698CB94E">
            <w:pPr>
              <w:numPr>
                <w:ilvl w:val="0"/>
                <w:numId w:val="0"/>
              </w:numPr>
              <w:spacing w:line="560" w:lineRule="exact"/>
              <w:contextualSpacing/>
              <w:jc w:val="center"/>
              <w:rPr>
                <w:rFonts w:hint="eastAsia"/>
                <w:bCs/>
                <w:sz w:val="24"/>
                <w:vertAlign w:val="baseline"/>
              </w:rPr>
            </w:pPr>
            <w:r>
              <w:rPr>
                <w:rFonts w:hint="eastAsia"/>
                <w:bCs/>
                <w:sz w:val="24"/>
              </w:rPr>
              <w:t>70≤得分＜80</w:t>
            </w:r>
          </w:p>
        </w:tc>
        <w:tc>
          <w:tcPr>
            <w:tcW w:w="4362" w:type="dxa"/>
            <w:noWrap w:val="0"/>
            <w:vAlign w:val="top"/>
          </w:tcPr>
          <w:p w14:paraId="28DAF585">
            <w:pPr>
              <w:numPr>
                <w:ilvl w:val="0"/>
                <w:numId w:val="0"/>
              </w:numPr>
              <w:spacing w:line="560" w:lineRule="exact"/>
              <w:contextualSpacing/>
              <w:jc w:val="center"/>
              <w:rPr>
                <w:rFonts w:hint="eastAsia"/>
                <w:bCs/>
                <w:sz w:val="24"/>
                <w:vertAlign w:val="baseline"/>
              </w:rPr>
            </w:pPr>
            <w:r>
              <w:rPr>
                <w:rFonts w:hint="eastAsia"/>
                <w:bCs/>
                <w:sz w:val="24"/>
              </w:rPr>
              <w:t>约谈项目经理</w:t>
            </w:r>
          </w:p>
        </w:tc>
      </w:tr>
      <w:tr w14:paraId="693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2" w:type="dxa"/>
            <w:noWrap w:val="0"/>
            <w:vAlign w:val="top"/>
          </w:tcPr>
          <w:p w14:paraId="04085D34">
            <w:pPr>
              <w:numPr>
                <w:ilvl w:val="0"/>
                <w:numId w:val="0"/>
              </w:numPr>
              <w:spacing w:line="560" w:lineRule="exact"/>
              <w:contextualSpacing/>
              <w:jc w:val="center"/>
              <w:rPr>
                <w:rFonts w:hint="eastAsia"/>
                <w:bCs/>
                <w:sz w:val="24"/>
                <w:vertAlign w:val="baseline"/>
              </w:rPr>
            </w:pPr>
            <w:r>
              <w:rPr>
                <w:rFonts w:hint="eastAsia"/>
                <w:bCs/>
                <w:sz w:val="24"/>
              </w:rPr>
              <w:t>得分＜70</w:t>
            </w:r>
          </w:p>
        </w:tc>
        <w:tc>
          <w:tcPr>
            <w:tcW w:w="4362" w:type="dxa"/>
            <w:noWrap w:val="0"/>
            <w:vAlign w:val="top"/>
          </w:tcPr>
          <w:p w14:paraId="25D80ACF">
            <w:pPr>
              <w:numPr>
                <w:ilvl w:val="0"/>
                <w:numId w:val="0"/>
              </w:numPr>
              <w:spacing w:line="560" w:lineRule="exact"/>
              <w:contextualSpacing/>
              <w:jc w:val="center"/>
              <w:rPr>
                <w:rFonts w:hint="eastAsia"/>
                <w:bCs/>
                <w:sz w:val="24"/>
                <w:vertAlign w:val="baseline"/>
              </w:rPr>
            </w:pPr>
            <w:r>
              <w:rPr>
                <w:rFonts w:hint="eastAsia"/>
                <w:bCs/>
                <w:sz w:val="24"/>
              </w:rPr>
              <w:t>约谈公司负责人</w:t>
            </w:r>
          </w:p>
        </w:tc>
      </w:tr>
    </w:tbl>
    <w:p w14:paraId="5692E210">
      <w:pPr>
        <w:numPr>
          <w:ilvl w:val="0"/>
          <w:numId w:val="0"/>
        </w:numPr>
        <w:spacing w:line="560" w:lineRule="exact"/>
        <w:contextualSpacing/>
        <w:rPr>
          <w:bCs/>
          <w:sz w:val="24"/>
        </w:rPr>
      </w:pPr>
      <w:r>
        <w:rPr>
          <w:rFonts w:hint="eastAsia"/>
          <w:bCs/>
          <w:sz w:val="24"/>
        </w:rPr>
        <w:tab/>
      </w:r>
      <w:r>
        <w:rPr>
          <w:rFonts w:hint="eastAsia"/>
          <w:bCs/>
          <w:sz w:val="24"/>
          <w:lang w:val="en-US" w:eastAsia="zh-CN"/>
        </w:rPr>
        <w:t xml:space="preserve">  </w:t>
      </w:r>
    </w:p>
    <w:p w14:paraId="1EC60758">
      <w:pPr>
        <w:numPr>
          <w:ilvl w:val="0"/>
          <w:numId w:val="0"/>
        </w:numPr>
        <w:spacing w:line="560" w:lineRule="exact"/>
        <w:contextualSpacing/>
        <w:rPr>
          <w:bCs/>
          <w:sz w:val="24"/>
        </w:rPr>
      </w:pPr>
      <w:r>
        <w:rPr>
          <w:rFonts w:hint="eastAsia"/>
          <w:bCs/>
          <w:sz w:val="24"/>
        </w:rPr>
        <w:t>（</w:t>
      </w:r>
      <w:r>
        <w:rPr>
          <w:rFonts w:hint="eastAsia"/>
          <w:bCs/>
          <w:sz w:val="24"/>
          <w:lang w:val="en-US" w:eastAsia="zh-CN"/>
        </w:rPr>
        <w:t>6.3</w:t>
      </w:r>
      <w:r>
        <w:rPr>
          <w:rFonts w:hint="eastAsia"/>
          <w:bCs/>
          <w:sz w:val="24"/>
        </w:rPr>
        <w:t>） 在前款基础上，如中标人出现以下情形之一，采购人</w:t>
      </w:r>
      <w:r>
        <w:rPr>
          <w:rFonts w:hint="eastAsia"/>
          <w:bCs/>
          <w:sz w:val="24"/>
          <w:lang w:eastAsia="zh-CN"/>
        </w:rPr>
        <w:t>有权终止本合同</w:t>
      </w:r>
      <w:r>
        <w:rPr>
          <w:rFonts w:hint="eastAsia"/>
          <w:bCs/>
          <w:sz w:val="24"/>
        </w:rPr>
        <w:t>，并追究中标人</w:t>
      </w:r>
      <w:r>
        <w:rPr>
          <w:rFonts w:hint="eastAsia"/>
          <w:bCs/>
          <w:sz w:val="24"/>
          <w:lang w:eastAsia="zh-CN"/>
        </w:rPr>
        <w:t>相关</w:t>
      </w:r>
      <w:r>
        <w:rPr>
          <w:rFonts w:hint="eastAsia"/>
          <w:bCs/>
          <w:sz w:val="24"/>
        </w:rPr>
        <w:t>责任：</w:t>
      </w:r>
    </w:p>
    <w:p w14:paraId="0AA686B5">
      <w:pPr>
        <w:numPr>
          <w:ilvl w:val="0"/>
          <w:numId w:val="0"/>
        </w:numPr>
        <w:spacing w:line="560" w:lineRule="exact"/>
        <w:contextualSpacing/>
        <w:rPr>
          <w:bCs/>
          <w:sz w:val="24"/>
        </w:rPr>
      </w:pPr>
      <w:r>
        <w:rPr>
          <w:rFonts w:hint="eastAsia"/>
          <w:bCs/>
          <w:sz w:val="24"/>
        </w:rPr>
        <w:t>①发生火灾等事故，经有关政府部门认定中标人人员负重大责任的情形；</w:t>
      </w:r>
    </w:p>
    <w:p w14:paraId="76937F4A">
      <w:pPr>
        <w:numPr>
          <w:ilvl w:val="0"/>
          <w:numId w:val="0"/>
        </w:numPr>
        <w:spacing w:line="560" w:lineRule="exact"/>
        <w:contextualSpacing/>
        <w:rPr>
          <w:bCs/>
          <w:sz w:val="24"/>
        </w:rPr>
      </w:pPr>
      <w:r>
        <w:rPr>
          <w:rFonts w:hint="eastAsia"/>
          <w:bCs/>
          <w:sz w:val="24"/>
        </w:rPr>
        <w:t>②组织高空作业或其它施工操作，出现重大人员伤亡事故，并造成群访、舆情事件等不良社会影响的情形；</w:t>
      </w:r>
    </w:p>
    <w:p w14:paraId="1EFF66A4">
      <w:pPr>
        <w:numPr>
          <w:ilvl w:val="0"/>
          <w:numId w:val="0"/>
        </w:numPr>
        <w:spacing w:line="560" w:lineRule="exact"/>
        <w:contextualSpacing/>
        <w:rPr>
          <w:bCs/>
          <w:sz w:val="24"/>
        </w:rPr>
      </w:pPr>
      <w:r>
        <w:rPr>
          <w:rFonts w:hint="eastAsia"/>
          <w:bCs/>
          <w:sz w:val="24"/>
        </w:rPr>
        <w:t>③因工作人员操作失误或管理疏漏，造成水电、消防系统等重大设备严重故障，造成重大财产损失，致使</w:t>
      </w:r>
      <w:r>
        <w:rPr>
          <w:rFonts w:hint="eastAsia"/>
          <w:bCs/>
          <w:sz w:val="24"/>
          <w:lang w:eastAsia="zh-CN"/>
        </w:rPr>
        <w:t>活动</w:t>
      </w:r>
      <w:r>
        <w:rPr>
          <w:rFonts w:hint="eastAsia"/>
          <w:bCs/>
          <w:sz w:val="24"/>
        </w:rPr>
        <w:t>和日常办公受到严重影响的情形；</w:t>
      </w:r>
    </w:p>
    <w:p w14:paraId="635671B9">
      <w:pPr>
        <w:numPr>
          <w:ilvl w:val="0"/>
          <w:numId w:val="0"/>
        </w:numPr>
        <w:spacing w:line="560" w:lineRule="exact"/>
        <w:contextualSpacing/>
        <w:rPr>
          <w:bCs/>
          <w:sz w:val="24"/>
        </w:rPr>
      </w:pPr>
      <w:r>
        <w:rPr>
          <w:rFonts w:hint="eastAsia"/>
          <w:bCs/>
          <w:sz w:val="24"/>
        </w:rPr>
        <w:t>④工作人员泄密并造成严重后果，工作期间出现涉及刑事犯罪等情形；</w:t>
      </w:r>
    </w:p>
    <w:p w14:paraId="2AFFFAEB">
      <w:pPr>
        <w:numPr>
          <w:ilvl w:val="0"/>
          <w:numId w:val="0"/>
        </w:numPr>
        <w:spacing w:line="560" w:lineRule="exact"/>
        <w:contextualSpacing/>
        <w:rPr>
          <w:rFonts w:hint="eastAsia"/>
          <w:bCs/>
          <w:sz w:val="24"/>
        </w:rPr>
      </w:pPr>
      <w:r>
        <w:rPr>
          <w:rFonts w:hint="eastAsia"/>
          <w:bCs/>
          <w:sz w:val="24"/>
        </w:rPr>
        <w:t>⑤其它被相关部门认定的严重责任事故或违法违规造成的严重后果。</w:t>
      </w:r>
    </w:p>
    <w:p w14:paraId="00FF22FF">
      <w:pPr>
        <w:pStyle w:val="8"/>
        <w:numPr>
          <w:ilvl w:val="0"/>
          <w:numId w:val="1"/>
        </w:numPr>
        <w:spacing w:line="560" w:lineRule="exact"/>
        <w:ind w:firstLineChars="0"/>
        <w:contextualSpacing/>
        <w:rPr>
          <w:rFonts w:ascii="Times New Roman" w:hAnsi="Times New Roman"/>
          <w:b/>
          <w:sz w:val="24"/>
          <w:szCs w:val="24"/>
        </w:rPr>
      </w:pPr>
      <w:r>
        <w:rPr>
          <w:rFonts w:ascii="Times New Roman" w:hAnsi="Times New Roman"/>
          <w:b/>
          <w:sz w:val="24"/>
          <w:szCs w:val="24"/>
        </w:rPr>
        <w:t>技术要求</w:t>
      </w:r>
    </w:p>
    <w:p w14:paraId="65A2A505">
      <w:pPr>
        <w:spacing w:line="560" w:lineRule="exact"/>
        <w:ind w:firstLine="480" w:firstLineChars="200"/>
        <w:contextualSpacing/>
        <w:rPr>
          <w:rFonts w:hint="eastAsia"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1. 基本要求</w:t>
      </w:r>
    </w:p>
    <w:p w14:paraId="1EEC53F6">
      <w:pPr>
        <w:spacing w:line="560" w:lineRule="exact"/>
        <w:ind w:firstLine="480" w:firstLineChars="200"/>
        <w:contextualSpacing/>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zh-TW" w:eastAsia="zh-CN"/>
        </w:rPr>
        <w:t>采购标的需实现的功能或者目标：</w:t>
      </w:r>
      <w:r>
        <w:rPr>
          <w:rFonts w:hint="eastAsia" w:ascii="Times New Roman" w:hAnsi="Times New Roman" w:eastAsia="宋体" w:cs="Times New Roman"/>
          <w:bCs/>
          <w:sz w:val="24"/>
          <w:lang w:val="en-US" w:eastAsia="zh-CN"/>
        </w:rPr>
        <w:t>项目服务范围覆盖北京台湾会馆全域，含主体历史建筑、展厅展馆、会议接待区、办公区域、庭院、公共通道、附属配套用房及各类设施设备场地；服务内容聚焦综合管理、环境保洁、房屋与设施设备运维、会议接待保障、</w:t>
      </w:r>
      <w:r>
        <w:rPr>
          <w:rFonts w:hint="default" w:ascii="Times New Roman" w:hAnsi="Times New Roman" w:eastAsia="宋体" w:cs="Times New Roman"/>
          <w:bCs/>
          <w:sz w:val="24"/>
          <w:lang w:val="en-US" w:eastAsia="zh-CN"/>
        </w:rPr>
        <w:t>展览讲解、</w:t>
      </w:r>
      <w:r>
        <w:rPr>
          <w:rFonts w:hint="eastAsia" w:ascii="Times New Roman" w:hAnsi="Times New Roman" w:eastAsia="宋体" w:cs="Times New Roman"/>
          <w:bCs/>
          <w:sz w:val="24"/>
          <w:lang w:val="en-US" w:eastAsia="zh-CN"/>
        </w:rPr>
        <w:t>应急处置等核心模块，严格遵循公共安全管理条例、政府采购服务标准及涉台服务相关要求，兼顾服务专业性、安全性与政治性。因</w:t>
      </w:r>
      <w:r>
        <w:rPr>
          <w:rFonts w:hint="eastAsia" w:cs="Times New Roman"/>
          <w:bCs/>
          <w:sz w:val="24"/>
          <w:lang w:val="en-US" w:eastAsia="zh-CN"/>
        </w:rPr>
        <w:t>采购人</w:t>
      </w:r>
      <w:r>
        <w:rPr>
          <w:rFonts w:hint="eastAsia" w:ascii="Times New Roman" w:hAnsi="Times New Roman" w:eastAsia="宋体" w:cs="Times New Roman"/>
          <w:bCs/>
          <w:sz w:val="24"/>
          <w:lang w:val="en-US" w:eastAsia="zh-CN"/>
        </w:rPr>
        <w:t>对台交流工作专业性、延续性要求较高，供应商中标后应确保新老物业公司工作有效衔接和平稳过渡。</w:t>
      </w:r>
      <w:r>
        <w:rPr>
          <w:rFonts w:hint="eastAsia"/>
          <w:b w:val="0"/>
          <w:bCs/>
          <w:kern w:val="2"/>
          <w:sz w:val="24"/>
          <w:szCs w:val="24"/>
          <w:lang w:val="en-US" w:eastAsia="zh-CN"/>
        </w:rPr>
        <w:t>供应商</w:t>
      </w:r>
      <w:r>
        <w:rPr>
          <w:rFonts w:hint="eastAsia" w:ascii="Times New Roman" w:hAnsi="Times New Roman" w:eastAsia="宋体"/>
          <w:b w:val="0"/>
          <w:bCs/>
          <w:kern w:val="2"/>
          <w:sz w:val="24"/>
          <w:szCs w:val="24"/>
          <w:lang w:val="en-US" w:eastAsia="zh-CN"/>
        </w:rPr>
        <w:t>须严格遵守节约型公共机构建设相关规定，全面落实节能节水、绿色环保、反食品浪费、垃圾分类、餐厨垃圾规范处置等要求，合理节约水电耗材，推行绿色低碳运营模式，配合</w:t>
      </w:r>
      <w:r>
        <w:rPr>
          <w:rFonts w:hint="eastAsia"/>
          <w:b w:val="0"/>
          <w:bCs/>
          <w:kern w:val="2"/>
          <w:sz w:val="24"/>
          <w:szCs w:val="24"/>
          <w:lang w:val="en-US" w:eastAsia="zh-CN"/>
        </w:rPr>
        <w:t>采购人</w:t>
      </w:r>
      <w:r>
        <w:rPr>
          <w:rFonts w:hint="eastAsia" w:ascii="Times New Roman" w:hAnsi="Times New Roman" w:eastAsia="宋体"/>
          <w:b w:val="0"/>
          <w:bCs/>
          <w:kern w:val="2"/>
          <w:sz w:val="24"/>
          <w:szCs w:val="24"/>
          <w:lang w:val="en-US" w:eastAsia="zh-CN"/>
        </w:rPr>
        <w:t>开展能耗统计、日常节约管理及节约型机关创建相关工作。</w:t>
      </w:r>
    </w:p>
    <w:p w14:paraId="40A54A35">
      <w:pPr>
        <w:spacing w:line="560" w:lineRule="exact"/>
        <w:ind w:firstLine="480" w:firstLineChars="200"/>
        <w:contextualSpacing/>
        <w:rPr>
          <w:rFonts w:hint="default" w:ascii="Times New Roman" w:hAnsi="Times New Roman" w:eastAsia="宋体" w:cs="Times New Roman"/>
          <w:bCs/>
          <w:sz w:val="24"/>
          <w:lang w:val="zh-TW" w:eastAsia="zh-CN"/>
        </w:rPr>
      </w:pPr>
      <w:bookmarkStart w:id="1" w:name="_Toc17861"/>
      <w:bookmarkStart w:id="2" w:name="_Toc31912"/>
      <w:bookmarkStart w:id="3" w:name="_Toc22065"/>
      <w:bookmarkStart w:id="4" w:name="_Toc172215540"/>
      <w:bookmarkStart w:id="5" w:name="_Toc18552"/>
      <w:bookmarkStart w:id="6" w:name="_Toc9625"/>
      <w:bookmarkStart w:id="7" w:name="_Toc17970"/>
      <w:r>
        <w:rPr>
          <w:rFonts w:hint="eastAsia" w:ascii="Times New Roman" w:hAnsi="Times New Roman" w:eastAsia="宋体" w:cs="Times New Roman"/>
          <w:bCs/>
          <w:sz w:val="24"/>
          <w:lang w:val="en-US" w:eastAsia="zh-CN"/>
        </w:rPr>
        <w:t>2.</w:t>
      </w:r>
      <w:r>
        <w:rPr>
          <w:rFonts w:hint="default" w:ascii="Times New Roman" w:hAnsi="Times New Roman" w:eastAsia="宋体" w:cs="Times New Roman"/>
          <w:bCs/>
          <w:sz w:val="24"/>
          <w:lang w:val="zh-TW" w:eastAsia="zh-CN"/>
        </w:rPr>
        <w:t>服务岗位工作职责</w:t>
      </w:r>
      <w:bookmarkStart w:id="8" w:name="_Hlk106368335"/>
    </w:p>
    <w:p w14:paraId="6815B3AE">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1</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物业经理工作职责</w:t>
      </w:r>
    </w:p>
    <w:p w14:paraId="3DF19641">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1.</w:t>
      </w:r>
      <w:r>
        <w:rPr>
          <w:rFonts w:hint="eastAsia" w:ascii="Times New Roman" w:hAnsi="Times New Roman" w:eastAsia="宋体" w:cs="Times New Roman"/>
          <w:bCs/>
          <w:sz w:val="24"/>
          <w:lang w:val="en-US" w:eastAsia="zh-CN"/>
        </w:rPr>
        <w:t>1</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负责台湾会馆物业的全面服务管理，协助完成</w:t>
      </w:r>
      <w:r>
        <w:rPr>
          <w:rFonts w:hint="eastAsia" w:ascii="Times New Roman" w:hAnsi="Times New Roman" w:eastAsia="宋体" w:cs="Times New Roman"/>
          <w:bCs/>
          <w:sz w:val="24"/>
          <w:lang w:val="zh-TW" w:eastAsia="zh-CN"/>
        </w:rPr>
        <w:t>采购人相关工作要求和安排</w:t>
      </w:r>
      <w:r>
        <w:rPr>
          <w:rFonts w:hint="default" w:ascii="Times New Roman" w:hAnsi="Times New Roman" w:eastAsia="宋体" w:cs="Times New Roman"/>
          <w:bCs/>
          <w:sz w:val="24"/>
          <w:lang w:val="zh-TW" w:eastAsia="zh-CN"/>
        </w:rPr>
        <w:t>。</w:t>
      </w:r>
    </w:p>
    <w:p w14:paraId="10C0B01E">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en-US" w:eastAsia="zh-CN"/>
        </w:rPr>
        <w:t>（1.</w:t>
      </w:r>
      <w:r>
        <w:rPr>
          <w:rFonts w:hint="default" w:ascii="Times New Roman" w:hAnsi="Times New Roman" w:eastAsia="宋体" w:cs="Times New Roman"/>
          <w:bCs/>
          <w:sz w:val="24"/>
          <w:lang w:val="zh-TW" w:eastAsia="zh-CN"/>
        </w:rPr>
        <w:t>2</w:t>
      </w:r>
      <w:r>
        <w:rPr>
          <w:rFonts w:hint="eastAsia" w:ascii="Times New Roman" w:hAnsi="Times New Roman" w:eastAsia="宋体" w:cs="Times New Roman"/>
          <w:bCs/>
          <w:sz w:val="24"/>
          <w:lang w:val="en-US" w:eastAsia="zh-CN"/>
        </w:rPr>
        <w:t>）</w:t>
      </w:r>
      <w:r>
        <w:rPr>
          <w:rFonts w:hint="default" w:ascii="Times New Roman" w:hAnsi="Times New Roman" w:eastAsia="宋体" w:cs="Times New Roman"/>
          <w:bCs/>
          <w:sz w:val="24"/>
          <w:lang w:val="zh-TW" w:eastAsia="zh-CN"/>
        </w:rPr>
        <w:t>贯彻落实</w:t>
      </w:r>
      <w:r>
        <w:rPr>
          <w:rFonts w:hint="eastAsia" w:ascii="Times New Roman" w:hAnsi="Times New Roman" w:eastAsia="宋体" w:cs="Times New Roman"/>
          <w:bCs/>
          <w:sz w:val="24"/>
          <w:lang w:val="zh-TW" w:eastAsia="zh-CN"/>
        </w:rPr>
        <w:t>采购人</w:t>
      </w:r>
      <w:r>
        <w:rPr>
          <w:rFonts w:hint="default" w:ascii="Times New Roman" w:hAnsi="Times New Roman" w:eastAsia="宋体" w:cs="Times New Roman"/>
          <w:bCs/>
          <w:sz w:val="24"/>
          <w:lang w:val="zh-TW" w:eastAsia="zh-CN"/>
        </w:rPr>
        <w:t>各项管理制度和相关要求，组织协调物业各部门及保安之间的工作，确保服务保障质量。</w:t>
      </w:r>
    </w:p>
    <w:p w14:paraId="6702497B">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en-US" w:eastAsia="zh-CN"/>
        </w:rPr>
        <w:t>（1.</w:t>
      </w:r>
      <w:r>
        <w:rPr>
          <w:rFonts w:hint="default" w:ascii="Times New Roman" w:hAnsi="Times New Roman" w:eastAsia="宋体" w:cs="Times New Roman"/>
          <w:bCs/>
          <w:sz w:val="24"/>
          <w:lang w:val="zh-TW" w:eastAsia="zh-CN"/>
        </w:rPr>
        <w:t>3</w:t>
      </w:r>
      <w:r>
        <w:rPr>
          <w:rFonts w:hint="eastAsia" w:ascii="Times New Roman" w:hAnsi="Times New Roman" w:eastAsia="宋体" w:cs="Times New Roman"/>
          <w:bCs/>
          <w:sz w:val="24"/>
          <w:lang w:val="en-US" w:eastAsia="zh-CN"/>
        </w:rPr>
        <w:t>）</w:t>
      </w:r>
      <w:r>
        <w:rPr>
          <w:rFonts w:hint="default" w:ascii="Times New Roman" w:hAnsi="Times New Roman" w:eastAsia="宋体" w:cs="Times New Roman"/>
          <w:bCs/>
          <w:sz w:val="24"/>
          <w:lang w:val="zh-TW" w:eastAsia="zh-CN"/>
        </w:rPr>
        <w:t>拟定年度工作计划，按时完成月度、季度和年度工作总结。</w:t>
      </w:r>
    </w:p>
    <w:p w14:paraId="470DE548">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1.</w:t>
      </w:r>
      <w:r>
        <w:rPr>
          <w:rFonts w:hint="default" w:ascii="Times New Roman" w:hAnsi="Times New Roman" w:eastAsia="宋体" w:cs="Times New Roman"/>
          <w:bCs/>
          <w:sz w:val="24"/>
          <w:lang w:val="zh-TW" w:eastAsia="zh-CN"/>
        </w:rPr>
        <w:t>4</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制定完善物业各部门管理制度及要求，对员工进行培训和考核，对会馆接待服务工作负责。</w:t>
      </w:r>
    </w:p>
    <w:p w14:paraId="569EE454">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en-US" w:eastAsia="zh-CN"/>
        </w:rPr>
        <w:t>（1.</w:t>
      </w:r>
      <w:r>
        <w:rPr>
          <w:rFonts w:hint="default" w:ascii="Times New Roman" w:hAnsi="Times New Roman" w:eastAsia="宋体" w:cs="Times New Roman"/>
          <w:bCs/>
          <w:sz w:val="24"/>
          <w:lang w:val="zh-TW" w:eastAsia="zh-CN"/>
        </w:rPr>
        <w:t>5</w:t>
      </w:r>
      <w:r>
        <w:rPr>
          <w:rFonts w:hint="eastAsia" w:ascii="Times New Roman" w:hAnsi="Times New Roman" w:eastAsia="宋体" w:cs="Times New Roman"/>
          <w:bCs/>
          <w:sz w:val="24"/>
          <w:lang w:val="en-US" w:eastAsia="zh-CN"/>
        </w:rPr>
        <w:t>）</w:t>
      </w:r>
      <w:r>
        <w:rPr>
          <w:rFonts w:hint="default" w:ascii="Times New Roman" w:hAnsi="Times New Roman" w:eastAsia="宋体" w:cs="Times New Roman"/>
          <w:bCs/>
          <w:sz w:val="24"/>
          <w:lang w:val="zh-TW" w:eastAsia="zh-CN"/>
        </w:rPr>
        <w:t>带头遵守各项规章制度，执行相关工作要求，确保物业</w:t>
      </w:r>
      <w:r>
        <w:rPr>
          <w:rFonts w:hint="eastAsia" w:ascii="Times New Roman" w:hAnsi="Times New Roman" w:eastAsia="宋体" w:cs="Times New Roman"/>
          <w:bCs/>
          <w:sz w:val="24"/>
          <w:lang w:val="zh-TW" w:eastAsia="zh-CN"/>
        </w:rPr>
        <w:t>各项</w:t>
      </w:r>
      <w:r>
        <w:rPr>
          <w:rFonts w:hint="default" w:ascii="Times New Roman" w:hAnsi="Times New Roman" w:eastAsia="宋体" w:cs="Times New Roman"/>
          <w:bCs/>
          <w:sz w:val="24"/>
          <w:lang w:val="zh-TW" w:eastAsia="zh-CN"/>
        </w:rPr>
        <w:t>工作有序开展。</w:t>
      </w:r>
    </w:p>
    <w:p w14:paraId="00B7994A">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en-US" w:eastAsia="zh-CN"/>
        </w:rPr>
        <w:t>（1.</w:t>
      </w:r>
      <w:r>
        <w:rPr>
          <w:rFonts w:hint="default" w:ascii="Times New Roman" w:hAnsi="Times New Roman" w:eastAsia="宋体" w:cs="Times New Roman"/>
          <w:bCs/>
          <w:sz w:val="24"/>
          <w:lang w:val="zh-TW" w:eastAsia="zh-CN"/>
        </w:rPr>
        <w:t>6</w:t>
      </w:r>
      <w:r>
        <w:rPr>
          <w:rFonts w:hint="eastAsia" w:ascii="Times New Roman" w:hAnsi="Times New Roman" w:eastAsia="宋体" w:cs="Times New Roman"/>
          <w:bCs/>
          <w:sz w:val="24"/>
          <w:lang w:val="en-US" w:eastAsia="zh-CN"/>
        </w:rPr>
        <w:t>）</w:t>
      </w:r>
      <w:r>
        <w:rPr>
          <w:rFonts w:hint="default" w:ascii="Times New Roman" w:hAnsi="Times New Roman" w:eastAsia="宋体" w:cs="Times New Roman"/>
          <w:bCs/>
          <w:sz w:val="24"/>
          <w:lang w:val="zh-TW" w:eastAsia="zh-CN"/>
        </w:rPr>
        <w:t>强化团队意识，倡导团结协作精神，营造</w:t>
      </w:r>
      <w:bookmarkEnd w:id="8"/>
      <w:r>
        <w:rPr>
          <w:rFonts w:hint="default" w:ascii="Times New Roman" w:hAnsi="Times New Roman" w:eastAsia="宋体" w:cs="Times New Roman"/>
          <w:bCs/>
          <w:sz w:val="24"/>
          <w:lang w:val="zh-TW" w:eastAsia="zh-CN"/>
        </w:rPr>
        <w:t>良好的工作氛围。</w:t>
      </w:r>
    </w:p>
    <w:p w14:paraId="5CE9A485">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en-US" w:eastAsia="zh-CN"/>
        </w:rPr>
        <w:t>（1.</w:t>
      </w:r>
      <w:r>
        <w:rPr>
          <w:rFonts w:hint="default" w:ascii="Times New Roman" w:hAnsi="Times New Roman" w:eastAsia="宋体" w:cs="Times New Roman"/>
          <w:bCs/>
          <w:sz w:val="24"/>
          <w:lang w:val="zh-TW" w:eastAsia="zh-CN"/>
        </w:rPr>
        <w:t>7</w:t>
      </w:r>
      <w:r>
        <w:rPr>
          <w:rFonts w:hint="eastAsia" w:ascii="Times New Roman" w:hAnsi="Times New Roman" w:eastAsia="宋体" w:cs="Times New Roman"/>
          <w:bCs/>
          <w:sz w:val="24"/>
          <w:lang w:val="en-US" w:eastAsia="zh-CN"/>
        </w:rPr>
        <w:t>）</w:t>
      </w:r>
      <w:r>
        <w:rPr>
          <w:rFonts w:hint="default" w:ascii="Times New Roman" w:hAnsi="Times New Roman" w:eastAsia="宋体" w:cs="Times New Roman"/>
          <w:bCs/>
          <w:sz w:val="24"/>
          <w:lang w:val="zh-TW" w:eastAsia="zh-CN"/>
        </w:rPr>
        <w:t>加强与外部服务单位的联系沟通，妥善处理各种矛盾纠纷、突发事件。</w:t>
      </w:r>
    </w:p>
    <w:p w14:paraId="1CEB5AD7">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en-US" w:eastAsia="zh-CN"/>
        </w:rPr>
        <w:t>（1.</w:t>
      </w:r>
      <w:r>
        <w:rPr>
          <w:rFonts w:hint="default" w:ascii="Times New Roman" w:hAnsi="Times New Roman" w:eastAsia="宋体" w:cs="Times New Roman"/>
          <w:bCs/>
          <w:sz w:val="24"/>
          <w:lang w:val="zh-TW" w:eastAsia="zh-CN"/>
        </w:rPr>
        <w:t>8</w:t>
      </w:r>
      <w:r>
        <w:rPr>
          <w:rFonts w:hint="eastAsia" w:ascii="Times New Roman" w:hAnsi="Times New Roman" w:eastAsia="宋体" w:cs="Times New Roman"/>
          <w:bCs/>
          <w:sz w:val="24"/>
          <w:lang w:val="en-US" w:eastAsia="zh-CN"/>
        </w:rPr>
        <w:t>）</w:t>
      </w:r>
      <w:r>
        <w:rPr>
          <w:rFonts w:hint="default" w:ascii="Times New Roman" w:hAnsi="Times New Roman" w:eastAsia="宋体" w:cs="Times New Roman"/>
          <w:bCs/>
          <w:sz w:val="24"/>
          <w:lang w:val="zh-TW" w:eastAsia="zh-CN"/>
        </w:rPr>
        <w:t>就日常物业服务工作中发生的事情或问题及时</w:t>
      </w:r>
      <w:r>
        <w:rPr>
          <w:rFonts w:hint="eastAsia" w:ascii="Times New Roman" w:hAnsi="Times New Roman" w:eastAsia="宋体" w:cs="Times New Roman"/>
          <w:bCs/>
          <w:sz w:val="24"/>
          <w:lang w:val="zh-TW" w:eastAsia="zh-CN"/>
        </w:rPr>
        <w:t>与采购人</w:t>
      </w:r>
      <w:r>
        <w:rPr>
          <w:rFonts w:hint="default" w:ascii="Times New Roman" w:hAnsi="Times New Roman" w:eastAsia="宋体" w:cs="Times New Roman"/>
          <w:bCs/>
          <w:sz w:val="24"/>
          <w:lang w:val="zh-TW" w:eastAsia="zh-CN"/>
        </w:rPr>
        <w:t>沟通、汇报，具体落实物业服务合同的各项规定、要求。</w:t>
      </w:r>
    </w:p>
    <w:p w14:paraId="5193CC07">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保洁部人员岗位工作职责</w:t>
      </w:r>
    </w:p>
    <w:p w14:paraId="69E9A532">
      <w:pPr>
        <w:spacing w:line="560" w:lineRule="exact"/>
        <w:ind w:firstLine="480" w:firstLineChars="200"/>
        <w:contextualSpacing/>
        <w:rPr>
          <w:rFonts w:hint="default" w:ascii="Times New Roman" w:hAnsi="Times New Roman" w:eastAsia="宋体" w:cs="Times New Roman"/>
          <w:bCs/>
          <w:sz w:val="24"/>
          <w:lang w:val="zh-TW" w:eastAsia="zh-CN"/>
        </w:rPr>
      </w:pPr>
      <w:r>
        <w:rPr>
          <w:rFonts w:hint="default" w:ascii="Times New Roman" w:hAnsi="Times New Roman" w:eastAsia="宋体" w:cs="Times New Roman"/>
          <w:bCs/>
          <w:sz w:val="24"/>
          <w:lang w:val="zh-TW" w:eastAsia="zh-CN"/>
        </w:rPr>
        <w:t>（</w:t>
      </w:r>
      <w:r>
        <w:rPr>
          <w:rFonts w:hint="eastAsia" w:ascii="Times New Roman" w:hAnsi="Times New Roman" w:eastAsia="宋体" w:cs="Times New Roman"/>
          <w:bCs/>
          <w:sz w:val="24"/>
          <w:lang w:val="zh-TW" w:eastAsia="zh-CN"/>
        </w:rPr>
        <w:t>2</w:t>
      </w:r>
      <w:r>
        <w:rPr>
          <w:rFonts w:hint="eastAsia" w:ascii="Times New Roman" w:hAnsi="Times New Roman" w:eastAsia="宋体" w:cs="Times New Roman"/>
          <w:bCs/>
          <w:sz w:val="24"/>
          <w:lang w:val="en-US" w:eastAsia="zh-CN"/>
        </w:rPr>
        <w:t>.1</w:t>
      </w:r>
      <w:r>
        <w:rPr>
          <w:rFonts w:hint="default" w:ascii="Times New Roman" w:hAnsi="Times New Roman" w:eastAsia="宋体" w:cs="Times New Roman"/>
          <w:bCs/>
          <w:sz w:val="24"/>
          <w:lang w:val="zh-TW" w:eastAsia="zh-CN"/>
        </w:rPr>
        <w:t>）保洁员岗位职责</w:t>
      </w:r>
    </w:p>
    <w:p w14:paraId="4747A740">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2.1.1</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严格遵守台湾会馆各项规章制度。</w:t>
      </w:r>
    </w:p>
    <w:p w14:paraId="017027C5">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2.1.2</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文明服务、礼貌待人，仪容端庄，举止得体。</w:t>
      </w:r>
    </w:p>
    <w:p w14:paraId="7CB9A41F">
      <w:pPr>
        <w:spacing w:line="560" w:lineRule="exact"/>
        <w:ind w:firstLine="480" w:firstLineChars="200"/>
        <w:contextualSpacing/>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2.1.3</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 xml:space="preserve">爱岗敬业，服从管理，在规定时间内按照工作标准、保质保量地完成各责任区内的保洁工作。 </w:t>
      </w:r>
      <w:r>
        <w:rPr>
          <w:rFonts w:hint="default" w:ascii="Times New Roman" w:hAnsi="Times New Roman" w:eastAsia="宋体" w:cs="Times New Roman"/>
          <w:bCs/>
          <w:sz w:val="24"/>
          <w:lang w:val="zh-TW" w:eastAsia="zh-CN"/>
        </w:rPr>
        <w:br w:type="textWrapping"/>
      </w: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2.1.4</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 xml:space="preserve">遵守考勤制度，按时上下班，不迟到早退，不旷工离岗，工作时间不干私活，不做与工作无关的事情。 </w:t>
      </w:r>
      <w:r>
        <w:rPr>
          <w:rFonts w:hint="default" w:ascii="Times New Roman" w:hAnsi="Times New Roman" w:eastAsia="宋体" w:cs="Times New Roman"/>
          <w:bCs/>
          <w:sz w:val="24"/>
          <w:lang w:val="zh-TW" w:eastAsia="zh-CN"/>
        </w:rPr>
        <w:br w:type="textWrapping"/>
      </w: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2.1.5</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拾金不昧，对客人遗忘物品妥善保管并经确认交还客人或在前台登记。</w:t>
      </w:r>
      <w:r>
        <w:rPr>
          <w:rFonts w:hint="eastAsia" w:ascii="Times New Roman" w:hAnsi="Times New Roman" w:eastAsia="宋体" w:cs="Times New Roman"/>
          <w:bCs/>
          <w:sz w:val="24"/>
          <w:lang w:val="en-US" w:eastAsia="zh-CN"/>
        </w:rPr>
        <w:t xml:space="preserve"> </w:t>
      </w:r>
    </w:p>
    <w:p w14:paraId="3D68A214">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2.1.6</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认真做好迎检、清扫门前积水和积雪等工作。</w:t>
      </w:r>
    </w:p>
    <w:p w14:paraId="03F2DC42">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2.1.7</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妥善保管清洁工具和用品，不得丢失和人为损坏，不得将清洁工具和用品私借他人使用或带回家中使用，如损坏或遗失工具照价赔偿。</w:t>
      </w:r>
    </w:p>
    <w:p w14:paraId="3DDDC1F6">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2.1.8</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清洁过程若发现异常情况，如跑、冒、漏、漏水和设备设施损坏、故障等，及时报告主管领导，采取有效措施，控制事态发展，必要时积极协助专业人员排除故障。</w:t>
      </w:r>
    </w:p>
    <w:p w14:paraId="1C2071E2">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2.1.9</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认真完成上级领导临时交办的其他任务。</w:t>
      </w:r>
    </w:p>
    <w:p w14:paraId="4713CB4F">
      <w:pPr>
        <w:spacing w:line="560" w:lineRule="exact"/>
        <w:ind w:firstLine="480" w:firstLineChars="200"/>
        <w:contextualSpacing/>
        <w:rPr>
          <w:rFonts w:hint="default" w:ascii="Times New Roman" w:hAnsi="Times New Roman" w:eastAsia="宋体" w:cs="Times New Roman"/>
          <w:bCs/>
          <w:sz w:val="24"/>
          <w:lang w:val="zh-TW" w:eastAsia="zh-CN"/>
        </w:rPr>
      </w:pPr>
      <w:r>
        <w:rPr>
          <w:rFonts w:hint="default" w:ascii="Times New Roman" w:hAnsi="Times New Roman" w:eastAsia="宋体" w:cs="Times New Roman"/>
          <w:bCs/>
          <w:sz w:val="24"/>
          <w:lang w:val="zh-TW" w:eastAsia="zh-CN"/>
        </w:rPr>
        <w:t>（</w:t>
      </w:r>
      <w:r>
        <w:rPr>
          <w:rFonts w:hint="eastAsia" w:ascii="Times New Roman" w:hAnsi="Times New Roman" w:eastAsia="宋体" w:cs="Times New Roman"/>
          <w:bCs/>
          <w:sz w:val="24"/>
          <w:lang w:val="zh-TW" w:eastAsia="zh-CN"/>
        </w:rPr>
        <w:t>2</w:t>
      </w:r>
      <w:r>
        <w:rPr>
          <w:rFonts w:hint="eastAsia" w:ascii="Times New Roman" w:hAnsi="Times New Roman" w:eastAsia="宋体" w:cs="Times New Roman"/>
          <w:bCs/>
          <w:sz w:val="24"/>
          <w:lang w:val="en-US" w:eastAsia="zh-CN"/>
        </w:rPr>
        <w:t>.2</w:t>
      </w:r>
      <w:r>
        <w:rPr>
          <w:rFonts w:hint="default" w:ascii="Times New Roman" w:hAnsi="Times New Roman" w:eastAsia="宋体" w:cs="Times New Roman"/>
          <w:bCs/>
          <w:sz w:val="24"/>
          <w:lang w:val="zh-TW" w:eastAsia="zh-CN"/>
        </w:rPr>
        <w:t>）保洁工作要求及标准</w:t>
      </w:r>
    </w:p>
    <w:p w14:paraId="27B9EA17">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2.2.1</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按要求做好垃圾分类工作，按时清运其他垃圾至指定地点。</w:t>
      </w:r>
    </w:p>
    <w:p w14:paraId="4A6309DA">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2.2.2</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每天对责任区内的楼道、栏杆扶手、院内地面、电梯、展室展柜、地垫地毯、桌椅沙发、外围鱼池、B1</w:t>
      </w:r>
      <w:r>
        <w:rPr>
          <w:rFonts w:hint="eastAsia" w:ascii="Times New Roman" w:hAnsi="Times New Roman" w:eastAsia="宋体" w:cs="Times New Roman"/>
          <w:bCs/>
          <w:sz w:val="24"/>
          <w:lang w:val="zh-TW" w:eastAsia="zh-CN"/>
        </w:rPr>
        <w:t>鱼池</w:t>
      </w:r>
      <w:r>
        <w:rPr>
          <w:rFonts w:hint="default" w:ascii="Times New Roman" w:hAnsi="Times New Roman" w:eastAsia="宋体" w:cs="Times New Roman"/>
          <w:bCs/>
          <w:sz w:val="24"/>
          <w:lang w:val="zh-TW" w:eastAsia="zh-CN"/>
        </w:rPr>
        <w:t>等进行清扫保洁，楼道内每日还需进行二次拖抹，责任区域内保洁工作完成后及时填写巡查表，每天坚持巡查。</w:t>
      </w:r>
    </w:p>
    <w:p w14:paraId="5F1BD928">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2.2.3</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各责任区内垃圾桶每日清倒2次以上，要求无外溢污物。</w:t>
      </w:r>
    </w:p>
    <w:p w14:paraId="673CC06F">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2.2.4</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卫生间每日清洁不得少于2次，并保证地面干净，无异味。</w:t>
      </w:r>
    </w:p>
    <w:p w14:paraId="36B45704">
      <w:pPr>
        <w:spacing w:line="560" w:lineRule="exact"/>
        <w:ind w:firstLine="480" w:firstLineChars="200"/>
        <w:contextualSpacing/>
        <w:rPr>
          <w:rFonts w:hint="default" w:ascii="Times New Roman" w:hAnsi="Times New Roman" w:eastAsia="宋体" w:cs="Times New Roman"/>
          <w:bCs/>
          <w:sz w:val="24"/>
          <w:lang w:val="zh-TW" w:eastAsia="zh-CN"/>
        </w:rPr>
      </w:pPr>
      <w:r>
        <w:rPr>
          <w:rFonts w:hint="default"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w:t>
      </w:r>
      <w:r>
        <w:rPr>
          <w:rFonts w:hint="eastAsia" w:ascii="Times New Roman" w:hAnsi="Times New Roman" w:eastAsia="宋体" w:cs="Times New Roman"/>
          <w:bCs/>
          <w:sz w:val="24"/>
          <w:lang w:val="zh-TW" w:eastAsia="zh-CN"/>
        </w:rPr>
        <w:t>3</w:t>
      </w:r>
      <w:r>
        <w:rPr>
          <w:rFonts w:hint="default" w:ascii="Times New Roman" w:hAnsi="Times New Roman" w:eastAsia="宋体" w:cs="Times New Roman"/>
          <w:bCs/>
          <w:sz w:val="24"/>
          <w:lang w:val="zh-TW" w:eastAsia="zh-CN"/>
        </w:rPr>
        <w:t>）保洁员安全操作规定　</w:t>
      </w:r>
    </w:p>
    <w:p w14:paraId="2B995F6A">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2.3.1</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牢固树立“安全第一”的思想，在操作与安全发生矛盾时，应先服从安全，以安全为重。　　</w:t>
      </w:r>
    </w:p>
    <w:p w14:paraId="4592283E">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2.3.2</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在超过2米高处操作时，必须使用梯子，双脚需同时踏在梯子上，不得单脚踩踏，并保证梯子下方有人把扶，以免摔伤。 　　</w:t>
      </w:r>
    </w:p>
    <w:p w14:paraId="10BA005D">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2.3.3</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在清理开、关设备设施时，不得用湿手湿布接触电源插座，以免触电。 　　</w:t>
      </w:r>
      <w:r>
        <w:rPr>
          <w:rFonts w:hint="default" w:ascii="Times New Roman" w:hAnsi="Times New Roman" w:eastAsia="宋体" w:cs="Times New Roman"/>
          <w:bCs/>
          <w:sz w:val="24"/>
          <w:lang w:val="zh-TW" w:eastAsia="zh-CN"/>
        </w:rPr>
        <w:br w:type="textWrapping"/>
      </w: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2.3.4</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合理使用各种器具，以免造成损坏，科学使用各种清洁药剂，以免污染、腐蚀公共设施、保洁器具或对人体造成伤害。　　</w:t>
      </w:r>
      <w:r>
        <w:rPr>
          <w:rFonts w:hint="default" w:ascii="Times New Roman" w:hAnsi="Times New Roman" w:eastAsia="宋体" w:cs="Times New Roman"/>
          <w:bCs/>
          <w:sz w:val="24"/>
          <w:lang w:val="zh-TW" w:eastAsia="zh-CN"/>
        </w:rPr>
        <w:br w:type="textWrapping"/>
      </w:r>
      <w:r>
        <w:rPr>
          <w:rFonts w:hint="eastAsia" w:ascii="Times New Roman" w:hAnsi="Times New Roman" w:eastAsia="宋体" w:cs="Times New Roman"/>
          <w:bCs/>
          <w:sz w:val="24"/>
          <w:lang w:val="en-US" w:eastAsia="zh-CN"/>
        </w:rPr>
        <w:t xml:space="preserve">    </w:t>
      </w: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2.3.5</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应熟练掌握保洁器械使用方法，在不会使用机器时，不得私自开启或关闭机器，以免发生意外事故。</w:t>
      </w:r>
    </w:p>
    <w:p w14:paraId="4644A5BE">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2.3.6</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保洁人员应做到自我防护，工作时需戴好胶皮手套，清洁完毕应尽快洗手。 </w:t>
      </w:r>
    </w:p>
    <w:p w14:paraId="45EA3326">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3</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工程部人员岗位工作职责</w:t>
      </w:r>
    </w:p>
    <w:p w14:paraId="008E21E8">
      <w:pPr>
        <w:spacing w:line="560" w:lineRule="exact"/>
        <w:ind w:firstLine="480" w:firstLineChars="200"/>
        <w:contextualSpacing/>
        <w:rPr>
          <w:rFonts w:hint="default" w:ascii="Times New Roman" w:hAnsi="Times New Roman" w:eastAsia="宋体" w:cs="Times New Roman"/>
          <w:bCs/>
          <w:sz w:val="24"/>
          <w:lang w:val="zh-TW" w:eastAsia="zh-CN"/>
        </w:rPr>
      </w:pPr>
      <w:r>
        <w:rPr>
          <w:rFonts w:hint="default" w:ascii="Times New Roman" w:hAnsi="Times New Roman" w:eastAsia="宋体" w:cs="Times New Roman"/>
          <w:bCs/>
          <w:sz w:val="24"/>
          <w:lang w:val="zh-TW" w:eastAsia="zh-CN"/>
        </w:rPr>
        <w:t>工程部岗位分为主管（兼综合维修人员）、</w:t>
      </w:r>
      <w:r>
        <w:rPr>
          <w:rFonts w:hint="eastAsia" w:ascii="Times New Roman" w:hAnsi="Times New Roman" w:eastAsia="宋体" w:cs="Times New Roman"/>
          <w:bCs/>
          <w:sz w:val="24"/>
          <w:lang w:val="zh-TW" w:eastAsia="zh-CN"/>
        </w:rPr>
        <w:t>职员</w:t>
      </w:r>
      <w:r>
        <w:rPr>
          <w:rFonts w:hint="default" w:ascii="Times New Roman" w:hAnsi="Times New Roman" w:eastAsia="宋体" w:cs="Times New Roman"/>
          <w:bCs/>
          <w:sz w:val="24"/>
          <w:lang w:val="zh-TW" w:eastAsia="zh-CN"/>
        </w:rPr>
        <w:t>（兼综合维修人员），主管对会馆工程管理工作负直接责任。</w:t>
      </w:r>
    </w:p>
    <w:p w14:paraId="5609C1F4">
      <w:pPr>
        <w:spacing w:line="560" w:lineRule="exact"/>
        <w:ind w:firstLine="480" w:firstLineChars="200"/>
        <w:contextualSpacing/>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w:t>
      </w:r>
      <w:r>
        <w:rPr>
          <w:rFonts w:hint="eastAsia" w:ascii="Times New Roman" w:hAnsi="Times New Roman" w:eastAsia="宋体" w:cs="Times New Roman"/>
          <w:bCs/>
          <w:sz w:val="24"/>
          <w:lang w:val="en-US" w:eastAsia="zh-CN"/>
        </w:rPr>
        <w:t>3.1</w:t>
      </w:r>
      <w:r>
        <w:rPr>
          <w:rFonts w:hint="default" w:ascii="Times New Roman" w:hAnsi="Times New Roman" w:eastAsia="宋体" w:cs="Times New Roman"/>
          <w:bCs/>
          <w:sz w:val="24"/>
          <w:lang w:val="en-US" w:eastAsia="zh-CN"/>
        </w:rPr>
        <w:t>）综合维修人员岗位职责</w:t>
      </w:r>
    </w:p>
    <w:p w14:paraId="3D9034D5">
      <w:pPr>
        <w:spacing w:line="560" w:lineRule="exact"/>
        <w:ind w:firstLine="480" w:firstLineChars="200"/>
        <w:contextualSpacing/>
        <w:rPr>
          <w:rFonts w:hint="default" w:ascii="Times New Roman" w:hAnsi="Times New Roman" w:eastAsia="宋体" w:cs="Times New Roman"/>
          <w:bCs/>
          <w:sz w:val="24"/>
          <w:lang w:val="zh-TW" w:eastAsia="zh-CN"/>
        </w:rPr>
      </w:pPr>
      <w:r>
        <w:rPr>
          <w:rFonts w:hint="default" w:ascii="Times New Roman" w:hAnsi="Times New Roman" w:eastAsia="宋体" w:cs="Times New Roman"/>
          <w:bCs/>
          <w:sz w:val="24"/>
          <w:lang w:val="en-US" w:eastAsia="zh-CN"/>
        </w:rPr>
        <w:t>具体负责会馆内各类设备及资产的维护、维修工作，安排好下属的各项工作，制定并落实工程相关的各项操作流程和规章制度，如安全检查制度、日常报修制度、工具管理制度、机房管理制度、电气设备安全操作规范、能耗控制制度等。负责具体工作主要包括：</w:t>
      </w:r>
      <w:r>
        <w:rPr>
          <w:rFonts w:hint="eastAsia" w:ascii="Times New Roman" w:hAnsi="Times New Roman" w:eastAsia="宋体" w:cs="Times New Roman"/>
          <w:bCs/>
          <w:sz w:val="24"/>
          <w:lang w:val="en-US" w:eastAsia="zh-CN"/>
        </w:rPr>
        <w:t>协助</w:t>
      </w:r>
      <w:r>
        <w:rPr>
          <w:rFonts w:hint="default" w:ascii="Times New Roman" w:hAnsi="Times New Roman" w:eastAsia="宋体" w:cs="Times New Roman"/>
          <w:bCs/>
          <w:sz w:val="24"/>
          <w:lang w:val="en-US" w:eastAsia="zh-CN"/>
        </w:rPr>
        <w:t>空调的维修保养；</w:t>
      </w:r>
      <w:r>
        <w:rPr>
          <w:rFonts w:hint="eastAsia" w:ascii="Times New Roman" w:hAnsi="Times New Roman" w:eastAsia="宋体" w:cs="Times New Roman"/>
          <w:bCs/>
          <w:sz w:val="24"/>
          <w:lang w:val="en-US" w:eastAsia="zh-CN"/>
        </w:rPr>
        <w:t>协助</w:t>
      </w:r>
      <w:r>
        <w:rPr>
          <w:rFonts w:hint="default" w:ascii="Times New Roman" w:hAnsi="Times New Roman" w:eastAsia="宋体" w:cs="Times New Roman"/>
          <w:bCs/>
          <w:sz w:val="24"/>
          <w:lang w:val="en-US" w:eastAsia="zh-CN"/>
        </w:rPr>
        <w:t>电梯的维修、保养；各管道维修（给排水）、鱼池及景观的维护；各部门申请的安装工作；检查主管道、排污道的畅通工作；负责会馆各区域门、桌、凳的维修保护工作；各类会议、展览及交流活动的横幅悬挂；会馆内突发事件的处理。</w:t>
      </w:r>
    </w:p>
    <w:p w14:paraId="505127C5">
      <w:pPr>
        <w:spacing w:line="560" w:lineRule="exact"/>
        <w:ind w:firstLine="480" w:firstLineChars="200"/>
        <w:contextualSpacing/>
        <w:rPr>
          <w:rFonts w:hint="default" w:ascii="Times New Roman" w:hAnsi="Times New Roman" w:eastAsia="宋体" w:cs="Times New Roman"/>
          <w:bCs/>
          <w:sz w:val="24"/>
          <w:lang w:val="zh-TW" w:eastAsia="zh-CN"/>
        </w:rPr>
      </w:pPr>
      <w:r>
        <w:rPr>
          <w:rFonts w:hint="default" w:ascii="Times New Roman" w:hAnsi="Times New Roman" w:eastAsia="宋体" w:cs="Times New Roman"/>
          <w:bCs/>
          <w:sz w:val="24"/>
          <w:lang w:val="en-US" w:eastAsia="zh-CN"/>
        </w:rPr>
        <w:t>负责设备机房、空调、供暖、给排水、水处理、消防泵房、配电室、各类灯光、机房、高压室的运行记录、水、气的抄报与监督，电路整改、巡检线路及维修保养工作。</w:t>
      </w:r>
    </w:p>
    <w:p w14:paraId="6CE4063B">
      <w:pPr>
        <w:spacing w:line="560" w:lineRule="exact"/>
        <w:ind w:firstLine="480" w:firstLineChars="200"/>
        <w:contextualSpacing/>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负责电话及线路、电视及线路、网线架设、投影、日常电器、音响室的日常维护与保养，会馆的灯光音响、监控设备及后台消防、办公室电脑及相关办公设备的维护保养。</w:t>
      </w:r>
    </w:p>
    <w:p w14:paraId="24B8F408">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4</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消防中控主管岗位工作职责</w:t>
      </w:r>
    </w:p>
    <w:p w14:paraId="6A0C4A07">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（4.1）</w:t>
      </w:r>
      <w:r>
        <w:rPr>
          <w:rFonts w:hint="default" w:ascii="Times New Roman" w:hAnsi="Times New Roman" w:eastAsia="宋体" w:cs="Times New Roman"/>
          <w:bCs/>
          <w:sz w:val="24"/>
          <w:lang w:val="en-US" w:eastAsia="zh-CN"/>
        </w:rPr>
        <w:t>负责建立健全消防管理等各项安全管理制度，以及各类安全管理应急预案和消防台账。</w:t>
      </w:r>
    </w:p>
    <w:p w14:paraId="40CF2129">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（4.2）</w:t>
      </w:r>
      <w:r>
        <w:rPr>
          <w:rFonts w:hint="default" w:ascii="Times New Roman" w:hAnsi="Times New Roman" w:eastAsia="宋体" w:cs="Times New Roman"/>
          <w:bCs/>
          <w:sz w:val="24"/>
          <w:lang w:val="en-US" w:eastAsia="zh-CN"/>
        </w:rPr>
        <w:t>负责消防中控室设备及值机员的监督管理，并做好值机员的技能培训和资质考评工。</w:t>
      </w:r>
    </w:p>
    <w:p w14:paraId="5D9FDEDF">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（4.3）</w:t>
      </w:r>
      <w:r>
        <w:rPr>
          <w:rFonts w:hint="default" w:ascii="Times New Roman" w:hAnsi="Times New Roman" w:eastAsia="宋体" w:cs="Times New Roman"/>
          <w:bCs/>
          <w:sz w:val="24"/>
          <w:lang w:val="en-US" w:eastAsia="zh-CN"/>
        </w:rPr>
        <w:t>负责跟消防维保公司沟通，对各种消防器材及设备进行定期维护和检查。</w:t>
      </w:r>
    </w:p>
    <w:p w14:paraId="6B139A65">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（4.4）</w:t>
      </w:r>
      <w:r>
        <w:rPr>
          <w:rFonts w:hint="default" w:ascii="Times New Roman" w:hAnsi="Times New Roman" w:eastAsia="宋体" w:cs="Times New Roman"/>
          <w:bCs/>
          <w:sz w:val="24"/>
          <w:lang w:val="en-US" w:eastAsia="zh-CN"/>
        </w:rPr>
        <w:t>负责监督检查本单位各部门消防工作落实情况。</w:t>
      </w:r>
    </w:p>
    <w:p w14:paraId="3B1A1AC5">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（4.5）</w:t>
      </w:r>
      <w:r>
        <w:rPr>
          <w:rFonts w:hint="default" w:ascii="Times New Roman" w:hAnsi="Times New Roman" w:eastAsia="宋体" w:cs="Times New Roman"/>
          <w:bCs/>
          <w:sz w:val="24"/>
          <w:lang w:val="en-US" w:eastAsia="zh-CN"/>
        </w:rPr>
        <w:t>负责本单位员工消防知识宣传和专业技能培训工作。</w:t>
      </w:r>
    </w:p>
    <w:p w14:paraId="044C835C">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（4.6）</w:t>
      </w:r>
      <w:r>
        <w:rPr>
          <w:rFonts w:hint="default" w:ascii="Times New Roman" w:hAnsi="Times New Roman" w:eastAsia="宋体" w:cs="Times New Roman"/>
          <w:bCs/>
          <w:sz w:val="24"/>
          <w:lang w:val="en-US" w:eastAsia="zh-CN"/>
        </w:rPr>
        <w:t>负责对本单位内部施工现场消防安全管理和检查工作的落实。</w:t>
      </w:r>
    </w:p>
    <w:p w14:paraId="281CC3FE">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（4.7）</w:t>
      </w:r>
      <w:r>
        <w:rPr>
          <w:rFonts w:hint="default" w:ascii="Times New Roman" w:hAnsi="Times New Roman" w:eastAsia="宋体" w:cs="Times New Roman"/>
          <w:bCs/>
          <w:sz w:val="24"/>
          <w:lang w:val="en-US" w:eastAsia="zh-CN"/>
        </w:rPr>
        <w:t>负责本单位监控和中控所有消防安全管理工作。</w:t>
      </w:r>
    </w:p>
    <w:p w14:paraId="4E69FF8E">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（4.8）</w:t>
      </w:r>
      <w:r>
        <w:rPr>
          <w:rFonts w:hint="default" w:ascii="Times New Roman" w:hAnsi="Times New Roman" w:eastAsia="宋体" w:cs="Times New Roman"/>
          <w:bCs/>
          <w:sz w:val="24"/>
          <w:lang w:val="en-US" w:eastAsia="zh-CN"/>
        </w:rPr>
        <w:t>负责在一定范围内组织本单位各部门进行消防演习</w:t>
      </w:r>
      <w:r>
        <w:rPr>
          <w:rFonts w:hint="eastAsia" w:ascii="Times New Roman" w:hAnsi="Times New Roman" w:eastAsia="宋体" w:cs="Times New Roman"/>
          <w:bCs/>
          <w:sz w:val="24"/>
          <w:lang w:val="en-US" w:eastAsia="zh-CN"/>
        </w:rPr>
        <w:t>，</w:t>
      </w:r>
      <w:r>
        <w:rPr>
          <w:rFonts w:hint="default" w:ascii="Times New Roman" w:hAnsi="Times New Roman" w:eastAsia="宋体" w:cs="Times New Roman"/>
          <w:bCs/>
          <w:sz w:val="24"/>
          <w:lang w:val="en-US" w:eastAsia="zh-CN"/>
        </w:rPr>
        <w:t>每年不得少于2次。</w:t>
      </w:r>
    </w:p>
    <w:p w14:paraId="75A3C7A5">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（4.9）</w:t>
      </w:r>
      <w:r>
        <w:rPr>
          <w:rFonts w:hint="default" w:ascii="Times New Roman" w:hAnsi="Times New Roman" w:eastAsia="宋体" w:cs="Times New Roman"/>
          <w:bCs/>
          <w:sz w:val="24"/>
          <w:lang w:val="en-US" w:eastAsia="zh-CN"/>
        </w:rPr>
        <w:t>负责本单位消防建设改造前期沟通，协助专业公司参做好设备安装、调试、验收各个环节的工作。</w:t>
      </w:r>
    </w:p>
    <w:p w14:paraId="7E359291">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（4.10）</w:t>
      </w:r>
      <w:r>
        <w:rPr>
          <w:rFonts w:hint="default" w:ascii="Times New Roman" w:hAnsi="Times New Roman" w:eastAsia="宋体" w:cs="Times New Roman"/>
          <w:bCs/>
          <w:sz w:val="24"/>
          <w:lang w:val="en-US" w:eastAsia="zh-CN"/>
        </w:rPr>
        <w:t>保证消防设施设备的有效性和可靠性，与消电检公司合作，提前作好消防设施的年检工作。</w:t>
      </w:r>
    </w:p>
    <w:p w14:paraId="6ED645E3">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（4.11）</w:t>
      </w:r>
      <w:r>
        <w:rPr>
          <w:rFonts w:hint="default" w:ascii="Times New Roman" w:hAnsi="Times New Roman" w:eastAsia="宋体" w:cs="Times New Roman"/>
          <w:bCs/>
          <w:sz w:val="24"/>
          <w:lang w:val="en-US" w:eastAsia="zh-CN"/>
        </w:rPr>
        <w:t>负责会馆备用钥匙管理以及领用登记工作。</w:t>
      </w:r>
    </w:p>
    <w:p w14:paraId="66DF9C78">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（4.12）</w:t>
      </w:r>
      <w:r>
        <w:rPr>
          <w:rFonts w:hint="default" w:ascii="Times New Roman" w:hAnsi="Times New Roman" w:eastAsia="宋体" w:cs="Times New Roman"/>
          <w:bCs/>
          <w:sz w:val="24"/>
          <w:lang w:val="en-US" w:eastAsia="zh-CN"/>
        </w:rPr>
        <w:t>负责核验中控员的证件。</w:t>
      </w:r>
    </w:p>
    <w:p w14:paraId="3A29466F">
      <w:pPr>
        <w:spacing w:line="560" w:lineRule="exact"/>
        <w:ind w:firstLine="480" w:firstLineChars="200"/>
        <w:contextualSpacing/>
        <w:rPr>
          <w:rFonts w:hint="default" w:ascii="Times New Roman" w:hAnsi="Times New Roman" w:eastAsia="宋体" w:cs="Times New Roman"/>
          <w:bCs/>
          <w:sz w:val="24"/>
          <w:lang w:val="zh-TW" w:eastAsia="zh-CN"/>
        </w:rPr>
      </w:pPr>
      <w:r>
        <w:rPr>
          <w:rFonts w:hint="eastAsia" w:ascii="Times New Roman" w:hAnsi="Times New Roman" w:eastAsia="宋体" w:cs="Times New Roman"/>
          <w:bCs/>
          <w:sz w:val="24"/>
          <w:lang w:val="zh-TW" w:eastAsia="zh-CN"/>
        </w:rPr>
        <w:t>（</w:t>
      </w:r>
      <w:r>
        <w:rPr>
          <w:rFonts w:hint="eastAsia" w:ascii="Times New Roman" w:hAnsi="Times New Roman" w:eastAsia="宋体" w:cs="Times New Roman"/>
          <w:bCs/>
          <w:sz w:val="24"/>
          <w:lang w:val="en-US" w:eastAsia="zh-CN"/>
        </w:rPr>
        <w:t>5</w:t>
      </w:r>
      <w:r>
        <w:rPr>
          <w:rFonts w:hint="eastAsia" w:ascii="Times New Roman" w:hAnsi="Times New Roman" w:eastAsia="宋体" w:cs="Times New Roman"/>
          <w:bCs/>
          <w:sz w:val="24"/>
          <w:lang w:val="zh-TW" w:eastAsia="zh-CN"/>
        </w:rPr>
        <w:t>）</w:t>
      </w:r>
      <w:r>
        <w:rPr>
          <w:rFonts w:hint="default" w:ascii="Times New Roman" w:hAnsi="Times New Roman" w:eastAsia="宋体" w:cs="Times New Roman"/>
          <w:bCs/>
          <w:sz w:val="24"/>
          <w:lang w:val="zh-TW" w:eastAsia="zh-CN"/>
        </w:rPr>
        <w:t>综合部人员岗位工作职责</w:t>
      </w:r>
    </w:p>
    <w:p w14:paraId="0EF082B5">
      <w:pPr>
        <w:spacing w:line="560" w:lineRule="exact"/>
        <w:ind w:firstLine="480" w:firstLineChars="200"/>
        <w:contextualSpacing/>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w:t>
      </w:r>
      <w:r>
        <w:rPr>
          <w:rFonts w:hint="eastAsia" w:ascii="Times New Roman" w:hAnsi="Times New Roman" w:eastAsia="宋体" w:cs="Times New Roman"/>
          <w:bCs/>
          <w:sz w:val="24"/>
          <w:lang w:val="en-US" w:eastAsia="zh-CN"/>
        </w:rPr>
        <w:t>5.1</w:t>
      </w:r>
      <w:r>
        <w:rPr>
          <w:rFonts w:hint="default" w:ascii="Times New Roman" w:hAnsi="Times New Roman" w:eastAsia="宋体" w:cs="Times New Roman"/>
          <w:bCs/>
          <w:sz w:val="24"/>
          <w:lang w:val="en-US" w:eastAsia="zh-CN"/>
        </w:rPr>
        <w:t>）综合部主管岗位职责</w:t>
      </w:r>
    </w:p>
    <w:p w14:paraId="587E50E0">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（5.1.1）</w:t>
      </w:r>
      <w:r>
        <w:rPr>
          <w:rFonts w:hint="default" w:ascii="Times New Roman" w:hAnsi="Times New Roman" w:eastAsia="宋体" w:cs="Times New Roman"/>
          <w:bCs/>
          <w:sz w:val="24"/>
          <w:lang w:val="en-US" w:eastAsia="zh-CN"/>
        </w:rPr>
        <w:t>协助物业经理制定部门各项规章制度及管理流程，并督促执行。</w:t>
      </w:r>
    </w:p>
    <w:p w14:paraId="2969D0F1">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w:t>
      </w:r>
      <w:r>
        <w:rPr>
          <w:rFonts w:hint="default" w:ascii="Times New Roman" w:hAnsi="Times New Roman" w:eastAsia="宋体" w:cs="Times New Roman"/>
          <w:bCs/>
          <w:sz w:val="24"/>
          <w:lang w:val="en-US" w:eastAsia="zh-CN"/>
        </w:rPr>
        <w:t>2</w:t>
      </w:r>
      <w:r>
        <w:rPr>
          <w:rFonts w:hint="eastAsia" w:ascii="Times New Roman" w:hAnsi="Times New Roman" w:eastAsia="宋体" w:cs="Times New Roman"/>
          <w:bCs/>
          <w:sz w:val="24"/>
          <w:lang w:val="en-US" w:eastAsia="zh-CN"/>
        </w:rPr>
        <w:t>）</w:t>
      </w:r>
      <w:r>
        <w:rPr>
          <w:rFonts w:hint="default" w:ascii="Times New Roman" w:hAnsi="Times New Roman" w:eastAsia="宋体" w:cs="Times New Roman"/>
          <w:bCs/>
          <w:sz w:val="24"/>
          <w:lang w:val="en-US" w:eastAsia="zh-CN"/>
        </w:rPr>
        <w:t>做好物业办公用品、易耗品的申领、授权采购及管理，做好记录。</w:t>
      </w:r>
    </w:p>
    <w:p w14:paraId="1FA51F47">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（5.1.3）</w:t>
      </w:r>
      <w:r>
        <w:rPr>
          <w:rFonts w:hint="default" w:ascii="Times New Roman" w:hAnsi="Times New Roman" w:eastAsia="宋体" w:cs="Times New Roman"/>
          <w:bCs/>
          <w:sz w:val="24"/>
          <w:lang w:val="en-US" w:eastAsia="zh-CN"/>
        </w:rPr>
        <w:t>负责整理会馆日常运维资料，及时归档工作。</w:t>
      </w:r>
    </w:p>
    <w:p w14:paraId="60164E0D">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（5.1.4）</w:t>
      </w:r>
      <w:r>
        <w:rPr>
          <w:rFonts w:hint="default" w:ascii="Times New Roman" w:hAnsi="Times New Roman" w:eastAsia="宋体" w:cs="Times New Roman"/>
          <w:bCs/>
          <w:sz w:val="24"/>
          <w:lang w:val="en-US" w:eastAsia="zh-CN"/>
        </w:rPr>
        <w:t xml:space="preserve">及时传达中心领导要求。 </w:t>
      </w:r>
    </w:p>
    <w:p w14:paraId="192351EB">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（5.1.5）</w:t>
      </w:r>
      <w:r>
        <w:rPr>
          <w:rFonts w:hint="default" w:ascii="Times New Roman" w:hAnsi="Times New Roman" w:eastAsia="宋体" w:cs="Times New Roman"/>
          <w:bCs/>
          <w:sz w:val="24"/>
          <w:lang w:val="en-US" w:eastAsia="zh-CN"/>
        </w:rPr>
        <w:t>负责整理台湾会馆物业人员的月度考勤，并在月底汇总后上报中心。</w:t>
      </w:r>
    </w:p>
    <w:p w14:paraId="355E2A0E">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（5.1.6）</w:t>
      </w:r>
      <w:r>
        <w:rPr>
          <w:rFonts w:hint="default" w:ascii="Times New Roman" w:hAnsi="Times New Roman" w:eastAsia="宋体" w:cs="Times New Roman"/>
          <w:bCs/>
          <w:sz w:val="24"/>
          <w:lang w:val="en-US" w:eastAsia="zh-CN"/>
        </w:rPr>
        <w:t>监督管理部门员工的仪容仪表，保证制服整洁，仪表端庄、行为得体。</w:t>
      </w:r>
    </w:p>
    <w:p w14:paraId="25B66F4C">
      <w:pPr>
        <w:spacing w:line="560" w:lineRule="exact"/>
        <w:ind w:firstLine="480" w:firstLineChars="200"/>
        <w:contextualSpacing/>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（5.1.7）</w:t>
      </w:r>
      <w:r>
        <w:rPr>
          <w:rFonts w:hint="default" w:ascii="Times New Roman" w:hAnsi="Times New Roman" w:eastAsia="宋体" w:cs="Times New Roman"/>
          <w:bCs/>
          <w:sz w:val="24"/>
          <w:lang w:val="en-US" w:eastAsia="zh-CN"/>
        </w:rPr>
        <w:t>负责做好部门员工礼仪礼貌的培训</w:t>
      </w:r>
    </w:p>
    <w:p w14:paraId="5ECD1B39">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（5.1.8）</w:t>
      </w:r>
      <w:r>
        <w:rPr>
          <w:rFonts w:hint="default" w:ascii="Times New Roman" w:hAnsi="Times New Roman" w:eastAsia="宋体" w:cs="Times New Roman"/>
          <w:bCs/>
          <w:sz w:val="24"/>
          <w:lang w:val="en-US" w:eastAsia="zh-CN"/>
        </w:rPr>
        <w:t>负责办理员工入职、离职、解聘等手续、节假日值班排班工作及每周员工倒休的统计工作。</w:t>
      </w:r>
    </w:p>
    <w:p w14:paraId="1ACD4D1D">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（5.1.9）</w:t>
      </w:r>
      <w:r>
        <w:rPr>
          <w:rFonts w:hint="default" w:ascii="Times New Roman" w:hAnsi="Times New Roman" w:eastAsia="宋体" w:cs="Times New Roman"/>
          <w:bCs/>
          <w:sz w:val="24"/>
          <w:lang w:val="en-US" w:eastAsia="zh-CN"/>
        </w:rPr>
        <w:t>管理台湾会馆物业员工的个人资料档案。</w:t>
      </w:r>
    </w:p>
    <w:p w14:paraId="61DC1FD3">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（5.1.10）</w:t>
      </w:r>
      <w:r>
        <w:rPr>
          <w:rFonts w:hint="default" w:ascii="Times New Roman" w:hAnsi="Times New Roman" w:eastAsia="宋体" w:cs="Times New Roman"/>
          <w:bCs/>
          <w:sz w:val="24"/>
          <w:lang w:val="en-US" w:eastAsia="zh-CN"/>
        </w:rPr>
        <w:t>将活动接待单及活动要求下发各部门主管，在中心授权后负责对接活动事宜，按照要求进行分工；并与活动方签署场地使用协议、收取押金。</w:t>
      </w:r>
    </w:p>
    <w:p w14:paraId="3D1DE5F6">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（5.1.11）</w:t>
      </w:r>
      <w:r>
        <w:rPr>
          <w:rFonts w:hint="default" w:ascii="Times New Roman" w:hAnsi="Times New Roman" w:eastAsia="宋体" w:cs="Times New Roman"/>
          <w:bCs/>
          <w:sz w:val="24"/>
          <w:lang w:val="en-US" w:eastAsia="zh-CN"/>
        </w:rPr>
        <w:t>完成责任区内每日巡查工作（上、下午各一次）。</w:t>
      </w:r>
    </w:p>
    <w:p w14:paraId="2FFF036A">
      <w:pPr>
        <w:spacing w:line="560" w:lineRule="exact"/>
        <w:ind w:firstLine="480" w:firstLineChars="200"/>
        <w:contextualSpacing/>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w:t>
      </w:r>
      <w:r>
        <w:rPr>
          <w:rFonts w:hint="eastAsia" w:ascii="Times New Roman" w:hAnsi="Times New Roman" w:eastAsia="宋体" w:cs="Times New Roman"/>
          <w:bCs/>
          <w:sz w:val="24"/>
          <w:lang w:val="en-US" w:eastAsia="zh-CN"/>
        </w:rPr>
        <w:t>5.2</w:t>
      </w:r>
      <w:r>
        <w:rPr>
          <w:rFonts w:hint="default" w:ascii="Times New Roman" w:hAnsi="Times New Roman" w:eastAsia="宋体" w:cs="Times New Roman"/>
          <w:bCs/>
          <w:sz w:val="24"/>
          <w:lang w:val="en-US" w:eastAsia="zh-CN"/>
        </w:rPr>
        <w:t>）综合部职员岗位职责</w:t>
      </w:r>
    </w:p>
    <w:p w14:paraId="19C69C55">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（5.2.</w:t>
      </w:r>
      <w:r>
        <w:rPr>
          <w:rFonts w:hint="default" w:ascii="Times New Roman" w:hAnsi="Times New Roman" w:eastAsia="宋体" w:cs="Times New Roman"/>
          <w:bCs/>
          <w:sz w:val="24"/>
          <w:lang w:val="en-US" w:eastAsia="zh-CN"/>
        </w:rPr>
        <w:t>1</w:t>
      </w:r>
      <w:r>
        <w:rPr>
          <w:rFonts w:hint="eastAsia" w:ascii="Times New Roman" w:hAnsi="Times New Roman" w:eastAsia="宋体" w:cs="Times New Roman"/>
          <w:bCs/>
          <w:sz w:val="24"/>
          <w:lang w:val="en-US" w:eastAsia="zh-CN"/>
        </w:rPr>
        <w:t>）</w:t>
      </w:r>
      <w:r>
        <w:rPr>
          <w:rFonts w:hint="default" w:ascii="Times New Roman" w:hAnsi="Times New Roman" w:eastAsia="宋体" w:cs="Times New Roman"/>
          <w:bCs/>
          <w:sz w:val="24"/>
          <w:lang w:val="en-US" w:eastAsia="zh-CN"/>
        </w:rPr>
        <w:t>负责综合部卫生区域整理工作。</w:t>
      </w:r>
    </w:p>
    <w:p w14:paraId="5E3A6191">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（5.2.2）</w:t>
      </w:r>
      <w:r>
        <w:rPr>
          <w:rFonts w:hint="default" w:ascii="Times New Roman" w:hAnsi="Times New Roman" w:eastAsia="宋体" w:cs="Times New Roman"/>
          <w:bCs/>
          <w:sz w:val="24"/>
          <w:lang w:val="en-US" w:eastAsia="zh-CN"/>
        </w:rPr>
        <w:t>负责来访人员的接待讲解工作及每周会馆对外开放时的讲解工作。</w:t>
      </w:r>
    </w:p>
    <w:p w14:paraId="3811DBA6">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（5.2.3）</w:t>
      </w:r>
      <w:r>
        <w:rPr>
          <w:rFonts w:hint="default" w:ascii="Times New Roman" w:hAnsi="Times New Roman" w:eastAsia="宋体" w:cs="Times New Roman"/>
          <w:bCs/>
          <w:sz w:val="24"/>
          <w:lang w:val="en-US" w:eastAsia="zh-CN"/>
        </w:rPr>
        <w:t>负责物业例会的记录工作。</w:t>
      </w:r>
    </w:p>
    <w:p w14:paraId="0E6E3440">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（5.2.4）</w:t>
      </w:r>
      <w:r>
        <w:rPr>
          <w:rFonts w:hint="default" w:ascii="Times New Roman" w:hAnsi="Times New Roman" w:eastAsia="宋体" w:cs="Times New Roman"/>
          <w:bCs/>
          <w:sz w:val="24"/>
          <w:lang w:val="en-US" w:eastAsia="zh-CN"/>
        </w:rPr>
        <w:t>负责做好会议活动服务保障工作（如茶水、话筒、纸笔夹、纸巾盒、桌签等）。</w:t>
      </w:r>
    </w:p>
    <w:p w14:paraId="0B4A7D40">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（5.2.5）</w:t>
      </w:r>
      <w:r>
        <w:rPr>
          <w:rFonts w:hint="default" w:ascii="Times New Roman" w:hAnsi="Times New Roman" w:eastAsia="宋体" w:cs="Times New Roman"/>
          <w:bCs/>
          <w:sz w:val="24"/>
          <w:lang w:val="en-US" w:eastAsia="zh-CN"/>
        </w:rPr>
        <w:t>负责贵宾室、茶楼、台胞之家、重点区域卫生间等与接待服务相关的物品准备工作，并整理与物业相关的文件资料。</w:t>
      </w:r>
    </w:p>
    <w:p w14:paraId="55B7552E">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（5.2.6）</w:t>
      </w:r>
      <w:r>
        <w:rPr>
          <w:rFonts w:hint="default" w:ascii="Times New Roman" w:hAnsi="Times New Roman" w:eastAsia="宋体" w:cs="Times New Roman"/>
          <w:bCs/>
          <w:sz w:val="24"/>
          <w:lang w:val="en-US" w:eastAsia="zh-CN"/>
        </w:rPr>
        <w:t>定期检查、清理综合部各项物资。</w:t>
      </w:r>
    </w:p>
    <w:p w14:paraId="7D88D209">
      <w:pPr>
        <w:spacing w:line="560" w:lineRule="exact"/>
        <w:ind w:firstLine="480" w:firstLineChars="200"/>
        <w:contextualSpacing/>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（5.2.7）</w:t>
      </w:r>
      <w:r>
        <w:rPr>
          <w:rFonts w:hint="default" w:ascii="Times New Roman" w:hAnsi="Times New Roman" w:eastAsia="宋体" w:cs="Times New Roman"/>
          <w:bCs/>
          <w:sz w:val="24"/>
          <w:lang w:val="en-US" w:eastAsia="zh-CN"/>
        </w:rPr>
        <w:t>协助部门主管完成每周巡查问题的落实整改工作。</w:t>
      </w:r>
    </w:p>
    <w:p w14:paraId="03E496E3">
      <w:pPr>
        <w:pStyle w:val="2"/>
        <w:adjustRightInd w:val="0"/>
        <w:snapToGrid w:val="0"/>
        <w:spacing w:line="560" w:lineRule="exact"/>
        <w:ind w:left="0" w:firstLine="0" w:firstLineChars="0"/>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3.服务明细</w:t>
      </w:r>
    </w:p>
    <w:p w14:paraId="3E13C05C">
      <w:pPr>
        <w:pStyle w:val="2"/>
        <w:adjustRightInd w:val="0"/>
        <w:snapToGrid w:val="0"/>
        <w:spacing w:line="560" w:lineRule="exact"/>
        <w:ind w:left="0" w:firstLine="0" w:firstLineChars="0"/>
        <w:rPr>
          <w:rFonts w:hint="eastAsia" w:ascii="方正黑体_GBK" w:hAnsi="方正黑体_GBK" w:eastAsia="方正黑体_GBK" w:cs="方正黑体_GBK"/>
          <w:sz w:val="24"/>
          <w:szCs w:val="24"/>
        </w:rPr>
      </w:pPr>
      <w:r>
        <w:rPr>
          <w:rFonts w:hint="eastAsia" w:ascii="楷体" w:hAnsi="楷体" w:eastAsia="楷体" w:cs="宋体"/>
          <w:sz w:val="24"/>
          <w:szCs w:val="24"/>
        </w:rPr>
        <w:t>（</w:t>
      </w:r>
      <w:r>
        <w:rPr>
          <w:rFonts w:hint="eastAsia" w:ascii="楷体" w:hAnsi="楷体" w:eastAsia="楷体" w:cs="宋体"/>
          <w:sz w:val="24"/>
          <w:szCs w:val="24"/>
          <w:lang w:val="en-US" w:eastAsia="zh-CN"/>
        </w:rPr>
        <w:t>1</w:t>
      </w:r>
      <w:r>
        <w:rPr>
          <w:rFonts w:hint="eastAsia" w:ascii="楷体" w:hAnsi="楷体" w:eastAsia="楷体" w:cs="宋体"/>
          <w:sz w:val="24"/>
          <w:szCs w:val="24"/>
        </w:rPr>
        <w:t>）物业管理（建筑物）</w:t>
      </w:r>
      <w:bookmarkEnd w:id="1"/>
      <w:bookmarkEnd w:id="2"/>
      <w:bookmarkEnd w:id="3"/>
      <w:bookmarkEnd w:id="4"/>
      <w:bookmarkEnd w:id="5"/>
      <w:bookmarkEnd w:id="6"/>
      <w:bookmarkEnd w:id="7"/>
    </w:p>
    <w:tbl>
      <w:tblPr>
        <w:tblStyle w:val="6"/>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14:paraId="7FF5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14:paraId="4C27D8F2">
            <w:pPr>
              <w:adjustRightInd w:val="0"/>
              <w:snapToGrid w:val="0"/>
              <w:spacing w:line="560"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名称</w:t>
            </w:r>
          </w:p>
        </w:tc>
        <w:tc>
          <w:tcPr>
            <w:tcW w:w="3763" w:type="dxa"/>
            <w:noWrap w:val="0"/>
            <w:vAlign w:val="center"/>
          </w:tcPr>
          <w:p w14:paraId="060FBD97">
            <w:pPr>
              <w:adjustRightInd w:val="0"/>
              <w:snapToGrid w:val="0"/>
              <w:spacing w:line="560"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明细</w:t>
            </w:r>
          </w:p>
        </w:tc>
        <w:tc>
          <w:tcPr>
            <w:tcW w:w="2594" w:type="dxa"/>
            <w:noWrap w:val="0"/>
            <w:vAlign w:val="center"/>
          </w:tcPr>
          <w:p w14:paraId="6F0EFA33">
            <w:pPr>
              <w:adjustRightInd w:val="0"/>
              <w:snapToGrid w:val="0"/>
              <w:spacing w:line="560" w:lineRule="exact"/>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服务内容及标准</w:t>
            </w:r>
          </w:p>
        </w:tc>
      </w:tr>
      <w:tr w14:paraId="3E1D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1" w:type="dxa"/>
            <w:gridSpan w:val="2"/>
            <w:noWrap w:val="0"/>
            <w:vAlign w:val="center"/>
          </w:tcPr>
          <w:p w14:paraId="4C21BAC3">
            <w:pPr>
              <w:adjustRightInd w:val="0"/>
              <w:snapToGrid w:val="0"/>
              <w:spacing w:line="560" w:lineRule="exact"/>
              <w:rPr>
                <w:rFonts w:ascii="宋体" w:hAnsi="宋体" w:eastAsia="宋体" w:cs="宋体"/>
                <w:sz w:val="24"/>
              </w:rPr>
            </w:pPr>
            <w:r>
              <w:rPr>
                <w:rFonts w:hint="eastAsia" w:ascii="宋体" w:hAnsi="宋体" w:cs="宋体"/>
                <w:sz w:val="24"/>
              </w:rPr>
              <w:t>北京台湾会馆</w:t>
            </w:r>
          </w:p>
        </w:tc>
        <w:tc>
          <w:tcPr>
            <w:tcW w:w="3763" w:type="dxa"/>
            <w:noWrap w:val="0"/>
            <w:vAlign w:val="center"/>
          </w:tcPr>
          <w:p w14:paraId="1483EA8F">
            <w:pPr>
              <w:adjustRightInd w:val="0"/>
              <w:snapToGrid w:val="0"/>
              <w:spacing w:line="560" w:lineRule="exact"/>
              <w:rPr>
                <w:rFonts w:ascii="宋体" w:hAnsi="宋体" w:eastAsia="宋体" w:cs="宋体"/>
                <w:sz w:val="24"/>
              </w:rPr>
            </w:pPr>
            <w:r>
              <w:rPr>
                <w:rFonts w:hint="eastAsia" w:ascii="宋体" w:hAnsi="宋体" w:cs="宋体"/>
                <w:sz w:val="24"/>
              </w:rPr>
              <w:t>四合院</w:t>
            </w:r>
          </w:p>
        </w:tc>
        <w:tc>
          <w:tcPr>
            <w:tcW w:w="2594" w:type="dxa"/>
            <w:noWrap w:val="0"/>
            <w:vAlign w:val="center"/>
          </w:tcPr>
          <w:p w14:paraId="18851D05">
            <w:pPr>
              <w:adjustRightInd w:val="0"/>
              <w:snapToGrid w:val="0"/>
              <w:spacing w:line="560" w:lineRule="exact"/>
              <w:rPr>
                <w:rFonts w:ascii="宋体" w:hAnsi="宋体" w:eastAsia="宋体" w:cs="宋体"/>
                <w:b/>
                <w:bCs/>
                <w:sz w:val="24"/>
              </w:rPr>
            </w:pPr>
          </w:p>
        </w:tc>
      </w:tr>
      <w:tr w14:paraId="41D9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7" w:type="dxa"/>
            <w:vMerge w:val="restart"/>
            <w:noWrap w:val="0"/>
            <w:vAlign w:val="center"/>
          </w:tcPr>
          <w:p w14:paraId="20519B1F">
            <w:pPr>
              <w:adjustRightInd w:val="0"/>
              <w:snapToGrid w:val="0"/>
              <w:spacing w:line="560" w:lineRule="exact"/>
              <w:rPr>
                <w:rFonts w:ascii="宋体" w:hAnsi="宋体" w:eastAsia="宋体" w:cs="宋体"/>
                <w:sz w:val="24"/>
              </w:rPr>
            </w:pPr>
            <w:r>
              <w:rPr>
                <w:rFonts w:hint="eastAsia" w:ascii="宋体" w:hAnsi="宋体" w:eastAsia="宋体" w:cs="宋体"/>
                <w:sz w:val="24"/>
              </w:rPr>
              <w:t>总面积</w:t>
            </w:r>
          </w:p>
        </w:tc>
        <w:tc>
          <w:tcPr>
            <w:tcW w:w="1414" w:type="dxa"/>
            <w:noWrap w:val="0"/>
            <w:vAlign w:val="center"/>
          </w:tcPr>
          <w:p w14:paraId="5AC7E750">
            <w:pPr>
              <w:adjustRightInd w:val="0"/>
              <w:snapToGrid w:val="0"/>
              <w:spacing w:line="560" w:lineRule="exact"/>
              <w:rPr>
                <w:rFonts w:ascii="宋体" w:hAnsi="宋体" w:eastAsia="宋体" w:cs="宋体"/>
                <w:sz w:val="24"/>
              </w:rPr>
            </w:pPr>
            <w:r>
              <w:rPr>
                <w:rFonts w:hint="eastAsia" w:ascii="宋体" w:hAnsi="宋体" w:eastAsia="宋体" w:cs="宋体"/>
                <w:sz w:val="24"/>
              </w:rPr>
              <w:t>建筑面积（㎡）</w:t>
            </w:r>
          </w:p>
        </w:tc>
        <w:tc>
          <w:tcPr>
            <w:tcW w:w="3763" w:type="dxa"/>
            <w:noWrap w:val="0"/>
            <w:vAlign w:val="center"/>
          </w:tcPr>
          <w:p w14:paraId="6D4C53CD">
            <w:pPr>
              <w:adjustRightInd w:val="0"/>
              <w:snapToGrid w:val="0"/>
              <w:spacing w:line="560" w:lineRule="exact"/>
              <w:rPr>
                <w:rFonts w:ascii="宋体" w:hAnsi="宋体" w:eastAsia="宋体" w:cs="宋体"/>
                <w:color w:val="auto"/>
                <w:sz w:val="24"/>
              </w:rPr>
            </w:pPr>
            <w:r>
              <w:rPr>
                <w:rFonts w:ascii="宋体" w:hAnsi="宋体" w:eastAsia="宋体" w:cs="宋体"/>
                <w:color w:val="auto"/>
                <w:sz w:val="24"/>
              </w:rPr>
              <w:t xml:space="preserve">  </w:t>
            </w:r>
            <w:r>
              <w:rPr>
                <w:rFonts w:ascii="宋体" w:hAnsi="宋体" w:eastAsia="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3889.17</w:t>
            </w:r>
            <w:r>
              <w:rPr>
                <w:rFonts w:ascii="宋体" w:hAnsi="宋体" w:eastAsia="宋体" w:cs="宋体"/>
                <w:color w:val="auto"/>
                <w:sz w:val="24"/>
                <w:u w:val="single"/>
              </w:rPr>
              <w:t xml:space="preserve">   </w:t>
            </w:r>
            <w:r>
              <w:rPr>
                <w:rFonts w:ascii="宋体" w:hAnsi="宋体" w:eastAsia="宋体" w:cs="宋体"/>
                <w:color w:val="auto"/>
                <w:sz w:val="24"/>
              </w:rPr>
              <w:t>平方米。</w:t>
            </w:r>
          </w:p>
        </w:tc>
        <w:tc>
          <w:tcPr>
            <w:tcW w:w="2594" w:type="dxa"/>
            <w:vMerge w:val="restart"/>
            <w:noWrap w:val="0"/>
            <w:vAlign w:val="center"/>
          </w:tcPr>
          <w:p w14:paraId="3B0FB66E">
            <w:pPr>
              <w:adjustRightInd w:val="0"/>
              <w:snapToGrid w:val="0"/>
              <w:spacing w:line="560" w:lineRule="exact"/>
              <w:rPr>
                <w:rFonts w:hint="eastAsia" w:ascii="宋体" w:hAnsi="宋体" w:eastAsia="宋体" w:cs="宋体"/>
                <w:color w:val="auto"/>
                <w:sz w:val="24"/>
              </w:rPr>
            </w:pPr>
          </w:p>
          <w:p w14:paraId="617FCDD6">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p>
        </w:tc>
      </w:tr>
      <w:tr w14:paraId="3F6A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5D192A76">
            <w:pPr>
              <w:adjustRightInd w:val="0"/>
              <w:snapToGrid w:val="0"/>
              <w:spacing w:line="560" w:lineRule="exact"/>
              <w:rPr>
                <w:rFonts w:ascii="宋体" w:hAnsi="宋体" w:eastAsia="宋体" w:cs="宋体"/>
                <w:sz w:val="24"/>
              </w:rPr>
            </w:pPr>
          </w:p>
        </w:tc>
        <w:tc>
          <w:tcPr>
            <w:tcW w:w="1414" w:type="dxa"/>
            <w:noWrap w:val="0"/>
            <w:vAlign w:val="center"/>
          </w:tcPr>
          <w:p w14:paraId="53A5C68F">
            <w:pPr>
              <w:adjustRightInd w:val="0"/>
              <w:snapToGrid w:val="0"/>
              <w:spacing w:line="560" w:lineRule="exact"/>
              <w:rPr>
                <w:rFonts w:ascii="宋体" w:hAnsi="宋体" w:eastAsia="宋体" w:cs="宋体"/>
                <w:sz w:val="24"/>
              </w:rPr>
            </w:pPr>
            <w:r>
              <w:rPr>
                <w:rFonts w:hint="eastAsia" w:ascii="宋体" w:hAnsi="宋体" w:eastAsia="宋体" w:cs="宋体"/>
                <w:sz w:val="24"/>
              </w:rPr>
              <w:t>需保洁面积（㎡）</w:t>
            </w:r>
          </w:p>
        </w:tc>
        <w:tc>
          <w:tcPr>
            <w:tcW w:w="3763" w:type="dxa"/>
            <w:noWrap w:val="0"/>
            <w:vAlign w:val="center"/>
          </w:tcPr>
          <w:p w14:paraId="5D29CD9F">
            <w:pPr>
              <w:adjustRightInd w:val="0"/>
              <w:snapToGrid w:val="0"/>
              <w:spacing w:line="560" w:lineRule="exact"/>
              <w:ind w:firstLine="240" w:firstLineChars="100"/>
              <w:rPr>
                <w:rFonts w:ascii="宋体" w:hAnsi="宋体" w:eastAsia="宋体" w:cs="宋体"/>
                <w:color w:val="auto"/>
                <w:sz w:val="24"/>
              </w:rPr>
            </w:pPr>
            <w:r>
              <w:rPr>
                <w:rFonts w:ascii="宋体" w:hAnsi="宋体" w:cs="宋体"/>
                <w:color w:val="auto"/>
                <w:sz w:val="24"/>
                <w:u w:val="single"/>
              </w:rPr>
              <w:t xml:space="preserve">   </w:t>
            </w:r>
            <w:r>
              <w:rPr>
                <w:rFonts w:hint="eastAsia" w:ascii="宋体" w:hAnsi="宋体" w:cs="宋体"/>
                <w:color w:val="auto"/>
                <w:sz w:val="24"/>
                <w:u w:val="single"/>
              </w:rPr>
              <w:t>3889.17</w:t>
            </w:r>
            <w:r>
              <w:rPr>
                <w:rFonts w:ascii="宋体" w:hAnsi="宋体" w:cs="宋体"/>
                <w:color w:val="auto"/>
                <w:sz w:val="24"/>
                <w:u w:val="single"/>
              </w:rPr>
              <w:t xml:space="preserve">  </w:t>
            </w:r>
            <w:r>
              <w:rPr>
                <w:rFonts w:hint="eastAsia" w:ascii="宋体" w:hAnsi="宋体" w:cs="宋体"/>
                <w:color w:val="auto"/>
                <w:sz w:val="24"/>
              </w:rPr>
              <w:t>平方米。</w:t>
            </w:r>
          </w:p>
        </w:tc>
        <w:tc>
          <w:tcPr>
            <w:tcW w:w="2594" w:type="dxa"/>
            <w:vMerge w:val="continue"/>
            <w:noWrap w:val="0"/>
            <w:vAlign w:val="center"/>
          </w:tcPr>
          <w:p w14:paraId="390F9048">
            <w:pPr>
              <w:adjustRightInd w:val="0"/>
              <w:snapToGrid w:val="0"/>
              <w:spacing w:line="560" w:lineRule="exact"/>
              <w:rPr>
                <w:rFonts w:ascii="宋体" w:hAnsi="宋体" w:eastAsia="宋体" w:cs="宋体"/>
                <w:color w:val="auto"/>
                <w:sz w:val="24"/>
              </w:rPr>
            </w:pPr>
          </w:p>
        </w:tc>
      </w:tr>
      <w:tr w14:paraId="7CC5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14:paraId="51EBD47E">
            <w:pPr>
              <w:adjustRightInd w:val="0"/>
              <w:snapToGrid w:val="0"/>
              <w:spacing w:line="560" w:lineRule="exact"/>
              <w:rPr>
                <w:rFonts w:ascii="宋体" w:hAnsi="宋体" w:eastAsia="宋体" w:cs="宋体"/>
                <w:sz w:val="24"/>
              </w:rPr>
            </w:pPr>
            <w:r>
              <w:rPr>
                <w:rFonts w:hint="eastAsia" w:ascii="宋体" w:hAnsi="宋体" w:eastAsia="宋体" w:cs="宋体"/>
                <w:sz w:val="24"/>
              </w:rPr>
              <w:t>门窗</w:t>
            </w:r>
          </w:p>
        </w:tc>
        <w:tc>
          <w:tcPr>
            <w:tcW w:w="1414" w:type="dxa"/>
            <w:noWrap w:val="0"/>
            <w:vAlign w:val="center"/>
          </w:tcPr>
          <w:p w14:paraId="447DACAB">
            <w:pPr>
              <w:adjustRightInd w:val="0"/>
              <w:snapToGrid w:val="0"/>
              <w:spacing w:line="560" w:lineRule="exact"/>
              <w:rPr>
                <w:rFonts w:ascii="宋体" w:hAnsi="宋体" w:eastAsia="宋体" w:cs="宋体"/>
                <w:sz w:val="24"/>
              </w:rPr>
            </w:pPr>
            <w:r>
              <w:rPr>
                <w:rFonts w:hint="eastAsia" w:ascii="宋体" w:hAnsi="宋体" w:eastAsia="宋体" w:cs="宋体"/>
                <w:sz w:val="24"/>
              </w:rPr>
              <w:t>门窗总数量（个）及总面积（㎡）</w:t>
            </w:r>
          </w:p>
        </w:tc>
        <w:tc>
          <w:tcPr>
            <w:tcW w:w="3763" w:type="dxa"/>
            <w:noWrap w:val="0"/>
            <w:vAlign w:val="center"/>
          </w:tcPr>
          <w:p w14:paraId="7CE742F0">
            <w:pPr>
              <w:adjustRightInd w:val="0"/>
              <w:snapToGrid w:val="0"/>
              <w:spacing w:line="560" w:lineRule="exact"/>
              <w:ind w:firstLine="240" w:firstLineChars="100"/>
              <w:rPr>
                <w:rFonts w:ascii="宋体" w:hAnsi="宋体" w:eastAsia="宋体" w:cs="宋体"/>
                <w:color w:val="auto"/>
                <w:sz w:val="24"/>
              </w:rPr>
            </w:pPr>
            <w:r>
              <w:rPr>
                <w:rFonts w:ascii="宋体" w:hAnsi="宋体" w:cs="宋体"/>
                <w:color w:val="auto"/>
                <w:sz w:val="24"/>
                <w:u w:val="single"/>
              </w:rPr>
              <w:t xml:space="preserve">   </w:t>
            </w:r>
            <w:r>
              <w:rPr>
                <w:rFonts w:hint="eastAsia" w:ascii="宋体" w:hAnsi="宋体" w:cs="宋体"/>
                <w:color w:val="auto"/>
                <w:sz w:val="24"/>
                <w:u w:val="single"/>
              </w:rPr>
              <w:t>370</w:t>
            </w:r>
            <w:r>
              <w:rPr>
                <w:rFonts w:ascii="宋体" w:hAnsi="宋体" w:cs="宋体"/>
                <w:color w:val="auto"/>
                <w:sz w:val="24"/>
                <w:u w:val="single"/>
              </w:rPr>
              <w:t xml:space="preserve"> </w:t>
            </w:r>
            <w:r>
              <w:rPr>
                <w:rFonts w:hint="eastAsia" w:ascii="宋体" w:hAnsi="宋体" w:cs="宋体"/>
                <w:color w:val="auto"/>
                <w:sz w:val="24"/>
                <w:u w:val="single"/>
              </w:rPr>
              <w:t>（首层）</w:t>
            </w:r>
            <w:r>
              <w:rPr>
                <w:rFonts w:ascii="宋体" w:hAnsi="宋体" w:cs="宋体"/>
                <w:color w:val="auto"/>
                <w:sz w:val="24"/>
                <w:u w:val="single"/>
              </w:rPr>
              <w:t xml:space="preserve">  </w:t>
            </w:r>
            <w:r>
              <w:rPr>
                <w:rFonts w:hint="eastAsia" w:ascii="宋体" w:hAnsi="宋体" w:cs="宋体"/>
                <w:color w:val="auto"/>
                <w:sz w:val="24"/>
              </w:rPr>
              <w:t>平方米。</w:t>
            </w:r>
          </w:p>
        </w:tc>
        <w:tc>
          <w:tcPr>
            <w:tcW w:w="2594" w:type="dxa"/>
            <w:noWrap w:val="0"/>
            <w:vAlign w:val="center"/>
          </w:tcPr>
          <w:p w14:paraId="530A85A7">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p>
        </w:tc>
      </w:tr>
      <w:tr w14:paraId="4CF6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14:paraId="0CD4112C">
            <w:pPr>
              <w:adjustRightInd w:val="0"/>
              <w:snapToGrid w:val="0"/>
              <w:spacing w:line="560" w:lineRule="exact"/>
              <w:rPr>
                <w:rFonts w:ascii="宋体" w:hAnsi="宋体" w:eastAsia="宋体" w:cs="宋体"/>
                <w:sz w:val="24"/>
              </w:rPr>
            </w:pPr>
            <w:r>
              <w:rPr>
                <w:rFonts w:hint="eastAsia" w:ascii="宋体" w:hAnsi="宋体" w:eastAsia="宋体" w:cs="宋体"/>
                <w:sz w:val="24"/>
              </w:rPr>
              <w:t>地面</w:t>
            </w:r>
          </w:p>
        </w:tc>
        <w:tc>
          <w:tcPr>
            <w:tcW w:w="1414" w:type="dxa"/>
            <w:noWrap w:val="0"/>
            <w:vAlign w:val="center"/>
          </w:tcPr>
          <w:p w14:paraId="08669E00">
            <w:pPr>
              <w:adjustRightInd w:val="0"/>
              <w:snapToGrid w:val="0"/>
              <w:spacing w:line="560" w:lineRule="exact"/>
              <w:rPr>
                <w:rFonts w:ascii="宋体" w:hAnsi="宋体" w:eastAsia="宋体" w:cs="宋体"/>
                <w:sz w:val="24"/>
              </w:rPr>
            </w:pPr>
            <w:r>
              <w:rPr>
                <w:rFonts w:hint="eastAsia" w:ascii="宋体" w:hAnsi="宋体" w:eastAsia="宋体" w:cs="宋体"/>
                <w:sz w:val="24"/>
              </w:rPr>
              <w:t>地面各材质及总面积（㎡）</w:t>
            </w:r>
          </w:p>
        </w:tc>
        <w:tc>
          <w:tcPr>
            <w:tcW w:w="3763" w:type="dxa"/>
            <w:noWrap w:val="0"/>
            <w:vAlign w:val="center"/>
          </w:tcPr>
          <w:p w14:paraId="389364BB">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瓷砖</w:t>
            </w:r>
            <w:r>
              <w:rPr>
                <w:rFonts w:ascii="宋体" w:hAnsi="宋体" w:cs="宋体"/>
                <w:color w:val="auto"/>
                <w:sz w:val="24"/>
                <w:u w:val="single"/>
              </w:rPr>
              <w:t xml:space="preserve"> </w:t>
            </w:r>
            <w:r>
              <w:rPr>
                <w:rFonts w:hint="eastAsia" w:ascii="宋体" w:hAnsi="宋体" w:cs="宋体"/>
                <w:color w:val="auto"/>
                <w:sz w:val="24"/>
                <w:u w:val="single"/>
                <w:lang w:val="en-US" w:eastAsia="zh-CN"/>
              </w:rPr>
              <w:t>391</w:t>
            </w:r>
            <w:r>
              <w:rPr>
                <w:rFonts w:ascii="宋体" w:hAnsi="宋体" w:cs="宋体"/>
                <w:color w:val="auto"/>
                <w:sz w:val="24"/>
                <w:u w:val="single"/>
              </w:rPr>
              <w:t xml:space="preserve"> </w:t>
            </w:r>
            <w:r>
              <w:rPr>
                <w:rFonts w:hint="eastAsia" w:ascii="宋体" w:hAnsi="宋体" w:cs="宋体"/>
                <w:color w:val="auto"/>
                <w:sz w:val="24"/>
              </w:rPr>
              <w:t>平方米</w:t>
            </w:r>
            <w:r>
              <w:rPr>
                <w:rFonts w:hint="eastAsia" w:ascii="宋体" w:hAnsi="宋体" w:eastAsia="宋体" w:cs="宋体"/>
                <w:color w:val="auto"/>
                <w:sz w:val="24"/>
              </w:rPr>
              <w:t>、</w:t>
            </w:r>
          </w:p>
          <w:p w14:paraId="174AE7C3">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石材</w:t>
            </w:r>
            <w:r>
              <w:rPr>
                <w:rFonts w:ascii="宋体" w:hAnsi="宋体" w:cs="宋体"/>
                <w:color w:val="auto"/>
                <w:sz w:val="24"/>
                <w:u w:val="single"/>
              </w:rPr>
              <w:t xml:space="preserve"> </w:t>
            </w:r>
            <w:r>
              <w:rPr>
                <w:rFonts w:hint="eastAsia" w:ascii="宋体" w:hAnsi="宋体" w:cs="宋体"/>
                <w:color w:val="auto"/>
                <w:sz w:val="24"/>
                <w:u w:val="single"/>
                <w:lang w:val="en-US" w:eastAsia="zh-CN"/>
              </w:rPr>
              <w:t>1295</w:t>
            </w:r>
            <w:r>
              <w:rPr>
                <w:rFonts w:ascii="宋体" w:hAnsi="宋体" w:cs="宋体"/>
                <w:color w:val="auto"/>
                <w:sz w:val="24"/>
                <w:u w:val="single"/>
              </w:rPr>
              <w:t xml:space="preserve"> </w:t>
            </w:r>
            <w:r>
              <w:rPr>
                <w:rFonts w:hint="eastAsia" w:ascii="宋体" w:hAnsi="宋体" w:cs="宋体"/>
                <w:color w:val="auto"/>
                <w:sz w:val="24"/>
              </w:rPr>
              <w:t>平方米</w:t>
            </w:r>
            <w:r>
              <w:rPr>
                <w:rFonts w:hint="eastAsia" w:ascii="宋体" w:hAnsi="宋体" w:eastAsia="宋体" w:cs="宋体"/>
                <w:color w:val="auto"/>
                <w:sz w:val="24"/>
              </w:rPr>
              <w:t>、</w:t>
            </w:r>
          </w:p>
          <w:p w14:paraId="03EC23B2">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地胶板</w:t>
            </w:r>
            <w:r>
              <w:rPr>
                <w:rFonts w:ascii="宋体" w:hAnsi="宋体" w:cs="宋体"/>
                <w:color w:val="auto"/>
                <w:sz w:val="24"/>
                <w:u w:val="single"/>
              </w:rPr>
              <w:t xml:space="preserve"> </w:t>
            </w:r>
            <w:r>
              <w:rPr>
                <w:rFonts w:hint="eastAsia" w:ascii="宋体" w:hAnsi="宋体" w:cs="宋体"/>
                <w:color w:val="auto"/>
                <w:sz w:val="24"/>
                <w:u w:val="single"/>
                <w:lang w:val="en-US" w:eastAsia="zh-CN"/>
              </w:rPr>
              <w:t>249</w:t>
            </w:r>
            <w:r>
              <w:rPr>
                <w:rFonts w:ascii="宋体" w:hAnsi="宋体" w:cs="宋体"/>
                <w:color w:val="auto"/>
                <w:sz w:val="24"/>
                <w:u w:val="single"/>
              </w:rPr>
              <w:t xml:space="preserve"> </w:t>
            </w:r>
            <w:r>
              <w:rPr>
                <w:rFonts w:hint="eastAsia" w:ascii="宋体" w:hAnsi="宋体" w:cs="宋体"/>
                <w:color w:val="auto"/>
                <w:sz w:val="24"/>
              </w:rPr>
              <w:t>平方米</w:t>
            </w:r>
            <w:r>
              <w:rPr>
                <w:rFonts w:hint="eastAsia" w:ascii="宋体" w:hAnsi="宋体" w:eastAsia="宋体" w:cs="宋体"/>
                <w:color w:val="auto"/>
                <w:sz w:val="24"/>
              </w:rPr>
              <w:t>、</w:t>
            </w:r>
          </w:p>
          <w:p w14:paraId="1EF50953">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地板</w:t>
            </w:r>
            <w:r>
              <w:rPr>
                <w:rFonts w:ascii="宋体" w:hAnsi="宋体" w:cs="宋体"/>
                <w:color w:val="auto"/>
                <w:sz w:val="24"/>
                <w:u w:val="single"/>
              </w:rPr>
              <w:t xml:space="preserve"> </w:t>
            </w:r>
            <w:r>
              <w:rPr>
                <w:rFonts w:hint="eastAsia" w:ascii="宋体" w:hAnsi="宋体" w:cs="宋体"/>
                <w:color w:val="auto"/>
                <w:sz w:val="24"/>
                <w:u w:val="single"/>
                <w:lang w:val="en-US" w:eastAsia="zh-CN"/>
              </w:rPr>
              <w:t>97</w:t>
            </w:r>
            <w:r>
              <w:rPr>
                <w:rFonts w:ascii="宋体" w:hAnsi="宋体" w:cs="宋体"/>
                <w:color w:val="auto"/>
                <w:sz w:val="24"/>
                <w:u w:val="single"/>
              </w:rPr>
              <w:t xml:space="preserve"> </w:t>
            </w:r>
            <w:r>
              <w:rPr>
                <w:rFonts w:hint="eastAsia" w:ascii="宋体" w:hAnsi="宋体" w:cs="宋体"/>
                <w:color w:val="auto"/>
                <w:sz w:val="24"/>
              </w:rPr>
              <w:t>平方米</w:t>
            </w:r>
            <w:r>
              <w:rPr>
                <w:rFonts w:hint="eastAsia" w:ascii="宋体" w:hAnsi="宋体" w:eastAsia="宋体" w:cs="宋体"/>
                <w:color w:val="auto"/>
                <w:sz w:val="24"/>
              </w:rPr>
              <w:t>、</w:t>
            </w:r>
          </w:p>
          <w:p w14:paraId="3B32BAB2">
            <w:pPr>
              <w:adjustRightInd w:val="0"/>
              <w:snapToGrid w:val="0"/>
              <w:spacing w:line="560" w:lineRule="exact"/>
              <w:rPr>
                <w:rFonts w:ascii="宋体" w:hAnsi="宋体" w:cs="宋体"/>
                <w:color w:val="auto"/>
                <w:sz w:val="24"/>
              </w:rPr>
            </w:pPr>
            <w:r>
              <w:rPr>
                <w:rFonts w:hint="eastAsia" w:ascii="宋体" w:hAnsi="宋体" w:eastAsia="宋体" w:cs="宋体"/>
                <w:color w:val="auto"/>
                <w:sz w:val="24"/>
              </w:rPr>
              <w:t>地毯</w:t>
            </w:r>
            <w:r>
              <w:rPr>
                <w:rFonts w:ascii="宋体" w:hAnsi="宋体" w:cs="宋体"/>
                <w:color w:val="auto"/>
                <w:sz w:val="24"/>
                <w:u w:val="single"/>
              </w:rPr>
              <w:t xml:space="preserve"> </w:t>
            </w:r>
            <w:r>
              <w:rPr>
                <w:rFonts w:hint="eastAsia" w:ascii="宋体" w:hAnsi="宋体" w:cs="宋体"/>
                <w:color w:val="auto"/>
                <w:sz w:val="24"/>
                <w:u w:val="single"/>
                <w:lang w:val="en-US" w:eastAsia="zh-CN"/>
              </w:rPr>
              <w:t>780</w:t>
            </w:r>
            <w:r>
              <w:rPr>
                <w:rFonts w:hint="eastAsia" w:ascii="宋体" w:hAnsi="宋体" w:cs="宋体"/>
                <w:color w:val="auto"/>
                <w:sz w:val="24"/>
                <w:u w:val="single"/>
              </w:rPr>
              <w:t xml:space="preserve"> </w:t>
            </w:r>
            <w:r>
              <w:rPr>
                <w:rFonts w:hint="eastAsia" w:ascii="宋体" w:hAnsi="宋体" w:cs="宋体"/>
                <w:color w:val="auto"/>
                <w:sz w:val="24"/>
              </w:rPr>
              <w:t>平方米、</w:t>
            </w:r>
          </w:p>
        </w:tc>
        <w:tc>
          <w:tcPr>
            <w:tcW w:w="2594" w:type="dxa"/>
            <w:noWrap w:val="0"/>
            <w:vAlign w:val="center"/>
          </w:tcPr>
          <w:p w14:paraId="537022D3">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p>
        </w:tc>
      </w:tr>
      <w:tr w14:paraId="5E2C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14:paraId="468D8356">
            <w:pPr>
              <w:adjustRightInd w:val="0"/>
              <w:snapToGrid w:val="0"/>
              <w:spacing w:line="560" w:lineRule="exact"/>
              <w:rPr>
                <w:rFonts w:ascii="宋体" w:hAnsi="宋体" w:eastAsia="宋体" w:cs="宋体"/>
                <w:sz w:val="24"/>
              </w:rPr>
            </w:pPr>
            <w:r>
              <w:rPr>
                <w:rFonts w:hint="eastAsia" w:ascii="宋体" w:hAnsi="宋体" w:eastAsia="宋体" w:cs="宋体"/>
                <w:sz w:val="24"/>
              </w:rPr>
              <w:t>内墙饰面</w:t>
            </w:r>
          </w:p>
        </w:tc>
        <w:tc>
          <w:tcPr>
            <w:tcW w:w="1414" w:type="dxa"/>
            <w:noWrap w:val="0"/>
            <w:vAlign w:val="center"/>
          </w:tcPr>
          <w:p w14:paraId="763F0783">
            <w:pPr>
              <w:adjustRightInd w:val="0"/>
              <w:snapToGrid w:val="0"/>
              <w:spacing w:line="560" w:lineRule="exact"/>
              <w:rPr>
                <w:rFonts w:ascii="宋体" w:hAnsi="宋体" w:eastAsia="宋体" w:cs="宋体"/>
                <w:sz w:val="24"/>
              </w:rPr>
            </w:pPr>
            <w:r>
              <w:rPr>
                <w:rFonts w:hint="eastAsia" w:ascii="宋体" w:hAnsi="宋体" w:eastAsia="宋体" w:cs="宋体"/>
                <w:sz w:val="24"/>
              </w:rPr>
              <w:t>内墙饰面各材质及总面积（㎡）</w:t>
            </w:r>
          </w:p>
        </w:tc>
        <w:tc>
          <w:tcPr>
            <w:tcW w:w="3763" w:type="dxa"/>
            <w:noWrap w:val="0"/>
            <w:vAlign w:val="center"/>
          </w:tcPr>
          <w:p w14:paraId="30DE9403">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内墙饰面乳胶漆</w:t>
            </w:r>
            <w:r>
              <w:rPr>
                <w:rFonts w:ascii="宋体" w:hAnsi="宋体" w:cs="宋体"/>
                <w:color w:val="auto"/>
                <w:sz w:val="24"/>
                <w:u w:val="single"/>
              </w:rPr>
              <w:t xml:space="preserve"> </w:t>
            </w:r>
            <w:r>
              <w:rPr>
                <w:rFonts w:hint="eastAsia" w:ascii="宋体" w:hAnsi="宋体" w:cs="宋体"/>
                <w:color w:val="auto"/>
                <w:sz w:val="24"/>
                <w:u w:val="single"/>
                <w:lang w:val="en-US" w:eastAsia="zh-CN"/>
              </w:rPr>
              <w:t>1782</w:t>
            </w:r>
            <w:r>
              <w:rPr>
                <w:rFonts w:ascii="宋体" w:hAnsi="宋体" w:cs="宋体"/>
                <w:color w:val="auto"/>
                <w:sz w:val="24"/>
                <w:u w:val="single"/>
              </w:rPr>
              <w:t xml:space="preserve"> </w:t>
            </w:r>
            <w:r>
              <w:rPr>
                <w:rFonts w:hint="eastAsia" w:ascii="宋体" w:hAnsi="宋体" w:cs="宋体"/>
                <w:color w:val="auto"/>
                <w:sz w:val="24"/>
              </w:rPr>
              <w:t>平方米</w:t>
            </w:r>
            <w:r>
              <w:rPr>
                <w:rFonts w:hint="eastAsia" w:ascii="宋体" w:hAnsi="宋体" w:eastAsia="宋体" w:cs="宋体"/>
                <w:color w:val="auto"/>
                <w:sz w:val="24"/>
              </w:rPr>
              <w:t>、</w:t>
            </w:r>
          </w:p>
          <w:p w14:paraId="77D1A935">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墙纸</w:t>
            </w:r>
            <w:r>
              <w:rPr>
                <w:rFonts w:ascii="宋体" w:hAnsi="宋体" w:cs="宋体"/>
                <w:color w:val="auto"/>
                <w:sz w:val="24"/>
                <w:u w:val="single"/>
              </w:rPr>
              <w:t xml:space="preserve"> </w:t>
            </w:r>
            <w:r>
              <w:rPr>
                <w:rFonts w:hint="eastAsia" w:ascii="宋体" w:hAnsi="宋体" w:cs="宋体"/>
                <w:color w:val="auto"/>
                <w:sz w:val="24"/>
                <w:u w:val="single"/>
                <w:lang w:val="en-US" w:eastAsia="zh-CN"/>
              </w:rPr>
              <w:t>87</w:t>
            </w:r>
            <w:r>
              <w:rPr>
                <w:rFonts w:ascii="宋体" w:hAnsi="宋体" w:cs="宋体"/>
                <w:color w:val="auto"/>
                <w:sz w:val="24"/>
                <w:u w:val="single"/>
              </w:rPr>
              <w:t xml:space="preserve"> </w:t>
            </w:r>
            <w:r>
              <w:rPr>
                <w:rFonts w:hint="eastAsia" w:ascii="宋体" w:hAnsi="宋体" w:cs="宋体"/>
                <w:color w:val="auto"/>
                <w:sz w:val="24"/>
              </w:rPr>
              <w:t>平方米</w:t>
            </w:r>
            <w:r>
              <w:rPr>
                <w:rFonts w:hint="eastAsia" w:ascii="宋体" w:hAnsi="宋体" w:eastAsia="宋体" w:cs="宋体"/>
                <w:color w:val="auto"/>
                <w:sz w:val="24"/>
              </w:rPr>
              <w:t>、</w:t>
            </w:r>
          </w:p>
          <w:p w14:paraId="4A3CF05C">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木饰面</w:t>
            </w:r>
            <w:r>
              <w:rPr>
                <w:rFonts w:ascii="宋体" w:hAnsi="宋体" w:cs="宋体"/>
                <w:color w:val="auto"/>
                <w:sz w:val="24"/>
                <w:u w:val="single"/>
              </w:rPr>
              <w:t xml:space="preserve"> </w:t>
            </w:r>
            <w:r>
              <w:rPr>
                <w:rFonts w:hint="eastAsia" w:ascii="宋体" w:hAnsi="宋体" w:cs="宋体"/>
                <w:color w:val="auto"/>
                <w:sz w:val="24"/>
                <w:u w:val="single"/>
                <w:lang w:val="en-US" w:eastAsia="zh-CN"/>
              </w:rPr>
              <w:t>2391</w:t>
            </w:r>
            <w:r>
              <w:rPr>
                <w:rFonts w:ascii="宋体" w:hAnsi="宋体" w:cs="宋体"/>
                <w:color w:val="auto"/>
                <w:sz w:val="24"/>
                <w:u w:val="single"/>
              </w:rPr>
              <w:t xml:space="preserve"> </w:t>
            </w:r>
            <w:r>
              <w:rPr>
                <w:rFonts w:hint="eastAsia" w:ascii="宋体" w:hAnsi="宋体" w:cs="宋体"/>
                <w:color w:val="auto"/>
                <w:sz w:val="24"/>
              </w:rPr>
              <w:t>平方米</w:t>
            </w:r>
            <w:r>
              <w:rPr>
                <w:rFonts w:hint="eastAsia" w:ascii="宋体" w:hAnsi="宋体" w:eastAsia="宋体" w:cs="宋体"/>
                <w:color w:val="auto"/>
                <w:sz w:val="24"/>
              </w:rPr>
              <w:t>、</w:t>
            </w:r>
          </w:p>
          <w:p w14:paraId="51631980">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石材</w:t>
            </w:r>
            <w:r>
              <w:rPr>
                <w:rFonts w:ascii="宋体" w:hAnsi="宋体" w:cs="宋体"/>
                <w:color w:val="auto"/>
                <w:sz w:val="24"/>
                <w:u w:val="single"/>
              </w:rPr>
              <w:t xml:space="preserve"> </w:t>
            </w:r>
            <w:r>
              <w:rPr>
                <w:rFonts w:hint="eastAsia" w:ascii="宋体" w:hAnsi="宋体" w:cs="宋体"/>
                <w:color w:val="auto"/>
                <w:sz w:val="24"/>
                <w:u w:val="single"/>
                <w:lang w:val="en-US" w:eastAsia="zh-CN"/>
              </w:rPr>
              <w:t>533</w:t>
            </w:r>
            <w:r>
              <w:rPr>
                <w:rFonts w:ascii="宋体" w:hAnsi="宋体" w:cs="宋体"/>
                <w:color w:val="auto"/>
                <w:sz w:val="24"/>
                <w:u w:val="single"/>
              </w:rPr>
              <w:t xml:space="preserve">  </w:t>
            </w:r>
            <w:r>
              <w:rPr>
                <w:rFonts w:hint="eastAsia" w:ascii="宋体" w:hAnsi="宋体" w:cs="宋体"/>
                <w:color w:val="auto"/>
                <w:sz w:val="24"/>
              </w:rPr>
              <w:t>平方米</w:t>
            </w:r>
            <w:r>
              <w:rPr>
                <w:rFonts w:hint="eastAsia" w:ascii="宋体" w:hAnsi="宋体" w:eastAsia="宋体" w:cs="宋体"/>
                <w:color w:val="auto"/>
                <w:sz w:val="24"/>
              </w:rPr>
              <w:t>、</w:t>
            </w:r>
          </w:p>
          <w:p w14:paraId="7F53791D">
            <w:pPr>
              <w:adjustRightInd w:val="0"/>
              <w:snapToGrid w:val="0"/>
              <w:spacing w:line="560" w:lineRule="exact"/>
              <w:rPr>
                <w:rFonts w:ascii="宋体" w:hAnsi="宋体" w:cs="宋体"/>
                <w:color w:val="auto"/>
                <w:sz w:val="24"/>
              </w:rPr>
            </w:pPr>
            <w:r>
              <w:rPr>
                <w:rFonts w:hint="eastAsia" w:ascii="宋体" w:hAnsi="宋体" w:eastAsia="宋体" w:cs="宋体"/>
                <w:color w:val="auto"/>
                <w:sz w:val="24"/>
              </w:rPr>
              <w:t>金属板</w:t>
            </w:r>
            <w:r>
              <w:rPr>
                <w:rFonts w:ascii="宋体" w:hAnsi="宋体" w:cs="宋体"/>
                <w:color w:val="auto"/>
                <w:sz w:val="24"/>
                <w:u w:val="single"/>
              </w:rPr>
              <w:t xml:space="preserve"> </w:t>
            </w:r>
            <w:r>
              <w:rPr>
                <w:rFonts w:hint="eastAsia" w:ascii="宋体" w:hAnsi="宋体" w:cs="宋体"/>
                <w:color w:val="auto"/>
                <w:sz w:val="24"/>
                <w:u w:val="single"/>
                <w:lang w:val="en-US" w:eastAsia="zh-CN"/>
              </w:rPr>
              <w:t>42</w:t>
            </w:r>
            <w:r>
              <w:rPr>
                <w:rFonts w:ascii="宋体" w:hAnsi="宋体" w:cs="宋体"/>
                <w:color w:val="auto"/>
                <w:sz w:val="24"/>
                <w:u w:val="single"/>
              </w:rPr>
              <w:t xml:space="preserve"> </w:t>
            </w:r>
            <w:r>
              <w:rPr>
                <w:rFonts w:hint="eastAsia" w:ascii="宋体" w:hAnsi="宋体" w:cs="宋体"/>
                <w:color w:val="auto"/>
                <w:sz w:val="24"/>
              </w:rPr>
              <w:t>平方米、</w:t>
            </w:r>
          </w:p>
        </w:tc>
        <w:tc>
          <w:tcPr>
            <w:tcW w:w="2594" w:type="dxa"/>
            <w:noWrap w:val="0"/>
            <w:vAlign w:val="center"/>
          </w:tcPr>
          <w:p w14:paraId="38CBA1BA">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p>
        </w:tc>
      </w:tr>
      <w:tr w14:paraId="5BB3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14:paraId="1D450AB4">
            <w:pPr>
              <w:adjustRightInd w:val="0"/>
              <w:snapToGrid w:val="0"/>
              <w:spacing w:line="560" w:lineRule="exact"/>
              <w:rPr>
                <w:rFonts w:ascii="宋体" w:hAnsi="宋体" w:eastAsia="宋体" w:cs="宋体"/>
                <w:sz w:val="24"/>
              </w:rPr>
            </w:pPr>
            <w:r>
              <w:rPr>
                <w:rFonts w:hint="eastAsia" w:ascii="宋体" w:hAnsi="宋体" w:eastAsia="宋体" w:cs="宋体"/>
                <w:sz w:val="24"/>
              </w:rPr>
              <w:t>顶面</w:t>
            </w:r>
          </w:p>
        </w:tc>
        <w:tc>
          <w:tcPr>
            <w:tcW w:w="1414" w:type="dxa"/>
            <w:noWrap w:val="0"/>
            <w:vAlign w:val="center"/>
          </w:tcPr>
          <w:p w14:paraId="7C8BCB0E">
            <w:pPr>
              <w:adjustRightInd w:val="0"/>
              <w:snapToGrid w:val="0"/>
              <w:spacing w:line="560" w:lineRule="exact"/>
              <w:rPr>
                <w:rFonts w:ascii="宋体" w:hAnsi="宋体" w:eastAsia="宋体" w:cs="宋体"/>
                <w:sz w:val="24"/>
              </w:rPr>
            </w:pPr>
            <w:r>
              <w:rPr>
                <w:rFonts w:hint="eastAsia" w:ascii="宋体" w:hAnsi="宋体" w:eastAsia="宋体" w:cs="宋体"/>
                <w:sz w:val="24"/>
              </w:rPr>
              <w:t>顶面各材质及总面积（㎡）</w:t>
            </w:r>
          </w:p>
        </w:tc>
        <w:tc>
          <w:tcPr>
            <w:tcW w:w="3763" w:type="dxa"/>
            <w:noWrap w:val="0"/>
            <w:vAlign w:val="center"/>
          </w:tcPr>
          <w:p w14:paraId="7F48B6BF">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顶面乳胶漆</w:t>
            </w:r>
            <w:r>
              <w:rPr>
                <w:rFonts w:ascii="宋体" w:hAnsi="宋体" w:cs="宋体"/>
                <w:color w:val="auto"/>
                <w:sz w:val="24"/>
                <w:u w:val="single"/>
              </w:rPr>
              <w:t xml:space="preserve"> </w:t>
            </w:r>
            <w:r>
              <w:rPr>
                <w:rFonts w:hint="eastAsia" w:ascii="宋体" w:hAnsi="宋体" w:cs="宋体"/>
                <w:color w:val="auto"/>
                <w:sz w:val="24"/>
                <w:u w:val="single"/>
                <w:lang w:val="en-US" w:eastAsia="zh-CN"/>
              </w:rPr>
              <w:t>538</w:t>
            </w:r>
            <w:r>
              <w:rPr>
                <w:rFonts w:ascii="宋体" w:hAnsi="宋体" w:cs="宋体"/>
                <w:color w:val="auto"/>
                <w:sz w:val="24"/>
                <w:u w:val="single"/>
              </w:rPr>
              <w:t xml:space="preserve"> </w:t>
            </w:r>
            <w:r>
              <w:rPr>
                <w:rFonts w:hint="eastAsia" w:ascii="宋体" w:hAnsi="宋体" w:cs="宋体"/>
                <w:color w:val="auto"/>
                <w:sz w:val="24"/>
              </w:rPr>
              <w:t>平方米</w:t>
            </w:r>
            <w:r>
              <w:rPr>
                <w:rFonts w:hint="eastAsia" w:ascii="宋体" w:hAnsi="宋体" w:eastAsia="宋体" w:cs="宋体"/>
                <w:color w:val="auto"/>
                <w:sz w:val="24"/>
              </w:rPr>
              <w:t>、</w:t>
            </w:r>
          </w:p>
          <w:p w14:paraId="1BB11733">
            <w:pPr>
              <w:adjustRightInd w:val="0"/>
              <w:snapToGrid w:val="0"/>
              <w:spacing w:line="560" w:lineRule="exact"/>
              <w:rPr>
                <w:rFonts w:ascii="宋体" w:hAnsi="宋体" w:cs="宋体"/>
                <w:color w:val="auto"/>
                <w:sz w:val="24"/>
              </w:rPr>
            </w:pPr>
            <w:r>
              <w:rPr>
                <w:rFonts w:hint="eastAsia" w:ascii="宋体" w:hAnsi="宋体" w:eastAsia="宋体" w:cs="宋体"/>
                <w:color w:val="auto"/>
                <w:sz w:val="24"/>
              </w:rPr>
              <w:t>格栅</w:t>
            </w:r>
            <w:r>
              <w:rPr>
                <w:rFonts w:ascii="宋体" w:hAnsi="宋体" w:cs="宋体"/>
                <w:color w:val="auto"/>
                <w:sz w:val="24"/>
                <w:u w:val="single"/>
              </w:rPr>
              <w:t xml:space="preserve"> </w:t>
            </w:r>
            <w:r>
              <w:rPr>
                <w:rFonts w:hint="eastAsia" w:ascii="宋体" w:hAnsi="宋体" w:cs="宋体"/>
                <w:color w:val="auto"/>
                <w:sz w:val="24"/>
                <w:u w:val="single"/>
                <w:lang w:val="en-US" w:eastAsia="zh-CN"/>
              </w:rPr>
              <w:t>141</w:t>
            </w:r>
            <w:r>
              <w:rPr>
                <w:rFonts w:ascii="宋体" w:hAnsi="宋体" w:cs="宋体"/>
                <w:color w:val="auto"/>
                <w:sz w:val="24"/>
                <w:u w:val="single"/>
              </w:rPr>
              <w:t xml:space="preserve"> </w:t>
            </w:r>
            <w:r>
              <w:rPr>
                <w:rFonts w:hint="eastAsia" w:ascii="宋体" w:hAnsi="宋体" w:cs="宋体"/>
                <w:color w:val="auto"/>
                <w:sz w:val="24"/>
              </w:rPr>
              <w:t>平方米</w:t>
            </w:r>
          </w:p>
        </w:tc>
        <w:tc>
          <w:tcPr>
            <w:tcW w:w="2594" w:type="dxa"/>
            <w:noWrap w:val="0"/>
            <w:vAlign w:val="center"/>
          </w:tcPr>
          <w:p w14:paraId="63C41AF8">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p>
        </w:tc>
      </w:tr>
      <w:tr w14:paraId="31F5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3A7B4DF2">
            <w:pPr>
              <w:adjustRightInd w:val="0"/>
              <w:snapToGrid w:val="0"/>
              <w:spacing w:line="560" w:lineRule="exact"/>
              <w:rPr>
                <w:rFonts w:ascii="宋体" w:hAnsi="宋体" w:eastAsia="宋体" w:cs="宋体"/>
                <w:sz w:val="24"/>
              </w:rPr>
            </w:pPr>
            <w:r>
              <w:rPr>
                <w:rFonts w:hint="eastAsia" w:ascii="宋体" w:hAnsi="宋体" w:eastAsia="宋体" w:cs="宋体"/>
                <w:sz w:val="24"/>
              </w:rPr>
              <w:t>会议室</w:t>
            </w:r>
          </w:p>
        </w:tc>
        <w:tc>
          <w:tcPr>
            <w:tcW w:w="1414" w:type="dxa"/>
            <w:noWrap w:val="0"/>
            <w:vAlign w:val="center"/>
          </w:tcPr>
          <w:p w14:paraId="250C9F61">
            <w:pPr>
              <w:adjustRightInd w:val="0"/>
              <w:snapToGrid w:val="0"/>
              <w:spacing w:line="560" w:lineRule="exact"/>
              <w:rPr>
                <w:rFonts w:ascii="宋体" w:hAnsi="宋体" w:eastAsia="宋体" w:cs="宋体"/>
                <w:sz w:val="24"/>
              </w:rPr>
            </w:pPr>
            <w:r>
              <w:rPr>
                <w:rFonts w:hint="eastAsia" w:ascii="宋体" w:hAnsi="宋体" w:eastAsia="宋体" w:cs="宋体"/>
                <w:sz w:val="24"/>
              </w:rPr>
              <w:t>室内设施说明</w:t>
            </w:r>
          </w:p>
        </w:tc>
        <w:tc>
          <w:tcPr>
            <w:tcW w:w="3763" w:type="dxa"/>
            <w:noWrap w:val="0"/>
            <w:vAlign w:val="center"/>
          </w:tcPr>
          <w:p w14:paraId="578496B3">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会议桌</w:t>
            </w:r>
            <w:r>
              <w:rPr>
                <w:rFonts w:ascii="宋体" w:hAnsi="宋体" w:cs="宋体"/>
                <w:color w:val="auto"/>
                <w:sz w:val="24"/>
                <w:u w:val="single"/>
              </w:rPr>
              <w:t xml:space="preserve"> </w:t>
            </w:r>
            <w:r>
              <w:rPr>
                <w:rFonts w:hint="eastAsia" w:ascii="宋体" w:hAnsi="宋体" w:cs="宋体"/>
                <w:color w:val="auto"/>
                <w:sz w:val="24"/>
                <w:u w:val="single"/>
                <w:lang w:val="en-US" w:eastAsia="zh-CN"/>
              </w:rPr>
              <w:t>15</w:t>
            </w:r>
            <w:r>
              <w:rPr>
                <w:rFonts w:ascii="宋体" w:hAnsi="宋体" w:cs="宋体"/>
                <w:color w:val="auto"/>
                <w:sz w:val="24"/>
                <w:u w:val="single"/>
              </w:rPr>
              <w:t xml:space="preserve"> </w:t>
            </w:r>
            <w:r>
              <w:rPr>
                <w:rFonts w:ascii="宋体" w:hAnsi="宋体" w:cs="宋体"/>
                <w:color w:val="auto"/>
                <w:sz w:val="24"/>
                <w:u w:val="none"/>
              </w:rPr>
              <w:t>个</w:t>
            </w:r>
            <w:r>
              <w:rPr>
                <w:rFonts w:hint="eastAsia" w:ascii="宋体" w:hAnsi="宋体" w:eastAsia="宋体" w:cs="宋体"/>
                <w:color w:val="auto"/>
                <w:sz w:val="24"/>
              </w:rPr>
              <w:t>、</w:t>
            </w:r>
          </w:p>
          <w:p w14:paraId="2E4D8722">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会议椅</w:t>
            </w:r>
            <w:r>
              <w:rPr>
                <w:rFonts w:ascii="宋体" w:hAnsi="宋体" w:cs="宋体"/>
                <w:color w:val="auto"/>
                <w:sz w:val="24"/>
                <w:u w:val="single"/>
              </w:rPr>
              <w:t xml:space="preserve"> </w:t>
            </w:r>
            <w:r>
              <w:rPr>
                <w:rFonts w:hint="eastAsia" w:ascii="宋体" w:hAnsi="宋体" w:cs="宋体"/>
                <w:color w:val="auto"/>
                <w:sz w:val="24"/>
                <w:u w:val="single"/>
                <w:lang w:val="en-US" w:eastAsia="zh-CN"/>
              </w:rPr>
              <w:t>30</w:t>
            </w:r>
            <w:r>
              <w:rPr>
                <w:rFonts w:ascii="宋体" w:hAnsi="宋体" w:cs="宋体"/>
                <w:color w:val="auto"/>
                <w:sz w:val="24"/>
                <w:u w:val="single"/>
              </w:rPr>
              <w:t xml:space="preserve"> </w:t>
            </w:r>
            <w:r>
              <w:rPr>
                <w:rFonts w:ascii="宋体" w:hAnsi="宋体" w:cs="宋体"/>
                <w:color w:val="auto"/>
                <w:sz w:val="24"/>
                <w:u w:val="none"/>
              </w:rPr>
              <w:t>个</w:t>
            </w:r>
            <w:r>
              <w:rPr>
                <w:rFonts w:hint="eastAsia" w:ascii="宋体" w:hAnsi="宋体" w:eastAsia="宋体" w:cs="宋体"/>
                <w:color w:val="auto"/>
                <w:sz w:val="24"/>
              </w:rPr>
              <w:t>、</w:t>
            </w:r>
          </w:p>
          <w:p w14:paraId="7513A885">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投影机</w:t>
            </w:r>
            <w:r>
              <w:rPr>
                <w:rFonts w:ascii="宋体" w:hAnsi="宋体" w:cs="宋体"/>
                <w:color w:val="auto"/>
                <w:sz w:val="24"/>
                <w:u w:val="single"/>
              </w:rPr>
              <w:t xml:space="preserve">  </w:t>
            </w:r>
            <w:r>
              <w:rPr>
                <w:rFonts w:hint="eastAsia" w:ascii="宋体" w:hAnsi="宋体" w:cs="宋体"/>
                <w:color w:val="auto"/>
                <w:sz w:val="24"/>
                <w:u w:val="single"/>
                <w:lang w:val="en-US" w:eastAsia="zh-CN"/>
              </w:rPr>
              <w:t>2</w:t>
            </w:r>
            <w:r>
              <w:rPr>
                <w:rFonts w:ascii="宋体" w:hAnsi="宋体" w:cs="宋体"/>
                <w:color w:val="auto"/>
                <w:sz w:val="24"/>
                <w:u w:val="single"/>
              </w:rPr>
              <w:t xml:space="preserve"> </w:t>
            </w:r>
            <w:r>
              <w:rPr>
                <w:rFonts w:ascii="宋体" w:hAnsi="宋体" w:cs="宋体"/>
                <w:color w:val="auto"/>
                <w:sz w:val="24"/>
                <w:u w:val="none"/>
              </w:rPr>
              <w:t>个</w:t>
            </w:r>
            <w:r>
              <w:rPr>
                <w:rFonts w:hint="eastAsia" w:ascii="宋体" w:hAnsi="宋体" w:eastAsia="宋体" w:cs="宋体"/>
                <w:color w:val="auto"/>
                <w:sz w:val="24"/>
              </w:rPr>
              <w:t>、</w:t>
            </w:r>
          </w:p>
          <w:p w14:paraId="562746BF">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话筒</w:t>
            </w:r>
            <w:r>
              <w:rPr>
                <w:rFonts w:ascii="宋体" w:hAnsi="宋体" w:cs="宋体"/>
                <w:color w:val="auto"/>
                <w:sz w:val="24"/>
                <w:u w:val="single"/>
              </w:rPr>
              <w:t xml:space="preserve">  </w:t>
            </w:r>
            <w:r>
              <w:rPr>
                <w:rFonts w:hint="eastAsia" w:ascii="宋体" w:hAnsi="宋体" w:cs="宋体"/>
                <w:color w:val="auto"/>
                <w:sz w:val="24"/>
                <w:u w:val="single"/>
                <w:lang w:val="en-US" w:eastAsia="zh-CN"/>
              </w:rPr>
              <w:t>15</w:t>
            </w:r>
            <w:r>
              <w:rPr>
                <w:rFonts w:ascii="宋体" w:hAnsi="宋体" w:cs="宋体"/>
                <w:color w:val="auto"/>
                <w:sz w:val="24"/>
                <w:u w:val="single"/>
              </w:rPr>
              <w:t xml:space="preserve"> </w:t>
            </w:r>
            <w:r>
              <w:rPr>
                <w:rFonts w:ascii="宋体" w:hAnsi="宋体" w:cs="宋体"/>
                <w:color w:val="auto"/>
                <w:sz w:val="24"/>
                <w:u w:val="none"/>
              </w:rPr>
              <w:t>个</w:t>
            </w:r>
            <w:r>
              <w:rPr>
                <w:rFonts w:hint="eastAsia" w:ascii="宋体" w:hAnsi="宋体" w:eastAsia="宋体" w:cs="宋体"/>
                <w:color w:val="auto"/>
                <w:sz w:val="24"/>
              </w:rPr>
              <w:t>等相关设施的数量</w:t>
            </w:r>
          </w:p>
        </w:tc>
        <w:tc>
          <w:tcPr>
            <w:tcW w:w="2594" w:type="dxa"/>
            <w:noWrap w:val="0"/>
            <w:vAlign w:val="center"/>
          </w:tcPr>
          <w:p w14:paraId="1699B275">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eastAsia="zh-CN"/>
              </w:rPr>
              <w:t>综合部岗位职责</w:t>
            </w:r>
            <w:r>
              <w:rPr>
                <w:rFonts w:hint="eastAsia" w:ascii="宋体" w:hAnsi="宋体" w:eastAsia="宋体" w:cs="宋体"/>
                <w:color w:val="auto"/>
                <w:sz w:val="24"/>
              </w:rPr>
              <w:t>”</w:t>
            </w:r>
          </w:p>
        </w:tc>
      </w:tr>
      <w:tr w14:paraId="2BF2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64C44D0E">
            <w:pPr>
              <w:adjustRightInd w:val="0"/>
              <w:snapToGrid w:val="0"/>
              <w:spacing w:line="560" w:lineRule="exact"/>
              <w:rPr>
                <w:rFonts w:ascii="宋体" w:hAnsi="宋体" w:eastAsia="宋体" w:cs="宋体"/>
                <w:sz w:val="24"/>
              </w:rPr>
            </w:pPr>
          </w:p>
        </w:tc>
        <w:tc>
          <w:tcPr>
            <w:tcW w:w="1414" w:type="dxa"/>
            <w:noWrap w:val="0"/>
            <w:vAlign w:val="center"/>
          </w:tcPr>
          <w:p w14:paraId="528ECAED">
            <w:pPr>
              <w:adjustRightInd w:val="0"/>
              <w:snapToGrid w:val="0"/>
              <w:spacing w:line="560" w:lineRule="exact"/>
              <w:rPr>
                <w:rFonts w:ascii="宋体" w:hAnsi="宋体" w:eastAsia="宋体" w:cs="宋体"/>
                <w:sz w:val="24"/>
              </w:rPr>
            </w:pPr>
            <w:r>
              <w:rPr>
                <w:rFonts w:hint="eastAsia" w:ascii="宋体" w:hAnsi="宋体" w:eastAsia="宋体" w:cs="宋体"/>
                <w:sz w:val="24"/>
              </w:rPr>
              <w:t>会议室数量（个）及总面积（㎡）</w:t>
            </w:r>
          </w:p>
        </w:tc>
        <w:tc>
          <w:tcPr>
            <w:tcW w:w="3763" w:type="dxa"/>
            <w:noWrap w:val="0"/>
            <w:vAlign w:val="center"/>
          </w:tcPr>
          <w:p w14:paraId="33C298A9">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列明会议室总数量</w:t>
            </w:r>
            <w:r>
              <w:rPr>
                <w:rFonts w:ascii="宋体" w:hAnsi="宋体" w:cs="宋体"/>
                <w:color w:val="auto"/>
                <w:sz w:val="24"/>
                <w:u w:val="single"/>
              </w:rPr>
              <w:t xml:space="preserve">  </w:t>
            </w:r>
            <w:r>
              <w:rPr>
                <w:rFonts w:hint="eastAsia" w:ascii="宋体" w:hAnsi="宋体" w:cs="宋体"/>
                <w:color w:val="auto"/>
                <w:sz w:val="24"/>
                <w:u w:val="single"/>
                <w:lang w:val="en-US" w:eastAsia="zh-CN"/>
              </w:rPr>
              <w:t>6</w:t>
            </w:r>
            <w:r>
              <w:rPr>
                <w:rFonts w:ascii="宋体" w:hAnsi="宋体" w:cs="宋体"/>
                <w:color w:val="auto"/>
                <w:sz w:val="24"/>
                <w:u w:val="single"/>
              </w:rPr>
              <w:t xml:space="preserve"> </w:t>
            </w:r>
            <w:r>
              <w:rPr>
                <w:rFonts w:ascii="宋体" w:hAnsi="宋体" w:cs="宋体"/>
                <w:color w:val="auto"/>
                <w:sz w:val="24"/>
                <w:u w:val="none"/>
              </w:rPr>
              <w:t xml:space="preserve"> 个</w:t>
            </w:r>
            <w:r>
              <w:rPr>
                <w:rFonts w:hint="eastAsia" w:ascii="宋体" w:hAnsi="宋体" w:eastAsia="宋体" w:cs="宋体"/>
                <w:color w:val="auto"/>
                <w:sz w:val="24"/>
              </w:rPr>
              <w:t>及总面积</w:t>
            </w:r>
            <w:r>
              <w:rPr>
                <w:rFonts w:ascii="宋体" w:hAnsi="宋体" w:cs="宋体"/>
                <w:color w:val="auto"/>
                <w:sz w:val="24"/>
                <w:u w:val="single"/>
              </w:rPr>
              <w:t xml:space="preserve"> </w:t>
            </w:r>
            <w:r>
              <w:rPr>
                <w:rFonts w:hint="eastAsia" w:ascii="宋体" w:hAnsi="宋体" w:cs="宋体"/>
                <w:color w:val="auto"/>
                <w:sz w:val="24"/>
                <w:u w:val="single"/>
                <w:lang w:val="en-US" w:eastAsia="zh-CN"/>
              </w:rPr>
              <w:t>780</w:t>
            </w:r>
            <w:r>
              <w:rPr>
                <w:rFonts w:ascii="宋体" w:hAnsi="宋体" w:cs="宋体"/>
                <w:color w:val="auto"/>
                <w:sz w:val="24"/>
                <w:u w:val="single"/>
              </w:rPr>
              <w:t xml:space="preserve">  </w:t>
            </w:r>
            <w:r>
              <w:rPr>
                <w:rFonts w:hint="eastAsia" w:ascii="宋体" w:hAnsi="宋体" w:cs="宋体"/>
                <w:color w:val="auto"/>
                <w:sz w:val="24"/>
              </w:rPr>
              <w:t>平方米</w:t>
            </w:r>
          </w:p>
        </w:tc>
        <w:tc>
          <w:tcPr>
            <w:tcW w:w="2594" w:type="dxa"/>
            <w:noWrap w:val="0"/>
            <w:vAlign w:val="center"/>
          </w:tcPr>
          <w:p w14:paraId="0FB419C4">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eastAsia="zh-CN"/>
              </w:rPr>
              <w:t>综合部岗位职责</w:t>
            </w:r>
            <w:r>
              <w:rPr>
                <w:rFonts w:hint="eastAsia" w:ascii="宋体" w:hAnsi="宋体" w:eastAsia="宋体" w:cs="宋体"/>
                <w:color w:val="auto"/>
                <w:sz w:val="24"/>
              </w:rPr>
              <w:t>”</w:t>
            </w:r>
          </w:p>
        </w:tc>
      </w:tr>
      <w:tr w14:paraId="7951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250D0D1A">
            <w:pPr>
              <w:adjustRightInd w:val="0"/>
              <w:snapToGrid w:val="0"/>
              <w:spacing w:line="560" w:lineRule="exact"/>
              <w:rPr>
                <w:rFonts w:ascii="宋体" w:hAnsi="宋体" w:eastAsia="宋体" w:cs="宋体"/>
                <w:sz w:val="24"/>
              </w:rPr>
            </w:pPr>
            <w:r>
              <w:rPr>
                <w:rFonts w:hint="eastAsia" w:ascii="宋体" w:hAnsi="宋体" w:eastAsia="宋体" w:cs="宋体"/>
                <w:sz w:val="24"/>
                <w:lang w:eastAsia="zh-CN"/>
              </w:rPr>
              <w:t>多功能厅</w:t>
            </w:r>
          </w:p>
        </w:tc>
        <w:tc>
          <w:tcPr>
            <w:tcW w:w="1414" w:type="dxa"/>
            <w:noWrap w:val="0"/>
            <w:vAlign w:val="center"/>
          </w:tcPr>
          <w:p w14:paraId="560B0F4E">
            <w:pPr>
              <w:adjustRightInd w:val="0"/>
              <w:snapToGrid w:val="0"/>
              <w:spacing w:line="560" w:lineRule="exact"/>
              <w:rPr>
                <w:rFonts w:ascii="宋体" w:hAnsi="宋体" w:eastAsia="宋体" w:cs="宋体"/>
                <w:sz w:val="24"/>
              </w:rPr>
            </w:pPr>
            <w:r>
              <w:rPr>
                <w:rFonts w:hint="eastAsia" w:ascii="宋体" w:hAnsi="宋体" w:eastAsia="宋体" w:cs="宋体"/>
                <w:sz w:val="24"/>
              </w:rPr>
              <w:t>室内设施说明</w:t>
            </w:r>
          </w:p>
        </w:tc>
        <w:tc>
          <w:tcPr>
            <w:tcW w:w="3763" w:type="dxa"/>
            <w:noWrap w:val="0"/>
            <w:vAlign w:val="center"/>
          </w:tcPr>
          <w:p w14:paraId="7B733AD9">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会议桌</w:t>
            </w:r>
            <w:r>
              <w:rPr>
                <w:rFonts w:ascii="宋体" w:hAnsi="宋体" w:cs="宋体"/>
                <w:color w:val="auto"/>
                <w:sz w:val="24"/>
                <w:u w:val="single"/>
              </w:rPr>
              <w:t xml:space="preserve"> </w:t>
            </w:r>
            <w:r>
              <w:rPr>
                <w:rFonts w:hint="eastAsia" w:ascii="宋体" w:hAnsi="宋体" w:cs="宋体"/>
                <w:color w:val="auto"/>
                <w:sz w:val="24"/>
                <w:u w:val="single"/>
                <w:lang w:val="en-US" w:eastAsia="zh-CN"/>
              </w:rPr>
              <w:t>50</w:t>
            </w:r>
            <w:r>
              <w:rPr>
                <w:rFonts w:ascii="宋体" w:hAnsi="宋体" w:cs="宋体"/>
                <w:color w:val="auto"/>
                <w:sz w:val="24"/>
                <w:u w:val="single"/>
              </w:rPr>
              <w:t xml:space="preserve"> </w:t>
            </w:r>
            <w:r>
              <w:rPr>
                <w:rFonts w:ascii="宋体" w:hAnsi="宋体" w:cs="宋体"/>
                <w:color w:val="auto"/>
                <w:sz w:val="24"/>
                <w:u w:val="none"/>
              </w:rPr>
              <w:t>个</w:t>
            </w:r>
            <w:r>
              <w:rPr>
                <w:rFonts w:hint="eastAsia" w:ascii="宋体" w:hAnsi="宋体" w:eastAsia="宋体" w:cs="宋体"/>
                <w:color w:val="auto"/>
                <w:sz w:val="24"/>
              </w:rPr>
              <w:t>、</w:t>
            </w:r>
          </w:p>
          <w:p w14:paraId="7925289C">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会议椅</w:t>
            </w:r>
            <w:r>
              <w:rPr>
                <w:rFonts w:ascii="宋体" w:hAnsi="宋体" w:cs="宋体"/>
                <w:color w:val="auto"/>
                <w:sz w:val="24"/>
                <w:u w:val="single"/>
              </w:rPr>
              <w:t xml:space="preserve"> </w:t>
            </w:r>
            <w:r>
              <w:rPr>
                <w:rFonts w:hint="eastAsia" w:ascii="宋体" w:hAnsi="宋体" w:cs="宋体"/>
                <w:color w:val="auto"/>
                <w:sz w:val="24"/>
                <w:u w:val="single"/>
                <w:lang w:val="en-US" w:eastAsia="zh-CN"/>
              </w:rPr>
              <w:t>100</w:t>
            </w:r>
            <w:r>
              <w:rPr>
                <w:rFonts w:ascii="宋体" w:hAnsi="宋体" w:cs="宋体"/>
                <w:color w:val="auto"/>
                <w:sz w:val="24"/>
                <w:u w:val="single"/>
              </w:rPr>
              <w:t xml:space="preserve"> </w:t>
            </w:r>
            <w:r>
              <w:rPr>
                <w:rFonts w:ascii="宋体" w:hAnsi="宋体" w:cs="宋体"/>
                <w:color w:val="auto"/>
                <w:sz w:val="24"/>
                <w:u w:val="none"/>
              </w:rPr>
              <w:t>个</w:t>
            </w:r>
            <w:r>
              <w:rPr>
                <w:rFonts w:hint="eastAsia" w:ascii="宋体" w:hAnsi="宋体" w:eastAsia="宋体" w:cs="宋体"/>
                <w:color w:val="auto"/>
                <w:sz w:val="24"/>
                <w:u w:val="none"/>
              </w:rPr>
              <w:t>、</w:t>
            </w:r>
          </w:p>
          <w:p w14:paraId="74496768">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投影机</w:t>
            </w:r>
            <w:r>
              <w:rPr>
                <w:rFonts w:ascii="宋体" w:hAnsi="宋体" w:cs="宋体"/>
                <w:color w:val="auto"/>
                <w:sz w:val="24"/>
                <w:u w:val="single"/>
              </w:rPr>
              <w:t xml:space="preserve"> </w:t>
            </w:r>
            <w:r>
              <w:rPr>
                <w:rFonts w:hint="eastAsia" w:ascii="宋体" w:hAnsi="宋体" w:cs="宋体"/>
                <w:color w:val="auto"/>
                <w:sz w:val="24"/>
                <w:u w:val="single"/>
                <w:lang w:val="en-US" w:eastAsia="zh-CN"/>
              </w:rPr>
              <w:t>2</w:t>
            </w:r>
            <w:r>
              <w:rPr>
                <w:rFonts w:ascii="宋体" w:hAnsi="宋体" w:cs="宋体"/>
                <w:color w:val="auto"/>
                <w:sz w:val="24"/>
                <w:u w:val="single"/>
              </w:rPr>
              <w:t xml:space="preserve"> </w:t>
            </w:r>
            <w:r>
              <w:rPr>
                <w:rFonts w:ascii="宋体" w:hAnsi="宋体" w:cs="宋体"/>
                <w:color w:val="auto"/>
                <w:sz w:val="24"/>
                <w:u w:val="none"/>
              </w:rPr>
              <w:t>个</w:t>
            </w:r>
            <w:r>
              <w:rPr>
                <w:rFonts w:hint="eastAsia" w:ascii="宋体" w:hAnsi="宋体" w:eastAsia="宋体" w:cs="宋体"/>
                <w:color w:val="auto"/>
                <w:sz w:val="24"/>
              </w:rPr>
              <w:t>、</w:t>
            </w:r>
          </w:p>
          <w:p w14:paraId="666DB667">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话筒</w:t>
            </w:r>
            <w:r>
              <w:rPr>
                <w:rFonts w:ascii="宋体" w:hAnsi="宋体" w:cs="宋体"/>
                <w:color w:val="auto"/>
                <w:sz w:val="24"/>
                <w:u w:val="single"/>
              </w:rPr>
              <w:t xml:space="preserve"> </w:t>
            </w:r>
            <w:r>
              <w:rPr>
                <w:rFonts w:hint="eastAsia" w:ascii="宋体" w:hAnsi="宋体" w:cs="宋体"/>
                <w:color w:val="auto"/>
                <w:sz w:val="24"/>
                <w:u w:val="single"/>
                <w:lang w:val="en-US" w:eastAsia="zh-CN"/>
              </w:rPr>
              <w:t>15</w:t>
            </w:r>
            <w:r>
              <w:rPr>
                <w:rFonts w:ascii="宋体" w:hAnsi="宋体" w:cs="宋体"/>
                <w:color w:val="auto"/>
                <w:sz w:val="24"/>
                <w:u w:val="single"/>
              </w:rPr>
              <w:t xml:space="preserve"> </w:t>
            </w:r>
            <w:r>
              <w:rPr>
                <w:rFonts w:ascii="宋体" w:hAnsi="宋体" w:cs="宋体"/>
                <w:color w:val="auto"/>
                <w:sz w:val="24"/>
                <w:u w:val="none"/>
              </w:rPr>
              <w:t>个</w:t>
            </w:r>
            <w:r>
              <w:rPr>
                <w:rFonts w:hint="eastAsia" w:ascii="宋体" w:hAnsi="宋体" w:eastAsia="宋体" w:cs="宋体"/>
                <w:color w:val="auto"/>
                <w:sz w:val="24"/>
              </w:rPr>
              <w:t>等相关设施的数量</w:t>
            </w:r>
          </w:p>
        </w:tc>
        <w:tc>
          <w:tcPr>
            <w:tcW w:w="2594" w:type="dxa"/>
            <w:noWrap w:val="0"/>
            <w:vAlign w:val="center"/>
          </w:tcPr>
          <w:p w14:paraId="2516F2FC">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eastAsia="zh-CN"/>
              </w:rPr>
              <w:t>综合部岗位职责</w:t>
            </w:r>
            <w:r>
              <w:rPr>
                <w:rFonts w:hint="eastAsia" w:ascii="宋体" w:hAnsi="宋体" w:eastAsia="宋体" w:cs="宋体"/>
                <w:color w:val="auto"/>
                <w:sz w:val="24"/>
              </w:rPr>
              <w:t>”</w:t>
            </w:r>
          </w:p>
        </w:tc>
      </w:tr>
      <w:tr w14:paraId="7F29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4B620EB3">
            <w:pPr>
              <w:adjustRightInd w:val="0"/>
              <w:snapToGrid w:val="0"/>
              <w:spacing w:line="560" w:lineRule="exact"/>
              <w:rPr>
                <w:rFonts w:ascii="宋体" w:hAnsi="宋体" w:eastAsia="宋体" w:cs="宋体"/>
                <w:sz w:val="24"/>
              </w:rPr>
            </w:pPr>
          </w:p>
        </w:tc>
        <w:tc>
          <w:tcPr>
            <w:tcW w:w="1414" w:type="dxa"/>
            <w:noWrap w:val="0"/>
            <w:vAlign w:val="center"/>
          </w:tcPr>
          <w:p w14:paraId="2D430C1F">
            <w:pPr>
              <w:adjustRightInd w:val="0"/>
              <w:snapToGrid w:val="0"/>
              <w:spacing w:line="560" w:lineRule="exact"/>
              <w:rPr>
                <w:rFonts w:ascii="宋体" w:hAnsi="宋体" w:eastAsia="宋体" w:cs="宋体"/>
                <w:sz w:val="24"/>
              </w:rPr>
            </w:pPr>
            <w:r>
              <w:rPr>
                <w:rFonts w:hint="eastAsia" w:ascii="宋体" w:hAnsi="宋体" w:eastAsia="宋体" w:cs="宋体"/>
                <w:sz w:val="24"/>
                <w:lang w:eastAsia="zh-CN"/>
              </w:rPr>
              <w:t>多功能厅</w:t>
            </w:r>
            <w:r>
              <w:rPr>
                <w:rFonts w:hint="eastAsia" w:ascii="宋体" w:hAnsi="宋体" w:eastAsia="宋体" w:cs="宋体"/>
                <w:sz w:val="24"/>
              </w:rPr>
              <w:t>数量（个）及总面积（㎡）</w:t>
            </w:r>
          </w:p>
        </w:tc>
        <w:tc>
          <w:tcPr>
            <w:tcW w:w="3763" w:type="dxa"/>
            <w:noWrap w:val="0"/>
            <w:vAlign w:val="center"/>
          </w:tcPr>
          <w:p w14:paraId="097CF8FF">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列明</w:t>
            </w:r>
            <w:r>
              <w:rPr>
                <w:rFonts w:hint="eastAsia" w:ascii="宋体" w:hAnsi="宋体" w:eastAsia="宋体" w:cs="宋体"/>
                <w:color w:val="auto"/>
                <w:sz w:val="24"/>
                <w:lang w:eastAsia="zh-CN"/>
              </w:rPr>
              <w:t>多功能厅</w:t>
            </w:r>
            <w:r>
              <w:rPr>
                <w:rFonts w:hint="eastAsia" w:ascii="宋体" w:hAnsi="宋体" w:eastAsia="宋体" w:cs="宋体"/>
                <w:color w:val="auto"/>
                <w:sz w:val="24"/>
              </w:rPr>
              <w:t>数量</w:t>
            </w:r>
            <w:r>
              <w:rPr>
                <w:rFonts w:ascii="宋体" w:hAnsi="宋体" w:cs="宋体"/>
                <w:color w:val="auto"/>
                <w:sz w:val="24"/>
                <w:u w:val="single"/>
              </w:rPr>
              <w:t xml:space="preserve">  </w:t>
            </w:r>
            <w:r>
              <w:rPr>
                <w:rFonts w:hint="eastAsia" w:ascii="宋体" w:hAnsi="宋体" w:cs="宋体"/>
                <w:color w:val="auto"/>
                <w:sz w:val="24"/>
                <w:u w:val="single"/>
                <w:lang w:val="en-US" w:eastAsia="zh-CN"/>
              </w:rPr>
              <w:t>1</w:t>
            </w:r>
            <w:r>
              <w:rPr>
                <w:rFonts w:ascii="宋体" w:hAnsi="宋体" w:cs="宋体"/>
                <w:color w:val="auto"/>
                <w:sz w:val="24"/>
                <w:u w:val="single"/>
              </w:rPr>
              <w:t xml:space="preserve"> </w:t>
            </w:r>
            <w:r>
              <w:rPr>
                <w:rFonts w:ascii="宋体" w:hAnsi="宋体" w:cs="宋体"/>
                <w:color w:val="auto"/>
                <w:sz w:val="24"/>
                <w:u w:val="none"/>
              </w:rPr>
              <w:t>个</w:t>
            </w:r>
            <w:r>
              <w:rPr>
                <w:rFonts w:hint="eastAsia" w:ascii="宋体" w:hAnsi="宋体" w:cs="宋体"/>
                <w:color w:val="auto"/>
                <w:sz w:val="24"/>
                <w:u w:val="none"/>
              </w:rPr>
              <w:t>、</w:t>
            </w:r>
          </w:p>
          <w:p w14:paraId="2A6CEB68">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总面积</w:t>
            </w:r>
            <w:r>
              <w:rPr>
                <w:rFonts w:ascii="宋体" w:hAnsi="宋体" w:cs="宋体"/>
                <w:color w:val="auto"/>
                <w:sz w:val="24"/>
                <w:u w:val="single"/>
              </w:rPr>
              <w:t xml:space="preserve">  </w:t>
            </w:r>
            <w:r>
              <w:rPr>
                <w:rFonts w:hint="eastAsia" w:ascii="宋体" w:hAnsi="宋体" w:cs="宋体"/>
                <w:color w:val="auto"/>
                <w:sz w:val="24"/>
                <w:u w:val="single"/>
                <w:lang w:val="en-US" w:eastAsia="zh-CN"/>
              </w:rPr>
              <w:t>362</w:t>
            </w:r>
            <w:r>
              <w:rPr>
                <w:rFonts w:ascii="宋体" w:hAnsi="宋体" w:cs="宋体"/>
                <w:color w:val="auto"/>
                <w:sz w:val="24"/>
                <w:u w:val="single"/>
              </w:rPr>
              <w:t xml:space="preserve"> </w:t>
            </w:r>
            <w:r>
              <w:rPr>
                <w:rFonts w:hint="eastAsia" w:ascii="宋体" w:hAnsi="宋体" w:cs="宋体"/>
                <w:color w:val="auto"/>
                <w:sz w:val="24"/>
              </w:rPr>
              <w:t>平方米</w:t>
            </w:r>
          </w:p>
        </w:tc>
        <w:tc>
          <w:tcPr>
            <w:tcW w:w="2594" w:type="dxa"/>
            <w:noWrap w:val="0"/>
            <w:vAlign w:val="center"/>
          </w:tcPr>
          <w:p w14:paraId="67682381">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eastAsia="zh-CN"/>
              </w:rPr>
              <w:t>综合部岗位职责</w:t>
            </w:r>
            <w:r>
              <w:rPr>
                <w:rFonts w:hint="eastAsia" w:ascii="宋体" w:hAnsi="宋体" w:eastAsia="宋体" w:cs="宋体"/>
                <w:color w:val="auto"/>
                <w:sz w:val="24"/>
              </w:rPr>
              <w:t>”</w:t>
            </w:r>
          </w:p>
        </w:tc>
      </w:tr>
      <w:tr w14:paraId="3ECB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14:paraId="4DED32CB">
            <w:pPr>
              <w:adjustRightInd w:val="0"/>
              <w:snapToGrid w:val="0"/>
              <w:spacing w:line="560" w:lineRule="exact"/>
              <w:rPr>
                <w:rFonts w:ascii="宋体" w:hAnsi="宋体" w:eastAsia="宋体" w:cs="宋体"/>
                <w:sz w:val="24"/>
              </w:rPr>
            </w:pPr>
            <w:r>
              <w:rPr>
                <w:rFonts w:hint="eastAsia" w:ascii="宋体" w:hAnsi="宋体" w:eastAsia="宋体" w:cs="宋体"/>
                <w:sz w:val="24"/>
              </w:rPr>
              <w:t>卫生间</w:t>
            </w:r>
          </w:p>
        </w:tc>
        <w:tc>
          <w:tcPr>
            <w:tcW w:w="1414" w:type="dxa"/>
            <w:noWrap w:val="0"/>
            <w:vAlign w:val="center"/>
          </w:tcPr>
          <w:p w14:paraId="0E5A0FE7">
            <w:pPr>
              <w:adjustRightInd w:val="0"/>
              <w:snapToGrid w:val="0"/>
              <w:spacing w:line="560" w:lineRule="exact"/>
              <w:rPr>
                <w:rFonts w:ascii="宋体" w:hAnsi="宋体" w:eastAsia="宋体" w:cs="宋体"/>
                <w:sz w:val="24"/>
              </w:rPr>
            </w:pPr>
            <w:r>
              <w:rPr>
                <w:rFonts w:hint="eastAsia" w:ascii="宋体" w:hAnsi="宋体" w:eastAsia="宋体" w:cs="宋体"/>
                <w:sz w:val="24"/>
              </w:rPr>
              <w:t>卫生间数量（个）及总面积（㎡）</w:t>
            </w:r>
          </w:p>
        </w:tc>
        <w:tc>
          <w:tcPr>
            <w:tcW w:w="3763" w:type="dxa"/>
            <w:noWrap w:val="0"/>
            <w:vAlign w:val="center"/>
          </w:tcPr>
          <w:p w14:paraId="0865660B">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列明卫生间数量</w:t>
            </w:r>
            <w:r>
              <w:rPr>
                <w:rFonts w:ascii="宋体" w:hAnsi="宋体" w:cs="宋体"/>
                <w:color w:val="auto"/>
                <w:sz w:val="24"/>
                <w:u w:val="single"/>
              </w:rPr>
              <w:t xml:space="preserve"> </w:t>
            </w:r>
            <w:r>
              <w:rPr>
                <w:rFonts w:hint="eastAsia" w:ascii="宋体" w:hAnsi="宋体" w:cs="宋体"/>
                <w:color w:val="auto"/>
                <w:sz w:val="24"/>
                <w:u w:val="single"/>
                <w:lang w:val="en-US" w:eastAsia="zh-CN"/>
              </w:rPr>
              <w:t>6</w:t>
            </w:r>
            <w:r>
              <w:rPr>
                <w:rFonts w:ascii="宋体" w:hAnsi="宋体" w:cs="宋体"/>
                <w:color w:val="auto"/>
                <w:sz w:val="24"/>
                <w:u w:val="single"/>
              </w:rPr>
              <w:t xml:space="preserve"> </w:t>
            </w:r>
            <w:r>
              <w:rPr>
                <w:rFonts w:ascii="宋体" w:hAnsi="宋体" w:cs="宋体"/>
                <w:color w:val="auto"/>
                <w:sz w:val="24"/>
                <w:u w:val="none"/>
              </w:rPr>
              <w:t xml:space="preserve"> 个</w:t>
            </w:r>
            <w:r>
              <w:rPr>
                <w:rFonts w:hint="eastAsia" w:ascii="宋体" w:hAnsi="宋体" w:cs="宋体"/>
                <w:color w:val="auto"/>
                <w:sz w:val="24"/>
                <w:u w:val="none"/>
              </w:rPr>
              <w:t>、</w:t>
            </w:r>
          </w:p>
          <w:p w14:paraId="41AB5404">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总面积</w:t>
            </w:r>
            <w:r>
              <w:rPr>
                <w:rFonts w:ascii="宋体" w:hAnsi="宋体" w:cs="宋体"/>
                <w:color w:val="auto"/>
                <w:sz w:val="24"/>
                <w:u w:val="single"/>
              </w:rPr>
              <w:t xml:space="preserve">  </w:t>
            </w:r>
            <w:r>
              <w:rPr>
                <w:rFonts w:hint="eastAsia" w:ascii="宋体" w:hAnsi="宋体" w:cs="宋体"/>
                <w:color w:val="auto"/>
                <w:sz w:val="24"/>
                <w:u w:val="single"/>
                <w:lang w:val="en-US" w:eastAsia="zh-CN"/>
              </w:rPr>
              <w:t>92</w:t>
            </w:r>
            <w:r>
              <w:rPr>
                <w:rFonts w:ascii="宋体" w:hAnsi="宋体" w:cs="宋体"/>
                <w:color w:val="auto"/>
                <w:sz w:val="24"/>
                <w:u w:val="single"/>
              </w:rPr>
              <w:t xml:space="preserve"> </w:t>
            </w:r>
            <w:r>
              <w:rPr>
                <w:rFonts w:hint="eastAsia" w:ascii="宋体" w:hAnsi="宋体" w:cs="宋体"/>
                <w:color w:val="auto"/>
                <w:sz w:val="24"/>
              </w:rPr>
              <w:t>平方米</w:t>
            </w:r>
          </w:p>
        </w:tc>
        <w:tc>
          <w:tcPr>
            <w:tcW w:w="2594" w:type="dxa"/>
            <w:noWrap w:val="0"/>
            <w:vAlign w:val="center"/>
          </w:tcPr>
          <w:p w14:paraId="12308FDB">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p>
        </w:tc>
      </w:tr>
      <w:tr w14:paraId="1E28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noWrap w:val="0"/>
            <w:vAlign w:val="center"/>
          </w:tcPr>
          <w:p w14:paraId="229ADB26">
            <w:pPr>
              <w:adjustRightInd w:val="0"/>
              <w:snapToGrid w:val="0"/>
              <w:spacing w:line="560" w:lineRule="exact"/>
              <w:rPr>
                <w:rFonts w:ascii="宋体" w:hAnsi="宋体" w:eastAsia="宋体" w:cs="宋体"/>
                <w:sz w:val="24"/>
              </w:rPr>
            </w:pPr>
            <w:r>
              <w:rPr>
                <w:rFonts w:hint="eastAsia" w:ascii="宋体" w:hAnsi="宋体" w:eastAsia="宋体" w:cs="宋体"/>
                <w:sz w:val="24"/>
              </w:rPr>
              <w:t>垃圾存放点</w:t>
            </w:r>
          </w:p>
        </w:tc>
        <w:tc>
          <w:tcPr>
            <w:tcW w:w="1414" w:type="dxa"/>
            <w:noWrap w:val="0"/>
            <w:vAlign w:val="center"/>
          </w:tcPr>
          <w:p w14:paraId="049219B6">
            <w:pPr>
              <w:adjustRightInd w:val="0"/>
              <w:snapToGrid w:val="0"/>
              <w:spacing w:line="560" w:lineRule="exact"/>
              <w:rPr>
                <w:rFonts w:ascii="宋体" w:hAnsi="宋体" w:eastAsia="宋体" w:cs="宋体"/>
                <w:sz w:val="24"/>
              </w:rPr>
            </w:pPr>
            <w:r>
              <w:rPr>
                <w:rFonts w:hint="eastAsia" w:ascii="宋体" w:hAnsi="宋体" w:eastAsia="宋体" w:cs="宋体"/>
                <w:sz w:val="24"/>
              </w:rPr>
              <w:t>各垃圾存放点位置、面积（㎡）及数量（个）</w:t>
            </w:r>
          </w:p>
        </w:tc>
        <w:tc>
          <w:tcPr>
            <w:tcW w:w="3763" w:type="dxa"/>
            <w:noWrap w:val="0"/>
            <w:vAlign w:val="center"/>
          </w:tcPr>
          <w:p w14:paraId="3E020988">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列明各垃圾存放点位置、</w:t>
            </w:r>
          </w:p>
          <w:p w14:paraId="74195ED6">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面积</w:t>
            </w:r>
            <w:r>
              <w:rPr>
                <w:rFonts w:ascii="宋体" w:hAnsi="宋体" w:cs="宋体"/>
                <w:color w:val="auto"/>
                <w:sz w:val="24"/>
                <w:u w:val="single"/>
              </w:rPr>
              <w:t xml:space="preserve">  </w:t>
            </w:r>
            <w:r>
              <w:rPr>
                <w:rFonts w:hint="eastAsia" w:ascii="宋体" w:hAnsi="宋体" w:cs="宋体"/>
                <w:color w:val="auto"/>
                <w:sz w:val="24"/>
                <w:u w:val="single"/>
                <w:lang w:val="en-US" w:eastAsia="zh-CN"/>
              </w:rPr>
              <w:t>2.92</w:t>
            </w:r>
            <w:r>
              <w:rPr>
                <w:rFonts w:ascii="宋体" w:hAnsi="宋体" w:cs="宋体"/>
                <w:color w:val="auto"/>
                <w:sz w:val="24"/>
                <w:u w:val="single"/>
              </w:rPr>
              <w:t xml:space="preserve"> </w:t>
            </w:r>
            <w:r>
              <w:rPr>
                <w:rFonts w:hint="eastAsia" w:ascii="宋体" w:hAnsi="宋体" w:cs="宋体"/>
                <w:color w:val="auto"/>
                <w:sz w:val="24"/>
              </w:rPr>
              <w:t>平方米</w:t>
            </w:r>
            <w:r>
              <w:rPr>
                <w:rFonts w:hint="eastAsia" w:ascii="宋体" w:hAnsi="宋体" w:eastAsia="宋体" w:cs="宋体"/>
                <w:color w:val="auto"/>
                <w:sz w:val="24"/>
              </w:rPr>
              <w:t>、</w:t>
            </w:r>
          </w:p>
          <w:p w14:paraId="673343BA">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数量</w:t>
            </w:r>
            <w:r>
              <w:rPr>
                <w:rFonts w:ascii="宋体" w:hAnsi="宋体" w:cs="宋体"/>
                <w:color w:val="auto"/>
                <w:sz w:val="24"/>
                <w:u w:val="single"/>
              </w:rPr>
              <w:t xml:space="preserve">  </w:t>
            </w:r>
            <w:r>
              <w:rPr>
                <w:rFonts w:hint="eastAsia" w:ascii="宋体" w:hAnsi="宋体" w:cs="宋体"/>
                <w:color w:val="auto"/>
                <w:sz w:val="24"/>
                <w:u w:val="single"/>
                <w:lang w:val="en-US" w:eastAsia="zh-CN"/>
              </w:rPr>
              <w:t>1</w:t>
            </w:r>
            <w:r>
              <w:rPr>
                <w:rFonts w:ascii="宋体" w:hAnsi="宋体" w:cs="宋体"/>
                <w:color w:val="auto"/>
                <w:sz w:val="24"/>
                <w:u w:val="single"/>
              </w:rPr>
              <w:t xml:space="preserve"> </w:t>
            </w:r>
            <w:r>
              <w:rPr>
                <w:rFonts w:ascii="宋体" w:hAnsi="宋体" w:cs="宋体"/>
                <w:color w:val="auto"/>
                <w:sz w:val="24"/>
                <w:u w:val="none"/>
              </w:rPr>
              <w:t>个</w:t>
            </w:r>
          </w:p>
        </w:tc>
        <w:tc>
          <w:tcPr>
            <w:tcW w:w="2594" w:type="dxa"/>
            <w:noWrap w:val="0"/>
            <w:vAlign w:val="center"/>
          </w:tcPr>
          <w:p w14:paraId="29CF5193">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2</w:t>
            </w:r>
            <w:r>
              <w:rPr>
                <w:rFonts w:hint="eastAsia" w:ascii="宋体" w:hAnsi="宋体" w:eastAsia="宋体" w:cs="宋体"/>
                <w:color w:val="auto"/>
                <w:sz w:val="24"/>
              </w:rPr>
              <w:t>）保洁服务”</w:t>
            </w:r>
          </w:p>
        </w:tc>
      </w:tr>
      <w:tr w14:paraId="7837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restart"/>
            <w:noWrap w:val="0"/>
            <w:vAlign w:val="center"/>
          </w:tcPr>
          <w:p w14:paraId="598532DC">
            <w:pPr>
              <w:adjustRightInd w:val="0"/>
              <w:snapToGrid w:val="0"/>
              <w:spacing w:line="560" w:lineRule="exact"/>
              <w:rPr>
                <w:rFonts w:ascii="宋体" w:hAnsi="宋体" w:eastAsia="宋体" w:cs="宋体"/>
                <w:sz w:val="24"/>
              </w:rPr>
            </w:pPr>
            <w:r>
              <w:rPr>
                <w:rFonts w:hint="eastAsia" w:ascii="宋体" w:hAnsi="宋体" w:eastAsia="宋体" w:cs="宋体"/>
                <w:sz w:val="24"/>
              </w:rPr>
              <w:t>设施设备（可另行附表）</w:t>
            </w:r>
          </w:p>
          <w:p w14:paraId="2241330F">
            <w:pPr>
              <w:adjustRightInd w:val="0"/>
              <w:snapToGrid w:val="0"/>
              <w:spacing w:line="560" w:lineRule="exact"/>
              <w:rPr>
                <w:rFonts w:ascii="宋体" w:hAnsi="宋体" w:eastAsia="宋体" w:cs="宋体"/>
                <w:sz w:val="24"/>
              </w:rPr>
            </w:pPr>
          </w:p>
        </w:tc>
        <w:tc>
          <w:tcPr>
            <w:tcW w:w="1414" w:type="dxa"/>
            <w:noWrap w:val="0"/>
            <w:vAlign w:val="center"/>
          </w:tcPr>
          <w:p w14:paraId="554A073E">
            <w:pPr>
              <w:adjustRightInd w:val="0"/>
              <w:snapToGrid w:val="0"/>
              <w:spacing w:line="560" w:lineRule="exact"/>
              <w:rPr>
                <w:rFonts w:ascii="宋体" w:hAnsi="宋体" w:eastAsia="宋体" w:cs="宋体"/>
                <w:sz w:val="24"/>
              </w:rPr>
            </w:pPr>
            <w:r>
              <w:rPr>
                <w:rFonts w:hint="eastAsia" w:ascii="宋体" w:hAnsi="宋体" w:eastAsia="宋体" w:cs="宋体"/>
                <w:sz w:val="24"/>
              </w:rPr>
              <w:t>电梯系统</w:t>
            </w:r>
          </w:p>
        </w:tc>
        <w:tc>
          <w:tcPr>
            <w:tcW w:w="3763" w:type="dxa"/>
            <w:noWrap w:val="0"/>
            <w:vAlign w:val="center"/>
          </w:tcPr>
          <w:p w14:paraId="506BDC65">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货梯数量</w:t>
            </w:r>
            <w:r>
              <w:rPr>
                <w:rFonts w:ascii="宋体" w:hAnsi="宋体" w:cs="宋体"/>
                <w:color w:val="auto"/>
                <w:sz w:val="24"/>
                <w:u w:val="single"/>
              </w:rPr>
              <w:t xml:space="preserve"> </w:t>
            </w:r>
            <w:r>
              <w:rPr>
                <w:rFonts w:hint="eastAsia" w:ascii="宋体" w:hAnsi="宋体" w:cs="宋体"/>
                <w:color w:val="auto"/>
                <w:sz w:val="24"/>
                <w:u w:val="single"/>
                <w:lang w:val="en-US" w:eastAsia="zh-CN"/>
              </w:rPr>
              <w:t>1</w:t>
            </w:r>
            <w:r>
              <w:rPr>
                <w:rFonts w:ascii="宋体" w:hAnsi="宋体" w:cs="宋体"/>
                <w:color w:val="auto"/>
                <w:sz w:val="24"/>
                <w:u w:val="single"/>
              </w:rPr>
              <w:t xml:space="preserve"> </w:t>
            </w:r>
            <w:r>
              <w:rPr>
                <w:rFonts w:ascii="宋体" w:hAnsi="宋体" w:cs="宋体"/>
                <w:color w:val="auto"/>
                <w:sz w:val="24"/>
                <w:u w:val="none"/>
              </w:rPr>
              <w:t>台</w:t>
            </w:r>
            <w:r>
              <w:rPr>
                <w:rFonts w:hint="eastAsia" w:ascii="宋体" w:hAnsi="宋体" w:eastAsia="宋体" w:cs="宋体"/>
                <w:color w:val="auto"/>
                <w:sz w:val="24"/>
              </w:rPr>
              <w:t>、</w:t>
            </w:r>
          </w:p>
          <w:p w14:paraId="52BFF39B">
            <w:pPr>
              <w:adjustRightInd w:val="0"/>
              <w:snapToGrid w:val="0"/>
              <w:spacing w:line="560" w:lineRule="exact"/>
              <w:rPr>
                <w:rFonts w:ascii="宋体" w:hAnsi="宋体" w:eastAsia="宋体" w:cs="宋体"/>
                <w:color w:val="auto"/>
                <w:sz w:val="24"/>
                <w:u w:val="none"/>
              </w:rPr>
            </w:pPr>
            <w:r>
              <w:rPr>
                <w:rFonts w:hint="eastAsia" w:ascii="宋体" w:hAnsi="宋体" w:eastAsia="宋体" w:cs="宋体"/>
                <w:color w:val="auto"/>
                <w:sz w:val="24"/>
              </w:rPr>
              <w:t>客梯数量</w:t>
            </w:r>
            <w:r>
              <w:rPr>
                <w:rFonts w:ascii="宋体" w:hAnsi="宋体" w:cs="宋体"/>
                <w:color w:val="auto"/>
                <w:sz w:val="24"/>
                <w:u w:val="single"/>
              </w:rPr>
              <w:t xml:space="preserve"> </w:t>
            </w:r>
            <w:r>
              <w:rPr>
                <w:rFonts w:hint="eastAsia" w:ascii="宋体" w:hAnsi="宋体" w:cs="宋体"/>
                <w:color w:val="auto"/>
                <w:sz w:val="24"/>
                <w:u w:val="single"/>
                <w:lang w:val="en-US" w:eastAsia="zh-CN"/>
              </w:rPr>
              <w:t>2</w:t>
            </w:r>
            <w:r>
              <w:rPr>
                <w:rFonts w:ascii="宋体" w:hAnsi="宋体" w:cs="宋体"/>
                <w:color w:val="auto"/>
                <w:sz w:val="24"/>
                <w:u w:val="single"/>
              </w:rPr>
              <w:t xml:space="preserve">  </w:t>
            </w:r>
            <w:r>
              <w:rPr>
                <w:rFonts w:ascii="宋体" w:hAnsi="宋体" w:cs="宋体"/>
                <w:color w:val="auto"/>
                <w:sz w:val="24"/>
                <w:u w:val="none"/>
              </w:rPr>
              <w:t>台</w:t>
            </w:r>
          </w:p>
          <w:p w14:paraId="51C40E24">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客梯的功率</w:t>
            </w:r>
            <w:r>
              <w:rPr>
                <w:rFonts w:ascii="宋体" w:hAnsi="宋体" w:cs="宋体"/>
                <w:color w:val="auto"/>
                <w:sz w:val="24"/>
                <w:u w:val="single"/>
              </w:rPr>
              <w:t xml:space="preserve"> </w:t>
            </w:r>
            <w:r>
              <w:rPr>
                <w:rFonts w:hint="eastAsia" w:ascii="宋体" w:hAnsi="宋体" w:cs="宋体"/>
                <w:color w:val="auto"/>
                <w:sz w:val="24"/>
                <w:u w:val="single"/>
                <w:lang w:val="en-US" w:eastAsia="zh-CN"/>
              </w:rPr>
              <w:t>10</w:t>
            </w:r>
            <w:r>
              <w:rPr>
                <w:rFonts w:ascii="宋体" w:hAnsi="宋体" w:cs="宋体"/>
                <w:color w:val="auto"/>
                <w:sz w:val="24"/>
                <w:u w:val="single"/>
              </w:rPr>
              <w:t xml:space="preserve"> </w:t>
            </w:r>
            <w:r>
              <w:rPr>
                <w:rFonts w:hint="eastAsia" w:ascii="宋体" w:hAnsi="宋体" w:cs="宋体"/>
                <w:color w:val="auto"/>
                <w:sz w:val="24"/>
              </w:rPr>
              <w:t>千瓦</w:t>
            </w:r>
            <w:r>
              <w:rPr>
                <w:rFonts w:hint="eastAsia" w:ascii="宋体" w:hAnsi="宋体" w:eastAsia="宋体" w:cs="宋体"/>
                <w:color w:val="auto"/>
                <w:sz w:val="24"/>
              </w:rPr>
              <w:t>、是否在质保期内是否在质保期内：</w:t>
            </w:r>
            <w:r>
              <w:rPr>
                <w:color w:val="auto"/>
                <w:sz w:val="24"/>
              </w:rPr>
              <w:sym w:font="Wingdings 2" w:char="0052"/>
            </w:r>
            <w:r>
              <w:rPr>
                <w:rFonts w:hint="eastAsia"/>
                <w:color w:val="auto"/>
                <w:sz w:val="24"/>
              </w:rPr>
              <w:t>是，</w:t>
            </w:r>
            <w:r>
              <w:rPr>
                <w:color w:val="auto"/>
                <w:sz w:val="24"/>
              </w:rPr>
              <w:sym w:font="Wingdings 2" w:char="00A3"/>
            </w:r>
            <w:r>
              <w:rPr>
                <w:rFonts w:hint="eastAsia"/>
                <w:color w:val="auto"/>
                <w:sz w:val="24"/>
              </w:rPr>
              <w:t>否</w:t>
            </w:r>
          </w:p>
        </w:tc>
        <w:tc>
          <w:tcPr>
            <w:tcW w:w="2594" w:type="dxa"/>
            <w:noWrap w:val="0"/>
            <w:vAlign w:val="center"/>
          </w:tcPr>
          <w:p w14:paraId="2AAA80CA">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p>
        </w:tc>
      </w:tr>
      <w:tr w14:paraId="2DB1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2EDAE3FC">
            <w:pPr>
              <w:adjustRightInd w:val="0"/>
              <w:snapToGrid w:val="0"/>
              <w:spacing w:line="560" w:lineRule="exact"/>
              <w:rPr>
                <w:rFonts w:ascii="宋体" w:hAnsi="宋体" w:eastAsia="宋体" w:cs="宋体"/>
                <w:sz w:val="24"/>
              </w:rPr>
            </w:pPr>
          </w:p>
        </w:tc>
        <w:tc>
          <w:tcPr>
            <w:tcW w:w="1414" w:type="dxa"/>
            <w:noWrap w:val="0"/>
            <w:vAlign w:val="center"/>
          </w:tcPr>
          <w:p w14:paraId="47641163">
            <w:pPr>
              <w:adjustRightInd w:val="0"/>
              <w:snapToGrid w:val="0"/>
              <w:spacing w:line="560" w:lineRule="exact"/>
              <w:rPr>
                <w:rFonts w:ascii="宋体" w:hAnsi="宋体" w:eastAsia="宋体" w:cs="宋体"/>
                <w:sz w:val="24"/>
              </w:rPr>
            </w:pPr>
            <w:r>
              <w:rPr>
                <w:rFonts w:hint="eastAsia" w:ascii="宋体" w:hAnsi="宋体" w:eastAsia="宋体" w:cs="宋体"/>
                <w:sz w:val="24"/>
              </w:rPr>
              <w:t>空调系统</w:t>
            </w:r>
          </w:p>
        </w:tc>
        <w:tc>
          <w:tcPr>
            <w:tcW w:w="3763" w:type="dxa"/>
            <w:noWrap w:val="0"/>
            <w:vAlign w:val="center"/>
          </w:tcPr>
          <w:p w14:paraId="5C337C0E">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中央空调形式，例如空气源空调系统、水冷空调系统、多联式空调系统等</w:t>
            </w:r>
          </w:p>
          <w:p w14:paraId="2254A909">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中央空调总功率</w:t>
            </w:r>
            <w:r>
              <w:rPr>
                <w:rFonts w:ascii="宋体" w:hAnsi="宋体" w:cs="宋体"/>
                <w:color w:val="auto"/>
                <w:sz w:val="24"/>
                <w:u w:val="single"/>
              </w:rPr>
              <w:t xml:space="preserve"> </w:t>
            </w:r>
            <w:r>
              <w:rPr>
                <w:rFonts w:hint="eastAsia" w:ascii="宋体" w:hAnsi="宋体" w:cs="宋体"/>
                <w:color w:val="auto"/>
                <w:sz w:val="24"/>
                <w:u w:val="single"/>
                <w:lang w:val="en-US" w:eastAsia="zh-CN"/>
              </w:rPr>
              <w:t>226</w:t>
            </w:r>
            <w:r>
              <w:rPr>
                <w:rFonts w:ascii="宋体" w:hAnsi="宋体" w:cs="宋体"/>
                <w:color w:val="auto"/>
                <w:sz w:val="24"/>
                <w:u w:val="single"/>
              </w:rPr>
              <w:t xml:space="preserve"> </w:t>
            </w:r>
            <w:r>
              <w:rPr>
                <w:rFonts w:hint="eastAsia" w:ascii="宋体" w:hAnsi="宋体" w:cs="宋体"/>
                <w:color w:val="auto"/>
                <w:sz w:val="24"/>
              </w:rPr>
              <w:t>千瓦</w:t>
            </w:r>
            <w:r>
              <w:rPr>
                <w:rFonts w:hint="eastAsia" w:ascii="宋体" w:hAnsi="宋体" w:eastAsia="宋体" w:cs="宋体"/>
                <w:color w:val="auto"/>
                <w:sz w:val="24"/>
              </w:rPr>
              <w:t>、是否在质保期内：</w:t>
            </w:r>
            <w:r>
              <w:rPr>
                <w:color w:val="auto"/>
                <w:sz w:val="24"/>
              </w:rPr>
              <w:sym w:font="Wingdings 2" w:char="0052"/>
            </w:r>
            <w:r>
              <w:rPr>
                <w:rFonts w:hint="eastAsia"/>
                <w:color w:val="auto"/>
                <w:sz w:val="24"/>
              </w:rPr>
              <w:t>是，</w:t>
            </w:r>
            <w:r>
              <w:rPr>
                <w:color w:val="auto"/>
                <w:sz w:val="24"/>
              </w:rPr>
              <w:sym w:font="Wingdings 2" w:char="00A3"/>
            </w:r>
            <w:r>
              <w:rPr>
                <w:rFonts w:hint="eastAsia"/>
                <w:color w:val="auto"/>
                <w:sz w:val="24"/>
              </w:rPr>
              <w:t>否</w:t>
            </w:r>
          </w:p>
          <w:p w14:paraId="2CBD428C">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立式单元式空调的数量</w:t>
            </w:r>
            <w:r>
              <w:rPr>
                <w:rFonts w:ascii="宋体" w:hAnsi="宋体" w:cs="宋体"/>
                <w:color w:val="auto"/>
                <w:sz w:val="24"/>
                <w:u w:val="single"/>
              </w:rPr>
              <w:t xml:space="preserve">  </w:t>
            </w:r>
            <w:r>
              <w:rPr>
                <w:rFonts w:hint="eastAsia" w:ascii="宋体" w:hAnsi="宋体" w:cs="宋体"/>
                <w:color w:val="auto"/>
                <w:sz w:val="24"/>
                <w:u w:val="single"/>
                <w:lang w:val="en-US" w:eastAsia="zh-CN"/>
              </w:rPr>
              <w:t>4</w:t>
            </w:r>
            <w:r>
              <w:rPr>
                <w:rFonts w:ascii="宋体" w:hAnsi="宋体" w:cs="宋体"/>
                <w:color w:val="auto"/>
                <w:sz w:val="24"/>
                <w:u w:val="single"/>
              </w:rPr>
              <w:t xml:space="preserve"> 台</w:t>
            </w:r>
            <w:r>
              <w:rPr>
                <w:rFonts w:hint="eastAsia" w:ascii="宋体" w:hAnsi="宋体" w:eastAsia="宋体" w:cs="宋体"/>
                <w:color w:val="auto"/>
                <w:sz w:val="24"/>
              </w:rPr>
              <w:t>、总功率</w:t>
            </w:r>
            <w:r>
              <w:rPr>
                <w:rFonts w:ascii="宋体" w:hAnsi="宋体" w:cs="宋体"/>
                <w:color w:val="auto"/>
                <w:sz w:val="24"/>
                <w:u w:val="single"/>
              </w:rPr>
              <w:t xml:space="preserve">  </w:t>
            </w:r>
            <w:r>
              <w:rPr>
                <w:rFonts w:hint="eastAsia" w:ascii="宋体" w:hAnsi="宋体" w:cs="宋体"/>
                <w:color w:val="auto"/>
                <w:sz w:val="24"/>
                <w:u w:val="single"/>
                <w:lang w:val="en-US" w:eastAsia="zh-CN"/>
              </w:rPr>
              <w:t>25</w:t>
            </w:r>
            <w:r>
              <w:rPr>
                <w:rFonts w:ascii="宋体" w:hAnsi="宋体" w:cs="宋体"/>
                <w:color w:val="auto"/>
                <w:sz w:val="24"/>
                <w:u w:val="single"/>
              </w:rPr>
              <w:t xml:space="preserve"> </w:t>
            </w:r>
            <w:r>
              <w:rPr>
                <w:rFonts w:hint="eastAsia" w:ascii="宋体" w:hAnsi="宋体" w:cs="宋体"/>
                <w:color w:val="auto"/>
                <w:sz w:val="24"/>
              </w:rPr>
              <w:t>千瓦</w:t>
            </w:r>
            <w:r>
              <w:rPr>
                <w:rFonts w:hint="eastAsia" w:ascii="宋体" w:hAnsi="宋体" w:eastAsia="宋体" w:cs="宋体"/>
                <w:color w:val="auto"/>
                <w:sz w:val="24"/>
              </w:rPr>
              <w:t>、是否在质保期内：</w:t>
            </w:r>
            <w:r>
              <w:rPr>
                <w:color w:val="auto"/>
                <w:sz w:val="24"/>
              </w:rPr>
              <w:sym w:font="Wingdings 2" w:char="0052"/>
            </w:r>
            <w:r>
              <w:rPr>
                <w:rFonts w:hint="eastAsia"/>
                <w:color w:val="auto"/>
                <w:sz w:val="24"/>
              </w:rPr>
              <w:t>是，</w:t>
            </w:r>
            <w:r>
              <w:rPr>
                <w:color w:val="auto"/>
                <w:sz w:val="24"/>
              </w:rPr>
              <w:sym w:font="Wingdings 2" w:char="00A3"/>
            </w:r>
            <w:r>
              <w:rPr>
                <w:rFonts w:hint="eastAsia"/>
                <w:color w:val="auto"/>
                <w:sz w:val="24"/>
              </w:rPr>
              <w:t>否</w:t>
            </w:r>
          </w:p>
          <w:p w14:paraId="213DED34">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壁挂式单元式空调的数量</w:t>
            </w:r>
            <w:r>
              <w:rPr>
                <w:rFonts w:ascii="宋体" w:hAnsi="宋体" w:cs="宋体"/>
                <w:color w:val="auto"/>
                <w:sz w:val="24"/>
                <w:u w:val="single"/>
              </w:rPr>
              <w:t xml:space="preserve">     台</w:t>
            </w:r>
            <w:r>
              <w:rPr>
                <w:rFonts w:hint="eastAsia" w:ascii="宋体" w:hAnsi="宋体" w:eastAsia="宋体" w:cs="宋体"/>
                <w:color w:val="auto"/>
                <w:sz w:val="24"/>
              </w:rPr>
              <w:t>、总功率</w:t>
            </w:r>
            <w:r>
              <w:rPr>
                <w:rFonts w:ascii="宋体" w:hAnsi="宋体" w:cs="宋体"/>
                <w:color w:val="auto"/>
                <w:sz w:val="24"/>
                <w:u w:val="single"/>
              </w:rPr>
              <w:t xml:space="preserve">  </w:t>
            </w:r>
            <w:r>
              <w:rPr>
                <w:rFonts w:hint="eastAsia" w:ascii="宋体" w:hAnsi="宋体" w:cs="宋体"/>
                <w:color w:val="auto"/>
                <w:sz w:val="24"/>
                <w:u w:val="single"/>
                <w:lang w:val="en-US" w:eastAsia="zh-CN"/>
              </w:rPr>
              <w:t>11</w:t>
            </w:r>
            <w:r>
              <w:rPr>
                <w:rFonts w:ascii="宋体" w:hAnsi="宋体" w:cs="宋体"/>
                <w:color w:val="auto"/>
                <w:sz w:val="24"/>
                <w:u w:val="single"/>
              </w:rPr>
              <w:t xml:space="preserve">  </w:t>
            </w:r>
            <w:r>
              <w:rPr>
                <w:rFonts w:hint="eastAsia" w:ascii="宋体" w:hAnsi="宋体" w:cs="宋体"/>
                <w:color w:val="auto"/>
                <w:sz w:val="24"/>
              </w:rPr>
              <w:t>千瓦</w:t>
            </w:r>
            <w:r>
              <w:rPr>
                <w:rFonts w:hint="eastAsia" w:ascii="宋体" w:hAnsi="宋体" w:eastAsia="宋体" w:cs="宋体"/>
                <w:color w:val="auto"/>
                <w:sz w:val="24"/>
              </w:rPr>
              <w:t>、是否在质保期内：</w:t>
            </w:r>
            <w:r>
              <w:rPr>
                <w:color w:val="auto"/>
                <w:sz w:val="24"/>
              </w:rPr>
              <w:sym w:font="Wingdings 2" w:char="0052"/>
            </w:r>
            <w:r>
              <w:rPr>
                <w:rFonts w:hint="eastAsia"/>
                <w:color w:val="auto"/>
                <w:sz w:val="24"/>
              </w:rPr>
              <w:t>是，</w:t>
            </w:r>
            <w:r>
              <w:rPr>
                <w:color w:val="auto"/>
                <w:sz w:val="24"/>
              </w:rPr>
              <w:sym w:font="Wingdings 2" w:char="00A3"/>
            </w:r>
            <w:r>
              <w:rPr>
                <w:rFonts w:hint="eastAsia"/>
                <w:color w:val="auto"/>
                <w:sz w:val="24"/>
              </w:rPr>
              <w:t>否</w:t>
            </w:r>
          </w:p>
        </w:tc>
        <w:tc>
          <w:tcPr>
            <w:tcW w:w="2594" w:type="dxa"/>
            <w:noWrap w:val="0"/>
            <w:vAlign w:val="center"/>
          </w:tcPr>
          <w:p w14:paraId="19963D81">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p>
        </w:tc>
      </w:tr>
      <w:tr w14:paraId="66C2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4D733890">
            <w:pPr>
              <w:adjustRightInd w:val="0"/>
              <w:snapToGrid w:val="0"/>
              <w:spacing w:line="560" w:lineRule="exact"/>
              <w:rPr>
                <w:rFonts w:ascii="宋体" w:hAnsi="宋体" w:eastAsia="宋体" w:cs="宋体"/>
                <w:sz w:val="24"/>
              </w:rPr>
            </w:pPr>
          </w:p>
        </w:tc>
        <w:tc>
          <w:tcPr>
            <w:tcW w:w="1414" w:type="dxa"/>
            <w:noWrap w:val="0"/>
            <w:vAlign w:val="center"/>
          </w:tcPr>
          <w:p w14:paraId="6232A945">
            <w:pPr>
              <w:adjustRightInd w:val="0"/>
              <w:snapToGrid w:val="0"/>
              <w:spacing w:line="560" w:lineRule="exact"/>
              <w:rPr>
                <w:rFonts w:ascii="宋体" w:hAnsi="宋体" w:eastAsia="宋体" w:cs="宋体"/>
                <w:sz w:val="24"/>
              </w:rPr>
            </w:pPr>
            <w:r>
              <w:rPr>
                <w:rFonts w:hint="eastAsia" w:ascii="宋体" w:hAnsi="宋体" w:eastAsia="宋体" w:cs="宋体"/>
                <w:sz w:val="24"/>
              </w:rPr>
              <w:t>采暖系统</w:t>
            </w:r>
          </w:p>
        </w:tc>
        <w:tc>
          <w:tcPr>
            <w:tcW w:w="3763" w:type="dxa"/>
            <w:noWrap w:val="0"/>
            <w:vAlign w:val="center"/>
          </w:tcPr>
          <w:p w14:paraId="10ED065C">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采暖系统形式，例如地采暖、散热片</w:t>
            </w:r>
          </w:p>
          <w:p w14:paraId="41FA49B1">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采暖系统的构成</w:t>
            </w:r>
          </w:p>
          <w:p w14:paraId="6025A675">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采暖设备的数量</w:t>
            </w:r>
            <w:r>
              <w:rPr>
                <w:rFonts w:ascii="宋体" w:hAnsi="宋体" w:cs="宋体"/>
                <w:color w:val="auto"/>
                <w:sz w:val="24"/>
                <w:u w:val="single"/>
              </w:rPr>
              <w:t xml:space="preserve"> </w:t>
            </w:r>
            <w:r>
              <w:rPr>
                <w:rFonts w:hint="eastAsia" w:ascii="宋体" w:hAnsi="宋体" w:cs="宋体"/>
                <w:color w:val="auto"/>
                <w:sz w:val="24"/>
                <w:u w:val="single"/>
                <w:lang w:val="en-US" w:eastAsia="zh-CN"/>
              </w:rPr>
              <w:t>93</w:t>
            </w:r>
            <w:r>
              <w:rPr>
                <w:rFonts w:ascii="宋体" w:hAnsi="宋体" w:cs="宋体"/>
                <w:color w:val="auto"/>
                <w:sz w:val="24"/>
                <w:u w:val="single"/>
              </w:rPr>
              <w:t xml:space="preserve"> </w:t>
            </w:r>
            <w:r>
              <w:rPr>
                <w:rFonts w:ascii="宋体" w:hAnsi="宋体" w:cs="宋体"/>
                <w:color w:val="auto"/>
                <w:sz w:val="24"/>
                <w:u w:val="none"/>
              </w:rPr>
              <w:t>台</w:t>
            </w:r>
            <w:r>
              <w:rPr>
                <w:rFonts w:hint="eastAsia" w:ascii="宋体" w:hAnsi="宋体" w:eastAsia="宋体" w:cs="宋体"/>
                <w:color w:val="auto"/>
                <w:sz w:val="24"/>
              </w:rPr>
              <w:t>、</w:t>
            </w:r>
          </w:p>
          <w:p w14:paraId="6156F243">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总功率</w:t>
            </w:r>
            <w:r>
              <w:rPr>
                <w:rFonts w:ascii="宋体" w:hAnsi="宋体" w:cs="宋体"/>
                <w:color w:val="auto"/>
                <w:sz w:val="24"/>
                <w:u w:val="single"/>
              </w:rPr>
              <w:t xml:space="preserve">  </w:t>
            </w:r>
            <w:r>
              <w:rPr>
                <w:rFonts w:hint="eastAsia" w:ascii="宋体" w:hAnsi="宋体" w:cs="宋体"/>
                <w:color w:val="auto"/>
                <w:sz w:val="24"/>
                <w:u w:val="single"/>
                <w:lang w:val="en-US" w:eastAsia="zh-CN"/>
              </w:rPr>
              <w:t>6</w:t>
            </w:r>
            <w:r>
              <w:rPr>
                <w:rFonts w:ascii="宋体" w:hAnsi="宋体" w:cs="宋体"/>
                <w:color w:val="auto"/>
                <w:sz w:val="24"/>
                <w:u w:val="single"/>
              </w:rPr>
              <w:t xml:space="preserve">  </w:t>
            </w:r>
            <w:r>
              <w:rPr>
                <w:rFonts w:hint="eastAsia" w:ascii="宋体" w:hAnsi="宋体" w:cs="宋体"/>
                <w:color w:val="auto"/>
                <w:sz w:val="24"/>
              </w:rPr>
              <w:t>千瓦</w:t>
            </w:r>
            <w:r>
              <w:rPr>
                <w:rFonts w:hint="eastAsia" w:ascii="宋体" w:hAnsi="宋体" w:eastAsia="宋体" w:cs="宋体"/>
                <w:color w:val="auto"/>
                <w:sz w:val="24"/>
              </w:rPr>
              <w:t>、</w:t>
            </w:r>
          </w:p>
          <w:p w14:paraId="1BBF13E3">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是否在质保期内：</w:t>
            </w:r>
            <w:r>
              <w:rPr>
                <w:color w:val="auto"/>
                <w:sz w:val="24"/>
              </w:rPr>
              <w:sym w:font="Wingdings 2" w:char="0052"/>
            </w:r>
            <w:r>
              <w:rPr>
                <w:rFonts w:hint="eastAsia"/>
                <w:color w:val="auto"/>
                <w:sz w:val="24"/>
              </w:rPr>
              <w:t>是，</w:t>
            </w:r>
            <w:r>
              <w:rPr>
                <w:color w:val="auto"/>
                <w:sz w:val="24"/>
              </w:rPr>
              <w:sym w:font="Wingdings 2" w:char="00A3"/>
            </w:r>
            <w:r>
              <w:rPr>
                <w:rFonts w:hint="eastAsia"/>
                <w:color w:val="auto"/>
                <w:sz w:val="24"/>
              </w:rPr>
              <w:t>否</w:t>
            </w:r>
          </w:p>
        </w:tc>
        <w:tc>
          <w:tcPr>
            <w:tcW w:w="2594" w:type="dxa"/>
            <w:noWrap w:val="0"/>
            <w:vAlign w:val="center"/>
          </w:tcPr>
          <w:p w14:paraId="120E7B7B">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p>
        </w:tc>
      </w:tr>
      <w:tr w14:paraId="5CA6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47" w:type="dxa"/>
            <w:vMerge w:val="continue"/>
            <w:noWrap w:val="0"/>
            <w:vAlign w:val="center"/>
          </w:tcPr>
          <w:p w14:paraId="166627D3">
            <w:pPr>
              <w:adjustRightInd w:val="0"/>
              <w:snapToGrid w:val="0"/>
              <w:spacing w:line="560" w:lineRule="exact"/>
              <w:rPr>
                <w:rFonts w:ascii="宋体" w:hAnsi="宋体" w:eastAsia="宋体" w:cs="宋体"/>
                <w:sz w:val="24"/>
              </w:rPr>
            </w:pPr>
          </w:p>
        </w:tc>
        <w:tc>
          <w:tcPr>
            <w:tcW w:w="1414" w:type="dxa"/>
            <w:noWrap w:val="0"/>
            <w:vAlign w:val="center"/>
          </w:tcPr>
          <w:p w14:paraId="783563F2">
            <w:pPr>
              <w:adjustRightInd w:val="0"/>
              <w:snapToGrid w:val="0"/>
              <w:spacing w:line="560" w:lineRule="exact"/>
              <w:rPr>
                <w:rFonts w:ascii="宋体" w:hAnsi="宋体" w:eastAsia="宋体" w:cs="宋体"/>
                <w:sz w:val="24"/>
              </w:rPr>
            </w:pPr>
            <w:r>
              <w:rPr>
                <w:rFonts w:hint="eastAsia" w:ascii="宋体" w:hAnsi="宋体" w:eastAsia="宋体" w:cs="宋体"/>
                <w:sz w:val="24"/>
              </w:rPr>
              <w:t>给排水系统</w:t>
            </w:r>
          </w:p>
        </w:tc>
        <w:tc>
          <w:tcPr>
            <w:tcW w:w="3763" w:type="dxa"/>
            <w:noWrap w:val="0"/>
            <w:vAlign w:val="center"/>
          </w:tcPr>
          <w:p w14:paraId="3BBDE96D">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给排水系统构成，例如潜水泵、集水井、污水处理设备等</w:t>
            </w:r>
          </w:p>
          <w:p w14:paraId="4C160C2C">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给排水设备的数量</w:t>
            </w:r>
            <w:r>
              <w:rPr>
                <w:rFonts w:ascii="宋体" w:hAnsi="宋体" w:cs="宋体"/>
                <w:color w:val="auto"/>
                <w:sz w:val="24"/>
                <w:u w:val="single"/>
              </w:rPr>
              <w:t xml:space="preserve"> </w:t>
            </w:r>
            <w:r>
              <w:rPr>
                <w:rFonts w:hint="eastAsia" w:ascii="宋体" w:hAnsi="宋体" w:cs="宋体"/>
                <w:color w:val="auto"/>
                <w:sz w:val="24"/>
                <w:u w:val="single"/>
                <w:lang w:val="en-US" w:eastAsia="zh-CN"/>
              </w:rPr>
              <w:t>4</w:t>
            </w:r>
            <w:r>
              <w:rPr>
                <w:rFonts w:ascii="宋体" w:hAnsi="宋体" w:cs="宋体"/>
                <w:color w:val="auto"/>
                <w:sz w:val="24"/>
                <w:u w:val="single"/>
              </w:rPr>
              <w:t xml:space="preserve"> </w:t>
            </w:r>
            <w:r>
              <w:rPr>
                <w:rFonts w:ascii="宋体" w:hAnsi="宋体" w:cs="宋体"/>
                <w:color w:val="auto"/>
                <w:sz w:val="24"/>
                <w:u w:val="none"/>
              </w:rPr>
              <w:t>台</w:t>
            </w:r>
            <w:r>
              <w:rPr>
                <w:rFonts w:hint="eastAsia" w:ascii="宋体" w:hAnsi="宋体" w:eastAsia="宋体" w:cs="宋体"/>
                <w:color w:val="auto"/>
                <w:sz w:val="24"/>
              </w:rPr>
              <w:t>、</w:t>
            </w:r>
          </w:p>
          <w:p w14:paraId="7067FDA0">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总功率</w:t>
            </w:r>
            <w:r>
              <w:rPr>
                <w:rFonts w:ascii="宋体" w:hAnsi="宋体" w:cs="宋体"/>
                <w:color w:val="auto"/>
                <w:sz w:val="24"/>
                <w:u w:val="single"/>
              </w:rPr>
              <w:t xml:space="preserve"> </w:t>
            </w:r>
            <w:r>
              <w:rPr>
                <w:rFonts w:hint="eastAsia" w:ascii="宋体" w:hAnsi="宋体" w:cs="宋体"/>
                <w:color w:val="auto"/>
                <w:sz w:val="24"/>
                <w:u w:val="single"/>
                <w:lang w:val="en-US" w:eastAsia="zh-CN"/>
              </w:rPr>
              <w:t>12</w:t>
            </w:r>
            <w:r>
              <w:rPr>
                <w:rFonts w:ascii="宋体" w:hAnsi="宋体" w:cs="宋体"/>
                <w:color w:val="auto"/>
                <w:sz w:val="24"/>
                <w:u w:val="single"/>
              </w:rPr>
              <w:t xml:space="preserve"> </w:t>
            </w:r>
            <w:r>
              <w:rPr>
                <w:rFonts w:hint="eastAsia" w:ascii="宋体" w:hAnsi="宋体" w:cs="宋体"/>
                <w:color w:val="auto"/>
                <w:sz w:val="24"/>
              </w:rPr>
              <w:t>千瓦</w:t>
            </w:r>
            <w:r>
              <w:rPr>
                <w:rFonts w:hint="eastAsia" w:ascii="宋体" w:hAnsi="宋体" w:eastAsia="宋体" w:cs="宋体"/>
                <w:color w:val="auto"/>
                <w:sz w:val="24"/>
              </w:rPr>
              <w:t>、</w:t>
            </w:r>
          </w:p>
          <w:p w14:paraId="3E93A989">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是否在质保期内：</w:t>
            </w:r>
            <w:r>
              <w:rPr>
                <w:color w:val="auto"/>
                <w:sz w:val="24"/>
              </w:rPr>
              <w:sym w:font="Wingdings 2" w:char="0052"/>
            </w:r>
            <w:r>
              <w:rPr>
                <w:rFonts w:hint="eastAsia"/>
                <w:color w:val="auto"/>
                <w:sz w:val="24"/>
              </w:rPr>
              <w:t>是，</w:t>
            </w:r>
            <w:r>
              <w:rPr>
                <w:color w:val="auto"/>
                <w:sz w:val="24"/>
              </w:rPr>
              <w:sym w:font="Wingdings 2" w:char="00A3"/>
            </w:r>
            <w:r>
              <w:rPr>
                <w:rFonts w:hint="eastAsia"/>
                <w:color w:val="auto"/>
                <w:sz w:val="24"/>
              </w:rPr>
              <w:t>否</w:t>
            </w:r>
          </w:p>
        </w:tc>
        <w:tc>
          <w:tcPr>
            <w:tcW w:w="2594" w:type="dxa"/>
            <w:noWrap w:val="0"/>
            <w:vAlign w:val="center"/>
          </w:tcPr>
          <w:p w14:paraId="346F3127">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p>
        </w:tc>
      </w:tr>
      <w:tr w14:paraId="61E2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vMerge w:val="continue"/>
            <w:noWrap w:val="0"/>
            <w:vAlign w:val="center"/>
          </w:tcPr>
          <w:p w14:paraId="49E8B611">
            <w:pPr>
              <w:adjustRightInd w:val="0"/>
              <w:snapToGrid w:val="0"/>
              <w:spacing w:line="560" w:lineRule="exact"/>
              <w:rPr>
                <w:rFonts w:ascii="宋体" w:hAnsi="宋体" w:eastAsia="宋体" w:cs="宋体"/>
                <w:sz w:val="24"/>
              </w:rPr>
            </w:pPr>
          </w:p>
        </w:tc>
        <w:tc>
          <w:tcPr>
            <w:tcW w:w="1414" w:type="dxa"/>
            <w:noWrap w:val="0"/>
            <w:vAlign w:val="center"/>
          </w:tcPr>
          <w:p w14:paraId="710E6FFC">
            <w:pPr>
              <w:adjustRightInd w:val="0"/>
              <w:snapToGrid w:val="0"/>
              <w:spacing w:line="560" w:lineRule="exact"/>
              <w:rPr>
                <w:rFonts w:ascii="宋体" w:hAnsi="宋体" w:eastAsia="宋体" w:cs="宋体"/>
                <w:sz w:val="24"/>
              </w:rPr>
            </w:pPr>
            <w:r>
              <w:rPr>
                <w:rFonts w:hint="eastAsia" w:ascii="宋体" w:hAnsi="宋体" w:eastAsia="宋体" w:cs="宋体"/>
                <w:sz w:val="24"/>
              </w:rPr>
              <w:t>消防系统</w:t>
            </w:r>
          </w:p>
        </w:tc>
        <w:tc>
          <w:tcPr>
            <w:tcW w:w="3763" w:type="dxa"/>
            <w:noWrap w:val="0"/>
            <w:vAlign w:val="center"/>
          </w:tcPr>
          <w:p w14:paraId="3750BF58">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消防系统的构成</w:t>
            </w:r>
          </w:p>
          <w:p w14:paraId="635F2DE3">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消防设备的数量</w:t>
            </w:r>
            <w:r>
              <w:rPr>
                <w:rFonts w:ascii="宋体" w:hAnsi="宋体" w:cs="宋体"/>
                <w:color w:val="auto"/>
                <w:sz w:val="24"/>
                <w:u w:val="single"/>
              </w:rPr>
              <w:t xml:space="preserve"> </w:t>
            </w:r>
            <w:r>
              <w:rPr>
                <w:rFonts w:hint="eastAsia" w:ascii="宋体" w:hAnsi="宋体" w:cs="宋体"/>
                <w:color w:val="auto"/>
                <w:sz w:val="24"/>
                <w:u w:val="single"/>
                <w:lang w:val="en-US" w:eastAsia="zh-CN"/>
              </w:rPr>
              <w:t>1</w:t>
            </w:r>
            <w:r>
              <w:rPr>
                <w:rFonts w:ascii="宋体" w:hAnsi="宋体" w:cs="宋体"/>
                <w:color w:val="auto"/>
                <w:sz w:val="24"/>
                <w:u w:val="single"/>
              </w:rPr>
              <w:t xml:space="preserve"> </w:t>
            </w:r>
            <w:r>
              <w:rPr>
                <w:rFonts w:ascii="宋体" w:hAnsi="宋体" w:cs="宋体"/>
                <w:color w:val="auto"/>
                <w:sz w:val="24"/>
                <w:u w:val="none"/>
              </w:rPr>
              <w:t>台</w:t>
            </w:r>
            <w:r>
              <w:rPr>
                <w:rFonts w:hint="eastAsia" w:ascii="宋体" w:hAnsi="宋体" w:eastAsia="宋体" w:cs="宋体"/>
                <w:color w:val="auto"/>
                <w:sz w:val="24"/>
              </w:rPr>
              <w:t>、</w:t>
            </w:r>
          </w:p>
          <w:p w14:paraId="01A56514">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是否在质保期内：</w:t>
            </w:r>
            <w:r>
              <w:rPr>
                <w:color w:val="auto"/>
                <w:sz w:val="24"/>
              </w:rPr>
              <w:sym w:font="Wingdings 2" w:char="0052"/>
            </w:r>
            <w:r>
              <w:rPr>
                <w:rFonts w:hint="eastAsia"/>
                <w:color w:val="auto"/>
                <w:sz w:val="24"/>
              </w:rPr>
              <w:t>是，</w:t>
            </w:r>
            <w:r>
              <w:rPr>
                <w:color w:val="auto"/>
                <w:sz w:val="24"/>
              </w:rPr>
              <w:sym w:font="Wingdings 2" w:char="00A3"/>
            </w:r>
            <w:r>
              <w:rPr>
                <w:rFonts w:hint="eastAsia"/>
                <w:color w:val="auto"/>
                <w:sz w:val="24"/>
              </w:rPr>
              <w:t>否</w:t>
            </w:r>
          </w:p>
        </w:tc>
        <w:tc>
          <w:tcPr>
            <w:tcW w:w="2594" w:type="dxa"/>
            <w:noWrap w:val="0"/>
            <w:vAlign w:val="center"/>
          </w:tcPr>
          <w:p w14:paraId="6255FF05">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p>
        </w:tc>
      </w:tr>
      <w:tr w14:paraId="0AD3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947" w:type="dxa"/>
            <w:vMerge w:val="continue"/>
            <w:noWrap w:val="0"/>
            <w:vAlign w:val="center"/>
          </w:tcPr>
          <w:p w14:paraId="270DC618">
            <w:pPr>
              <w:adjustRightInd w:val="0"/>
              <w:snapToGrid w:val="0"/>
              <w:spacing w:line="560" w:lineRule="exact"/>
              <w:rPr>
                <w:rFonts w:ascii="宋体" w:hAnsi="宋体" w:eastAsia="宋体" w:cs="宋体"/>
                <w:sz w:val="24"/>
              </w:rPr>
            </w:pPr>
          </w:p>
        </w:tc>
        <w:tc>
          <w:tcPr>
            <w:tcW w:w="1414" w:type="dxa"/>
            <w:noWrap w:val="0"/>
            <w:vAlign w:val="center"/>
          </w:tcPr>
          <w:p w14:paraId="6F313579">
            <w:pPr>
              <w:adjustRightInd w:val="0"/>
              <w:snapToGrid w:val="0"/>
              <w:spacing w:line="560" w:lineRule="exact"/>
              <w:rPr>
                <w:rFonts w:ascii="宋体" w:hAnsi="宋体" w:eastAsia="宋体" w:cs="宋体"/>
                <w:sz w:val="24"/>
              </w:rPr>
            </w:pPr>
            <w:r>
              <w:rPr>
                <w:rFonts w:hint="eastAsia" w:ascii="宋体" w:hAnsi="宋体" w:eastAsia="宋体" w:cs="宋体"/>
                <w:sz w:val="24"/>
              </w:rPr>
              <w:t>供配电系统</w:t>
            </w:r>
          </w:p>
        </w:tc>
        <w:tc>
          <w:tcPr>
            <w:tcW w:w="3763" w:type="dxa"/>
            <w:noWrap w:val="0"/>
            <w:vAlign w:val="center"/>
          </w:tcPr>
          <w:p w14:paraId="7B28B3D3">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高压柜、低压柜数量</w:t>
            </w:r>
            <w:r>
              <w:rPr>
                <w:rFonts w:ascii="宋体" w:hAnsi="宋体" w:cs="宋体"/>
                <w:color w:val="auto"/>
                <w:sz w:val="24"/>
                <w:u w:val="single"/>
              </w:rPr>
              <w:t xml:space="preserve"> </w:t>
            </w:r>
            <w:r>
              <w:rPr>
                <w:rFonts w:hint="eastAsia" w:ascii="宋体" w:hAnsi="宋体" w:cs="宋体"/>
                <w:color w:val="auto"/>
                <w:sz w:val="24"/>
                <w:u w:val="single"/>
                <w:lang w:val="en-US" w:eastAsia="zh-CN"/>
              </w:rPr>
              <w:t>55</w:t>
            </w:r>
            <w:r>
              <w:rPr>
                <w:rFonts w:ascii="宋体" w:hAnsi="宋体" w:cs="宋体"/>
                <w:color w:val="auto"/>
                <w:sz w:val="24"/>
                <w:u w:val="single"/>
              </w:rPr>
              <w:t xml:space="preserve"> </w:t>
            </w:r>
            <w:r>
              <w:rPr>
                <w:rFonts w:ascii="宋体" w:hAnsi="宋体" w:cs="宋体"/>
                <w:color w:val="auto"/>
                <w:sz w:val="24"/>
                <w:u w:val="none"/>
              </w:rPr>
              <w:t>个</w:t>
            </w:r>
            <w:r>
              <w:rPr>
                <w:rFonts w:hint="eastAsia" w:ascii="宋体" w:hAnsi="宋体" w:eastAsia="宋体" w:cs="宋体"/>
                <w:color w:val="auto"/>
                <w:sz w:val="24"/>
              </w:rPr>
              <w:t>、</w:t>
            </w:r>
          </w:p>
          <w:p w14:paraId="07B8FB78">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功率</w:t>
            </w:r>
            <w:r>
              <w:rPr>
                <w:rFonts w:ascii="宋体" w:hAnsi="宋体" w:cs="宋体"/>
                <w:color w:val="auto"/>
                <w:sz w:val="24"/>
                <w:u w:val="single"/>
              </w:rPr>
              <w:t xml:space="preserve"> </w:t>
            </w:r>
            <w:r>
              <w:rPr>
                <w:rFonts w:hint="eastAsia" w:ascii="宋体" w:hAnsi="宋体" w:cs="宋体"/>
                <w:color w:val="auto"/>
                <w:sz w:val="24"/>
                <w:u w:val="single"/>
                <w:lang w:val="en-US" w:eastAsia="zh-CN"/>
              </w:rPr>
              <w:t>430</w:t>
            </w:r>
            <w:r>
              <w:rPr>
                <w:rFonts w:ascii="宋体" w:hAnsi="宋体" w:cs="宋体"/>
                <w:color w:val="auto"/>
                <w:sz w:val="24"/>
                <w:u w:val="single"/>
              </w:rPr>
              <w:t xml:space="preserve">  </w:t>
            </w:r>
            <w:r>
              <w:rPr>
                <w:rFonts w:hint="eastAsia" w:ascii="宋体" w:hAnsi="宋体" w:cs="宋体"/>
                <w:color w:val="auto"/>
                <w:sz w:val="24"/>
              </w:rPr>
              <w:t>千瓦</w:t>
            </w:r>
          </w:p>
        </w:tc>
        <w:tc>
          <w:tcPr>
            <w:tcW w:w="2594" w:type="dxa"/>
            <w:noWrap w:val="0"/>
            <w:vAlign w:val="center"/>
          </w:tcPr>
          <w:p w14:paraId="38783511">
            <w:pPr>
              <w:adjustRightInd w:val="0"/>
              <w:snapToGrid w:val="0"/>
              <w:spacing w:line="560" w:lineRule="exact"/>
              <w:rPr>
                <w:rFonts w:ascii="宋体" w:hAnsi="宋体" w:eastAsia="宋体" w:cs="宋体"/>
                <w:color w:val="auto"/>
                <w:sz w:val="24"/>
              </w:rPr>
            </w:pPr>
            <w:r>
              <w:rPr>
                <w:rFonts w:hint="eastAsia" w:ascii="宋体" w:hAnsi="宋体" w:eastAsia="宋体" w:cs="宋体"/>
                <w:color w:val="auto"/>
                <w:sz w:val="24"/>
              </w:rPr>
              <w:t>见“（</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eastAsia="zh-CN"/>
              </w:rPr>
              <w:t>工程部岗位职责</w:t>
            </w:r>
            <w:r>
              <w:rPr>
                <w:rFonts w:hint="eastAsia" w:ascii="宋体" w:hAnsi="宋体" w:eastAsia="宋体" w:cs="宋体"/>
                <w:color w:val="auto"/>
                <w:sz w:val="24"/>
              </w:rPr>
              <w:t>”</w:t>
            </w:r>
          </w:p>
        </w:tc>
      </w:tr>
    </w:tbl>
    <w:p w14:paraId="36E75B43">
      <w:pPr>
        <w:adjustRightInd w:val="0"/>
        <w:snapToGrid w:val="0"/>
        <w:spacing w:line="560" w:lineRule="exact"/>
        <w:ind w:firstLine="211" w:firstLineChars="100"/>
        <w:rPr>
          <w:rFonts w:ascii="楷体" w:hAnsi="楷体" w:eastAsia="楷体" w:cs="宋体"/>
          <w:b/>
          <w:bCs/>
          <w:szCs w:val="21"/>
        </w:rPr>
      </w:pPr>
      <w:r>
        <w:rPr>
          <w:rFonts w:ascii="楷体" w:hAnsi="楷体" w:eastAsia="楷体" w:cs="宋体"/>
          <w:b/>
          <w:bCs/>
          <w:szCs w:val="21"/>
        </w:rPr>
        <w:t>注：此表格详细列出了</w:t>
      </w:r>
      <w:r>
        <w:rPr>
          <w:rFonts w:hint="eastAsia" w:ascii="楷体" w:hAnsi="楷体" w:eastAsia="楷体" w:cs="宋体"/>
          <w:b/>
          <w:bCs/>
          <w:szCs w:val="21"/>
        </w:rPr>
        <w:t>不同建筑物</w:t>
      </w:r>
      <w:r>
        <w:rPr>
          <w:rFonts w:ascii="楷体" w:hAnsi="楷体" w:eastAsia="楷体" w:cs="宋体"/>
          <w:b/>
          <w:bCs/>
          <w:szCs w:val="21"/>
        </w:rPr>
        <w:t>的物业管理指标项及其明细。</w:t>
      </w:r>
    </w:p>
    <w:p w14:paraId="11EAB0A3">
      <w:pPr>
        <w:spacing w:line="560" w:lineRule="exact"/>
        <w:ind w:firstLine="720" w:firstLineChars="300"/>
        <w:contextualSpacing/>
        <w:rPr>
          <w:i/>
          <w:iCs/>
          <w:sz w:val="24"/>
        </w:rPr>
      </w:pPr>
      <w:r>
        <w:rPr>
          <w:rFonts w:hint="eastAsia"/>
          <w:sz w:val="24"/>
          <w:lang w:val="en-US" w:eastAsia="zh-CN"/>
        </w:rPr>
        <w:t>4</w:t>
      </w:r>
      <w:r>
        <w:rPr>
          <w:sz w:val="24"/>
        </w:rPr>
        <w:t>. 验收标准</w:t>
      </w:r>
    </w:p>
    <w:p w14:paraId="6ADC159F">
      <w:pPr>
        <w:spacing w:line="560" w:lineRule="exact"/>
        <w:ind w:firstLine="720" w:firstLineChars="300"/>
        <w:contextualSpacing/>
        <w:rPr>
          <w:rFonts w:ascii="Times New Roman" w:hAnsi="Times New Roman" w:eastAsia="宋体" w:cs="Times New Roman"/>
          <w:sz w:val="24"/>
        </w:rPr>
      </w:pPr>
      <w:r>
        <w:rPr>
          <w:rFonts w:hint="eastAsia" w:ascii="Times New Roman" w:hAnsi="Times New Roman" w:eastAsia="宋体" w:cs="Times New Roman"/>
          <w:sz w:val="24"/>
        </w:rPr>
        <w:t>参考国家标准《机关办公区域物业服务监管和评价规范》</w:t>
      </w:r>
      <w:r>
        <w:rPr>
          <w:rFonts w:ascii="Times New Roman" w:hAnsi="Times New Roman" w:eastAsia="宋体" w:cs="Times New Roman"/>
          <w:sz w:val="24"/>
        </w:rPr>
        <w:t>GB</w:t>
      </w:r>
      <w:r>
        <w:rPr>
          <w:rFonts w:hint="eastAsia" w:ascii="Times New Roman" w:hAnsi="Times New Roman" w:eastAsia="宋体" w:cs="Times New Roman"/>
          <w:sz w:val="24"/>
          <w:lang w:val="en-US" w:eastAsia="zh-CN"/>
        </w:rPr>
        <w:t>/</w:t>
      </w:r>
      <w:r>
        <w:rPr>
          <w:rFonts w:ascii="Times New Roman" w:hAnsi="Times New Roman" w:eastAsia="宋体" w:cs="Times New Roman"/>
          <w:sz w:val="24"/>
        </w:rPr>
        <w:t>T 43542-2023</w:t>
      </w:r>
    </w:p>
    <w:p w14:paraId="06F4484A">
      <w:pPr>
        <w:pStyle w:val="3"/>
        <w:spacing w:before="0" w:line="360" w:lineRule="auto"/>
        <w:ind w:firstLine="720" w:firstLineChars="300"/>
        <w:rPr>
          <w:rFonts w:hint="eastAsia" w:ascii="Times New Roman" w:hAnsi="Times New Roman" w:eastAsia="宋体" w:cs="Times New Roman"/>
          <w:b w:val="0"/>
        </w:rPr>
      </w:pPr>
      <w:r>
        <w:rPr>
          <w:rFonts w:hint="eastAsia" w:ascii="Times New Roman" w:hAnsi="Times New Roman" w:eastAsia="宋体" w:cs="Times New Roman"/>
          <w:b w:val="0"/>
          <w:lang w:val="en-US" w:eastAsia="zh-CN"/>
        </w:rPr>
        <w:t>5.</w:t>
      </w:r>
      <w:r>
        <w:rPr>
          <w:rFonts w:hint="eastAsia" w:ascii="Times New Roman" w:hAnsi="Times New Roman" w:eastAsia="宋体" w:cs="Times New Roman"/>
          <w:b w:val="0"/>
        </w:rPr>
        <w:t>物业管理服务人员需求</w:t>
      </w:r>
    </w:p>
    <w:p w14:paraId="273D0306">
      <w:pPr>
        <w:widowControl/>
        <w:spacing w:line="336" w:lineRule="auto"/>
        <w:ind w:firstLine="480" w:firstLineChars="200"/>
        <w:contextualSpacing/>
        <w:rPr>
          <w:rFonts w:hint="eastAsia" w:ascii="Times New Roman" w:hAnsi="Times New Roman" w:eastAsia="宋体" w:cs="Times New Roman"/>
          <w:bCs w:val="0"/>
          <w:sz w:val="24"/>
        </w:rPr>
      </w:pPr>
      <w:r>
        <w:rPr>
          <w:rFonts w:hint="eastAsia" w:ascii="Times New Roman" w:hAnsi="Times New Roman" w:eastAsia="宋体" w:cs="Times New Roman"/>
          <w:sz w:val="24"/>
        </w:rPr>
        <w:t>（1）核心岗位最低配备数量：</w:t>
      </w:r>
      <w:r>
        <w:rPr>
          <w:rFonts w:hint="eastAsia" w:ascii="Times New Roman" w:hAnsi="Times New Roman" w:eastAsia="宋体" w:cs="Times New Roman"/>
          <w:bCs w:val="0"/>
          <w:sz w:val="24"/>
        </w:rPr>
        <w:t>物业经理1人，</w:t>
      </w:r>
      <w:r>
        <w:rPr>
          <w:rFonts w:hint="eastAsia" w:ascii="Times New Roman" w:hAnsi="Times New Roman" w:eastAsia="宋体" w:cs="Times New Roman"/>
          <w:bCs w:val="0"/>
          <w:sz w:val="24"/>
          <w:lang w:eastAsia="zh-CN"/>
        </w:rPr>
        <w:t>综合部</w:t>
      </w:r>
      <w:r>
        <w:rPr>
          <w:rFonts w:hint="eastAsia" w:ascii="Times New Roman" w:hAnsi="Times New Roman" w:eastAsia="宋体" w:cs="Times New Roman"/>
          <w:bCs w:val="0"/>
          <w:sz w:val="24"/>
        </w:rPr>
        <w:t>主管1人，工程主管1人，保洁主管1人，</w:t>
      </w:r>
      <w:r>
        <w:rPr>
          <w:rFonts w:hint="eastAsia" w:ascii="Times New Roman" w:hAnsi="Times New Roman" w:eastAsia="宋体" w:cs="Times New Roman"/>
          <w:bCs w:val="0"/>
          <w:sz w:val="24"/>
          <w:lang w:eastAsia="zh-CN"/>
        </w:rPr>
        <w:t>消防</w:t>
      </w:r>
      <w:r>
        <w:rPr>
          <w:rFonts w:hint="eastAsia" w:ascii="Times New Roman" w:hAnsi="Times New Roman" w:eastAsia="宋体" w:cs="Times New Roman"/>
          <w:bCs w:val="0"/>
          <w:sz w:val="24"/>
        </w:rPr>
        <w:t>主管</w:t>
      </w:r>
      <w:r>
        <w:rPr>
          <w:rFonts w:hint="eastAsia" w:ascii="Times New Roman" w:hAnsi="Times New Roman" w:eastAsia="宋体" w:cs="Times New Roman"/>
          <w:bCs w:val="0"/>
          <w:sz w:val="24"/>
          <w:lang w:val="en-US" w:eastAsia="zh-CN"/>
        </w:rPr>
        <w:t>1人</w:t>
      </w:r>
      <w:r>
        <w:rPr>
          <w:rFonts w:hint="eastAsia" w:ascii="Times New Roman" w:hAnsi="Times New Roman" w:eastAsia="宋体" w:cs="Times New Roman"/>
          <w:bCs w:val="0"/>
          <w:sz w:val="24"/>
        </w:rPr>
        <w:t>；</w:t>
      </w:r>
    </w:p>
    <w:p w14:paraId="345B4D5E">
      <w:pPr>
        <w:widowControl/>
        <w:spacing w:line="336" w:lineRule="auto"/>
        <w:ind w:firstLine="480" w:firstLineChars="200"/>
        <w:contextualSpacing/>
        <w:rPr>
          <w:rFonts w:hint="eastAsia" w:ascii="Times New Roman" w:hAnsi="Times New Roman" w:eastAsia="宋体" w:cs="Times New Roman"/>
          <w:bCs w:val="0"/>
          <w:sz w:val="24"/>
        </w:rPr>
      </w:pPr>
      <w:r>
        <w:rPr>
          <w:rFonts w:hint="eastAsia" w:ascii="Times New Roman" w:hAnsi="Times New Roman" w:eastAsia="宋体" w:cs="Times New Roman"/>
          <w:sz w:val="24"/>
        </w:rPr>
        <w:t>（2）</w:t>
      </w:r>
      <w:r>
        <w:rPr>
          <w:rFonts w:hint="eastAsia" w:ascii="Times New Roman" w:hAnsi="Times New Roman" w:eastAsia="宋体" w:cs="Times New Roman"/>
          <w:sz w:val="24"/>
          <w:lang w:eastAsia="zh-CN"/>
        </w:rPr>
        <w:t>其他岗位最低配备数量：综合部</w:t>
      </w:r>
      <w:r>
        <w:rPr>
          <w:rFonts w:hint="eastAsia" w:ascii="Times New Roman" w:hAnsi="Times New Roman" w:eastAsia="宋体" w:cs="Times New Roman"/>
          <w:sz w:val="24"/>
          <w:lang w:val="en-US" w:eastAsia="zh-CN"/>
        </w:rPr>
        <w:t>2人，工程部2人，保洁部5人（至少1名男士）</w:t>
      </w:r>
      <w:r>
        <w:rPr>
          <w:rFonts w:hint="eastAsia" w:ascii="Times New Roman" w:hAnsi="Times New Roman" w:eastAsia="宋体" w:cs="Times New Roman"/>
          <w:bCs w:val="0"/>
          <w:sz w:val="24"/>
        </w:rPr>
        <w:t>；</w:t>
      </w:r>
    </w:p>
    <w:p w14:paraId="1ED4FA0F">
      <w:pPr>
        <w:widowControl/>
        <w:spacing w:line="336" w:lineRule="auto"/>
        <w:ind w:firstLine="480" w:firstLineChars="200"/>
        <w:contextualSpacing/>
        <w:rPr>
          <w:rFonts w:hint="eastAsia" w:ascii="Times New Roman" w:hAnsi="Times New Roman" w:eastAsia="宋体" w:cs="Times New Roman"/>
          <w:sz w:val="24"/>
        </w:rPr>
      </w:pPr>
      <w:r>
        <w:rPr>
          <w:rFonts w:hint="eastAsia" w:ascii="Times New Roman" w:hAnsi="Times New Roman" w:eastAsia="宋体" w:cs="Times New Roman"/>
          <w:sz w:val="24"/>
        </w:rPr>
        <w:t>（3）人员稳定性和培训要求：投标人须制定完善的人员招收、招聘来源方案、人员稳定性保障措施服务方案、考核方案及人员培训方案，根据项目特点招聘招收物业管理专业人才，定期组织人员培训及考核。培训合格后才能上岗，确保所有上岗人员都能物业管理专业能力并降低上岗人员流动率。管理人员持证上岗率、特种设备持证上岗率、安全管理人员持证上岗率、员工安全管理培训合格率、员工培训合格率均需达100%。</w:t>
      </w:r>
    </w:p>
    <w:p w14:paraId="63A3CA3B">
      <w:pPr>
        <w:pStyle w:val="3"/>
        <w:spacing w:before="0" w:line="336" w:lineRule="auto"/>
        <w:ind w:firstLine="480" w:firstLineChars="200"/>
        <w:rPr>
          <w:rFonts w:hint="eastAsia" w:ascii="Times New Roman" w:hAnsi="Times New Roman" w:eastAsia="宋体" w:cs="Times New Roman"/>
          <w:b w:val="0"/>
          <w:bCs w:val="0"/>
        </w:rPr>
      </w:pPr>
      <w:r>
        <w:rPr>
          <w:rFonts w:hint="eastAsia" w:ascii="Times New Roman" w:hAnsi="Times New Roman" w:eastAsia="宋体" w:cs="Times New Roman"/>
        </w:rPr>
        <w:t>（</w:t>
      </w:r>
      <w:r>
        <w:rPr>
          <w:rFonts w:hint="eastAsia" w:ascii="Times New Roman" w:hAnsi="Times New Roman" w:eastAsia="宋体" w:cs="Times New Roman"/>
          <w:lang w:eastAsia="zh-CN"/>
        </w:rPr>
        <w:t>4</w:t>
      </w:r>
      <w:r>
        <w:rPr>
          <w:rFonts w:hint="eastAsia" w:ascii="Times New Roman" w:hAnsi="Times New Roman" w:eastAsia="宋体" w:cs="Times New Roman"/>
        </w:rPr>
        <w:t>）</w:t>
      </w:r>
      <w:r>
        <w:rPr>
          <w:rFonts w:hint="eastAsia" w:ascii="Times New Roman" w:hAnsi="Times New Roman" w:eastAsia="宋体" w:cs="Times New Roman"/>
          <w:bCs w:val="0"/>
        </w:rPr>
        <w:t>物业服务各岗位人员配备标准一览表</w:t>
      </w:r>
    </w:p>
    <w:tbl>
      <w:tblPr>
        <w:tblStyle w:val="5"/>
        <w:tblW w:w="89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8"/>
        <w:gridCol w:w="7613"/>
      </w:tblGrid>
      <w:tr w14:paraId="27D6D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noWrap w:val="0"/>
            <w:vAlign w:val="center"/>
          </w:tcPr>
          <w:p w14:paraId="3127B99F">
            <w:pPr>
              <w:pStyle w:val="9"/>
              <w:spacing w:line="360" w:lineRule="exact"/>
              <w:ind w:left="10"/>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岗位名称</w:t>
            </w:r>
          </w:p>
        </w:tc>
        <w:tc>
          <w:tcPr>
            <w:tcW w:w="7613" w:type="dxa"/>
            <w:noWrap w:val="0"/>
            <w:vAlign w:val="center"/>
          </w:tcPr>
          <w:p w14:paraId="487DBECD">
            <w:pPr>
              <w:pStyle w:val="9"/>
              <w:spacing w:line="360" w:lineRule="exact"/>
              <w:ind w:left="9"/>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人员配备标准</w:t>
            </w:r>
          </w:p>
        </w:tc>
      </w:tr>
      <w:tr w14:paraId="1C3F0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noWrap w:val="0"/>
            <w:vAlign w:val="center"/>
          </w:tcPr>
          <w:p w14:paraId="725F1953">
            <w:pPr>
              <w:pStyle w:val="9"/>
              <w:spacing w:line="360" w:lineRule="exact"/>
              <w:ind w:left="10"/>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物业经理</w:t>
            </w:r>
          </w:p>
        </w:tc>
        <w:tc>
          <w:tcPr>
            <w:tcW w:w="7613" w:type="dxa"/>
            <w:noWrap w:val="0"/>
            <w:vAlign w:val="center"/>
          </w:tcPr>
          <w:p w14:paraId="7F63278D">
            <w:pPr>
              <w:pStyle w:val="9"/>
              <w:spacing w:before="30" w:line="360" w:lineRule="exact"/>
              <w:ind w:left="27" w:right="15"/>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相关专业毕业，具有</w:t>
            </w:r>
            <w:r>
              <w:rPr>
                <w:rFonts w:hint="eastAsia" w:ascii="Times New Roman" w:hAnsi="Times New Roman" w:cs="Times New Roman"/>
                <w:spacing w:val="0"/>
                <w:kern w:val="2"/>
                <w:sz w:val="24"/>
                <w:szCs w:val="24"/>
                <w:lang w:eastAsia="zh-CN"/>
              </w:rPr>
              <w:t>专</w:t>
            </w:r>
            <w:r>
              <w:rPr>
                <w:rFonts w:hint="eastAsia" w:ascii="Times New Roman" w:hAnsi="Times New Roman" w:eastAsia="宋体" w:cs="Times New Roman"/>
                <w:spacing w:val="0"/>
                <w:kern w:val="2"/>
                <w:sz w:val="24"/>
                <w:szCs w:val="24"/>
                <w:lang w:eastAsia="zh-CN"/>
              </w:rPr>
              <w:t>科（含）及以上学历；年龄 50 岁（含）以下；具有</w:t>
            </w:r>
            <w:r>
              <w:rPr>
                <w:rFonts w:hint="eastAsia" w:ascii="Times New Roman" w:hAnsi="Times New Roman" w:eastAsia="宋体" w:cs="Times New Roman"/>
                <w:color w:val="FF0000"/>
                <w:spacing w:val="0"/>
                <w:kern w:val="2"/>
                <w:sz w:val="24"/>
                <w:szCs w:val="24"/>
                <w:lang w:eastAsia="zh-CN"/>
              </w:rPr>
              <w:t xml:space="preserve"> </w:t>
            </w:r>
            <w:r>
              <w:rPr>
                <w:rFonts w:hint="eastAsia" w:ascii="Times New Roman" w:hAnsi="Times New Roman" w:eastAsia="宋体" w:cs="Times New Roman"/>
                <w:color w:val="000000"/>
                <w:spacing w:val="0"/>
                <w:kern w:val="2"/>
                <w:sz w:val="24"/>
                <w:szCs w:val="24"/>
                <w:lang w:eastAsia="zh-CN"/>
              </w:rPr>
              <w:t>5</w:t>
            </w:r>
            <w:r>
              <w:rPr>
                <w:rFonts w:hint="eastAsia" w:ascii="Times New Roman" w:hAnsi="Times New Roman" w:eastAsia="宋体" w:cs="Times New Roman"/>
                <w:spacing w:val="0"/>
                <w:kern w:val="2"/>
                <w:sz w:val="24"/>
                <w:szCs w:val="24"/>
                <w:lang w:eastAsia="zh-CN"/>
              </w:rPr>
              <w:t xml:space="preserve"> 年（含）以上写字楼或办公楼物业管理经验。</w:t>
            </w:r>
          </w:p>
        </w:tc>
      </w:tr>
      <w:tr w14:paraId="22EF6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noWrap w:val="0"/>
            <w:vAlign w:val="center"/>
          </w:tcPr>
          <w:p w14:paraId="7B3158E7">
            <w:pPr>
              <w:pStyle w:val="9"/>
              <w:spacing w:line="360" w:lineRule="exact"/>
              <w:ind w:left="10"/>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综合部主管</w:t>
            </w:r>
          </w:p>
        </w:tc>
        <w:tc>
          <w:tcPr>
            <w:tcW w:w="7613" w:type="dxa"/>
            <w:noWrap w:val="0"/>
            <w:vAlign w:val="center"/>
          </w:tcPr>
          <w:p w14:paraId="0B94B0BF">
            <w:pPr>
              <w:pStyle w:val="9"/>
              <w:spacing w:before="30" w:line="360" w:lineRule="exact"/>
              <w:ind w:left="27" w:right="39"/>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具有专科（含）以上学历，年龄 4</w:t>
            </w:r>
            <w:r>
              <w:rPr>
                <w:rFonts w:hint="eastAsia" w:ascii="Times New Roman" w:hAnsi="Times New Roman" w:eastAsia="宋体" w:cs="Times New Roman"/>
                <w:spacing w:val="0"/>
                <w:kern w:val="2"/>
                <w:sz w:val="24"/>
                <w:szCs w:val="24"/>
                <w:lang w:val="en-US" w:eastAsia="zh-CN"/>
              </w:rPr>
              <w:t>0</w:t>
            </w:r>
            <w:r>
              <w:rPr>
                <w:rFonts w:hint="eastAsia" w:ascii="Times New Roman" w:hAnsi="Times New Roman" w:eastAsia="宋体" w:cs="Times New Roman"/>
                <w:spacing w:val="0"/>
                <w:kern w:val="2"/>
                <w:sz w:val="24"/>
                <w:szCs w:val="24"/>
                <w:lang w:eastAsia="zh-CN"/>
              </w:rPr>
              <w:t>岁（含）以下；身高165以上，五官端正，形象气质佳，普通话标准，具有 3 年以上（不含3年）写字楼或办公楼物业管理经验。具有很好的综合组织协调能力、指挥能力、解决问题能力。</w:t>
            </w:r>
          </w:p>
        </w:tc>
      </w:tr>
      <w:tr w14:paraId="532C3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noWrap w:val="0"/>
            <w:vAlign w:val="center"/>
          </w:tcPr>
          <w:p w14:paraId="79CC491C">
            <w:pPr>
              <w:pStyle w:val="9"/>
              <w:spacing w:line="360" w:lineRule="exact"/>
              <w:ind w:left="10"/>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综合部职员</w:t>
            </w:r>
          </w:p>
        </w:tc>
        <w:tc>
          <w:tcPr>
            <w:tcW w:w="7613" w:type="dxa"/>
            <w:noWrap w:val="0"/>
            <w:vAlign w:val="center"/>
          </w:tcPr>
          <w:p w14:paraId="5A903073">
            <w:pPr>
              <w:pStyle w:val="9"/>
              <w:spacing w:before="30" w:line="360" w:lineRule="exact"/>
              <w:ind w:left="27" w:right="39"/>
              <w:jc w:val="both"/>
              <w:rPr>
                <w:rFonts w:hint="eastAsia" w:ascii="Times New Roman" w:hAnsi="Times New Roman" w:eastAsia="宋体" w:cs="Times New Roman"/>
                <w:spacing w:val="0"/>
                <w:kern w:val="2"/>
                <w:sz w:val="24"/>
                <w:szCs w:val="24"/>
                <w:lang w:eastAsia="zh-CN"/>
              </w:rPr>
            </w:pPr>
            <w:r>
              <w:rPr>
                <w:rFonts w:hint="eastAsia" w:ascii="Times New Roman" w:hAnsi="Times New Roman" w:eastAsia="宋体" w:cs="Times New Roman"/>
                <w:spacing w:val="0"/>
                <w:kern w:val="2"/>
                <w:sz w:val="24"/>
                <w:szCs w:val="24"/>
                <w:lang w:eastAsia="zh-CN"/>
              </w:rPr>
              <w:t>具有专科（含）以上学历，年龄20-35岁，身高165以上，五官端正，形象气质佳，普通话标准，</w:t>
            </w:r>
            <w:r>
              <w:rPr>
                <w:rFonts w:hint="eastAsia" w:ascii="Times New Roman" w:hAnsi="Times New Roman" w:cs="Times New Roman"/>
                <w:spacing w:val="0"/>
                <w:kern w:val="2"/>
                <w:sz w:val="24"/>
                <w:szCs w:val="24"/>
                <w:lang w:val="en-US" w:eastAsia="zh-CN"/>
              </w:rPr>
              <w:t>有会务服务、展览讲解经验者佳</w:t>
            </w:r>
            <w:r>
              <w:rPr>
                <w:rFonts w:hint="eastAsia" w:ascii="Times New Roman" w:hAnsi="Times New Roman" w:eastAsia="宋体" w:cs="Times New Roman"/>
                <w:spacing w:val="0"/>
                <w:kern w:val="2"/>
                <w:sz w:val="24"/>
                <w:szCs w:val="24"/>
                <w:lang w:eastAsia="zh-CN"/>
              </w:rPr>
              <w:t>。</w:t>
            </w:r>
          </w:p>
        </w:tc>
      </w:tr>
      <w:tr w14:paraId="376A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noWrap w:val="0"/>
            <w:vAlign w:val="center"/>
          </w:tcPr>
          <w:p w14:paraId="056824CE">
            <w:pPr>
              <w:pStyle w:val="9"/>
              <w:spacing w:before="1" w:line="360" w:lineRule="exact"/>
              <w:ind w:left="10"/>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工程主管</w:t>
            </w:r>
          </w:p>
        </w:tc>
        <w:tc>
          <w:tcPr>
            <w:tcW w:w="7613" w:type="dxa"/>
            <w:noWrap w:val="0"/>
            <w:vAlign w:val="center"/>
          </w:tcPr>
          <w:p w14:paraId="53DB63CF">
            <w:pPr>
              <w:pStyle w:val="9"/>
              <w:spacing w:before="28" w:line="360" w:lineRule="exact"/>
              <w:ind w:left="27" w:right="39"/>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 xml:space="preserve">具有专科（含）以上学历，年龄 50 岁（含）以下；持有工程相关专业中级（含）及以上职称证书，熟悉物业的各种机电设备、设施的维护及维修工作。有 </w:t>
            </w:r>
            <w:r>
              <w:rPr>
                <w:rFonts w:hint="eastAsia" w:ascii="Times New Roman" w:hAnsi="Times New Roman" w:eastAsia="宋体" w:cs="Times New Roman"/>
                <w:kern w:val="2"/>
                <w:sz w:val="24"/>
                <w:szCs w:val="24"/>
                <w:lang w:eastAsia="zh-CN"/>
              </w:rPr>
              <w:t>8</w:t>
            </w:r>
            <w:r>
              <w:rPr>
                <w:rFonts w:hint="eastAsia" w:ascii="Times New Roman" w:hAnsi="Times New Roman" w:eastAsia="宋体" w:cs="Times New Roman"/>
                <w:spacing w:val="0"/>
                <w:kern w:val="2"/>
                <w:sz w:val="24"/>
                <w:szCs w:val="24"/>
                <w:lang w:eastAsia="zh-CN"/>
              </w:rPr>
              <w:t xml:space="preserve"> 年以上（不含）相关工作经验。</w:t>
            </w:r>
          </w:p>
        </w:tc>
      </w:tr>
      <w:tr w14:paraId="2102C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noWrap w:val="0"/>
            <w:vAlign w:val="center"/>
          </w:tcPr>
          <w:p w14:paraId="555CDE9C">
            <w:pPr>
              <w:pStyle w:val="9"/>
              <w:spacing w:before="1" w:line="360" w:lineRule="exact"/>
              <w:ind w:left="10"/>
              <w:jc w:val="center"/>
              <w:rPr>
                <w:rFonts w:hint="eastAsia" w:ascii="Times New Roman" w:hAnsi="Times New Roman" w:eastAsia="宋体" w:cs="Times New Roman"/>
                <w:spacing w:val="0"/>
                <w:kern w:val="2"/>
                <w:sz w:val="24"/>
                <w:szCs w:val="24"/>
                <w:lang w:eastAsia="zh-CN"/>
              </w:rPr>
            </w:pPr>
            <w:r>
              <w:rPr>
                <w:rFonts w:hint="eastAsia" w:ascii="Times New Roman" w:hAnsi="Times New Roman" w:eastAsia="宋体" w:cs="Times New Roman"/>
                <w:spacing w:val="0"/>
                <w:kern w:val="2"/>
                <w:sz w:val="24"/>
                <w:szCs w:val="24"/>
                <w:lang w:eastAsia="zh-CN"/>
              </w:rPr>
              <w:t>工程部职员</w:t>
            </w:r>
          </w:p>
        </w:tc>
        <w:tc>
          <w:tcPr>
            <w:tcW w:w="7613" w:type="dxa"/>
            <w:noWrap w:val="0"/>
            <w:vAlign w:val="center"/>
          </w:tcPr>
          <w:p w14:paraId="3D33D7C3">
            <w:pPr>
              <w:pStyle w:val="9"/>
              <w:spacing w:before="28" w:line="360" w:lineRule="exact"/>
              <w:ind w:left="27" w:right="39"/>
              <w:jc w:val="both"/>
              <w:rPr>
                <w:rFonts w:hint="eastAsia" w:ascii="Times New Roman" w:hAnsi="Times New Roman" w:eastAsia="宋体" w:cs="Times New Roman"/>
                <w:spacing w:val="0"/>
                <w:kern w:val="2"/>
                <w:sz w:val="24"/>
                <w:szCs w:val="24"/>
                <w:lang w:eastAsia="zh-CN"/>
              </w:rPr>
            </w:pPr>
            <w:r>
              <w:rPr>
                <w:rFonts w:hint="eastAsia" w:ascii="Times New Roman" w:hAnsi="Times New Roman" w:eastAsia="宋体" w:cs="Times New Roman"/>
                <w:spacing w:val="0"/>
                <w:kern w:val="2"/>
                <w:sz w:val="24"/>
                <w:szCs w:val="24"/>
                <w:lang w:eastAsia="zh-CN"/>
              </w:rPr>
              <w:t>具有中专（含）以上学历，年龄 50 岁（含）以下；持有工程相关专业初级（含）及以上职称证书，熟悉物业的各种机电设备、设施的维护及维修工作。能够胜任水电工、木工、瓦工、油工等土建综合维修性工作。</w:t>
            </w:r>
          </w:p>
        </w:tc>
      </w:tr>
      <w:tr w14:paraId="2D0B0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noWrap w:val="0"/>
            <w:vAlign w:val="center"/>
          </w:tcPr>
          <w:p w14:paraId="3A439118">
            <w:pPr>
              <w:pStyle w:val="9"/>
              <w:spacing w:line="360" w:lineRule="exact"/>
              <w:ind w:left="10"/>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保洁主管</w:t>
            </w:r>
          </w:p>
        </w:tc>
        <w:tc>
          <w:tcPr>
            <w:tcW w:w="7613" w:type="dxa"/>
            <w:noWrap w:val="0"/>
            <w:vAlign w:val="center"/>
          </w:tcPr>
          <w:p w14:paraId="782A3437">
            <w:pPr>
              <w:pStyle w:val="9"/>
              <w:spacing w:before="30" w:line="360" w:lineRule="exact"/>
              <w:ind w:left="27" w:right="15"/>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身高 1.5</w:t>
            </w:r>
            <w:r>
              <w:rPr>
                <w:rFonts w:hint="eastAsia" w:ascii="Times New Roman" w:hAnsi="Times New Roman" w:cs="Times New Roman"/>
                <w:spacing w:val="0"/>
                <w:kern w:val="2"/>
                <w:sz w:val="24"/>
                <w:szCs w:val="24"/>
                <w:lang w:val="en-US" w:eastAsia="zh-CN"/>
              </w:rPr>
              <w:t>5</w:t>
            </w:r>
            <w:r>
              <w:rPr>
                <w:rFonts w:hint="eastAsia" w:ascii="Times New Roman" w:hAnsi="Times New Roman" w:eastAsia="宋体" w:cs="Times New Roman"/>
                <w:spacing w:val="0"/>
                <w:kern w:val="2"/>
                <w:sz w:val="24"/>
                <w:szCs w:val="24"/>
                <w:lang w:eastAsia="zh-CN"/>
              </w:rPr>
              <w:t xml:space="preserve">米以上，女性，成熟稳重，身体健康，品德良好，年龄 50 岁（含）以下，具有 </w:t>
            </w:r>
            <w:r>
              <w:rPr>
                <w:rFonts w:hint="eastAsia" w:ascii="Times New Roman" w:hAnsi="Times New Roman" w:eastAsia="宋体" w:cs="Times New Roman"/>
                <w:kern w:val="2"/>
                <w:sz w:val="24"/>
                <w:szCs w:val="24"/>
                <w:lang w:eastAsia="zh-CN"/>
              </w:rPr>
              <w:t>3</w:t>
            </w:r>
            <w:r>
              <w:rPr>
                <w:rFonts w:hint="eastAsia" w:ascii="Times New Roman" w:hAnsi="Times New Roman" w:eastAsia="宋体" w:cs="Times New Roman"/>
                <w:spacing w:val="0"/>
                <w:kern w:val="2"/>
                <w:sz w:val="24"/>
                <w:szCs w:val="24"/>
                <w:lang w:eastAsia="zh-CN"/>
              </w:rPr>
              <w:t xml:space="preserve"> 年以上（不含3年）的办公楼保洁工作经验。要求中标人承诺：进场前提供具备有效期内的《北京市从业人员健康证明》。</w:t>
            </w:r>
          </w:p>
        </w:tc>
      </w:tr>
      <w:tr w14:paraId="4CBA2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noWrap w:val="0"/>
            <w:vAlign w:val="center"/>
          </w:tcPr>
          <w:p w14:paraId="2E8E0CF2">
            <w:pPr>
              <w:pStyle w:val="9"/>
              <w:spacing w:before="1" w:line="360" w:lineRule="exact"/>
              <w:ind w:left="10"/>
              <w:jc w:val="center"/>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保洁员</w:t>
            </w:r>
          </w:p>
        </w:tc>
        <w:tc>
          <w:tcPr>
            <w:tcW w:w="7613" w:type="dxa"/>
            <w:noWrap w:val="0"/>
            <w:vAlign w:val="center"/>
          </w:tcPr>
          <w:p w14:paraId="33DB9C8E">
            <w:pPr>
              <w:pStyle w:val="9"/>
              <w:spacing w:before="28" w:line="360" w:lineRule="exact"/>
              <w:ind w:left="27" w:right="15"/>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spacing w:val="0"/>
                <w:kern w:val="2"/>
                <w:sz w:val="24"/>
                <w:szCs w:val="24"/>
                <w:lang w:eastAsia="zh-CN"/>
              </w:rPr>
              <w:t>身高 1.55米以上，身体健康，品德良好，初中及以上学历，年龄 45 岁（含）以下，保洁以女性为主（至少含</w:t>
            </w:r>
            <w:r>
              <w:rPr>
                <w:rFonts w:hint="eastAsia" w:ascii="Times New Roman" w:hAnsi="Times New Roman" w:eastAsia="宋体" w:cs="Times New Roman"/>
                <w:spacing w:val="0"/>
                <w:kern w:val="2"/>
                <w:sz w:val="24"/>
                <w:szCs w:val="24"/>
                <w:lang w:val="en-US" w:eastAsia="zh-CN"/>
              </w:rPr>
              <w:t>1名男性</w:t>
            </w:r>
            <w:r>
              <w:rPr>
                <w:rFonts w:hint="eastAsia" w:ascii="Times New Roman" w:hAnsi="Times New Roman" w:eastAsia="宋体" w:cs="Times New Roman"/>
                <w:spacing w:val="0"/>
                <w:kern w:val="2"/>
                <w:sz w:val="24"/>
                <w:szCs w:val="24"/>
                <w:lang w:eastAsia="zh-CN"/>
              </w:rPr>
              <w:t xml:space="preserve">），相貌端正，具有 </w:t>
            </w:r>
            <w:r>
              <w:rPr>
                <w:rFonts w:hint="eastAsia" w:ascii="Times New Roman" w:hAnsi="Times New Roman" w:eastAsia="宋体" w:cs="Times New Roman"/>
                <w:kern w:val="2"/>
                <w:sz w:val="24"/>
                <w:szCs w:val="24"/>
                <w:lang w:eastAsia="zh-CN"/>
              </w:rPr>
              <w:t>1</w:t>
            </w:r>
            <w:r>
              <w:rPr>
                <w:rFonts w:hint="eastAsia" w:ascii="Times New Roman" w:hAnsi="Times New Roman" w:eastAsia="宋体" w:cs="Times New Roman"/>
                <w:spacing w:val="0"/>
                <w:kern w:val="2"/>
                <w:sz w:val="24"/>
                <w:szCs w:val="24"/>
                <w:lang w:eastAsia="zh-CN"/>
              </w:rPr>
              <w:t xml:space="preserve"> 年以上办公楼保洁工作经验。进场前提供具备有效期内的《北京市从业人员健康证明》。</w:t>
            </w:r>
          </w:p>
        </w:tc>
      </w:tr>
      <w:tr w14:paraId="463AE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noWrap w:val="0"/>
            <w:vAlign w:val="center"/>
          </w:tcPr>
          <w:p w14:paraId="5A4E6065">
            <w:pPr>
              <w:pStyle w:val="9"/>
              <w:spacing w:before="1" w:line="360" w:lineRule="exact"/>
              <w:ind w:left="10"/>
              <w:jc w:val="center"/>
              <w:rPr>
                <w:rFonts w:hint="eastAsia" w:ascii="Times New Roman" w:hAnsi="Times New Roman" w:eastAsia="宋体" w:cs="Times New Roman"/>
                <w:spacing w:val="0"/>
                <w:kern w:val="2"/>
                <w:sz w:val="24"/>
                <w:szCs w:val="24"/>
                <w:lang w:eastAsia="zh-CN"/>
              </w:rPr>
            </w:pPr>
            <w:r>
              <w:rPr>
                <w:rFonts w:hint="eastAsia" w:ascii="Times New Roman" w:hAnsi="Times New Roman" w:eastAsia="宋体" w:cs="Times New Roman"/>
                <w:spacing w:val="0"/>
                <w:kern w:val="2"/>
                <w:sz w:val="24"/>
                <w:szCs w:val="24"/>
                <w:lang w:eastAsia="zh-CN"/>
              </w:rPr>
              <w:t>消防主管</w:t>
            </w:r>
          </w:p>
        </w:tc>
        <w:tc>
          <w:tcPr>
            <w:tcW w:w="7613" w:type="dxa"/>
            <w:noWrap w:val="0"/>
            <w:vAlign w:val="center"/>
          </w:tcPr>
          <w:p w14:paraId="46CCE1D1">
            <w:pPr>
              <w:widowControl/>
              <w:spacing w:before="28" w:line="360" w:lineRule="exact"/>
              <w:ind w:left="27" w:right="15"/>
              <w:jc w:val="left"/>
              <w:rPr>
                <w:rFonts w:hint="eastAsia" w:ascii="Times New Roman" w:hAnsi="Times New Roman" w:eastAsia="宋体" w:cs="Times New Roman"/>
                <w:spacing w:val="0"/>
                <w:kern w:val="2"/>
                <w:sz w:val="24"/>
                <w:szCs w:val="24"/>
                <w:lang w:eastAsia="zh-CN"/>
              </w:rPr>
            </w:pPr>
            <w:r>
              <w:rPr>
                <w:rFonts w:hint="eastAsia" w:ascii="Times New Roman" w:hAnsi="Times New Roman" w:eastAsia="宋体" w:cs="Times New Roman"/>
                <w:spacing w:val="0"/>
                <w:kern w:val="2"/>
                <w:sz w:val="24"/>
                <w:szCs w:val="24"/>
                <w:lang w:eastAsia="zh-CN"/>
              </w:rPr>
              <w:t>具有专科（含）以上学历，年龄 50 岁（含）以下；持有</w:t>
            </w:r>
            <w:r>
              <w:rPr>
                <w:rFonts w:hint="eastAsia" w:ascii="Times New Roman" w:hAnsi="Times New Roman" w:cs="Times New Roman"/>
                <w:spacing w:val="0"/>
                <w:kern w:val="2"/>
                <w:sz w:val="24"/>
                <w:szCs w:val="24"/>
                <w:lang w:eastAsia="zh-CN"/>
              </w:rPr>
              <w:t>《</w:t>
            </w:r>
            <w:r>
              <w:rPr>
                <w:rFonts w:ascii="sans-serif" w:hAnsi="sans-serif" w:eastAsia="sans-serif" w:cs="sans-serif"/>
                <w:i w:val="0"/>
                <w:caps w:val="0"/>
                <w:color w:val="000000"/>
                <w:spacing w:val="0"/>
                <w:kern w:val="0"/>
                <w:sz w:val="24"/>
                <w:szCs w:val="24"/>
                <w:lang w:val="en-US" w:eastAsia="zh-CN" w:bidi="ar"/>
              </w:rPr>
              <w:t> </w:t>
            </w:r>
            <w:r>
              <w:rPr>
                <w:rFonts w:hint="eastAsia" w:ascii="sans-serif" w:hAnsi="sans-serif" w:eastAsia="sans-serif" w:cs="sans-serif"/>
                <w:i w:val="0"/>
                <w:caps w:val="0"/>
                <w:color w:val="000000"/>
                <w:spacing w:val="0"/>
                <w:kern w:val="0"/>
                <w:sz w:val="24"/>
                <w:szCs w:val="24"/>
                <w:lang w:val="en-US" w:eastAsia="zh-CN" w:bidi="ar"/>
              </w:rPr>
              <w:t>一</w:t>
            </w:r>
            <w:r>
              <w:rPr>
                <w:rFonts w:hint="default" w:ascii="sans-serif" w:hAnsi="sans-serif" w:eastAsia="sans-serif" w:cs="sans-serif"/>
                <w:i w:val="0"/>
                <w:caps w:val="0"/>
                <w:color w:val="000000"/>
                <w:spacing w:val="0"/>
                <w:kern w:val="0"/>
                <w:sz w:val="24"/>
                <w:szCs w:val="24"/>
                <w:lang w:val="en-US" w:eastAsia="zh-CN" w:bidi="ar"/>
              </w:rPr>
              <w:t>级消防工程师</w:t>
            </w:r>
            <w:r>
              <w:rPr>
                <w:rFonts w:hint="eastAsia" w:ascii="Times New Roman" w:hAnsi="Times New Roman" w:cs="Times New Roman"/>
                <w:spacing w:val="0"/>
                <w:kern w:val="2"/>
                <w:sz w:val="24"/>
                <w:szCs w:val="24"/>
                <w:lang w:eastAsia="zh-CN"/>
              </w:rPr>
              <w:t>》</w:t>
            </w:r>
            <w:r>
              <w:rPr>
                <w:rFonts w:hint="eastAsia" w:cs="Times New Roman"/>
                <w:spacing w:val="0"/>
                <w:kern w:val="2"/>
                <w:sz w:val="24"/>
                <w:szCs w:val="24"/>
                <w:lang w:eastAsia="zh-CN"/>
              </w:rPr>
              <w:t>《</w:t>
            </w:r>
            <w:r>
              <w:rPr>
                <w:rFonts w:hint="eastAsia" w:cs="Times New Roman"/>
                <w:spacing w:val="0"/>
                <w:kern w:val="2"/>
                <w:sz w:val="24"/>
                <w:szCs w:val="24"/>
                <w:lang w:val="en-US" w:eastAsia="zh-CN"/>
              </w:rPr>
              <w:t>消防设施操作员</w:t>
            </w:r>
            <w:r>
              <w:rPr>
                <w:rFonts w:hint="eastAsia" w:cs="Times New Roman"/>
                <w:spacing w:val="0"/>
                <w:kern w:val="2"/>
                <w:sz w:val="24"/>
                <w:szCs w:val="24"/>
                <w:lang w:eastAsia="zh-CN"/>
              </w:rPr>
              <w:t>》《</w:t>
            </w:r>
            <w:r>
              <w:rPr>
                <w:rFonts w:hint="eastAsia" w:cs="Times New Roman"/>
                <w:spacing w:val="0"/>
                <w:kern w:val="2"/>
                <w:sz w:val="24"/>
                <w:szCs w:val="24"/>
                <w:lang w:val="en-US" w:eastAsia="zh-CN"/>
              </w:rPr>
              <w:t>注册消防工程师</w:t>
            </w:r>
            <w:r>
              <w:rPr>
                <w:rFonts w:hint="eastAsia" w:cs="Times New Roman"/>
                <w:spacing w:val="0"/>
                <w:kern w:val="2"/>
                <w:sz w:val="24"/>
                <w:szCs w:val="24"/>
                <w:lang w:eastAsia="zh-CN"/>
              </w:rPr>
              <w:t>》等</w:t>
            </w:r>
            <w:r>
              <w:rPr>
                <w:rFonts w:hint="eastAsia" w:ascii="Times New Roman" w:hAnsi="Times New Roman" w:eastAsia="宋体" w:cs="Times New Roman"/>
                <w:spacing w:val="0"/>
                <w:kern w:val="2"/>
                <w:sz w:val="24"/>
                <w:szCs w:val="24"/>
                <w:lang w:eastAsia="zh-CN"/>
              </w:rPr>
              <w:t>及以上职称证书，了解消防管理等各项安全管理制度，熟悉各种消防器材消防中控室设备操作。具有</w:t>
            </w:r>
            <w:r>
              <w:rPr>
                <w:rFonts w:hint="eastAsia" w:ascii="Times New Roman" w:hAnsi="Times New Roman" w:eastAsia="宋体" w:cs="Times New Roman"/>
                <w:kern w:val="2"/>
                <w:sz w:val="24"/>
                <w:szCs w:val="24"/>
                <w:lang w:val="en-US" w:eastAsia="zh-CN"/>
              </w:rPr>
              <w:t>5</w:t>
            </w:r>
            <w:r>
              <w:rPr>
                <w:rFonts w:hint="eastAsia" w:ascii="Times New Roman" w:hAnsi="Times New Roman" w:eastAsia="宋体" w:cs="Times New Roman"/>
                <w:spacing w:val="0"/>
                <w:kern w:val="2"/>
                <w:sz w:val="24"/>
                <w:szCs w:val="24"/>
                <w:lang w:eastAsia="zh-CN"/>
              </w:rPr>
              <w:t>年以上的消防管理工作经验。</w:t>
            </w:r>
          </w:p>
        </w:tc>
      </w:tr>
    </w:tbl>
    <w:p w14:paraId="5481FCAA"/>
    <w:p w14:paraId="4FF6DDBD">
      <w:pPr>
        <w:adjustRightInd w:val="0"/>
        <w:snapToGrid w:val="0"/>
        <w:spacing w:line="560" w:lineRule="exact"/>
        <w:ind w:firstLine="480" w:firstLineChars="200"/>
        <w:rPr>
          <w:rFonts w:hint="eastAsia" w:ascii="宋体" w:hAnsi="宋体" w:eastAsia="宋体" w:cs="宋体"/>
          <w:sz w:val="24"/>
        </w:rPr>
      </w:pPr>
    </w:p>
    <w:p w14:paraId="465E0A71">
      <w:pPr>
        <w:adjustRightInd w:val="0"/>
        <w:snapToGrid w:val="0"/>
        <w:spacing w:line="560" w:lineRule="exact"/>
        <w:ind w:firstLine="480" w:firstLineChars="200"/>
        <w:rPr>
          <w:rFonts w:hint="eastAsia" w:ascii="宋体" w:hAnsi="宋体" w:eastAsia="宋体" w:cs="宋体"/>
          <w:sz w:val="24"/>
        </w:rPr>
      </w:pPr>
    </w:p>
    <w:p w14:paraId="10E5E58C">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政策性采购需求</w:t>
      </w:r>
    </w:p>
    <w:p w14:paraId="622D341C">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40D20493">
      <w:pPr>
        <w:adjustRightInd w:val="0"/>
        <w:snapToGrid w:val="0"/>
        <w:spacing w:line="560" w:lineRule="exact"/>
        <w:ind w:firstLine="480" w:firstLineChars="200"/>
        <w:rPr>
          <w:rFonts w:hint="eastAsia" w:ascii="宋体" w:hAnsi="宋体" w:eastAsia="宋体" w:cs="宋体"/>
          <w:sz w:val="24"/>
        </w:rPr>
      </w:pPr>
    </w:p>
    <w:p w14:paraId="3062498F">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45108B03">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1.在招标（交易发起）文件规定的投标（交易响应）截止日起的投标（交易响应）有效期内撤销其投标（交易响应）的；</w:t>
      </w:r>
    </w:p>
    <w:p w14:paraId="47F83CA7">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2.因供应商自身原因或其他客观情况造成合同履约超期，或经过采购人催告后仍故意或拒绝履行合同义务的；</w:t>
      </w:r>
    </w:p>
    <w:p w14:paraId="788CAE1A">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3.因供应商其自身严重或持续的履约缺陷，导致合同被提前终止、索赔或其他类似制裁的；</w:t>
      </w:r>
    </w:p>
    <w:p w14:paraId="59078B79">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4.存在拖欠工资的；</w:t>
      </w:r>
    </w:p>
    <w:p w14:paraId="0F34FB82">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5.存在《京津冀政府采购负面行为清单》（冀财采〔2024〕18号）规定的供应商负面行为的：</w:t>
      </w:r>
    </w:p>
    <w:p w14:paraId="7D28D2D8">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（1）具有关联或存在利益冲突的供应商违规参加同一政府采购项目；</w:t>
      </w:r>
    </w:p>
    <w:p w14:paraId="3E1AD9EF">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（2）供应商不公平竞争；</w:t>
      </w:r>
    </w:p>
    <w:p w14:paraId="6C4820C8">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（3）供应商恶意串通；</w:t>
      </w:r>
    </w:p>
    <w:p w14:paraId="0C53A619">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（4）其他串通行为；</w:t>
      </w:r>
    </w:p>
    <w:p w14:paraId="0B6ECCA9">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（5）未按规定签订合同；</w:t>
      </w:r>
    </w:p>
    <w:p w14:paraId="0E969AF8">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（6）未按规定履行合同；</w:t>
      </w:r>
    </w:p>
    <w:p w14:paraId="2293F40D">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（7）在监督检查和投诉处理中提供虚假材料。</w:t>
      </w:r>
    </w:p>
    <w:p w14:paraId="73624AC8">
      <w:pPr>
        <w:rPr>
          <w:rFonts w:hint="eastAsia"/>
        </w:rPr>
      </w:pPr>
    </w:p>
    <w:p w14:paraId="16B11E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F5119E"/>
    <w:multiLevelType w:val="singleLevel"/>
    <w:tmpl w:val="7BF5119E"/>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6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customStyle="1" w:styleId="4">
    <w:name w:val="目录 11"/>
    <w:next w:val="1"/>
    <w:qFormat/>
    <w:uiPriority w:val="0"/>
    <w:pPr>
      <w:wordWrap w:val="0"/>
      <w:jc w:val="both"/>
    </w:pPr>
    <w:rPr>
      <w:rFonts w:ascii="Calibri" w:hAnsi="Calibri" w:eastAsia="宋体" w:cs="Calibri"/>
      <w:sz w:val="21"/>
      <w:szCs w:val="22"/>
      <w:lang w:val="en-US" w:eastAsia="zh-CN" w:bidi="ar-SA"/>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2026-05-12T07:51:32Z</dcterms:created>
  <dc:creator>luozhao</dc:creator>
  <cp:lastModifiedBy>LZ</cp:lastModifiedBy>
  <dcterms:modified xsi:type="dcterms:W3CDTF">2026-05-12T07:55:35Z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D61613B160BC42819D276C2D57565FA5_12</vt:lpwstr>
  </property>
</Properties>
</file>