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D8A7">
      <w:pPr>
        <w:spacing w:line="360" w:lineRule="auto"/>
        <w:jc w:val="center"/>
        <w:outlineLvl w:val="0"/>
        <w:rPr>
          <w:b/>
          <w:sz w:val="36"/>
          <w:szCs w:val="36"/>
        </w:rPr>
      </w:pPr>
      <w:bookmarkStart w:id="0" w:name="_Toc99301424"/>
      <w:r>
        <w:rPr>
          <w:b/>
          <w:sz w:val="36"/>
          <w:szCs w:val="36"/>
        </w:rPr>
        <w:t xml:space="preserve">第五章   </w:t>
      </w:r>
      <w:bookmarkStart w:id="2" w:name="_GoBack"/>
      <w:r>
        <w:rPr>
          <w:b/>
          <w:sz w:val="36"/>
          <w:szCs w:val="36"/>
        </w:rPr>
        <w:t>采购需求</w:t>
      </w:r>
      <w:bookmarkEnd w:id="2"/>
      <w:bookmarkEnd w:id="0"/>
    </w:p>
    <w:p w14:paraId="5525E80E">
      <w:pPr>
        <w:spacing w:line="360" w:lineRule="auto"/>
        <w:contextualSpacing/>
        <w:rPr>
          <w:sz w:val="24"/>
        </w:rPr>
      </w:pPr>
    </w:p>
    <w:p w14:paraId="4FBE7D3A">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tbl>
      <w:tblPr>
        <w:tblStyle w:val="5"/>
        <w:tblW w:w="8536" w:type="dxa"/>
        <w:tblInd w:w="38" w:type="dxa"/>
        <w:tblLayout w:type="fixed"/>
        <w:tblCellMar>
          <w:top w:w="0" w:type="dxa"/>
          <w:left w:w="0" w:type="dxa"/>
          <w:bottom w:w="0" w:type="dxa"/>
          <w:right w:w="0" w:type="dxa"/>
        </w:tblCellMar>
      </w:tblPr>
      <w:tblGrid>
        <w:gridCol w:w="557"/>
        <w:gridCol w:w="1703"/>
        <w:gridCol w:w="1546"/>
        <w:gridCol w:w="740"/>
        <w:gridCol w:w="2040"/>
        <w:gridCol w:w="800"/>
        <w:gridCol w:w="1150"/>
      </w:tblGrid>
      <w:tr w14:paraId="2251BDF6">
        <w:tblPrEx>
          <w:tblCellMar>
            <w:top w:w="0" w:type="dxa"/>
            <w:left w:w="0" w:type="dxa"/>
            <w:bottom w:w="0" w:type="dxa"/>
            <w:right w:w="0" w:type="dxa"/>
          </w:tblCellMar>
        </w:tblPrEx>
        <w:trPr>
          <w:trHeight w:val="709" w:hRule="atLeast"/>
        </w:trPr>
        <w:tc>
          <w:tcPr>
            <w:tcW w:w="557" w:type="dxa"/>
            <w:tcBorders>
              <w:top w:val="single" w:color="000000" w:sz="4" w:space="0"/>
              <w:left w:val="single" w:color="000000" w:sz="4" w:space="0"/>
              <w:bottom w:val="single" w:color="auto" w:sz="4" w:space="0"/>
              <w:right w:val="single" w:color="000000" w:sz="4" w:space="0"/>
              <w:tl2br w:val="nil"/>
              <w:tr2bl w:val="nil"/>
            </w:tcBorders>
            <w:tcMar>
              <w:top w:w="10" w:type="dxa"/>
              <w:left w:w="10" w:type="dxa"/>
              <w:right w:w="10" w:type="dxa"/>
            </w:tcMar>
            <w:vAlign w:val="center"/>
          </w:tcPr>
          <w:p w14:paraId="0F459EAA">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1703" w:type="dxa"/>
            <w:tcBorders>
              <w:top w:val="single" w:color="000000" w:sz="4" w:space="0"/>
              <w:left w:val="single" w:color="000000" w:sz="4" w:space="0"/>
              <w:bottom w:val="single" w:color="auto" w:sz="4" w:space="0"/>
              <w:right w:val="single" w:color="000000" w:sz="4" w:space="0"/>
              <w:tl2br w:val="nil"/>
              <w:tr2bl w:val="nil"/>
            </w:tcBorders>
            <w:shd w:val="clear" w:color="auto" w:fill="FFFFFF"/>
            <w:tcMar>
              <w:top w:w="10" w:type="dxa"/>
              <w:left w:w="10" w:type="dxa"/>
              <w:right w:w="10" w:type="dxa"/>
            </w:tcMar>
            <w:vAlign w:val="center"/>
          </w:tcPr>
          <w:p w14:paraId="239013DE">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标的名称</w:t>
            </w:r>
          </w:p>
        </w:tc>
        <w:tc>
          <w:tcPr>
            <w:tcW w:w="1546" w:type="dxa"/>
            <w:tcBorders>
              <w:top w:val="single" w:color="000000" w:sz="4" w:space="0"/>
              <w:left w:val="single" w:color="000000" w:sz="4" w:space="0"/>
              <w:bottom w:val="single" w:color="auto" w:sz="4" w:space="0"/>
              <w:right w:val="single" w:color="000000" w:sz="4" w:space="0"/>
              <w:tl2br w:val="nil"/>
              <w:tr2bl w:val="nil"/>
            </w:tcBorders>
            <w:tcMar>
              <w:top w:w="10" w:type="dxa"/>
              <w:left w:w="10" w:type="dxa"/>
              <w:right w:w="10" w:type="dxa"/>
            </w:tcMar>
            <w:vAlign w:val="center"/>
          </w:tcPr>
          <w:p w14:paraId="63FE2312">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是否允许进口产品参与投标</w:t>
            </w:r>
          </w:p>
        </w:tc>
        <w:tc>
          <w:tcPr>
            <w:tcW w:w="740" w:type="dxa"/>
            <w:tcBorders>
              <w:top w:val="single" w:color="000000" w:sz="4" w:space="0"/>
              <w:left w:val="single" w:color="000000" w:sz="4" w:space="0"/>
              <w:bottom w:val="single" w:color="auto" w:sz="4" w:space="0"/>
              <w:right w:val="single" w:color="000000" w:sz="4" w:space="0"/>
              <w:tl2br w:val="nil"/>
              <w:tr2bl w:val="nil"/>
            </w:tcBorders>
            <w:tcMar>
              <w:top w:w="10" w:type="dxa"/>
              <w:left w:w="10" w:type="dxa"/>
              <w:right w:w="10" w:type="dxa"/>
            </w:tcMar>
            <w:vAlign w:val="center"/>
          </w:tcPr>
          <w:p w14:paraId="31D89207">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数量</w:t>
            </w:r>
          </w:p>
        </w:tc>
        <w:tc>
          <w:tcPr>
            <w:tcW w:w="2040" w:type="dxa"/>
            <w:tcBorders>
              <w:top w:val="single" w:color="000000" w:sz="4" w:space="0"/>
              <w:left w:val="single" w:color="000000" w:sz="4" w:space="0"/>
              <w:bottom w:val="single" w:color="auto" w:sz="4" w:space="0"/>
              <w:right w:val="single" w:color="000000" w:sz="4" w:space="0"/>
              <w:tl2br w:val="nil"/>
              <w:tr2bl w:val="nil"/>
            </w:tcBorders>
            <w:tcMar>
              <w:top w:w="10" w:type="dxa"/>
              <w:left w:w="10" w:type="dxa"/>
              <w:right w:w="10" w:type="dxa"/>
            </w:tcMar>
            <w:vAlign w:val="center"/>
          </w:tcPr>
          <w:p w14:paraId="7F4B7FBA">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交货期</w:t>
            </w:r>
          </w:p>
        </w:tc>
        <w:tc>
          <w:tcPr>
            <w:tcW w:w="800" w:type="dxa"/>
            <w:tcBorders>
              <w:top w:val="single" w:color="000000" w:sz="4" w:space="0"/>
              <w:left w:val="single" w:color="000000" w:sz="4" w:space="0"/>
              <w:bottom w:val="single" w:color="auto" w:sz="4" w:space="0"/>
              <w:right w:val="single" w:color="000000" w:sz="4" w:space="0"/>
              <w:tl2br w:val="nil"/>
              <w:tr2bl w:val="nil"/>
            </w:tcBorders>
            <w:tcMar>
              <w:top w:w="10" w:type="dxa"/>
              <w:left w:w="10" w:type="dxa"/>
              <w:right w:w="10" w:type="dxa"/>
            </w:tcMar>
            <w:vAlign w:val="center"/>
          </w:tcPr>
          <w:p w14:paraId="74AE1804">
            <w:pPr>
              <w:widowControl/>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交货</w:t>
            </w:r>
          </w:p>
          <w:p w14:paraId="24FAC035">
            <w:pPr>
              <w:widowControl/>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地点</w:t>
            </w:r>
          </w:p>
        </w:tc>
        <w:tc>
          <w:tcPr>
            <w:tcW w:w="1150" w:type="dxa"/>
            <w:tcBorders>
              <w:top w:val="single" w:color="000000" w:sz="4" w:space="0"/>
              <w:left w:val="single" w:color="000000" w:sz="4" w:space="0"/>
              <w:bottom w:val="single" w:color="auto" w:sz="4" w:space="0"/>
              <w:right w:val="single" w:color="000000" w:sz="4" w:space="0"/>
              <w:tl2br w:val="nil"/>
              <w:tr2bl w:val="nil"/>
            </w:tcBorders>
            <w:tcMar>
              <w:top w:w="10" w:type="dxa"/>
              <w:left w:w="10" w:type="dxa"/>
              <w:right w:w="10" w:type="dxa"/>
            </w:tcMar>
            <w:vAlign w:val="center"/>
          </w:tcPr>
          <w:p w14:paraId="1B7A789C">
            <w:pPr>
              <w:widowControl/>
              <w:jc w:val="center"/>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采购标的所属行业</w:t>
            </w:r>
          </w:p>
        </w:tc>
      </w:tr>
      <w:tr w14:paraId="45B94598">
        <w:tblPrEx>
          <w:tblCellMar>
            <w:top w:w="0" w:type="dxa"/>
            <w:left w:w="0" w:type="dxa"/>
            <w:bottom w:w="0" w:type="dxa"/>
            <w:right w:w="0" w:type="dxa"/>
          </w:tblCellMar>
        </w:tblPrEx>
        <w:trPr>
          <w:trHeight w:val="1081" w:hRule="atLeast"/>
        </w:trPr>
        <w:tc>
          <w:tcPr>
            <w:tcW w:w="557" w:type="dxa"/>
            <w:tcBorders>
              <w:top w:val="single" w:color="auto" w:sz="4" w:space="0"/>
              <w:left w:val="single" w:color="auto" w:sz="4" w:space="0"/>
              <w:bottom w:val="single" w:color="auto" w:sz="4" w:space="0"/>
              <w:right w:val="single" w:color="000000" w:sz="4" w:space="0"/>
              <w:tl2br w:val="nil"/>
              <w:tr2bl w:val="nil"/>
            </w:tcBorders>
            <w:noWrap/>
            <w:tcMar>
              <w:top w:w="10" w:type="dxa"/>
              <w:left w:w="10" w:type="dxa"/>
              <w:right w:w="10" w:type="dxa"/>
            </w:tcMar>
            <w:vAlign w:val="center"/>
          </w:tcPr>
          <w:p w14:paraId="034D8D0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703" w:type="dxa"/>
            <w:tcBorders>
              <w:top w:val="single" w:color="auto" w:sz="4" w:space="0"/>
              <w:left w:val="single" w:color="000000" w:sz="4" w:space="0"/>
              <w:bottom w:val="single" w:color="auto" w:sz="4" w:space="0"/>
              <w:right w:val="single" w:color="000000" w:sz="4" w:space="0"/>
              <w:tl2br w:val="nil"/>
              <w:tr2bl w:val="nil"/>
            </w:tcBorders>
            <w:shd w:val="clear" w:color="auto" w:fill="FFFFFF"/>
            <w:tcMar>
              <w:top w:w="10" w:type="dxa"/>
              <w:left w:w="10" w:type="dxa"/>
              <w:right w:w="10" w:type="dxa"/>
            </w:tcMar>
            <w:vAlign w:val="center"/>
          </w:tcPr>
          <w:p w14:paraId="1FAD6E39">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中近红外显微成像光谱系统</w:t>
            </w:r>
          </w:p>
        </w:tc>
        <w:tc>
          <w:tcPr>
            <w:tcW w:w="1546" w:type="dxa"/>
            <w:tcBorders>
              <w:top w:val="single" w:color="auto" w:sz="4" w:space="0"/>
              <w:left w:val="single" w:color="000000" w:sz="4" w:space="0"/>
              <w:bottom w:val="single" w:color="auto" w:sz="4" w:space="0"/>
              <w:right w:val="single" w:color="000000" w:sz="4" w:space="0"/>
              <w:tl2br w:val="nil"/>
              <w:tr2bl w:val="nil"/>
            </w:tcBorders>
            <w:noWrap/>
            <w:tcMar>
              <w:top w:w="10" w:type="dxa"/>
              <w:left w:w="10" w:type="dxa"/>
              <w:right w:w="10" w:type="dxa"/>
            </w:tcMar>
            <w:vAlign w:val="center"/>
          </w:tcPr>
          <w:p w14:paraId="4F74B8DB">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kern w:val="0"/>
                <w:sz w:val="24"/>
                <w:szCs w:val="24"/>
              </w:rPr>
              <w:t>否</w:t>
            </w:r>
          </w:p>
        </w:tc>
        <w:tc>
          <w:tcPr>
            <w:tcW w:w="740" w:type="dxa"/>
            <w:tcBorders>
              <w:top w:val="single" w:color="auto" w:sz="4" w:space="0"/>
              <w:left w:val="single" w:color="000000" w:sz="4" w:space="0"/>
              <w:bottom w:val="single" w:color="auto" w:sz="4" w:space="0"/>
              <w:right w:val="single" w:color="000000" w:sz="4" w:space="0"/>
              <w:tl2br w:val="nil"/>
              <w:tr2bl w:val="nil"/>
            </w:tcBorders>
            <w:noWrap/>
            <w:tcMar>
              <w:top w:w="10" w:type="dxa"/>
              <w:left w:w="10" w:type="dxa"/>
              <w:right w:w="10" w:type="dxa"/>
            </w:tcMar>
            <w:vAlign w:val="center"/>
          </w:tcPr>
          <w:p w14:paraId="48DA9D31">
            <w:pPr>
              <w:widowControl/>
              <w:spacing w:line="360" w:lineRule="auto"/>
              <w:jc w:val="center"/>
              <w:rPr>
                <w:rFonts w:hint="eastAsia" w:ascii="宋体" w:hAnsi="宋体" w:eastAsia="宋体" w:cs="宋体"/>
                <w:color w:val="000000"/>
                <w:sz w:val="24"/>
                <w:szCs w:val="24"/>
              </w:rPr>
            </w:pPr>
            <w:r>
              <w:rPr>
                <w:rFonts w:hint="eastAsia" w:ascii="宋体" w:hAnsi="宋体" w:eastAsia="宋体" w:cs="宋体"/>
                <w:sz w:val="24"/>
                <w:szCs w:val="24"/>
              </w:rPr>
              <w:t>1台</w:t>
            </w:r>
          </w:p>
        </w:tc>
        <w:tc>
          <w:tcPr>
            <w:tcW w:w="2040" w:type="dxa"/>
            <w:tcBorders>
              <w:top w:val="single" w:color="auto" w:sz="4" w:space="0"/>
              <w:left w:val="single" w:color="000000" w:sz="4" w:space="0"/>
              <w:bottom w:val="single" w:color="auto" w:sz="4" w:space="0"/>
              <w:right w:val="single" w:color="000000" w:sz="4" w:space="0"/>
              <w:tl2br w:val="nil"/>
              <w:tr2bl w:val="nil"/>
            </w:tcBorders>
            <w:tcMar>
              <w:top w:w="10" w:type="dxa"/>
              <w:left w:w="10" w:type="dxa"/>
              <w:right w:w="10" w:type="dxa"/>
            </w:tcMar>
            <w:vAlign w:val="center"/>
          </w:tcPr>
          <w:p w14:paraId="065A86C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合同签订后</w:t>
            </w:r>
            <w:r>
              <w:rPr>
                <w:rFonts w:hint="eastAsia" w:ascii="宋体" w:hAnsi="宋体" w:eastAsia="宋体" w:cs="宋体"/>
                <w:kern w:val="0"/>
                <w:sz w:val="24"/>
                <w:szCs w:val="24"/>
              </w:rPr>
              <w:t>120</w:t>
            </w:r>
            <w:r>
              <w:rPr>
                <w:rFonts w:hint="eastAsia" w:ascii="宋体" w:hAnsi="宋体" w:eastAsia="宋体" w:cs="宋体"/>
                <w:color w:val="000000"/>
                <w:kern w:val="0"/>
                <w:sz w:val="24"/>
                <w:szCs w:val="24"/>
                <w:lang w:bidi="ar"/>
              </w:rPr>
              <w:t>个日历天内完成货物的供货及安装调试</w:t>
            </w:r>
          </w:p>
        </w:tc>
        <w:tc>
          <w:tcPr>
            <w:tcW w:w="800" w:type="dxa"/>
            <w:tcBorders>
              <w:top w:val="single" w:color="auto" w:sz="4" w:space="0"/>
              <w:left w:val="single" w:color="000000" w:sz="4" w:space="0"/>
              <w:bottom w:val="single" w:color="auto" w:sz="4" w:space="0"/>
              <w:right w:val="single" w:color="auto" w:sz="4" w:space="0"/>
              <w:tl2br w:val="nil"/>
              <w:tr2bl w:val="nil"/>
            </w:tcBorders>
            <w:tcMar>
              <w:top w:w="10" w:type="dxa"/>
              <w:left w:w="10" w:type="dxa"/>
              <w:right w:w="10" w:type="dxa"/>
            </w:tcMar>
            <w:vAlign w:val="center"/>
          </w:tcPr>
          <w:p w14:paraId="6D83525F">
            <w:pPr>
              <w:pStyle w:val="4"/>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北京市农林科学院</w:t>
            </w:r>
          </w:p>
        </w:tc>
        <w:tc>
          <w:tcPr>
            <w:tcW w:w="1150" w:type="dxa"/>
            <w:tcBorders>
              <w:top w:val="single" w:color="auto" w:sz="4" w:space="0"/>
              <w:left w:val="single" w:color="auto" w:sz="4" w:space="0"/>
              <w:bottom w:val="single" w:color="auto" w:sz="4" w:space="0"/>
              <w:right w:val="single" w:color="auto" w:sz="4" w:space="0"/>
              <w:tl2br w:val="nil"/>
              <w:tr2bl w:val="nil"/>
            </w:tcBorders>
            <w:tcMar>
              <w:top w:w="10" w:type="dxa"/>
              <w:left w:w="10" w:type="dxa"/>
              <w:right w:w="10" w:type="dxa"/>
            </w:tcMar>
            <w:vAlign w:val="center"/>
          </w:tcPr>
          <w:p w14:paraId="1B6D05EC">
            <w:pPr>
              <w:pStyle w:val="4"/>
              <w:jc w:val="center"/>
              <w:rPr>
                <w:rFonts w:hint="eastAsia" w:ascii="宋体" w:hAnsi="宋体" w:eastAsia="宋体" w:cs="宋体"/>
                <w:color w:val="000000"/>
                <w:kern w:val="0"/>
                <w:sz w:val="24"/>
                <w:szCs w:val="24"/>
                <w:lang w:bidi="ar"/>
              </w:rPr>
            </w:pPr>
            <w:r>
              <w:rPr>
                <w:rFonts w:hint="eastAsia" w:ascii="宋体" w:hAnsi="宋体" w:eastAsia="宋体" w:cs="宋体"/>
                <w:color w:val="000000"/>
                <w:sz w:val="24"/>
                <w:szCs w:val="24"/>
              </w:rPr>
              <w:t>工业</w:t>
            </w:r>
          </w:p>
        </w:tc>
      </w:tr>
    </w:tbl>
    <w:p w14:paraId="7DDCB883">
      <w:pPr>
        <w:spacing w:before="156" w:beforeLines="50"/>
        <w:ind w:left="482" w:hanging="482"/>
        <w:jc w:val="left"/>
        <w:rPr>
          <w:rFonts w:hint="eastAsia"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sz w:val="24"/>
          <w:szCs w:val="24"/>
        </w:rPr>
        <w:t>：</w:t>
      </w:r>
      <w:r>
        <w:rPr>
          <w:rFonts w:hint="eastAsia" w:ascii="宋体" w:hAnsi="宋体" w:eastAsia="宋体" w:cs="宋体"/>
          <w:b/>
          <w:sz w:val="24"/>
          <w:szCs w:val="24"/>
        </w:rPr>
        <w:t>完成上述设备的供货、运输、安装、调试、配合后期验收、使用培训、售后服务、质保等。</w:t>
      </w:r>
    </w:p>
    <w:p w14:paraId="31721C9F">
      <w:pPr>
        <w:spacing w:line="360" w:lineRule="auto"/>
        <w:ind w:firstLine="482"/>
        <w:contextualSpacing/>
        <w:rPr>
          <w:b/>
          <w:sz w:val="24"/>
        </w:rPr>
      </w:pPr>
    </w:p>
    <w:p w14:paraId="291EA77F">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9FA2623">
      <w:pPr>
        <w:spacing w:line="360" w:lineRule="auto"/>
        <w:contextualSpacing/>
        <w:rPr>
          <w:i/>
          <w:sz w:val="24"/>
        </w:rPr>
      </w:pPr>
      <w:r>
        <w:rPr>
          <w:sz w:val="24"/>
        </w:rPr>
        <w:t>1. 交付时间和地点</w:t>
      </w:r>
    </w:p>
    <w:p w14:paraId="72E2C3D4">
      <w:pPr>
        <w:spacing w:line="360" w:lineRule="auto"/>
        <w:contextualSpacing/>
        <w:rPr>
          <w:rFonts w:hint="eastAsia" w:ascii="宋体" w:hAnsi="宋体" w:eastAsia="宋体" w:cs="宋体"/>
          <w:color w:val="000000"/>
          <w:kern w:val="0"/>
          <w:sz w:val="24"/>
          <w:szCs w:val="24"/>
          <w:lang w:eastAsia="zh-CN" w:bidi="ar"/>
        </w:rPr>
      </w:pPr>
      <w:r>
        <w:rPr>
          <w:sz w:val="24"/>
        </w:rPr>
        <w:t>交付时间</w:t>
      </w:r>
      <w:r>
        <w:rPr>
          <w:rFonts w:hint="eastAsia"/>
          <w:sz w:val="24"/>
          <w:lang w:eastAsia="zh-CN"/>
        </w:rPr>
        <w:t>：</w:t>
      </w:r>
      <w:r>
        <w:rPr>
          <w:rFonts w:hint="eastAsia" w:ascii="宋体" w:hAnsi="宋体" w:eastAsia="宋体" w:cs="宋体"/>
          <w:color w:val="000000"/>
          <w:kern w:val="0"/>
          <w:sz w:val="24"/>
          <w:szCs w:val="24"/>
          <w:lang w:bidi="ar"/>
        </w:rPr>
        <w:t>合同签订后</w:t>
      </w:r>
      <w:r>
        <w:rPr>
          <w:rFonts w:hint="eastAsia" w:ascii="宋体" w:hAnsi="宋体" w:eastAsia="宋体" w:cs="宋体"/>
          <w:kern w:val="0"/>
          <w:sz w:val="24"/>
          <w:szCs w:val="24"/>
        </w:rPr>
        <w:t>120</w:t>
      </w:r>
      <w:r>
        <w:rPr>
          <w:rFonts w:hint="eastAsia" w:ascii="宋体" w:hAnsi="宋体" w:eastAsia="宋体" w:cs="宋体"/>
          <w:color w:val="000000"/>
          <w:kern w:val="0"/>
          <w:sz w:val="24"/>
          <w:szCs w:val="24"/>
          <w:lang w:bidi="ar"/>
        </w:rPr>
        <w:t>个日历天内完成货物的供货及安装调试</w:t>
      </w:r>
      <w:r>
        <w:rPr>
          <w:rFonts w:hint="eastAsia" w:ascii="宋体" w:hAnsi="宋体" w:eastAsia="宋体" w:cs="宋体"/>
          <w:color w:val="000000"/>
          <w:kern w:val="0"/>
          <w:sz w:val="24"/>
          <w:szCs w:val="24"/>
          <w:lang w:eastAsia="zh-CN" w:bidi="ar"/>
        </w:rPr>
        <w:t>。</w:t>
      </w:r>
    </w:p>
    <w:p w14:paraId="536024DF">
      <w:pPr>
        <w:spacing w:line="360" w:lineRule="auto"/>
        <w:contextualSpacing/>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地点：</w:t>
      </w:r>
      <w:r>
        <w:rPr>
          <w:rFonts w:hint="eastAsia" w:ascii="宋体" w:hAnsi="宋体" w:eastAsia="宋体" w:cs="宋体"/>
          <w:color w:val="000000"/>
          <w:kern w:val="0"/>
          <w:sz w:val="24"/>
          <w:szCs w:val="24"/>
          <w:lang w:bidi="ar"/>
        </w:rPr>
        <w:t>北京市农林科学院</w:t>
      </w:r>
      <w:r>
        <w:rPr>
          <w:rFonts w:hint="eastAsia" w:ascii="宋体" w:hAnsi="宋体" w:eastAsia="宋体" w:cs="宋体"/>
          <w:color w:val="000000"/>
          <w:kern w:val="0"/>
          <w:sz w:val="24"/>
          <w:szCs w:val="24"/>
          <w:lang w:eastAsia="zh-CN" w:bidi="ar"/>
        </w:rPr>
        <w:t>。</w:t>
      </w:r>
    </w:p>
    <w:p w14:paraId="0BCEE421">
      <w:pPr>
        <w:spacing w:line="360" w:lineRule="auto"/>
        <w:contextualSpacing/>
        <w:rPr>
          <w:sz w:val="24"/>
        </w:rPr>
      </w:pPr>
      <w:r>
        <w:rPr>
          <w:sz w:val="24"/>
        </w:rPr>
        <w:t>2. 付款条件（进度和方式）</w:t>
      </w:r>
    </w:p>
    <w:p w14:paraId="5F6B6504">
      <w:pPr>
        <w:spacing w:line="360" w:lineRule="auto"/>
        <w:contextualSpacing/>
        <w:rPr>
          <w:rFonts w:hint="default" w:eastAsia="宋体"/>
          <w:bCs/>
          <w:sz w:val="24"/>
          <w:lang w:val="en-US" w:eastAsia="zh-CN"/>
        </w:rPr>
      </w:pPr>
      <w:r>
        <w:rPr>
          <w:rFonts w:hint="eastAsia"/>
          <w:bCs/>
          <w:sz w:val="24"/>
          <w:lang w:val="en-US" w:eastAsia="zh-CN"/>
        </w:rPr>
        <w:t>详见合同</w:t>
      </w:r>
    </w:p>
    <w:p w14:paraId="604B4B50">
      <w:pPr>
        <w:spacing w:line="360" w:lineRule="auto"/>
        <w:contextualSpacing/>
        <w:rPr>
          <w:sz w:val="24"/>
        </w:rPr>
      </w:pPr>
      <w:r>
        <w:rPr>
          <w:sz w:val="24"/>
        </w:rPr>
        <w:t>3. 包装和运输（如适用，须满足《关于印发〈商品包装政府采购需求标准（试行）〉、〈快递包装政府采购需求标准（试行）〉的通知》（财办库﹝2020﹞123号））</w:t>
      </w:r>
    </w:p>
    <w:p w14:paraId="4D4EE1A2">
      <w:pPr>
        <w:spacing w:line="360" w:lineRule="auto"/>
        <w:contextualSpacing/>
        <w:rPr>
          <w:sz w:val="24"/>
        </w:rPr>
      </w:pPr>
      <w:r>
        <w:rPr>
          <w:rFonts w:hint="eastAsia"/>
          <w:bCs/>
          <w:sz w:val="24"/>
          <w:lang w:val="en-US" w:eastAsia="zh-CN"/>
        </w:rPr>
        <w:t>详见合同</w:t>
      </w:r>
    </w:p>
    <w:p w14:paraId="5BB7AA3D">
      <w:pPr>
        <w:spacing w:line="360" w:lineRule="auto"/>
        <w:contextualSpacing/>
        <w:rPr>
          <w:sz w:val="24"/>
        </w:rPr>
      </w:pPr>
      <w:r>
        <w:rPr>
          <w:sz w:val="24"/>
        </w:rPr>
        <w:t>4. 售后服务（质保期）</w:t>
      </w:r>
    </w:p>
    <w:p w14:paraId="5D597BD3">
      <w:pPr>
        <w:spacing w:line="360" w:lineRule="auto"/>
        <w:contextualSpacing/>
        <w:rPr>
          <w:rFonts w:hint="default" w:eastAsia="宋体"/>
          <w:sz w:val="24"/>
          <w:lang w:val="en-US" w:eastAsia="zh-CN"/>
        </w:rPr>
      </w:pPr>
      <w:r>
        <w:rPr>
          <w:rFonts w:hint="eastAsia"/>
          <w:sz w:val="24"/>
          <w:lang w:val="en-US" w:eastAsia="zh-CN"/>
        </w:rPr>
        <w:t>详见技术要求条款</w:t>
      </w:r>
    </w:p>
    <w:p w14:paraId="1673B8DB">
      <w:pPr>
        <w:spacing w:line="360" w:lineRule="auto"/>
        <w:contextualSpacing/>
        <w:rPr>
          <w:b/>
          <w:i/>
          <w:sz w:val="24"/>
        </w:rPr>
      </w:pPr>
      <w:r>
        <w:rPr>
          <w:sz w:val="24"/>
        </w:rPr>
        <w:t>5. 保险</w:t>
      </w:r>
    </w:p>
    <w:p w14:paraId="66C248F7">
      <w:pPr>
        <w:spacing w:line="360" w:lineRule="auto"/>
        <w:contextualSpacing/>
        <w:rPr>
          <w:b/>
          <w:i/>
          <w:sz w:val="24"/>
        </w:rPr>
      </w:pPr>
      <w:r>
        <w:rPr>
          <w:rFonts w:hint="eastAsia"/>
          <w:bCs/>
          <w:sz w:val="24"/>
          <w:lang w:val="en-US" w:eastAsia="zh-CN"/>
        </w:rPr>
        <w:t>详见合同</w:t>
      </w:r>
    </w:p>
    <w:p w14:paraId="691CA190">
      <w:pPr>
        <w:pStyle w:val="7"/>
        <w:numPr>
          <w:ilvl w:val="0"/>
          <w:numId w:val="1"/>
        </w:numPr>
        <w:spacing w:line="360" w:lineRule="auto"/>
        <w:ind w:firstLineChars="0"/>
        <w:contextualSpacing/>
        <w:rPr>
          <w:rFonts w:hint="eastAsia" w:ascii="宋体" w:hAnsi="宋体" w:eastAsia="宋体" w:cs="宋体"/>
          <w:b/>
          <w:sz w:val="24"/>
          <w:szCs w:val="24"/>
        </w:rPr>
      </w:pPr>
      <w:r>
        <w:rPr>
          <w:rFonts w:ascii="Times New Roman" w:hAnsi="Times New Roman"/>
          <w:b/>
          <w:sz w:val="24"/>
          <w:szCs w:val="24"/>
        </w:rPr>
        <w:t>技术要求</w:t>
      </w:r>
    </w:p>
    <w:p w14:paraId="4DC8863A">
      <w:pPr>
        <w:spacing w:before="312" w:beforeLines="100" w:after="156" w:afterLines="50" w:line="360" w:lineRule="auto"/>
        <w:rPr>
          <w:rFonts w:hint="eastAsia" w:ascii="宋体" w:hAnsi="宋体" w:eastAsia="宋体" w:cs="宋体"/>
          <w:b/>
          <w:sz w:val="24"/>
          <w:szCs w:val="24"/>
        </w:rPr>
      </w:pPr>
      <w:bookmarkStart w:id="1" w:name="_Toc111468964"/>
      <w:r>
        <w:rPr>
          <w:rFonts w:hint="eastAsia" w:ascii="宋体" w:hAnsi="宋体" w:eastAsia="宋体" w:cs="宋体"/>
          <w:b/>
          <w:sz w:val="24"/>
          <w:szCs w:val="24"/>
        </w:rPr>
        <w:t>设备参数（包含参数、配置清单等）</w:t>
      </w:r>
    </w:p>
    <w:p w14:paraId="20E87331">
      <w:pPr>
        <w:pStyle w:val="3"/>
        <w:spacing w:line="360" w:lineRule="auto"/>
        <w:rPr>
          <w:rFonts w:hint="eastAsia" w:ascii="宋体" w:hAnsi="宋体" w:eastAsia="宋体" w:cs="宋体"/>
          <w:b/>
          <w:bCs w:val="0"/>
          <w:sz w:val="24"/>
          <w:szCs w:val="24"/>
        </w:rPr>
      </w:pPr>
      <w:r>
        <w:rPr>
          <w:rFonts w:hint="eastAsia" w:ascii="宋体" w:hAnsi="宋体" w:eastAsia="宋体" w:cs="宋体"/>
          <w:b/>
          <w:bCs w:val="0"/>
          <w:sz w:val="24"/>
          <w:szCs w:val="24"/>
        </w:rPr>
        <w:t>以下设备参数中</w:t>
      </w:r>
      <w:r>
        <w:rPr>
          <w:rFonts w:hint="eastAsia"/>
          <w:b/>
          <w:bCs w:val="0"/>
          <w:color w:val="000000" w:themeColor="text1"/>
          <w:sz w:val="24"/>
          <w14:textFill>
            <w14:solidFill>
              <w14:schemeClr w14:val="tx1"/>
            </w14:solidFill>
          </w14:textFill>
        </w:rPr>
        <w:t>“★”条款为废标</w:t>
      </w:r>
      <w:r>
        <w:rPr>
          <w:rFonts w:hint="eastAsia"/>
          <w:b/>
          <w:bCs w:val="0"/>
          <w:color w:val="000000" w:themeColor="text1"/>
          <w:sz w:val="24"/>
          <w:lang w:val="en-US" w:eastAsia="zh-CN"/>
          <w14:textFill>
            <w14:solidFill>
              <w14:schemeClr w14:val="tx1"/>
            </w14:solidFill>
          </w14:textFill>
        </w:rPr>
        <w:t>指标</w:t>
      </w:r>
      <w:r>
        <w:rPr>
          <w:rFonts w:hint="eastAsia"/>
          <w:b/>
          <w:bCs w:val="0"/>
          <w:color w:val="000000" w:themeColor="text1"/>
          <w:sz w:val="24"/>
          <w14:textFill>
            <w14:solidFill>
              <w14:schemeClr w14:val="tx1"/>
            </w14:solidFill>
          </w14:textFill>
        </w:rPr>
        <w:t>；“#”</w:t>
      </w:r>
      <w:r>
        <w:rPr>
          <w:rFonts w:hint="eastAsia" w:ascii="宋体" w:hAnsi="宋体" w:eastAsia="宋体" w:cs="宋体"/>
          <w:b/>
          <w:bCs w:val="0"/>
          <w:sz w:val="24"/>
          <w:szCs w:val="24"/>
        </w:rPr>
        <w:t>条款为重要验收指标</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重要验收指标不满足一项扣3分。</w:t>
      </w:r>
      <w:r>
        <w:rPr>
          <w:rFonts w:hint="eastAsia"/>
          <w:b/>
          <w:bCs w:val="0"/>
          <w:color w:val="000000" w:themeColor="text1"/>
          <w:sz w:val="24"/>
          <w14:textFill>
            <w14:solidFill>
              <w14:schemeClr w14:val="tx1"/>
            </w14:solidFill>
          </w14:textFill>
        </w:rPr>
        <w:t>其他无标记条款为一般条款。</w:t>
      </w:r>
    </w:p>
    <w:bookmarkEnd w:id="1"/>
    <w:p w14:paraId="7A160C23">
      <w:pPr>
        <w:spacing w:line="360" w:lineRule="auto"/>
        <w:jc w:val="center"/>
        <w:rPr>
          <w:rFonts w:hint="eastAsia" w:ascii="宋体" w:hAnsi="宋体" w:eastAsia="宋体" w:cs="宋体"/>
          <w:b/>
          <w:bCs/>
          <w:sz w:val="24"/>
          <w:szCs w:val="24"/>
        </w:rPr>
      </w:pPr>
    </w:p>
    <w:p w14:paraId="2616D50F">
      <w:pPr>
        <w:rPr>
          <w:rFonts w:hint="eastAsia" w:ascii="宋体" w:hAnsi="宋体" w:eastAsia="宋体" w:cs="宋体"/>
          <w:b/>
          <w:bCs/>
          <w:sz w:val="24"/>
          <w:szCs w:val="24"/>
        </w:rPr>
      </w:pPr>
      <w:r>
        <w:rPr>
          <w:rFonts w:hint="eastAsia" w:ascii="宋体" w:hAnsi="宋体" w:eastAsia="宋体" w:cs="宋体"/>
          <w:b/>
          <w:bCs/>
          <w:sz w:val="24"/>
          <w:szCs w:val="24"/>
        </w:rPr>
        <w:br w:type="page"/>
      </w:r>
    </w:p>
    <w:p w14:paraId="02B4622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中近红外显微成像光谱系统</w:t>
      </w:r>
    </w:p>
    <w:p w14:paraId="5D260174">
      <w:pPr>
        <w:spacing w:line="360" w:lineRule="auto"/>
        <w:rPr>
          <w:rFonts w:hint="eastAsia" w:ascii="宋体" w:hAnsi="宋体" w:eastAsia="宋体" w:cs="宋体"/>
          <w:sz w:val="24"/>
          <w:szCs w:val="24"/>
        </w:rPr>
      </w:pPr>
    </w:p>
    <w:p w14:paraId="16129B15">
      <w:pPr>
        <w:spacing w:line="360" w:lineRule="auto"/>
        <w:rPr>
          <w:rFonts w:hint="eastAsia" w:ascii="宋体" w:hAnsi="宋体" w:eastAsia="宋体" w:cs="宋体"/>
          <w:sz w:val="24"/>
          <w:szCs w:val="24"/>
        </w:rPr>
      </w:pPr>
      <w:r>
        <w:rPr>
          <w:rFonts w:hint="eastAsia" w:ascii="宋体" w:hAnsi="宋体" w:eastAsia="宋体" w:cs="宋体"/>
          <w:sz w:val="24"/>
          <w:szCs w:val="24"/>
        </w:rPr>
        <w:t>1.工作条件及用途</w:t>
      </w:r>
    </w:p>
    <w:p w14:paraId="62D43A3C">
      <w:pPr>
        <w:spacing w:line="360" w:lineRule="auto"/>
        <w:rPr>
          <w:rFonts w:hint="eastAsia" w:ascii="宋体" w:hAnsi="宋体" w:eastAsia="宋体" w:cs="宋体"/>
          <w:sz w:val="24"/>
          <w:szCs w:val="24"/>
        </w:rPr>
      </w:pPr>
      <w:r>
        <w:rPr>
          <w:rFonts w:hint="eastAsia" w:ascii="宋体" w:hAnsi="宋体" w:eastAsia="宋体" w:cs="宋体"/>
          <w:sz w:val="24"/>
          <w:szCs w:val="24"/>
        </w:rPr>
        <w:t>1.1 工作条件</w:t>
      </w:r>
    </w:p>
    <w:p w14:paraId="02CB063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电源: 220V10%, 50HZ </w:t>
      </w:r>
    </w:p>
    <w:p w14:paraId="41B9129D">
      <w:pPr>
        <w:spacing w:line="360" w:lineRule="auto"/>
        <w:rPr>
          <w:rFonts w:hint="eastAsia" w:ascii="宋体" w:hAnsi="宋体" w:eastAsia="宋体" w:cs="宋体"/>
          <w:sz w:val="24"/>
          <w:szCs w:val="24"/>
        </w:rPr>
      </w:pPr>
      <w:r>
        <w:rPr>
          <w:rFonts w:hint="eastAsia" w:ascii="宋体" w:hAnsi="宋体" w:eastAsia="宋体" w:cs="宋体"/>
          <w:sz w:val="24"/>
          <w:szCs w:val="24"/>
        </w:rPr>
        <w:t>室温: 15-35℃，在4－35℃也可正常工作</w:t>
      </w:r>
    </w:p>
    <w:p w14:paraId="740BED3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湿度: </w:t>
      </w:r>
      <w:r>
        <w:rPr>
          <w:rFonts w:hint="eastAsia" w:ascii="宋体" w:hAnsi="宋体" w:cs="宋体"/>
          <w:sz w:val="24"/>
          <w:szCs w:val="24"/>
          <w:lang w:val="en-US" w:eastAsia="zh-CN"/>
        </w:rPr>
        <w:t>≤</w:t>
      </w:r>
      <w:r>
        <w:rPr>
          <w:rFonts w:hint="eastAsia" w:ascii="宋体" w:hAnsi="宋体" w:eastAsia="宋体" w:cs="宋体"/>
          <w:sz w:val="24"/>
          <w:szCs w:val="24"/>
        </w:rPr>
        <w:t>70％</w:t>
      </w:r>
    </w:p>
    <w:p w14:paraId="0897980B">
      <w:pPr>
        <w:spacing w:line="360" w:lineRule="auto"/>
        <w:rPr>
          <w:rFonts w:hint="eastAsia" w:ascii="宋体" w:hAnsi="宋体" w:eastAsia="宋体" w:cs="宋体"/>
          <w:sz w:val="24"/>
          <w:szCs w:val="24"/>
        </w:rPr>
      </w:pPr>
      <w:r>
        <w:rPr>
          <w:rFonts w:hint="eastAsia" w:ascii="宋体" w:hAnsi="宋体" w:eastAsia="宋体" w:cs="宋体"/>
          <w:sz w:val="24"/>
          <w:szCs w:val="24"/>
        </w:rPr>
        <w:t>1.2 用途</w:t>
      </w:r>
    </w:p>
    <w:p w14:paraId="3AB0A1A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用于常规及微区非金属材料的分析，进而为非均匀、共混的非金属材料及复合材料的鉴定及定量分析提供强有力的手段</w:t>
      </w:r>
    </w:p>
    <w:p w14:paraId="378D7243">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2.技术参数要求</w:t>
      </w:r>
    </w:p>
    <w:p w14:paraId="486546C3">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主体光路设计：非一体机设计，由用于常规常量样品分析的红外光谱主机及显微成像两部分组成，光源及干涉仪均放置于红外光谱主机内</w:t>
      </w:r>
    </w:p>
    <w:p w14:paraId="7058792F">
      <w:pPr>
        <w:spacing w:line="360" w:lineRule="auto"/>
        <w:rPr>
          <w:rFonts w:hint="eastAsia" w:ascii="宋体" w:hAnsi="宋体" w:eastAsia="宋体" w:cs="宋体"/>
          <w:sz w:val="24"/>
          <w:szCs w:val="24"/>
        </w:rPr>
      </w:pPr>
      <w:r>
        <w:rPr>
          <w:rFonts w:hint="eastAsia" w:ascii="宋体" w:hAnsi="宋体" w:eastAsia="宋体" w:cs="宋体"/>
          <w:sz w:val="24"/>
          <w:szCs w:val="24"/>
        </w:rPr>
        <w:t>2.1 光谱范围：</w:t>
      </w:r>
    </w:p>
    <w:p w14:paraId="0D2DF1D2">
      <w:pPr>
        <w:spacing w:line="360" w:lineRule="auto"/>
        <w:rPr>
          <w:rFonts w:hint="eastAsia" w:ascii="宋体" w:hAnsi="宋体" w:eastAsia="宋体" w:cs="宋体"/>
          <w:sz w:val="24"/>
          <w:szCs w:val="24"/>
        </w:rPr>
      </w:pPr>
      <w:r>
        <w:rPr>
          <w:rFonts w:hint="eastAsia" w:ascii="宋体" w:hAnsi="宋体" w:eastAsia="宋体" w:cs="宋体"/>
          <w:sz w:val="24"/>
          <w:szCs w:val="24"/>
        </w:rPr>
        <w:t>2.1.1主机：14700-350cm-1；</w:t>
      </w:r>
    </w:p>
    <w:p w14:paraId="36A2AE93">
      <w:pPr>
        <w:spacing w:line="360" w:lineRule="auto"/>
        <w:rPr>
          <w:rFonts w:hint="eastAsia" w:ascii="宋体" w:hAnsi="宋体" w:eastAsia="宋体" w:cs="宋体"/>
          <w:sz w:val="24"/>
          <w:szCs w:val="24"/>
        </w:rPr>
      </w:pPr>
      <w:r>
        <w:rPr>
          <w:rFonts w:hint="eastAsia" w:ascii="宋体" w:hAnsi="宋体" w:eastAsia="宋体" w:cs="宋体"/>
          <w:sz w:val="24"/>
          <w:szCs w:val="24"/>
        </w:rPr>
        <w:t>2.1.2显微成像系统：7800-720cm-1(成像模式)，7800-600cm-1(单点显微镜模式)。</w:t>
      </w:r>
    </w:p>
    <w:p w14:paraId="1A101A77">
      <w:pPr>
        <w:spacing w:line="360" w:lineRule="auto"/>
        <w:rPr>
          <w:rFonts w:hint="eastAsia" w:ascii="宋体" w:hAnsi="宋体" w:eastAsia="宋体" w:cs="宋体"/>
          <w:sz w:val="24"/>
          <w:szCs w:val="24"/>
        </w:rPr>
      </w:pPr>
      <w:r>
        <w:rPr>
          <w:rFonts w:hint="eastAsia" w:ascii="宋体" w:hAnsi="宋体" w:eastAsia="宋体" w:cs="宋体"/>
          <w:sz w:val="24"/>
          <w:szCs w:val="24"/>
        </w:rPr>
        <w:t>2.2 分辨率:</w:t>
      </w:r>
    </w:p>
    <w:p w14:paraId="76D411A2">
      <w:pPr>
        <w:spacing w:line="360" w:lineRule="auto"/>
        <w:rPr>
          <w:rFonts w:hint="eastAsia" w:ascii="宋体" w:hAnsi="宋体" w:eastAsia="宋体" w:cs="宋体"/>
          <w:sz w:val="24"/>
          <w:szCs w:val="24"/>
        </w:rPr>
      </w:pPr>
      <w:r>
        <w:rPr>
          <w:rFonts w:hint="eastAsia" w:ascii="宋体" w:hAnsi="宋体" w:eastAsia="宋体" w:cs="宋体"/>
          <w:sz w:val="24"/>
          <w:szCs w:val="24"/>
        </w:rPr>
        <w:t>2.2.1主机光谱分辨率优于0.4cm-1（中红外区）,0.1-6.4nm,1000nm处（近红外区）；</w:t>
      </w:r>
    </w:p>
    <w:p w14:paraId="40B55BDA">
      <w:pPr>
        <w:spacing w:line="360" w:lineRule="auto"/>
        <w:rPr>
          <w:rFonts w:hint="eastAsia" w:ascii="宋体" w:hAnsi="宋体" w:eastAsia="宋体" w:cs="宋体"/>
          <w:sz w:val="24"/>
          <w:szCs w:val="24"/>
        </w:rPr>
      </w:pPr>
      <w:r>
        <w:rPr>
          <w:rFonts w:hint="eastAsia" w:ascii="宋体" w:hAnsi="宋体" w:eastAsia="宋体" w:cs="宋体"/>
          <w:sz w:val="24"/>
          <w:szCs w:val="24"/>
        </w:rPr>
        <w:t>2.2.2成像空间分辨率：标配6.25μm，25μm，50μm三档软件自由选择，选配ATR-IMAGE成像ATR附件，分辨率1.56μm</w:t>
      </w:r>
    </w:p>
    <w:p w14:paraId="0891988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2.3 信噪比(RMS): </w:t>
      </w:r>
    </w:p>
    <w:p w14:paraId="5495672E">
      <w:pPr>
        <w:spacing w:line="360" w:lineRule="auto"/>
        <w:rPr>
          <w:rFonts w:hint="eastAsia" w:ascii="宋体" w:hAnsi="宋体" w:eastAsia="宋体" w:cs="宋体"/>
          <w:sz w:val="24"/>
          <w:szCs w:val="24"/>
        </w:rPr>
      </w:pPr>
      <w:r>
        <w:rPr>
          <w:rFonts w:hint="eastAsia" w:ascii="宋体" w:hAnsi="宋体" w:eastAsia="宋体" w:cs="宋体"/>
          <w:sz w:val="24"/>
          <w:szCs w:val="24"/>
        </w:rPr>
        <w:t>2.3.1主机：优于50000:1</w:t>
      </w:r>
    </w:p>
    <w:p w14:paraId="02A43E62">
      <w:pPr>
        <w:spacing w:line="360" w:lineRule="auto"/>
        <w:rPr>
          <w:rFonts w:hint="eastAsia" w:ascii="宋体" w:hAnsi="宋体" w:eastAsia="宋体" w:cs="宋体"/>
          <w:sz w:val="24"/>
          <w:szCs w:val="24"/>
        </w:rPr>
      </w:pPr>
      <w:r>
        <w:rPr>
          <w:rFonts w:hint="eastAsia" w:ascii="宋体" w:hAnsi="宋体" w:eastAsia="宋体" w:cs="宋体"/>
          <w:sz w:val="24"/>
          <w:szCs w:val="24"/>
        </w:rPr>
        <w:t>2.3.2显微成像部分：优于40000:1</w:t>
      </w:r>
    </w:p>
    <w:p w14:paraId="71F9F3F0">
      <w:pPr>
        <w:spacing w:line="360" w:lineRule="auto"/>
        <w:rPr>
          <w:rFonts w:hint="eastAsia" w:ascii="宋体" w:hAnsi="宋体" w:eastAsia="宋体" w:cs="宋体"/>
          <w:sz w:val="24"/>
          <w:szCs w:val="24"/>
        </w:rPr>
      </w:pPr>
      <w:r>
        <w:rPr>
          <w:rFonts w:hint="eastAsia" w:ascii="宋体" w:hAnsi="宋体" w:eastAsia="宋体" w:cs="宋体"/>
          <w:sz w:val="24"/>
          <w:szCs w:val="24"/>
        </w:rPr>
        <w:t>2.5 波数精度:  优于0.008cm-1。</w:t>
      </w:r>
    </w:p>
    <w:p w14:paraId="1D104331">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2.6 光源: 中红外区采用高能量黑体空腔光源，应具有优异的能量特性，按标准测试E4000/Emax应大于60%。且为用户可更换长寿命光源，应具有极佳的发热点稳定性。近红外区采用空气冷却的，预校准的，热点稳定的卤钨灯光源。双光源自动切换，且有专利的冷挡板技术，最大限度避免了对半导体器件的影响。</w:t>
      </w:r>
    </w:p>
    <w:p w14:paraId="13EE62BB">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2.7 分束器:  KBr/CaF2双分束器，且软件全自动切换</w:t>
      </w:r>
    </w:p>
    <w:p w14:paraId="3B4E4EB1">
      <w:pPr>
        <w:spacing w:line="360" w:lineRule="auto"/>
        <w:rPr>
          <w:rFonts w:hint="eastAsia" w:ascii="宋体" w:hAnsi="宋体" w:eastAsia="宋体" w:cs="宋体"/>
          <w:sz w:val="24"/>
          <w:szCs w:val="24"/>
        </w:rPr>
      </w:pPr>
      <w:r>
        <w:rPr>
          <w:rFonts w:hint="eastAsia" w:ascii="宋体" w:hAnsi="宋体" w:eastAsia="宋体" w:cs="宋体"/>
          <w:sz w:val="24"/>
          <w:szCs w:val="24"/>
        </w:rPr>
        <w:t>2.8 检测器：</w:t>
      </w:r>
    </w:p>
    <w:p w14:paraId="462D9CF7">
      <w:pPr>
        <w:spacing w:line="360" w:lineRule="auto"/>
        <w:rPr>
          <w:rFonts w:hint="eastAsia" w:ascii="宋体" w:hAnsi="宋体" w:eastAsia="宋体" w:cs="宋体"/>
          <w:sz w:val="24"/>
          <w:szCs w:val="24"/>
        </w:rPr>
      </w:pPr>
      <w:r>
        <w:rPr>
          <w:rFonts w:hint="eastAsia" w:ascii="宋体" w:hAnsi="宋体" w:eastAsia="宋体" w:cs="宋体"/>
          <w:sz w:val="24"/>
          <w:szCs w:val="24"/>
        </w:rPr>
        <w:t>2.8.1主机：恒温快恢复的中红外Fr-DTGS检测器和近红外Fr-DTGS检测器；</w:t>
      </w:r>
    </w:p>
    <w:p w14:paraId="5EEB8034">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2.8.2显微成像部分：双工检测器，包括一个单点显微MCT检测器和一个1×16线阵列MCT成像检测器，无须机械切换</w:t>
      </w:r>
    </w:p>
    <w:p w14:paraId="0BA227E1">
      <w:pPr>
        <w:spacing w:line="360" w:lineRule="auto"/>
        <w:rPr>
          <w:rFonts w:hint="eastAsia" w:ascii="宋体" w:hAnsi="宋体" w:eastAsia="宋体" w:cs="宋体"/>
          <w:sz w:val="24"/>
          <w:szCs w:val="24"/>
        </w:rPr>
      </w:pPr>
      <w:r>
        <w:rPr>
          <w:rFonts w:hint="eastAsia" w:ascii="宋体" w:hAnsi="宋体" w:eastAsia="宋体" w:cs="宋体"/>
          <w:sz w:val="24"/>
          <w:szCs w:val="24"/>
        </w:rPr>
        <w:t>2.9光阑：</w:t>
      </w:r>
    </w:p>
    <w:p w14:paraId="66E0A62C">
      <w:pPr>
        <w:spacing w:line="360" w:lineRule="auto"/>
        <w:rPr>
          <w:rFonts w:hint="eastAsia" w:ascii="宋体" w:hAnsi="宋体" w:eastAsia="宋体" w:cs="宋体"/>
          <w:sz w:val="24"/>
          <w:szCs w:val="24"/>
        </w:rPr>
      </w:pPr>
      <w:r>
        <w:rPr>
          <w:rFonts w:hint="eastAsia" w:ascii="宋体" w:hAnsi="宋体" w:eastAsia="宋体" w:cs="宋体"/>
          <w:sz w:val="24"/>
          <w:szCs w:val="24"/>
        </w:rPr>
        <w:t>2.9.1主机：计算机控制连续可变光阑；</w:t>
      </w:r>
    </w:p>
    <w:p w14:paraId="5353D21B">
      <w:pPr>
        <w:spacing w:line="360" w:lineRule="auto"/>
        <w:rPr>
          <w:rFonts w:hint="eastAsia" w:ascii="宋体" w:hAnsi="宋体" w:eastAsia="宋体" w:cs="宋体"/>
          <w:sz w:val="24"/>
          <w:szCs w:val="24"/>
        </w:rPr>
      </w:pPr>
      <w:r>
        <w:rPr>
          <w:rFonts w:hint="eastAsia" w:ascii="宋体" w:hAnsi="宋体" w:eastAsia="宋体" w:cs="宋体"/>
          <w:sz w:val="24"/>
          <w:szCs w:val="24"/>
        </w:rPr>
        <w:t>2.9.2显微成像部分：软件控制连续可调光阑，也可鼠标拖动调节大小</w:t>
      </w:r>
    </w:p>
    <w:p w14:paraId="51B033C5">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2.10 大气背景补偿：实时大气背景校准, 不需要专门采集参考光谱进行差谱校正。可在开机状态下单光束能量图中即可自动扣除空气中的水蒸气和二氧化碳气体的红外吸收</w:t>
      </w:r>
    </w:p>
    <w:p w14:paraId="6FBEDDDC">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2.11 横坐标的处理方式：除聚苯乙烯薄膜及激光以外，以内置的可溯源的绝对甲烷气体标准来校正谱峰的形状和位置，确保结果不漂移</w:t>
      </w:r>
    </w:p>
    <w:p w14:paraId="08524433">
      <w:pPr>
        <w:spacing w:line="360" w:lineRule="auto"/>
        <w:rPr>
          <w:rFonts w:hint="eastAsia" w:ascii="宋体" w:hAnsi="宋体" w:eastAsia="宋体" w:cs="宋体"/>
          <w:sz w:val="24"/>
          <w:szCs w:val="24"/>
        </w:rPr>
      </w:pPr>
      <w:r>
        <w:rPr>
          <w:rFonts w:hint="eastAsia" w:ascii="宋体" w:hAnsi="宋体" w:eastAsia="宋体" w:cs="宋体"/>
          <w:sz w:val="24"/>
          <w:szCs w:val="24"/>
        </w:rPr>
        <w:t>2.12 Michelson干涉仪：双动镜机械摇摆式迈克尔逊干涉仪，能够从根本上消除经典干涉仪无法避免的动镜倾斜和切变的影响</w:t>
      </w:r>
    </w:p>
    <w:p w14:paraId="570F14FE">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2.13 不同空间分辨率测试模式间切换：Z轴折叠放大系统设计，无需更换任何硬件，软件控制自动在不同分辨率测试模式间切换</w:t>
      </w:r>
    </w:p>
    <w:p w14:paraId="78A54483">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sz w:val="24"/>
          <w:szCs w:val="24"/>
        </w:rPr>
        <w:t>2.14 显微移动样品台：XYZ三维机动化样品台，移动精度优于0.1μm</w:t>
      </w:r>
    </w:p>
    <w:p w14:paraId="77425989">
      <w:pPr>
        <w:spacing w:line="360" w:lineRule="auto"/>
        <w:rPr>
          <w:rFonts w:hint="eastAsia" w:ascii="宋体" w:hAnsi="宋体" w:eastAsia="宋体" w:cs="宋体"/>
          <w:sz w:val="24"/>
          <w:szCs w:val="24"/>
        </w:rPr>
      </w:pPr>
      <w:r>
        <w:rPr>
          <w:rFonts w:hint="eastAsia" w:ascii="宋体" w:hAnsi="宋体" w:eastAsia="宋体" w:cs="宋体"/>
          <w:sz w:val="24"/>
          <w:szCs w:val="24"/>
        </w:rPr>
        <w:t>2.15 显微成像系统：三卡塞格林镜高精度系统，确保所见即所得；通过软件自动进行透射和反射测量模式的切换</w:t>
      </w:r>
    </w:p>
    <w:p w14:paraId="4771D807">
      <w:pPr>
        <w:spacing w:line="360" w:lineRule="auto"/>
        <w:rPr>
          <w:rFonts w:hint="eastAsia" w:ascii="宋体" w:hAnsi="宋体" w:eastAsia="宋体" w:cs="宋体"/>
          <w:sz w:val="24"/>
          <w:szCs w:val="24"/>
        </w:rPr>
      </w:pPr>
      <w:r>
        <w:rPr>
          <w:rFonts w:hint="eastAsia" w:ascii="宋体" w:hAnsi="宋体" w:eastAsia="宋体" w:cs="宋体"/>
          <w:sz w:val="24"/>
          <w:szCs w:val="24"/>
        </w:rPr>
        <w:t>2.16 样品定位：白光快速定位样品设计，肉眼借助白光快速粗定位，再借助显微CCD进行微调，准确定位样品</w:t>
      </w:r>
    </w:p>
    <w:p w14:paraId="757956BD">
      <w:pPr>
        <w:spacing w:line="360" w:lineRule="auto"/>
        <w:rPr>
          <w:rFonts w:hint="eastAsia" w:ascii="宋体" w:hAnsi="宋体" w:eastAsia="宋体" w:cs="宋体"/>
          <w:sz w:val="24"/>
          <w:szCs w:val="24"/>
        </w:rPr>
      </w:pPr>
      <w:r>
        <w:rPr>
          <w:rFonts w:hint="eastAsia" w:ascii="宋体" w:hAnsi="宋体" w:eastAsia="宋体" w:cs="宋体"/>
          <w:sz w:val="24"/>
          <w:szCs w:val="24"/>
        </w:rPr>
        <w:t>2.17 系统诊断：开机自检显微和红外主机的部件，确保工作状态正常；且各部件的状态将实时显示在计算机控制界面上</w:t>
      </w:r>
    </w:p>
    <w:p w14:paraId="4B017477">
      <w:pPr>
        <w:spacing w:line="360" w:lineRule="auto"/>
        <w:rPr>
          <w:rFonts w:hint="eastAsia" w:ascii="宋体" w:hAnsi="宋体" w:eastAsia="宋体" w:cs="宋体"/>
          <w:sz w:val="24"/>
          <w:szCs w:val="24"/>
        </w:rPr>
      </w:pPr>
      <w:r>
        <w:rPr>
          <w:rFonts w:hint="eastAsia" w:ascii="宋体" w:hAnsi="宋体" w:eastAsia="宋体" w:cs="宋体"/>
          <w:sz w:val="24"/>
          <w:szCs w:val="24"/>
        </w:rPr>
        <w:t>2.18 样品台规格（可移动区域）：75 x 50 mm (3 x 2 in)（标配）；160 x 60 mm (6.3 x 2.4 in.)（选配）</w:t>
      </w:r>
    </w:p>
    <w:p w14:paraId="11DDD0FA">
      <w:pPr>
        <w:spacing w:line="360" w:lineRule="auto"/>
        <w:rPr>
          <w:rFonts w:hint="eastAsia" w:ascii="宋体" w:hAnsi="宋体" w:eastAsia="宋体" w:cs="宋体"/>
          <w:sz w:val="24"/>
          <w:szCs w:val="24"/>
        </w:rPr>
      </w:pPr>
      <w:r>
        <w:rPr>
          <w:rFonts w:hint="eastAsia" w:ascii="宋体" w:hAnsi="宋体" w:eastAsia="宋体" w:cs="宋体"/>
          <w:sz w:val="24"/>
          <w:szCs w:val="24"/>
        </w:rPr>
        <w:t>2.19 通过标准认证的软件，包含仪器操作控制，光谱处理(平滑、基线校正、K-K、K-M)，专家系统软件，红外助手软件，专利光谱比较(Compare)功能；BEER定律定量软件；混合物检索功能；自建谱库功能；交互式化学结构解析软件等</w:t>
      </w:r>
    </w:p>
    <w:p w14:paraId="668DFB11">
      <w:pPr>
        <w:spacing w:line="360" w:lineRule="auto"/>
        <w:rPr>
          <w:rFonts w:hint="eastAsia" w:ascii="宋体" w:hAnsi="宋体" w:eastAsia="宋体" w:cs="宋体"/>
          <w:sz w:val="24"/>
          <w:szCs w:val="24"/>
        </w:rPr>
      </w:pPr>
      <w:r>
        <w:rPr>
          <w:rFonts w:hint="eastAsia" w:ascii="宋体" w:hAnsi="宋体" w:eastAsia="宋体" w:cs="宋体"/>
          <w:sz w:val="24"/>
          <w:szCs w:val="24"/>
        </w:rPr>
        <w:t>2.20 成像处理软件：具有全自动图像分析功能Show Structure，无需提取任何光谱信息自动显示成分分布；可对红外图像进行相关图像（compare correction）、峰面积图像（Chemimap）分析，也可对红外图像进行平滑、降噪等数学处理，并引入高级PCA及多元曲线回归法分析化学成像</w:t>
      </w:r>
    </w:p>
    <w:p w14:paraId="6FE5A546">
      <w:pPr>
        <w:spacing w:line="360" w:lineRule="auto"/>
        <w:rPr>
          <w:rFonts w:hint="eastAsia" w:ascii="宋体" w:hAnsi="宋体" w:eastAsia="宋体" w:cs="宋体"/>
          <w:sz w:val="24"/>
          <w:szCs w:val="24"/>
        </w:rPr>
      </w:pPr>
      <w:r>
        <w:rPr>
          <w:rFonts w:hint="eastAsia" w:ascii="宋体" w:hAnsi="宋体" w:eastAsia="宋体" w:cs="宋体"/>
          <w:sz w:val="24"/>
          <w:szCs w:val="24"/>
        </w:rPr>
        <w:t>3.仪器配置要求</w:t>
      </w:r>
    </w:p>
    <w:p w14:paraId="5802500F">
      <w:pPr>
        <w:spacing w:line="360" w:lineRule="auto"/>
        <w:rPr>
          <w:rFonts w:hint="eastAsia" w:ascii="宋体" w:hAnsi="宋体" w:eastAsia="宋体" w:cs="宋体"/>
          <w:sz w:val="24"/>
          <w:szCs w:val="24"/>
        </w:rPr>
      </w:pPr>
      <w:r>
        <w:rPr>
          <w:rFonts w:hint="eastAsia" w:ascii="宋体" w:hAnsi="宋体" w:eastAsia="宋体" w:cs="宋体"/>
          <w:sz w:val="24"/>
          <w:szCs w:val="24"/>
        </w:rPr>
        <w:t>3.1 中近双波段红外显微成像光谱仪  1套</w:t>
      </w:r>
    </w:p>
    <w:p w14:paraId="6BC6435C">
      <w:pPr>
        <w:spacing w:line="360" w:lineRule="auto"/>
        <w:rPr>
          <w:rFonts w:hint="eastAsia" w:ascii="宋体" w:hAnsi="宋体" w:eastAsia="宋体" w:cs="宋体"/>
          <w:sz w:val="24"/>
          <w:szCs w:val="24"/>
        </w:rPr>
      </w:pPr>
      <w:r>
        <w:rPr>
          <w:rFonts w:hint="eastAsia" w:ascii="宋体" w:hAnsi="宋体" w:eastAsia="宋体" w:cs="宋体"/>
          <w:sz w:val="24"/>
          <w:szCs w:val="24"/>
        </w:rPr>
        <w:t>3.2 红外金刚石ATR附件            1套</w:t>
      </w:r>
    </w:p>
    <w:p w14:paraId="3013208D">
      <w:pPr>
        <w:spacing w:line="360" w:lineRule="auto"/>
        <w:rPr>
          <w:rFonts w:hint="eastAsia" w:ascii="宋体" w:hAnsi="宋体" w:eastAsia="宋体" w:cs="宋体"/>
          <w:sz w:val="24"/>
          <w:szCs w:val="24"/>
        </w:rPr>
      </w:pPr>
      <w:r>
        <w:rPr>
          <w:rFonts w:hint="eastAsia" w:ascii="宋体" w:hAnsi="宋体" w:eastAsia="宋体" w:cs="宋体"/>
          <w:sz w:val="24"/>
          <w:szCs w:val="24"/>
        </w:rPr>
        <w:t>3.3 近红外积分球附件              1套</w:t>
      </w:r>
    </w:p>
    <w:p w14:paraId="68D48C13">
      <w:pPr>
        <w:spacing w:line="360" w:lineRule="auto"/>
        <w:rPr>
          <w:rFonts w:hint="eastAsia" w:ascii="宋体" w:hAnsi="宋体" w:eastAsia="宋体" w:cs="宋体"/>
          <w:sz w:val="24"/>
          <w:szCs w:val="24"/>
        </w:rPr>
      </w:pPr>
      <w:r>
        <w:rPr>
          <w:rFonts w:hint="eastAsia" w:ascii="宋体" w:hAnsi="宋体" w:eastAsia="宋体" w:cs="宋体"/>
          <w:sz w:val="24"/>
          <w:szCs w:val="24"/>
        </w:rPr>
        <w:t>3.4 中红外显微自动ATR附件        1套</w:t>
      </w:r>
    </w:p>
    <w:p w14:paraId="3D0EA05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3.5 金刚石压力池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1套</w:t>
      </w:r>
    </w:p>
    <w:p w14:paraId="0CCBE1CC">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3.6 近红外光纤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1套</w:t>
      </w:r>
    </w:p>
    <w:p w14:paraId="36D5FD44">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3.7 仪器软件控制系统       </w:t>
      </w:r>
      <w:r>
        <w:rPr>
          <w:rFonts w:hint="eastAsia" w:ascii="宋体" w:hAnsi="宋体" w:cs="宋体"/>
          <w:sz w:val="24"/>
          <w:szCs w:val="24"/>
          <w:lang w:val="en-US" w:eastAsia="zh-CN"/>
        </w:rPr>
        <w:t xml:space="preserve">       </w:t>
      </w:r>
      <w:r>
        <w:rPr>
          <w:rFonts w:hint="eastAsia" w:ascii="宋体" w:hAnsi="宋体" w:eastAsia="宋体" w:cs="宋体"/>
          <w:sz w:val="24"/>
          <w:szCs w:val="24"/>
        </w:rPr>
        <w:t>1套</w:t>
      </w:r>
    </w:p>
    <w:p w14:paraId="0900896C">
      <w:pPr>
        <w:spacing w:line="360" w:lineRule="auto"/>
        <w:rPr>
          <w:rFonts w:hint="eastAsia" w:ascii="宋体" w:hAnsi="宋体" w:eastAsia="宋体" w:cs="宋体"/>
          <w:sz w:val="24"/>
          <w:szCs w:val="24"/>
        </w:rPr>
      </w:pPr>
      <w:r>
        <w:rPr>
          <w:rFonts w:hint="eastAsia" w:ascii="宋体" w:hAnsi="宋体" w:eastAsia="宋体" w:cs="宋体"/>
          <w:sz w:val="24"/>
          <w:szCs w:val="24"/>
        </w:rPr>
        <w:t>3.8微塑料谱库及数据分析系统      1套</w:t>
      </w:r>
    </w:p>
    <w:p w14:paraId="53CF20A5">
      <w:pPr>
        <w:pStyle w:val="2"/>
        <w:spacing w:before="312" w:beforeLines="100" w:after="312" w:afterLines="100" w:line="360" w:lineRule="auto"/>
        <w:jc w:val="left"/>
        <w:rPr>
          <w:rFonts w:hint="eastAsia" w:ascii="宋体" w:hAnsi="宋体" w:eastAsia="宋体" w:cs="宋体"/>
          <w:sz w:val="24"/>
          <w:szCs w:val="24"/>
        </w:rPr>
      </w:pPr>
      <w:r>
        <w:rPr>
          <w:rFonts w:hint="eastAsia" w:ascii="宋体" w:hAnsi="宋体" w:eastAsia="宋体" w:cs="宋体"/>
          <w:sz w:val="24"/>
          <w:szCs w:val="24"/>
        </w:rPr>
        <w:t>三、实施内容</w:t>
      </w:r>
    </w:p>
    <w:p w14:paraId="4ED463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包括：设备供货、运输、安装、调试、配合后期验收、人员培训、售后服务、质保等，供应商应根据采购文件，结合功能需求、结合实际情况，从有利于用户的角度出发，提供出完整的项目管理实施方案。项目管理实施方案应包括以下几点：实施人员分工、实施计划、送货响应、安装调试。供应商送货上门并负责安装调试。</w:t>
      </w:r>
    </w:p>
    <w:p w14:paraId="58D5AB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仪器设备到达已具备安装条件的场所后，在采购方提出要求后7个工作日内到达现场进行安装调试。从安装验收合格之日起进入保修服务期，保修范围应包括提供的所有货物和安装调试服务。在保修期内应提供维修和技术咨询服务，矫正和免费更换有缺陷的货物或部件、排除所完成系统出现的故障。</w:t>
      </w:r>
    </w:p>
    <w:p w14:paraId="66D4BF34">
      <w:pPr>
        <w:pStyle w:val="2"/>
        <w:spacing w:before="312" w:beforeLines="100" w:after="312" w:afterLines="100" w:line="360" w:lineRule="auto"/>
        <w:jc w:val="left"/>
        <w:rPr>
          <w:rFonts w:hint="eastAsia" w:ascii="宋体" w:hAnsi="宋体" w:eastAsia="宋体" w:cs="宋体"/>
          <w:sz w:val="24"/>
          <w:szCs w:val="24"/>
        </w:rPr>
      </w:pPr>
      <w:r>
        <w:rPr>
          <w:rFonts w:hint="eastAsia" w:ascii="宋体" w:hAnsi="宋体" w:eastAsia="宋体" w:cs="宋体"/>
          <w:sz w:val="24"/>
          <w:szCs w:val="24"/>
        </w:rPr>
        <w:t>四、人员培训</w:t>
      </w:r>
    </w:p>
    <w:p w14:paraId="67D8CBA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1、技术文件中要求培训和其他所有的服务费用应包括在投标报价中。</w:t>
      </w:r>
    </w:p>
    <w:p w14:paraId="0F2607D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2、提供技术培训，培训为现场培训。</w:t>
      </w:r>
    </w:p>
    <w:p w14:paraId="6A8D6A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培训内容：详细介绍系统设备的基本原理、功能、安装、调试、操作使用及保养、维护和检修等方面的内容。</w:t>
      </w:r>
    </w:p>
    <w:p w14:paraId="193E336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培训目的：保证参加培训的人员能够掌握系统的基本工作原理，能独立进行操作、使用保养及软件应用，并通过实践逐步掌握简单的维护和检修技能。</w:t>
      </w:r>
    </w:p>
    <w:p w14:paraId="2E9134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培训时间：由双方商量确定。</w:t>
      </w:r>
    </w:p>
    <w:p w14:paraId="1CB2D8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培训人数：</w:t>
      </w:r>
      <w:r>
        <w:rPr>
          <w:rFonts w:hint="eastAsia" w:ascii="宋体" w:hAnsi="宋体" w:eastAsia="宋体" w:cs="宋体"/>
          <w:kern w:val="0"/>
          <w:sz w:val="24"/>
          <w:szCs w:val="24"/>
        </w:rPr>
        <w:t>提供不少于2个免费培训名额</w:t>
      </w:r>
      <w:r>
        <w:rPr>
          <w:rFonts w:hint="eastAsia" w:ascii="宋体" w:hAnsi="宋体" w:eastAsia="宋体" w:cs="宋体"/>
          <w:sz w:val="24"/>
          <w:szCs w:val="24"/>
        </w:rPr>
        <w:t>。</w:t>
      </w:r>
    </w:p>
    <w:p w14:paraId="387E3457">
      <w:pPr>
        <w:pStyle w:val="3"/>
        <w:spacing w:line="360" w:lineRule="auto"/>
        <w:rPr>
          <w:rFonts w:hint="eastAsia" w:ascii="宋体" w:hAnsi="宋体" w:eastAsia="宋体" w:cs="宋体"/>
          <w:sz w:val="24"/>
          <w:szCs w:val="24"/>
        </w:rPr>
      </w:pPr>
      <w:r>
        <w:rPr>
          <w:rFonts w:hint="eastAsia" w:ascii="宋体" w:hAnsi="宋体" w:eastAsia="宋体" w:cs="宋体"/>
          <w:sz w:val="24"/>
          <w:szCs w:val="24"/>
        </w:rPr>
        <w:t>需要提供详细的人员培训方案。</w:t>
      </w:r>
    </w:p>
    <w:p w14:paraId="5D93750F">
      <w:pPr>
        <w:pStyle w:val="2"/>
        <w:spacing w:before="312" w:beforeLines="100" w:after="312" w:afterLines="100" w:line="360" w:lineRule="auto"/>
        <w:jc w:val="left"/>
        <w:rPr>
          <w:rFonts w:hint="eastAsia" w:ascii="宋体" w:hAnsi="宋体" w:eastAsia="宋体" w:cs="宋体"/>
          <w:sz w:val="24"/>
          <w:szCs w:val="24"/>
        </w:rPr>
      </w:pPr>
      <w:r>
        <w:rPr>
          <w:rFonts w:hint="eastAsia" w:ascii="宋体" w:hAnsi="宋体" w:eastAsia="宋体" w:cs="宋体"/>
          <w:sz w:val="24"/>
          <w:szCs w:val="24"/>
        </w:rPr>
        <w:t>五、售后服务</w:t>
      </w:r>
    </w:p>
    <w:p w14:paraId="7D5D97FF">
      <w:pPr>
        <w:pStyle w:val="8"/>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1、质保期：1年，自安装验收合格之日开始计算，</w:t>
      </w:r>
      <w:r>
        <w:rPr>
          <w:rFonts w:hint="eastAsia" w:ascii="宋体" w:hAnsi="宋体" w:eastAsia="宋体" w:cs="宋体"/>
          <w:sz w:val="24"/>
          <w:szCs w:val="24"/>
        </w:rPr>
        <w:t>质保期内全维修免费</w:t>
      </w:r>
      <w:r>
        <w:rPr>
          <w:rFonts w:hint="eastAsia" w:ascii="宋体" w:hAnsi="宋体" w:eastAsia="宋体" w:cs="宋体"/>
          <w:color w:val="000000"/>
          <w:sz w:val="24"/>
          <w:szCs w:val="24"/>
        </w:rPr>
        <w:t>。</w:t>
      </w:r>
    </w:p>
    <w:p w14:paraId="29A7DA51">
      <w:pPr>
        <w:pStyle w:val="8"/>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供应商需要提供详细的售后服务方案，包括服务人员、服务内容和措施、应急预案等内容。服务响应时间：提供每周7×24小时电话咨询服务，确保随时能到现场解决技术、质量问题。提供现场维护，每季度现场维护。接到用户报修通知响应时间：30分钟之内响应，24小时之内到达现场，48小时之内解决问题。质量保证期限：验收合格、双方签署验收书之日起，硬件设备提供不少于1年质保期，若设备原厂商提供的质保期超过</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年的，按设备原厂商提供的质保期执行。</w:t>
      </w:r>
    </w:p>
    <w:p w14:paraId="3464286A">
      <w:pPr>
        <w:pStyle w:val="8"/>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3、质保期内及质保期外的活动保障：采购方有重大活动任务时，在接到采购方现场保驾通知后，按采购方通知所要求的时间免费派出专职技术人员，“保驾护航”，确保活动的顺利进行。</w:t>
      </w:r>
    </w:p>
    <w:p w14:paraId="0D02031C">
      <w:pPr>
        <w:pStyle w:val="8"/>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4、提供长期的维修维护服务，满足货品长期使用需求：定期对所投入产品例行检查与维护保养，包括常规检查、维护保养和各项指标的详细检测，并书面向使用方提交维护保养结果。</w:t>
      </w:r>
    </w:p>
    <w:p w14:paraId="7D4650A2">
      <w:pPr>
        <w:pStyle w:val="8"/>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5、附所投设备详细操作指南、仪器维护相关资料及中英文使用说明书。</w:t>
      </w:r>
    </w:p>
    <w:p w14:paraId="6D8C8FA0">
      <w:pPr>
        <w:pStyle w:val="2"/>
        <w:spacing w:before="312" w:beforeLines="100" w:after="312" w:afterLines="100" w:line="360" w:lineRule="auto"/>
        <w:jc w:val="left"/>
        <w:rPr>
          <w:rFonts w:hint="eastAsia" w:ascii="宋体" w:hAnsi="宋体" w:eastAsia="宋体" w:cs="宋体"/>
          <w:sz w:val="24"/>
          <w:szCs w:val="24"/>
        </w:rPr>
      </w:pPr>
      <w:r>
        <w:rPr>
          <w:rFonts w:hint="eastAsia" w:ascii="宋体" w:hAnsi="宋体" w:eastAsia="宋体" w:cs="宋体"/>
          <w:sz w:val="24"/>
          <w:szCs w:val="24"/>
        </w:rPr>
        <w:t>六、验收要求</w:t>
      </w:r>
    </w:p>
    <w:p w14:paraId="5E5DACE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在交货前，中标供应商应对货物的质量、规格、性能、数量和重量等进行详细而全面的检验，并出具证明货物符合合同规定的文件。该文件将作为申请付款单据的一部分，但有关质量、规格、性能、数量或重量的检验不应视为最终检验。</w:t>
      </w:r>
    </w:p>
    <w:p w14:paraId="1FA1B41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采购方在收到货物时的验收仅是对产品表面等进行初步查验，如果产品存在内在瑕疵或质量等或其他不易发觉的问题，中标供应商仍需对该产品承担相应的责任。采购方有权要求中标供应商提供满足合同要求的产品。</w:t>
      </w:r>
    </w:p>
    <w:p w14:paraId="1945DF33">
      <w:pPr>
        <w:pStyle w:val="3"/>
        <w:spacing w:line="36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3、供应商需根据验收要求、验收程序、验收时间提出详细的配合验收方案供采购单位使用。</w:t>
      </w:r>
    </w:p>
    <w:p w14:paraId="6D6B9373">
      <w:pPr>
        <w:rPr>
          <w:rFonts w:hint="eastAsia" w:ascii="宋体" w:hAnsi="宋体" w:eastAsia="宋体" w:cs="宋体"/>
          <w:sz w:val="24"/>
          <w:szCs w:val="24"/>
        </w:rPr>
      </w:pPr>
    </w:p>
    <w:p w14:paraId="310501B8">
      <w:pPr>
        <w:pStyle w:val="7"/>
        <w:adjustRightInd w:val="0"/>
        <w:spacing w:line="360" w:lineRule="auto"/>
        <w:ind w:firstLine="0" w:firstLineChars="0"/>
        <w:contextualSpacing/>
        <w:jc w:val="left"/>
        <w:rPr>
          <w:rFonts w:ascii="Times New Roman" w:hAnsi="Times New Roman"/>
          <w:sz w:val="24"/>
          <w:szCs w:val="24"/>
        </w:rPr>
      </w:pPr>
    </w:p>
    <w:p w14:paraId="6485C738">
      <w:pPr>
        <w:spacing w:line="360" w:lineRule="auto"/>
        <w:contextualSpacing/>
        <w:rPr>
          <w:i/>
          <w:iCs/>
          <w:sz w:val="24"/>
        </w:rPr>
      </w:pPr>
      <w:r>
        <w:rPr>
          <w:rFonts w:hint="eastAsia"/>
          <w:sz w:val="24"/>
          <w:lang w:val="en-US" w:eastAsia="zh-CN"/>
        </w:rPr>
        <w:t>4</w:t>
      </w:r>
      <w:r>
        <w:rPr>
          <w:rFonts w:hint="eastAsia"/>
          <w:sz w:val="24"/>
          <w:lang w:eastAsia="zh-CN"/>
        </w:rPr>
        <w:t>、</w:t>
      </w:r>
      <w:r>
        <w:rPr>
          <w:sz w:val="24"/>
        </w:rPr>
        <w:t>验收标准</w:t>
      </w:r>
    </w:p>
    <w:p w14:paraId="7B60F787">
      <w:pPr>
        <w:widowControl/>
        <w:spacing w:line="360" w:lineRule="auto"/>
        <w:ind w:left="0" w:leftChars="0" w:firstLine="0" w:firstLineChars="0"/>
        <w:contextualSpacing/>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详见合同</w:t>
      </w:r>
    </w:p>
    <w:p w14:paraId="502BD4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C570A"/>
    <w:rsid w:val="0F2C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ZW 4L P1.5 2W"/>
    <w:basedOn w:val="1"/>
    <w:autoRedefine/>
    <w:unhideWhenUsed/>
    <w:qFormat/>
    <w:uiPriority w:val="0"/>
    <w:pPr>
      <w:spacing w:line="360" w:lineRule="auto"/>
      <w:ind w:firstLine="48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2026-05-06T03:45:00Z</dcterms:created>
  <dc:creator>17301271205</dc:creator>
  <cp:lastModifiedBy>17301271205</cp:lastModifiedBy>
  <dcterms:modified xsi:type="dcterms:W3CDTF">2026-05-06T03:46:39Z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8FA85AAAF5BE47B88E3607BE4E369BE0_11</vt:lpwstr>
  </property>
  <property fmtid="{D5CDD505-2E9C-101B-9397-08002B2CF9AE}" pid="4" name="KSOTemplateDocerSaveRecord">
    <vt:lpwstr>eyJoZGlkIjoiMzVmY2Y4NGQ5NTRmZTE5ZjM5ZTljZGYxZjNkYmQwOWEiLCJ1c2VySWQiOiIzNzY0NDQwMTEifQ==</vt:lpwstr>
  </property>
</Properties>
</file>