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消防维保服务采购项目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29</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09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35393790"/>
      <w:bookmarkStart w:id="3" w:name="_Toc28359079"/>
      <w:bookmarkStart w:id="4" w:name="_Toc35393621"/>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1.项目编号：0686-2611BI044629Z</w:t>
      </w:r>
    </w:p>
    <w:p w14:paraId="34254D30">
      <w:pPr>
        <w:pageBreakBefore w:val="0"/>
        <w:kinsoku/>
        <w:overflowPunct/>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消防维保服务采购项目</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cs="宋体"/>
          <w:sz w:val="24"/>
          <w:szCs w:val="24"/>
          <w:lang w:val="en-US" w:eastAsia="zh-CN"/>
        </w:rPr>
        <w:t>132</w:t>
      </w:r>
      <w:r>
        <w:rPr>
          <w:rFonts w:hint="eastAsia" w:ascii="宋体" w:hAnsi="宋体" w:eastAsia="宋体" w:cs="宋体"/>
          <w:sz w:val="24"/>
          <w:szCs w:val="24"/>
          <w:lang w:eastAsia="zh-CN"/>
        </w:rPr>
        <w:t>万元</w:t>
      </w:r>
    </w:p>
    <w:p w14:paraId="77B4FF96">
      <w:pPr>
        <w:pageBreakBefore w:val="0"/>
        <w:kinsoku/>
        <w:overflowPunct/>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4.采购需求：</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801"/>
        <w:gridCol w:w="1867"/>
        <w:gridCol w:w="1100"/>
        <w:gridCol w:w="5297"/>
      </w:tblGrid>
      <w:tr w14:paraId="61C7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noWrap w:val="0"/>
            <w:vAlign w:val="center"/>
          </w:tcPr>
          <w:p w14:paraId="02031DFC">
            <w:pPr>
              <w:widowControl/>
              <w:jc w:val="center"/>
              <w:rPr>
                <w:rFonts w:hint="eastAsia"/>
                <w:sz w:val="24"/>
                <w:highlight w:val="none"/>
              </w:rPr>
            </w:pPr>
            <w:r>
              <w:rPr>
                <w:rFonts w:hint="eastAsia"/>
                <w:sz w:val="24"/>
                <w:highlight w:val="none"/>
              </w:rPr>
              <w:t>包号</w:t>
            </w:r>
          </w:p>
        </w:tc>
        <w:tc>
          <w:tcPr>
            <w:tcW w:w="843" w:type="pct"/>
            <w:noWrap w:val="0"/>
            <w:vAlign w:val="center"/>
          </w:tcPr>
          <w:p w14:paraId="78393EE1">
            <w:pPr>
              <w:widowControl/>
              <w:jc w:val="center"/>
              <w:rPr>
                <w:rFonts w:hint="eastAsia"/>
                <w:sz w:val="24"/>
                <w:highlight w:val="none"/>
              </w:rPr>
            </w:pPr>
            <w:r>
              <w:rPr>
                <w:rFonts w:hint="eastAsia"/>
                <w:sz w:val="24"/>
                <w:highlight w:val="none"/>
              </w:rPr>
              <w:t>标的名称</w:t>
            </w:r>
          </w:p>
        </w:tc>
        <w:tc>
          <w:tcPr>
            <w:tcW w:w="874" w:type="pct"/>
            <w:noWrap w:val="0"/>
            <w:vAlign w:val="center"/>
          </w:tcPr>
          <w:p w14:paraId="141F140C">
            <w:pPr>
              <w:widowControl/>
              <w:jc w:val="center"/>
              <w:rPr>
                <w:rFonts w:hint="eastAsia"/>
                <w:sz w:val="24"/>
                <w:highlight w:val="none"/>
                <w:lang w:eastAsia="zh-CN"/>
              </w:rPr>
            </w:pPr>
            <w:r>
              <w:rPr>
                <w:rFonts w:hint="eastAsia"/>
                <w:sz w:val="24"/>
                <w:highlight w:val="none"/>
                <w:lang w:eastAsia="zh-CN"/>
              </w:rPr>
              <w:t>分包预算金额</w:t>
            </w:r>
          </w:p>
          <w:p w14:paraId="19D003C3">
            <w:pPr>
              <w:widowControl/>
              <w:jc w:val="center"/>
              <w:rPr>
                <w:rFonts w:hint="eastAsia"/>
                <w:sz w:val="24"/>
                <w:highlight w:val="none"/>
                <w:lang w:eastAsia="zh-CN"/>
              </w:rPr>
            </w:pPr>
            <w:r>
              <w:rPr>
                <w:rFonts w:hint="eastAsia"/>
                <w:sz w:val="24"/>
                <w:highlight w:val="none"/>
                <w:lang w:eastAsia="zh-CN"/>
              </w:rPr>
              <w:t>（万元）</w:t>
            </w:r>
          </w:p>
        </w:tc>
        <w:tc>
          <w:tcPr>
            <w:tcW w:w="515" w:type="pct"/>
            <w:noWrap w:val="0"/>
            <w:vAlign w:val="center"/>
          </w:tcPr>
          <w:p w14:paraId="41B2BFE3">
            <w:pPr>
              <w:widowControl/>
              <w:jc w:val="center"/>
              <w:rPr>
                <w:rFonts w:hint="eastAsia"/>
                <w:sz w:val="24"/>
                <w:highlight w:val="none"/>
              </w:rPr>
            </w:pPr>
            <w:r>
              <w:rPr>
                <w:rFonts w:hint="eastAsia"/>
                <w:sz w:val="24"/>
                <w:highlight w:val="none"/>
              </w:rPr>
              <w:t>数量</w:t>
            </w:r>
          </w:p>
        </w:tc>
        <w:tc>
          <w:tcPr>
            <w:tcW w:w="2480" w:type="pct"/>
            <w:noWrap w:val="0"/>
            <w:vAlign w:val="center"/>
          </w:tcPr>
          <w:p w14:paraId="66698E9E">
            <w:pPr>
              <w:widowControl/>
              <w:jc w:val="center"/>
              <w:rPr>
                <w:rFonts w:hint="eastAsia"/>
                <w:sz w:val="24"/>
                <w:highlight w:val="none"/>
                <w:lang w:eastAsia="zh-CN"/>
              </w:rPr>
            </w:pPr>
            <w:r>
              <w:rPr>
                <w:rFonts w:hint="eastAsia"/>
                <w:sz w:val="24"/>
                <w:highlight w:val="none"/>
                <w:lang w:eastAsia="zh-CN"/>
              </w:rPr>
              <w:t>简要技术需求或服务要求</w:t>
            </w:r>
          </w:p>
        </w:tc>
      </w:tr>
      <w:tr w14:paraId="52B3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87" w:type="pct"/>
            <w:noWrap/>
            <w:vAlign w:val="center"/>
          </w:tcPr>
          <w:p w14:paraId="335DC56C">
            <w:pPr>
              <w:jc w:val="center"/>
              <w:rPr>
                <w:rFonts w:hint="eastAsia"/>
                <w:sz w:val="24"/>
                <w:szCs w:val="24"/>
                <w:highlight w:val="none"/>
              </w:rPr>
            </w:pPr>
            <w:r>
              <w:rPr>
                <w:rFonts w:hint="eastAsia"/>
                <w:sz w:val="24"/>
                <w:szCs w:val="24"/>
                <w:highlight w:val="none"/>
              </w:rPr>
              <w:t>1</w:t>
            </w:r>
          </w:p>
        </w:tc>
        <w:tc>
          <w:tcPr>
            <w:tcW w:w="843" w:type="pct"/>
            <w:noWrap w:val="0"/>
            <w:vAlign w:val="center"/>
          </w:tcPr>
          <w:p w14:paraId="5B5D054D">
            <w:pPr>
              <w:jc w:val="center"/>
              <w:rPr>
                <w:rFonts w:hint="eastAsia"/>
                <w:sz w:val="24"/>
                <w:szCs w:val="24"/>
                <w:highlight w:val="none"/>
                <w:lang w:eastAsia="zh-CN"/>
              </w:rPr>
            </w:pPr>
            <w:r>
              <w:rPr>
                <w:rFonts w:hint="eastAsia"/>
                <w:sz w:val="24"/>
                <w:szCs w:val="24"/>
                <w:highlight w:val="none"/>
                <w:lang w:eastAsia="zh-CN"/>
              </w:rPr>
              <w:t>消防维保服务</w:t>
            </w:r>
          </w:p>
        </w:tc>
        <w:tc>
          <w:tcPr>
            <w:tcW w:w="874" w:type="pct"/>
            <w:noWrap/>
            <w:vAlign w:val="center"/>
          </w:tcPr>
          <w:p w14:paraId="71C209F1">
            <w:pPr>
              <w:widowControl/>
              <w:jc w:val="center"/>
              <w:rPr>
                <w:rFonts w:hint="default"/>
                <w:b w:val="0"/>
                <w:bCs w:val="0"/>
                <w:sz w:val="24"/>
                <w:szCs w:val="24"/>
                <w:highlight w:val="none"/>
                <w:lang w:val="en-US" w:eastAsia="zh-CN"/>
              </w:rPr>
            </w:pPr>
            <w:r>
              <w:rPr>
                <w:rFonts w:hint="eastAsia"/>
                <w:b w:val="0"/>
                <w:bCs w:val="0"/>
                <w:sz w:val="24"/>
                <w:lang w:val="en-US" w:eastAsia="zh-CN"/>
              </w:rPr>
              <w:t>132</w:t>
            </w:r>
          </w:p>
        </w:tc>
        <w:tc>
          <w:tcPr>
            <w:tcW w:w="515" w:type="pct"/>
            <w:noWrap/>
            <w:vAlign w:val="center"/>
          </w:tcPr>
          <w:p w14:paraId="44844D18">
            <w:pPr>
              <w:widowControl/>
              <w:jc w:val="center"/>
              <w:rPr>
                <w:rFonts w:hint="eastAsia"/>
                <w:b w:val="0"/>
                <w:bCs w:val="0"/>
                <w:sz w:val="24"/>
                <w:szCs w:val="24"/>
                <w:highlight w:val="none"/>
              </w:rPr>
            </w:pPr>
            <w:r>
              <w:rPr>
                <w:rFonts w:hint="eastAsia"/>
                <w:b w:val="0"/>
                <w:bCs w:val="0"/>
                <w:sz w:val="24"/>
                <w:szCs w:val="24"/>
                <w:highlight w:val="none"/>
              </w:rPr>
              <w:t>1项</w:t>
            </w:r>
          </w:p>
        </w:tc>
        <w:tc>
          <w:tcPr>
            <w:tcW w:w="2480" w:type="pct"/>
            <w:noWrap w:val="0"/>
            <w:vAlign w:val="center"/>
          </w:tcPr>
          <w:p w14:paraId="44C67DD5">
            <w:pPr>
              <w:widowControl/>
              <w:jc w:val="center"/>
              <w:rPr>
                <w:rFonts w:hint="default"/>
                <w:b w:val="0"/>
                <w:bCs w:val="0"/>
                <w:sz w:val="24"/>
                <w:szCs w:val="24"/>
                <w:highlight w:val="none"/>
                <w:lang w:val="en-US" w:eastAsia="zh-CN"/>
              </w:rPr>
            </w:pPr>
            <w:r>
              <w:rPr>
                <w:rFonts w:hint="eastAsia"/>
                <w:b w:val="0"/>
                <w:bCs w:val="0"/>
                <w:sz w:val="24"/>
                <w:szCs w:val="24"/>
                <w:lang w:val="en-US" w:eastAsia="zh-CN"/>
              </w:rPr>
              <w:t>通过派驻具备消防维保服务中级及以上资格证书的专业技术人员执行日、周、月、季、年检等维修保养工作，确保项目消防系统运行安全正常，符合相关法规要求。</w:t>
            </w:r>
          </w:p>
        </w:tc>
      </w:tr>
    </w:tbl>
    <w:p w14:paraId="38A64BC9">
      <w:pPr>
        <w:pStyle w:val="3"/>
        <w:pageBreakBefore w:val="0"/>
        <w:kinsoku/>
        <w:overflowPunct/>
        <w:bidi w:val="0"/>
        <w:spacing w:before="0" w:after="0" w:line="360" w:lineRule="auto"/>
        <w:ind w:firstLine="480" w:firstLineChars="200"/>
        <w:rPr>
          <w:rFonts w:hint="eastAsia" w:ascii="宋体" w:hAnsi="宋体" w:eastAsia="宋体" w:cs="宋体"/>
          <w:b w:val="0"/>
          <w:sz w:val="24"/>
          <w:szCs w:val="24"/>
          <w:lang w:eastAsia="zh-CN"/>
        </w:rPr>
      </w:pPr>
      <w:bookmarkStart w:id="7" w:name="_Toc35393622"/>
      <w:bookmarkStart w:id="8" w:name="_Toc35393791"/>
      <w:bookmarkStart w:id="9" w:name="_Toc28359080"/>
      <w:bookmarkStart w:id="10" w:name="_Toc28359003"/>
      <w:r>
        <w:rPr>
          <w:rFonts w:hint="eastAsia" w:ascii="宋体" w:hAnsi="宋体" w:eastAsia="宋体" w:cs="宋体"/>
          <w:b w:val="0"/>
          <w:sz w:val="24"/>
          <w:szCs w:val="24"/>
          <w:lang w:eastAsia="zh-CN"/>
        </w:rPr>
        <w:t>5.合同履行期限：详见《采购需求》。</w:t>
      </w:r>
    </w:p>
    <w:p w14:paraId="46B4ABCB">
      <w:pPr>
        <w:pStyle w:val="3"/>
        <w:pageBreakBefore w:val="0"/>
        <w:kinsoku/>
        <w:overflowPunct/>
        <w:bidi w:val="0"/>
        <w:spacing w:before="0" w:after="0" w:line="360" w:lineRule="auto"/>
        <w:ind w:firstLine="480" w:firstLineChars="200"/>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6.本项目是否接受联合体投标：□是</w:t>
      </w:r>
      <w:r>
        <w:rPr>
          <w:rFonts w:hint="eastAsia" w:ascii="宋体" w:hAnsi="宋体" w:eastAsia="宋体" w:cs="宋体"/>
          <w:b w:val="0"/>
          <w:sz w:val="24"/>
          <w:szCs w:val="24"/>
          <w:lang w:eastAsia="zh-CN"/>
        </w:rPr>
        <w:tab/>
      </w:r>
      <w:r>
        <w:rPr>
          <w:rFonts w:hint="eastAsia" w:ascii="宋体" w:hAnsi="宋体" w:eastAsia="宋体" w:cs="宋体"/>
          <w:b w:val="0"/>
          <w:sz w:val="24"/>
          <w:szCs w:val="24"/>
          <w:lang w:eastAsia="zh-CN"/>
        </w:rPr>
        <w:t>■否。</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二、申请人的资格要求</w:t>
      </w:r>
      <w:r>
        <w:rPr>
          <w:rFonts w:hint="eastAsia" w:ascii="宋体" w:hAnsi="宋体" w:eastAsia="宋体" w:cs="宋体"/>
          <w:b w:val="0"/>
          <w:sz w:val="24"/>
          <w:szCs w:val="24"/>
          <w:lang w:eastAsia="zh-CN"/>
        </w:rPr>
        <w:t>（须同时满足）</w:t>
      </w:r>
      <w:r>
        <w:rPr>
          <w:rFonts w:hint="eastAsia" w:ascii="宋体" w:hAnsi="宋体" w:eastAsia="宋体" w:cs="宋体"/>
          <w:b w:val="0"/>
          <w:sz w:val="24"/>
          <w:szCs w:val="24"/>
        </w:rPr>
        <w:t>：</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064FD734">
      <w:pPr>
        <w:pStyle w:val="54"/>
        <w:numPr>
          <w:ilvl w:val="1"/>
          <w:numId w:val="0"/>
        </w:numPr>
        <w:tabs>
          <w:tab w:val="left" w:pos="1201"/>
          <w:tab w:val="left" w:pos="8160"/>
        </w:tabs>
        <w:spacing w:before="0" w:line="360" w:lineRule="auto"/>
        <w:ind w:firstLine="480" w:firstLineChars="200"/>
        <w:rPr>
          <w:rFonts w:hint="eastAsia" w:ascii="宋体" w:hAnsi="宋体" w:eastAsia="宋体" w:cs="宋体"/>
          <w:b w:val="0"/>
          <w:bCs/>
          <w:kern w:val="2"/>
          <w:sz w:val="24"/>
          <w:szCs w:val="24"/>
          <w:lang w:val="en-US" w:eastAsia="zh-CN" w:bidi="ar-SA"/>
        </w:rPr>
      </w:pPr>
      <w:bookmarkStart w:id="13" w:name="_Toc35393623"/>
      <w:bookmarkStart w:id="14" w:name="_Toc35393792"/>
      <w:r>
        <w:rPr>
          <w:rFonts w:hint="eastAsia" w:ascii="宋体" w:hAnsi="宋体" w:eastAsia="宋体" w:cs="宋体"/>
          <w:b w:val="0"/>
          <w:bCs/>
          <w:kern w:val="2"/>
          <w:sz w:val="24"/>
          <w:szCs w:val="24"/>
          <w:lang w:val="en-US" w:eastAsia="zh-CN" w:bidi="ar-SA"/>
        </w:rPr>
        <w:t>2.1 中小企业政策</w:t>
      </w:r>
    </w:p>
    <w:p w14:paraId="2E2DB623">
      <w:pPr>
        <w:pStyle w:val="5"/>
        <w:tabs>
          <w:tab w:val="left" w:pos="567"/>
        </w:tabs>
        <w:spacing w:line="360" w:lineRule="auto"/>
        <w:ind w:left="615"/>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□本项目不专门面向中小企业预留采购份额。</w:t>
      </w:r>
    </w:p>
    <w:p w14:paraId="6C7C4390">
      <w:pPr>
        <w:pStyle w:val="5"/>
        <w:tabs>
          <w:tab w:val="left" w:pos="567"/>
        </w:tabs>
        <w:spacing w:line="360" w:lineRule="auto"/>
        <w:ind w:left="116" w:right="57" w:firstLine="498"/>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■本项目专门面向  □中小   ■小微企业 采购 。即：提供的服务全部由符合政策要求的小微企业承接。</w:t>
      </w:r>
    </w:p>
    <w:p w14:paraId="4D4E7053">
      <w:pPr>
        <w:pStyle w:val="5"/>
        <w:spacing w:line="360" w:lineRule="auto"/>
        <w:ind w:left="615"/>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□本项目预留部分采购项目预算专门面向中小企业采购。对于预留份额，提供的服务由符合政策要求的中小企业承接。预留份额通过以下措施进行：        。</w:t>
      </w:r>
    </w:p>
    <w:p w14:paraId="773B59C0">
      <w:pPr>
        <w:pStyle w:val="54"/>
        <w:numPr>
          <w:ilvl w:val="1"/>
          <w:numId w:val="0"/>
        </w:numPr>
        <w:tabs>
          <w:tab w:val="left" w:pos="1201"/>
          <w:tab w:val="left" w:pos="8160"/>
        </w:tabs>
        <w:spacing w:before="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 其它落实政府采购政策的资格要求：/。</w:t>
      </w:r>
    </w:p>
    <w:p w14:paraId="367F0F32">
      <w:pPr>
        <w:pStyle w:val="5"/>
        <w:spacing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3.本项目的特定资格要求：</w:t>
      </w:r>
    </w:p>
    <w:p w14:paraId="3D0397E8">
      <w:pPr>
        <w:tabs>
          <w:tab w:val="left" w:pos="900"/>
          <w:tab w:val="left" w:pos="1134"/>
          <w:tab w:val="left" w:pos="1589"/>
          <w:tab w:val="left" w:pos="5521"/>
        </w:tabs>
        <w:snapToGrid w:val="0"/>
        <w:spacing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3.1 本项目是否接受分支机构参与投标：□是   ■否；</w:t>
      </w:r>
    </w:p>
    <w:p w14:paraId="7AE9C708">
      <w:pPr>
        <w:tabs>
          <w:tab w:val="left" w:pos="900"/>
          <w:tab w:val="left" w:pos="1134"/>
          <w:tab w:val="left" w:pos="1589"/>
          <w:tab w:val="left" w:pos="5521"/>
        </w:tabs>
        <w:snapToGrid w:val="0"/>
        <w:spacing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3.2 本项目是否属于政府购买服务：</w:t>
      </w:r>
    </w:p>
    <w:p w14:paraId="053BDB87">
      <w:pPr>
        <w:tabs>
          <w:tab w:val="left" w:pos="900"/>
          <w:tab w:val="left" w:pos="1134"/>
          <w:tab w:val="left" w:pos="1589"/>
          <w:tab w:val="left" w:pos="5521"/>
        </w:tabs>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        ■ 否</w:t>
      </w:r>
    </w:p>
    <w:p w14:paraId="18888A3E">
      <w:pPr>
        <w:tabs>
          <w:tab w:val="left" w:pos="900"/>
          <w:tab w:val="left" w:pos="1134"/>
          <w:tab w:val="left" w:pos="1589"/>
          <w:tab w:val="left" w:pos="5521"/>
        </w:tabs>
        <w:snapToGrid w:val="0"/>
        <w:spacing w:line="360" w:lineRule="auto"/>
        <w:ind w:firstLine="960" w:firstLineChars="4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是，公益一类事业单位、使用事业编制且由财政拨款保障的群团组织，不得作为承接主体；</w:t>
      </w:r>
    </w:p>
    <w:p w14:paraId="6041F45B">
      <w:pPr>
        <w:pStyle w:val="5"/>
        <w:spacing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3.3 其他特定资格要求：</w:t>
      </w:r>
    </w:p>
    <w:p w14:paraId="74898E45">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1）投标人须具备消防设施工程专业承包贰级以上（含）专业资质；</w:t>
      </w:r>
    </w:p>
    <w:p w14:paraId="041F3EDB">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2）投标人应具备消防设施维护保养检测的能力，应在社会消防技术服务信息系统注册</w:t>
      </w:r>
      <w:r>
        <w:rPr>
          <w:rFonts w:hint="eastAsia" w:ascii="宋体" w:hAnsi="宋体" w:eastAsia="宋体" w:cs="宋体"/>
          <w:b w:val="0"/>
          <w:bCs/>
          <w:kern w:val="2"/>
          <w:sz w:val="24"/>
          <w:szCs w:val="24"/>
          <w:lang w:val="en-US" w:eastAsia="zh-CN" w:bidi="ar-SA"/>
        </w:rPr>
        <w:fldChar w:fldCharType="begin"/>
      </w:r>
      <w:r>
        <w:rPr>
          <w:rFonts w:hint="eastAsia" w:ascii="宋体" w:hAnsi="宋体" w:eastAsia="宋体" w:cs="宋体"/>
          <w:b w:val="0"/>
          <w:bCs/>
          <w:kern w:val="2"/>
          <w:sz w:val="24"/>
          <w:szCs w:val="24"/>
          <w:lang w:val="en-US" w:eastAsia="zh-CN" w:bidi="ar-SA"/>
        </w:rPr>
        <w:instrText xml:space="preserve"> HYPERLINK "https://shhxf.119.gov.cn/templet/index_7.jsp" </w:instrText>
      </w:r>
      <w:r>
        <w:rPr>
          <w:rFonts w:hint="eastAsia" w:ascii="宋体" w:hAnsi="宋体" w:eastAsia="宋体" w:cs="宋体"/>
          <w:b w:val="0"/>
          <w:bCs/>
          <w:kern w:val="2"/>
          <w:sz w:val="24"/>
          <w:szCs w:val="24"/>
          <w:lang w:val="en-US" w:eastAsia="zh-CN" w:bidi="ar-SA"/>
        </w:rPr>
        <w:fldChar w:fldCharType="separate"/>
      </w:r>
      <w:r>
        <w:rPr>
          <w:rFonts w:hint="eastAsia" w:ascii="宋体" w:hAnsi="宋体" w:eastAsia="宋体" w:cs="宋体"/>
          <w:b w:val="0"/>
          <w:bCs/>
          <w:kern w:val="2"/>
          <w:sz w:val="24"/>
          <w:szCs w:val="24"/>
          <w:lang w:val="en-US" w:eastAsia="zh-CN" w:bidi="ar-SA"/>
        </w:rPr>
        <w:t>https://shhxf.119.gov.cn/templet/index_7.jsp</w:t>
      </w:r>
      <w:r>
        <w:rPr>
          <w:rFonts w:hint="eastAsia" w:ascii="宋体" w:hAnsi="宋体" w:eastAsia="宋体" w:cs="宋体"/>
          <w:b w:val="0"/>
          <w:bCs/>
          <w:kern w:val="2"/>
          <w:sz w:val="24"/>
          <w:szCs w:val="24"/>
          <w:lang w:val="en-US" w:eastAsia="zh-CN" w:bidi="ar-SA"/>
        </w:rPr>
        <w:fldChar w:fldCharType="end"/>
      </w:r>
      <w:r>
        <w:rPr>
          <w:rFonts w:hint="eastAsia" w:ascii="宋体" w:hAnsi="宋体" w:eastAsia="宋体" w:cs="宋体"/>
          <w:b w:val="0"/>
          <w:bCs/>
          <w:kern w:val="2"/>
          <w:sz w:val="24"/>
          <w:szCs w:val="24"/>
          <w:lang w:val="en-US" w:eastAsia="zh-CN" w:bidi="ar-SA"/>
        </w:rPr>
        <w:t>并提供相应网站截图。</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793"/>
      <w:bookmarkStart w:id="18" w:name="_Toc35393624"/>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84"/>
      <w:bookmarkStart w:id="20" w:name="_Toc35393625"/>
      <w:bookmarkStart w:id="21" w:name="_Toc35393794"/>
      <w:bookmarkStart w:id="22" w:name="_Toc28359007"/>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29</w:t>
      </w:r>
      <w:r>
        <w:rPr>
          <w:rFonts w:hint="eastAsia" w:ascii="宋体" w:hAnsi="宋体" w:eastAsia="宋体" w:cs="宋体"/>
          <w:bCs/>
          <w:sz w:val="24"/>
          <w:szCs w:val="24"/>
          <w:highlight w:val="none"/>
          <w:lang w:eastAsia="zh-CN"/>
        </w:rPr>
        <w:t>日</w:t>
      </w:r>
      <w:r>
        <w:rPr>
          <w:rFonts w:hint="eastAsia" w:ascii="宋体" w:hAnsi="宋体" w:cs="宋体"/>
          <w:bCs/>
          <w:sz w:val="24"/>
          <w:szCs w:val="24"/>
          <w:highlight w:val="none"/>
          <w:lang w:val="en-US" w:eastAsia="zh-CN"/>
        </w:rPr>
        <w:t>09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796"/>
      <w:bookmarkStart w:id="26" w:name="_Toc35393627"/>
      <w:bookmarkStart w:id="27" w:name="_Toc28359008"/>
      <w:bookmarkStart w:id="28" w:name="_Toc28359085"/>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en-US" w:bidi="ar-SA"/>
        </w:rPr>
        <w:t xml:space="preserve">1.本项目需要落实的政府采购政策：促进中小企业发展政策、监狱企业扶持政策、促进残疾人就业政府采购政策、鼓励节能、环保政策、实施本国产品标准及相关政策等。具体落实情况详见招标文件。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称：首都医科大学附属北京地坛医院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址：北京市朝阳区京顺东街8号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联系方式：010-84323077</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default"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w:t>
      </w:r>
      <w:r>
        <w:rPr>
          <w:rFonts w:hint="eastAsia" w:ascii="宋体" w:hAnsi="宋体" w:cs="宋体"/>
          <w:bCs/>
          <w:sz w:val="24"/>
          <w:szCs w:val="24"/>
          <w:u w:val="single"/>
          <w:lang w:val="en-US" w:eastAsia="zh-CN"/>
        </w:rPr>
        <w:t>、010-85343360</w:t>
      </w:r>
      <w:bookmarkStart w:id="29" w:name="_GoBack"/>
      <w:bookmarkEnd w:id="29"/>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394F6F"/>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4D72A6E"/>
    <w:rsid w:val="15065107"/>
    <w:rsid w:val="15735CFA"/>
    <w:rsid w:val="1573694A"/>
    <w:rsid w:val="158C674C"/>
    <w:rsid w:val="17CF0DE0"/>
    <w:rsid w:val="18335BC8"/>
    <w:rsid w:val="19F03C9C"/>
    <w:rsid w:val="1A3C3D20"/>
    <w:rsid w:val="1A9A5817"/>
    <w:rsid w:val="1B0442B0"/>
    <w:rsid w:val="1B4048D1"/>
    <w:rsid w:val="1B866B59"/>
    <w:rsid w:val="1BBE01F3"/>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F33BB6"/>
    <w:rsid w:val="25FF1B34"/>
    <w:rsid w:val="26AD7506"/>
    <w:rsid w:val="27401BB2"/>
    <w:rsid w:val="285212FE"/>
    <w:rsid w:val="291C4B35"/>
    <w:rsid w:val="2967011C"/>
    <w:rsid w:val="2A83792D"/>
    <w:rsid w:val="2A874528"/>
    <w:rsid w:val="2BCA04EF"/>
    <w:rsid w:val="2CA82013"/>
    <w:rsid w:val="2CF55A3F"/>
    <w:rsid w:val="2D26209C"/>
    <w:rsid w:val="2E385BE3"/>
    <w:rsid w:val="2EC63CEE"/>
    <w:rsid w:val="303E35CF"/>
    <w:rsid w:val="30DF67EA"/>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76221BB"/>
    <w:rsid w:val="387B69BA"/>
    <w:rsid w:val="390377C3"/>
    <w:rsid w:val="3B82647B"/>
    <w:rsid w:val="3D0657A9"/>
    <w:rsid w:val="3D7344A5"/>
    <w:rsid w:val="3DA90D42"/>
    <w:rsid w:val="3DDF3943"/>
    <w:rsid w:val="3F302C3B"/>
    <w:rsid w:val="3F3630FE"/>
    <w:rsid w:val="3F640B0B"/>
    <w:rsid w:val="40331F2C"/>
    <w:rsid w:val="40E6314D"/>
    <w:rsid w:val="40FD2E2B"/>
    <w:rsid w:val="425D1A0B"/>
    <w:rsid w:val="43CA6B8D"/>
    <w:rsid w:val="440700DA"/>
    <w:rsid w:val="459660BA"/>
    <w:rsid w:val="46050649"/>
    <w:rsid w:val="463514B3"/>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471644"/>
    <w:rsid w:val="50B018E0"/>
    <w:rsid w:val="50C8175A"/>
    <w:rsid w:val="5186480E"/>
    <w:rsid w:val="52C23F57"/>
    <w:rsid w:val="52EF249C"/>
    <w:rsid w:val="530F2992"/>
    <w:rsid w:val="531E6325"/>
    <w:rsid w:val="53457C95"/>
    <w:rsid w:val="53A86942"/>
    <w:rsid w:val="53D23BDF"/>
    <w:rsid w:val="548D63DA"/>
    <w:rsid w:val="55173EF5"/>
    <w:rsid w:val="567B02F2"/>
    <w:rsid w:val="56C00491"/>
    <w:rsid w:val="5814071D"/>
    <w:rsid w:val="59413C36"/>
    <w:rsid w:val="594828CF"/>
    <w:rsid w:val="5A59165A"/>
    <w:rsid w:val="5AD04012"/>
    <w:rsid w:val="5B4857A8"/>
    <w:rsid w:val="5BC0634E"/>
    <w:rsid w:val="5C69757C"/>
    <w:rsid w:val="5D5B3753"/>
    <w:rsid w:val="5DBE13B2"/>
    <w:rsid w:val="5E127261"/>
    <w:rsid w:val="5F100B70"/>
    <w:rsid w:val="5F1617EB"/>
    <w:rsid w:val="609E2FA1"/>
    <w:rsid w:val="62AC0550"/>
    <w:rsid w:val="62B40FD5"/>
    <w:rsid w:val="62CA27A3"/>
    <w:rsid w:val="63064B86"/>
    <w:rsid w:val="63DB4629"/>
    <w:rsid w:val="643D1F77"/>
    <w:rsid w:val="64793376"/>
    <w:rsid w:val="65EE2A50"/>
    <w:rsid w:val="65F8567D"/>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6F5F723C"/>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BFA0818"/>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Normal (Web)"/>
    <w:basedOn w:val="1"/>
    <w:unhideWhenUsed/>
    <w:qFormat/>
    <w:uiPriority w:val="99"/>
  </w:style>
  <w:style w:type="paragraph" w:styleId="13">
    <w:name w:val="Title"/>
    <w:basedOn w:val="1"/>
    <w:next w:val="1"/>
    <w:qFormat/>
    <w:uiPriority w:val="0"/>
    <w:pPr>
      <w:jc w:val="center"/>
      <w:outlineLvl w:val="0"/>
    </w:pPr>
    <w:rPr>
      <w:b/>
      <w:sz w:val="32"/>
      <w:szCs w:val="20"/>
    </w:rPr>
  </w:style>
  <w:style w:type="character" w:styleId="16">
    <w:name w:val="FollowedHyperlink"/>
    <w:basedOn w:val="15"/>
    <w:qFormat/>
    <w:uiPriority w:val="0"/>
    <w:rPr>
      <w:color w:val="2490F8"/>
      <w:u w:val="single"/>
    </w:rPr>
  </w:style>
  <w:style w:type="character" w:styleId="17">
    <w:name w:val="Hyperlink"/>
    <w:basedOn w:val="15"/>
    <w:qFormat/>
    <w:uiPriority w:val="0"/>
    <w:rPr>
      <w:color w:val="2490F8"/>
      <w:u w:val="single"/>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5"/>
    <w:qFormat/>
    <w:uiPriority w:val="0"/>
    <w:rPr>
      <w:rFonts w:ascii="Tahoma" w:hAnsi="Tahoma" w:eastAsia="Tahoma" w:cs="Tahoma"/>
      <w:color w:val="000000"/>
      <w:sz w:val="22"/>
      <w:szCs w:val="22"/>
      <w:u w:val="none"/>
    </w:rPr>
  </w:style>
  <w:style w:type="character" w:customStyle="1" w:styleId="23">
    <w:name w:val="drapbtn"/>
    <w:basedOn w:val="15"/>
    <w:qFormat/>
    <w:uiPriority w:val="0"/>
  </w:style>
  <w:style w:type="character" w:customStyle="1" w:styleId="24">
    <w:name w:val="button"/>
    <w:basedOn w:val="15"/>
    <w:qFormat/>
    <w:uiPriority w:val="0"/>
  </w:style>
  <w:style w:type="character" w:customStyle="1" w:styleId="25">
    <w:name w:val="iconline2"/>
    <w:basedOn w:val="15"/>
    <w:qFormat/>
    <w:uiPriority w:val="0"/>
  </w:style>
  <w:style w:type="character" w:customStyle="1" w:styleId="26">
    <w:name w:val="icontext3"/>
    <w:basedOn w:val="15"/>
    <w:qFormat/>
    <w:uiPriority w:val="0"/>
  </w:style>
  <w:style w:type="character" w:customStyle="1" w:styleId="27">
    <w:name w:val="after"/>
    <w:basedOn w:val="15"/>
    <w:qFormat/>
    <w:uiPriority w:val="0"/>
    <w:rPr>
      <w:sz w:val="0"/>
      <w:szCs w:val="0"/>
    </w:rPr>
  </w:style>
  <w:style w:type="character" w:customStyle="1" w:styleId="28">
    <w:name w:val="pagechatarealistclose_box"/>
    <w:basedOn w:val="15"/>
    <w:qFormat/>
    <w:uiPriority w:val="0"/>
  </w:style>
  <w:style w:type="character" w:customStyle="1" w:styleId="29">
    <w:name w:val="pagechatarealistclose_box1"/>
    <w:basedOn w:val="15"/>
    <w:qFormat/>
    <w:uiPriority w:val="0"/>
  </w:style>
  <w:style w:type="character" w:customStyle="1" w:styleId="30">
    <w:name w:val="cy"/>
    <w:basedOn w:val="15"/>
    <w:qFormat/>
    <w:uiPriority w:val="0"/>
  </w:style>
  <w:style w:type="character" w:customStyle="1" w:styleId="31">
    <w:name w:val="hilite5"/>
    <w:basedOn w:val="15"/>
    <w:qFormat/>
    <w:uiPriority w:val="0"/>
    <w:rPr>
      <w:color w:val="FFFFFF"/>
      <w:shd w:val="clear" w:fill="666666"/>
    </w:rPr>
  </w:style>
  <w:style w:type="character" w:customStyle="1" w:styleId="32">
    <w:name w:val="layui-layer-tabnow"/>
    <w:basedOn w:val="15"/>
    <w:qFormat/>
    <w:uiPriority w:val="0"/>
    <w:rPr>
      <w:bdr w:val="single" w:color="CCCCCC" w:sz="6" w:space="0"/>
      <w:shd w:val="clear" w:fill="FFFFFF"/>
    </w:rPr>
  </w:style>
  <w:style w:type="character" w:customStyle="1" w:styleId="33">
    <w:name w:val="cdropright"/>
    <w:basedOn w:val="15"/>
    <w:qFormat/>
    <w:uiPriority w:val="0"/>
  </w:style>
  <w:style w:type="character" w:customStyle="1" w:styleId="34">
    <w:name w:val="ico1651"/>
    <w:basedOn w:val="15"/>
    <w:qFormat/>
    <w:uiPriority w:val="0"/>
  </w:style>
  <w:style w:type="character" w:customStyle="1" w:styleId="35">
    <w:name w:val="ico1652"/>
    <w:basedOn w:val="15"/>
    <w:qFormat/>
    <w:uiPriority w:val="0"/>
  </w:style>
  <w:style w:type="character" w:customStyle="1" w:styleId="36">
    <w:name w:val="associateddata"/>
    <w:basedOn w:val="15"/>
    <w:qFormat/>
    <w:uiPriority w:val="0"/>
    <w:rPr>
      <w:shd w:val="clear" w:fill="50A6F9"/>
    </w:rPr>
  </w:style>
  <w:style w:type="character" w:customStyle="1" w:styleId="37">
    <w:name w:val="cdropleft"/>
    <w:basedOn w:val="15"/>
    <w:qFormat/>
    <w:uiPriority w:val="0"/>
  </w:style>
  <w:style w:type="character" w:customStyle="1" w:styleId="38">
    <w:name w:val="active7"/>
    <w:basedOn w:val="15"/>
    <w:qFormat/>
    <w:uiPriority w:val="0"/>
    <w:rPr>
      <w:shd w:val="clear" w:fill="EC3535"/>
    </w:rPr>
  </w:style>
  <w:style w:type="character" w:customStyle="1" w:styleId="39">
    <w:name w:val="active8"/>
    <w:basedOn w:val="15"/>
    <w:qFormat/>
    <w:uiPriority w:val="0"/>
    <w:rPr>
      <w:color w:val="00FF00"/>
      <w:shd w:val="clear" w:fill="111111"/>
    </w:rPr>
  </w:style>
  <w:style w:type="character" w:customStyle="1" w:styleId="40">
    <w:name w:val="icontext2"/>
    <w:basedOn w:val="15"/>
    <w:qFormat/>
    <w:uiPriority w:val="0"/>
  </w:style>
  <w:style w:type="character" w:customStyle="1" w:styleId="41">
    <w:name w:val="tmpztreemove_arrow"/>
    <w:basedOn w:val="15"/>
    <w:qFormat/>
    <w:uiPriority w:val="0"/>
  </w:style>
  <w:style w:type="character" w:customStyle="1" w:styleId="42">
    <w:name w:val="icontext1"/>
    <w:basedOn w:val="15"/>
    <w:qFormat/>
    <w:uiPriority w:val="0"/>
  </w:style>
  <w:style w:type="character" w:customStyle="1" w:styleId="43">
    <w:name w:val="icontext11"/>
    <w:basedOn w:val="15"/>
    <w:qFormat/>
    <w:uiPriority w:val="0"/>
  </w:style>
  <w:style w:type="character" w:customStyle="1" w:styleId="44">
    <w:name w:val="icontext12"/>
    <w:basedOn w:val="15"/>
    <w:qFormat/>
    <w:uiPriority w:val="0"/>
  </w:style>
  <w:style w:type="character" w:customStyle="1" w:styleId="45">
    <w:name w:val="w32"/>
    <w:basedOn w:val="15"/>
    <w:qFormat/>
    <w:uiPriority w:val="0"/>
  </w:style>
  <w:style w:type="character" w:customStyle="1" w:styleId="46">
    <w:name w:val="first-child"/>
    <w:basedOn w:val="15"/>
    <w:qFormat/>
    <w:uiPriority w:val="0"/>
  </w:style>
  <w:style w:type="character" w:customStyle="1" w:styleId="47">
    <w:name w:val="ico1654"/>
    <w:basedOn w:val="15"/>
    <w:qFormat/>
    <w:uiPriority w:val="0"/>
  </w:style>
  <w:style w:type="character" w:customStyle="1" w:styleId="48">
    <w:name w:val="active"/>
    <w:basedOn w:val="15"/>
    <w:qFormat/>
    <w:uiPriority w:val="0"/>
    <w:rPr>
      <w:color w:val="00FF00"/>
      <w:shd w:val="clear" w:fill="111111"/>
    </w:rPr>
  </w:style>
  <w:style w:type="character" w:customStyle="1" w:styleId="49">
    <w:name w:val="active1"/>
    <w:basedOn w:val="15"/>
    <w:qFormat/>
    <w:uiPriority w:val="0"/>
    <w:rPr>
      <w:shd w:val="clear" w:fill="EC3535"/>
    </w:rPr>
  </w:style>
  <w:style w:type="character" w:customStyle="1" w:styleId="50">
    <w:name w:val="hilite6"/>
    <w:basedOn w:val="15"/>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5"/>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2493</Words>
  <Characters>2863</Characters>
  <Lines>18</Lines>
  <Paragraphs>5</Paragraphs>
  <TotalTime>3</TotalTime>
  <ScaleCrop>false</ScaleCrop>
  <LinksUpToDate>false</LinksUpToDate>
  <CharactersWithSpaces>2956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Desperado</cp:lastModifiedBy>
  <cp:lastPrinted>2022-08-09T12:07:00Z</cp:lastPrinted>
  <dcterms:modified xsi:type="dcterms:W3CDTF">2026-05-08T07:27:08Z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2DE5A9A5B47C4F6AA4FB43493CE364A7_13</vt:lpwstr>
  </property>
  <property fmtid="{D5CDD505-2E9C-101B-9397-08002B2CF9AE}" pid="4" name="KSOTemplateDocerSaveRecord">
    <vt:lpwstr>eyJoZGlkIjoiYzJkNmQ0NDE4YzEzNGRmM2Y2YjQ4M2I3YzVkZjVlNzUiLCJ1c2VySWQiOiIyNzA1NTg4NTgifQ==</vt:lpwstr>
  </property>
</Properties>
</file>