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42684">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0BD197B1">
      <w:pPr>
        <w:pStyle w:val="6"/>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14:paraId="02B50FFC">
      <w:pPr>
        <w:spacing w:line="360" w:lineRule="auto"/>
        <w:contextualSpacing/>
        <w:rPr>
          <w:bCs/>
          <w:sz w:val="24"/>
          <w:highlight w:val="none"/>
        </w:rPr>
      </w:pPr>
      <w:r>
        <w:rPr>
          <w:bCs/>
          <w:sz w:val="24"/>
          <w:highlight w:val="none"/>
        </w:rPr>
        <w:t>1. 采购标的（货物需求一览表或简要服务内容及数量）</w:t>
      </w:r>
    </w:p>
    <w:tbl>
      <w:tblPr>
        <w:tblStyle w:val="4"/>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679"/>
        <w:gridCol w:w="1078"/>
        <w:gridCol w:w="872"/>
        <w:gridCol w:w="2619"/>
      </w:tblGrid>
      <w:tr w14:paraId="0D64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732F03D">
            <w:pPr>
              <w:jc w:val="center"/>
              <w:rPr>
                <w:b/>
                <w:sz w:val="24"/>
                <w:highlight w:val="none"/>
              </w:rPr>
            </w:pPr>
            <w:r>
              <w:rPr>
                <w:rFonts w:hint="eastAsia"/>
                <w:b/>
                <w:sz w:val="24"/>
                <w:highlight w:val="none"/>
              </w:rPr>
              <w:t>序号</w:t>
            </w:r>
          </w:p>
        </w:tc>
        <w:tc>
          <w:tcPr>
            <w:tcW w:w="2679" w:type="dxa"/>
            <w:vAlign w:val="center"/>
          </w:tcPr>
          <w:p w14:paraId="78374F1E">
            <w:pPr>
              <w:jc w:val="center"/>
              <w:rPr>
                <w:b/>
                <w:sz w:val="24"/>
                <w:highlight w:val="none"/>
              </w:rPr>
            </w:pPr>
            <w:r>
              <w:rPr>
                <w:rFonts w:hint="eastAsia"/>
                <w:b/>
                <w:sz w:val="24"/>
                <w:highlight w:val="none"/>
              </w:rPr>
              <w:t>服务名称</w:t>
            </w:r>
          </w:p>
        </w:tc>
        <w:tc>
          <w:tcPr>
            <w:tcW w:w="1078" w:type="dxa"/>
            <w:vAlign w:val="center"/>
          </w:tcPr>
          <w:p w14:paraId="7CE32582">
            <w:pPr>
              <w:jc w:val="center"/>
              <w:rPr>
                <w:b/>
                <w:sz w:val="24"/>
                <w:highlight w:val="none"/>
              </w:rPr>
            </w:pPr>
            <w:r>
              <w:rPr>
                <w:rFonts w:hint="eastAsia"/>
                <w:b/>
                <w:sz w:val="24"/>
                <w:highlight w:val="none"/>
              </w:rPr>
              <w:t>数量</w:t>
            </w:r>
          </w:p>
        </w:tc>
        <w:tc>
          <w:tcPr>
            <w:tcW w:w="872" w:type="dxa"/>
            <w:vAlign w:val="center"/>
          </w:tcPr>
          <w:p w14:paraId="3122F6EC">
            <w:pPr>
              <w:jc w:val="center"/>
              <w:rPr>
                <w:b/>
                <w:sz w:val="24"/>
                <w:highlight w:val="none"/>
              </w:rPr>
            </w:pPr>
            <w:r>
              <w:rPr>
                <w:rFonts w:hint="eastAsia"/>
                <w:b/>
                <w:sz w:val="24"/>
                <w:highlight w:val="none"/>
              </w:rPr>
              <w:t>单位</w:t>
            </w:r>
          </w:p>
        </w:tc>
        <w:tc>
          <w:tcPr>
            <w:tcW w:w="2619" w:type="dxa"/>
            <w:vAlign w:val="center"/>
          </w:tcPr>
          <w:p w14:paraId="2567779B">
            <w:pPr>
              <w:jc w:val="center"/>
              <w:rPr>
                <w:b/>
                <w:sz w:val="24"/>
                <w:highlight w:val="none"/>
              </w:rPr>
            </w:pPr>
            <w:r>
              <w:rPr>
                <w:rFonts w:hint="eastAsia"/>
                <w:b/>
                <w:sz w:val="24"/>
                <w:highlight w:val="none"/>
              </w:rPr>
              <w:t>备注</w:t>
            </w:r>
          </w:p>
        </w:tc>
      </w:tr>
      <w:tr w14:paraId="720C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73E1007">
            <w:pPr>
              <w:jc w:val="center"/>
              <w:rPr>
                <w:sz w:val="24"/>
                <w:highlight w:val="none"/>
              </w:rPr>
            </w:pPr>
            <w:r>
              <w:rPr>
                <w:rFonts w:hint="eastAsia"/>
                <w:sz w:val="24"/>
                <w:highlight w:val="none"/>
              </w:rPr>
              <w:t>1</w:t>
            </w:r>
          </w:p>
        </w:tc>
        <w:tc>
          <w:tcPr>
            <w:tcW w:w="2679" w:type="dxa"/>
            <w:vAlign w:val="center"/>
          </w:tcPr>
          <w:p w14:paraId="02F9AE5E">
            <w:pPr>
              <w:jc w:val="center"/>
              <w:rPr>
                <w:sz w:val="24"/>
                <w:highlight w:val="none"/>
              </w:rPr>
            </w:pPr>
            <w:r>
              <w:rPr>
                <w:rFonts w:hint="eastAsia"/>
                <w:bCs/>
                <w:sz w:val="24"/>
                <w:highlight w:val="none"/>
              </w:rPr>
              <w:t>北京市产品质量监督检验研究院2026年度物业服务采购项目</w:t>
            </w:r>
          </w:p>
        </w:tc>
        <w:tc>
          <w:tcPr>
            <w:tcW w:w="1078" w:type="dxa"/>
            <w:vAlign w:val="center"/>
          </w:tcPr>
          <w:p w14:paraId="3FA30D1D">
            <w:pPr>
              <w:jc w:val="center"/>
              <w:rPr>
                <w:sz w:val="24"/>
                <w:highlight w:val="none"/>
              </w:rPr>
            </w:pPr>
            <w:r>
              <w:rPr>
                <w:rFonts w:hint="eastAsia"/>
                <w:sz w:val="24"/>
                <w:highlight w:val="none"/>
              </w:rPr>
              <w:t>1</w:t>
            </w:r>
          </w:p>
        </w:tc>
        <w:tc>
          <w:tcPr>
            <w:tcW w:w="872" w:type="dxa"/>
            <w:vAlign w:val="center"/>
          </w:tcPr>
          <w:p w14:paraId="6D3AD785">
            <w:pPr>
              <w:jc w:val="center"/>
              <w:rPr>
                <w:sz w:val="24"/>
                <w:highlight w:val="none"/>
              </w:rPr>
            </w:pPr>
            <w:r>
              <w:rPr>
                <w:rFonts w:hint="eastAsia"/>
                <w:sz w:val="24"/>
                <w:highlight w:val="none"/>
              </w:rPr>
              <w:t>1</w:t>
            </w:r>
          </w:p>
        </w:tc>
        <w:tc>
          <w:tcPr>
            <w:tcW w:w="2619" w:type="dxa"/>
            <w:vAlign w:val="center"/>
          </w:tcPr>
          <w:p w14:paraId="056AECD3">
            <w:pPr>
              <w:jc w:val="center"/>
              <w:rPr>
                <w:sz w:val="24"/>
                <w:highlight w:val="none"/>
              </w:rPr>
            </w:pPr>
            <w:r>
              <w:rPr>
                <w:rFonts w:hint="eastAsia"/>
                <w:sz w:val="24"/>
                <w:highlight w:val="none"/>
              </w:rPr>
              <w:t>/</w:t>
            </w:r>
          </w:p>
        </w:tc>
      </w:tr>
    </w:tbl>
    <w:p w14:paraId="54C8CB2D">
      <w:pPr>
        <w:spacing w:line="360" w:lineRule="auto"/>
        <w:contextualSpacing/>
        <w:rPr>
          <w:bCs/>
          <w:sz w:val="24"/>
          <w:highlight w:val="none"/>
        </w:rPr>
      </w:pPr>
    </w:p>
    <w:p w14:paraId="362755B0">
      <w:pPr>
        <w:rPr>
          <w:sz w:val="24"/>
          <w:highlight w:val="none"/>
        </w:rPr>
      </w:pPr>
    </w:p>
    <w:p w14:paraId="1E0F20B3">
      <w:pPr>
        <w:spacing w:line="360" w:lineRule="auto"/>
        <w:contextualSpacing/>
        <w:rPr>
          <w:bCs/>
          <w:sz w:val="24"/>
          <w:highlight w:val="none"/>
        </w:rPr>
      </w:pPr>
      <w:r>
        <w:rPr>
          <w:bCs/>
          <w:sz w:val="24"/>
          <w:highlight w:val="none"/>
        </w:rPr>
        <w:t>2. 项目背景/项目概述（如有）</w:t>
      </w:r>
    </w:p>
    <w:p w14:paraId="45662BC0">
      <w:pPr>
        <w:spacing w:line="500" w:lineRule="exact"/>
        <w:ind w:firstLine="482" w:firstLineChars="200"/>
        <w:rPr>
          <w:rFonts w:ascii="宋体" w:hAnsi="宋体"/>
          <w:sz w:val="24"/>
          <w:highlight w:val="none"/>
        </w:rPr>
      </w:pPr>
      <w:r>
        <w:rPr>
          <w:rFonts w:hint="eastAsia" w:ascii="宋体" w:hAnsi="宋体"/>
          <w:b/>
          <w:bCs/>
          <w:sz w:val="24"/>
          <w:highlight w:val="none"/>
        </w:rPr>
        <w:t>北京市产品质量监督检验研究院</w:t>
      </w:r>
      <w:r>
        <w:rPr>
          <w:rFonts w:hint="eastAsia" w:ascii="宋体" w:hAnsi="宋体"/>
          <w:sz w:val="24"/>
          <w:highlight w:val="none"/>
        </w:rPr>
        <w:t>，顺义院区（本部）地址：北京市顺义区顺兴路9号。占地面积143787.1平米，总建筑面积</w:t>
      </w:r>
      <w:r>
        <w:rPr>
          <w:rFonts w:hint="eastAsia" w:ascii="宋体" w:hAnsi="宋体"/>
          <w:sz w:val="24"/>
          <w:highlight w:val="none"/>
          <w:u w:val="single"/>
        </w:rPr>
        <w:t>78369.21</w:t>
      </w:r>
      <w:r>
        <w:rPr>
          <w:rFonts w:hint="eastAsia" w:ascii="宋体" w:hAnsi="宋体"/>
          <w:sz w:val="24"/>
          <w:highlight w:val="none"/>
        </w:rPr>
        <w:t>平方米。其中地下总建筑面积</w:t>
      </w:r>
      <w:r>
        <w:rPr>
          <w:rFonts w:hint="eastAsia" w:ascii="宋体" w:hAnsi="宋体"/>
          <w:sz w:val="24"/>
          <w:highlight w:val="none"/>
          <w:u w:val="single"/>
        </w:rPr>
        <w:t>5540.5</w:t>
      </w:r>
      <w:r>
        <w:rPr>
          <w:rFonts w:hint="eastAsia" w:ascii="宋体" w:hAnsi="宋体"/>
          <w:sz w:val="24"/>
          <w:highlight w:val="none"/>
        </w:rPr>
        <w:t>平方米，地上总建筑面积</w:t>
      </w:r>
      <w:r>
        <w:rPr>
          <w:rFonts w:hint="eastAsia" w:ascii="宋体" w:hAnsi="宋体"/>
          <w:sz w:val="24"/>
          <w:highlight w:val="none"/>
          <w:u w:val="single"/>
        </w:rPr>
        <w:t>72828.71</w:t>
      </w:r>
      <w:r>
        <w:rPr>
          <w:rFonts w:hint="eastAsia" w:ascii="宋体" w:hAnsi="宋体"/>
          <w:sz w:val="24"/>
          <w:highlight w:val="none"/>
        </w:rPr>
        <w:t>平方米。共有建筑物</w:t>
      </w:r>
      <w:r>
        <w:rPr>
          <w:rFonts w:hint="eastAsia" w:ascii="宋体" w:hAnsi="宋体"/>
          <w:b/>
          <w:sz w:val="24"/>
          <w:highlight w:val="none"/>
        </w:rPr>
        <w:t>5</w:t>
      </w:r>
      <w:r>
        <w:rPr>
          <w:rFonts w:hint="eastAsia" w:ascii="宋体" w:hAnsi="宋体"/>
          <w:sz w:val="24"/>
          <w:highlight w:val="none"/>
        </w:rPr>
        <w:t>幢，其中包括：质检楼1幢，碰撞实验楼1幢，整车灯光试验楼1幢，零部件实验楼1幢，传达室1幢；建筑结构为框剪。建筑密度</w:t>
      </w:r>
      <w:r>
        <w:rPr>
          <w:rFonts w:hint="eastAsia" w:ascii="宋体" w:hAnsi="宋体"/>
          <w:sz w:val="24"/>
          <w:highlight w:val="none"/>
          <w:u w:val="single"/>
        </w:rPr>
        <w:t>50.76%</w:t>
      </w:r>
      <w:r>
        <w:rPr>
          <w:rFonts w:hint="eastAsia" w:ascii="宋体" w:hAnsi="宋体"/>
          <w:sz w:val="24"/>
          <w:highlight w:val="none"/>
        </w:rPr>
        <w:t>，综合容积率</w:t>
      </w:r>
      <w:r>
        <w:rPr>
          <w:rFonts w:hint="eastAsia" w:ascii="宋体" w:hAnsi="宋体"/>
          <w:sz w:val="24"/>
          <w:highlight w:val="none"/>
          <w:u w:val="single"/>
        </w:rPr>
        <w:t>1.8</w:t>
      </w:r>
      <w:r>
        <w:rPr>
          <w:rFonts w:hint="eastAsia" w:ascii="宋体" w:hAnsi="宋体"/>
          <w:sz w:val="24"/>
          <w:highlight w:val="none"/>
        </w:rPr>
        <w:t>；绿化率为</w:t>
      </w:r>
      <w:r>
        <w:rPr>
          <w:rFonts w:hint="eastAsia" w:ascii="宋体" w:hAnsi="宋体"/>
          <w:sz w:val="24"/>
          <w:highlight w:val="none"/>
          <w:u w:val="single"/>
        </w:rPr>
        <w:t>30%，</w:t>
      </w:r>
      <w:r>
        <w:rPr>
          <w:rFonts w:hint="eastAsia" w:ascii="宋体" w:hAnsi="宋体"/>
          <w:sz w:val="24"/>
          <w:highlight w:val="none"/>
        </w:rPr>
        <w:t>机动车停车位</w:t>
      </w:r>
      <w:r>
        <w:rPr>
          <w:rFonts w:hint="eastAsia" w:ascii="宋体" w:hAnsi="宋体"/>
          <w:sz w:val="24"/>
          <w:highlight w:val="none"/>
          <w:u w:val="single"/>
        </w:rPr>
        <w:t>125</w:t>
      </w:r>
      <w:r>
        <w:rPr>
          <w:rFonts w:hint="eastAsia" w:ascii="宋体" w:hAnsi="宋体"/>
          <w:sz w:val="24"/>
          <w:highlight w:val="none"/>
        </w:rPr>
        <w:t>个，其中地上停车位</w:t>
      </w:r>
      <w:r>
        <w:rPr>
          <w:rFonts w:hint="eastAsia" w:ascii="宋体" w:hAnsi="宋体"/>
          <w:sz w:val="24"/>
          <w:highlight w:val="none"/>
          <w:u w:val="single"/>
        </w:rPr>
        <w:t>42</w:t>
      </w:r>
      <w:r>
        <w:rPr>
          <w:rFonts w:hint="eastAsia" w:ascii="宋体" w:hAnsi="宋体"/>
          <w:sz w:val="24"/>
          <w:highlight w:val="none"/>
        </w:rPr>
        <w:t>个，地下停车位</w:t>
      </w:r>
      <w:r>
        <w:rPr>
          <w:rFonts w:hint="eastAsia" w:ascii="宋体" w:hAnsi="宋体"/>
          <w:sz w:val="24"/>
          <w:highlight w:val="none"/>
          <w:u w:val="single"/>
        </w:rPr>
        <w:t>83</w:t>
      </w:r>
      <w:r>
        <w:rPr>
          <w:rFonts w:hint="eastAsia" w:ascii="宋体" w:hAnsi="宋体"/>
          <w:sz w:val="24"/>
          <w:highlight w:val="none"/>
        </w:rPr>
        <w:t>个。</w:t>
      </w:r>
    </w:p>
    <w:p w14:paraId="7BA92B7B">
      <w:pPr>
        <w:spacing w:line="500" w:lineRule="exact"/>
        <w:ind w:firstLine="482" w:firstLineChars="200"/>
        <w:rPr>
          <w:rFonts w:ascii="宋体" w:hAnsi="宋体" w:cs="宋体"/>
          <w:sz w:val="24"/>
          <w:highlight w:val="none"/>
        </w:rPr>
      </w:pPr>
      <w:r>
        <w:rPr>
          <w:rFonts w:hint="eastAsia" w:ascii="宋体" w:hAnsi="宋体" w:cs="宋体"/>
          <w:b/>
          <w:sz w:val="24"/>
          <w:highlight w:val="none"/>
        </w:rPr>
        <w:t>轻工及纺织皮革研究所，</w:t>
      </w:r>
      <w:r>
        <w:rPr>
          <w:rFonts w:hint="eastAsia" w:ascii="宋体" w:hAnsi="宋体" w:cs="宋体"/>
          <w:sz w:val="24"/>
          <w:highlight w:val="none"/>
        </w:rPr>
        <w:t>八里庄院区地址：北京市朝阳区八里庄西里甲15号。占地面积1100平米，总建筑面积</w:t>
      </w:r>
      <w:r>
        <w:rPr>
          <w:rFonts w:hint="eastAsia" w:ascii="宋体" w:hAnsi="宋体" w:cs="宋体"/>
          <w:sz w:val="24"/>
          <w:highlight w:val="none"/>
          <w:u w:val="single"/>
        </w:rPr>
        <w:t>4300</w:t>
      </w:r>
      <w:r>
        <w:rPr>
          <w:rFonts w:hint="eastAsia" w:ascii="宋体" w:hAnsi="宋体" w:cs="宋体"/>
          <w:sz w:val="24"/>
          <w:highlight w:val="none"/>
        </w:rPr>
        <w:t>平方米。共有建筑物</w:t>
      </w:r>
      <w:r>
        <w:rPr>
          <w:rFonts w:hint="eastAsia" w:ascii="宋体" w:hAnsi="宋体" w:cs="宋体"/>
          <w:b/>
          <w:sz w:val="24"/>
          <w:highlight w:val="none"/>
        </w:rPr>
        <w:t>9</w:t>
      </w:r>
      <w:r>
        <w:rPr>
          <w:rFonts w:hint="eastAsia" w:ascii="宋体" w:hAnsi="宋体" w:cs="宋体"/>
          <w:sz w:val="24"/>
          <w:highlight w:val="none"/>
        </w:rPr>
        <w:t>幢，其中包括：东楼四层，西楼六层（3、4层除外，产权属于其它公司）、平房及其它附属房屋。机动车停车位</w:t>
      </w:r>
      <w:r>
        <w:rPr>
          <w:rFonts w:hint="eastAsia" w:ascii="宋体" w:hAnsi="宋体" w:cs="宋体"/>
          <w:sz w:val="24"/>
          <w:highlight w:val="none"/>
          <w:u w:val="single"/>
        </w:rPr>
        <w:t>26</w:t>
      </w:r>
      <w:r>
        <w:rPr>
          <w:rFonts w:hint="eastAsia" w:ascii="宋体" w:hAnsi="宋体" w:cs="宋体"/>
          <w:sz w:val="24"/>
          <w:highlight w:val="none"/>
        </w:rPr>
        <w:t>个，其中院外停车位</w:t>
      </w:r>
      <w:r>
        <w:rPr>
          <w:rFonts w:hint="eastAsia" w:ascii="宋体" w:hAnsi="宋体" w:cs="宋体"/>
          <w:sz w:val="24"/>
          <w:highlight w:val="none"/>
          <w:u w:val="single"/>
        </w:rPr>
        <w:t>15</w:t>
      </w:r>
      <w:r>
        <w:rPr>
          <w:rFonts w:hint="eastAsia" w:ascii="宋体" w:hAnsi="宋体" w:cs="宋体"/>
          <w:sz w:val="24"/>
          <w:highlight w:val="none"/>
        </w:rPr>
        <w:t>个，院内车位</w:t>
      </w:r>
      <w:r>
        <w:rPr>
          <w:rFonts w:hint="eastAsia" w:ascii="宋体" w:hAnsi="宋体" w:cs="宋体"/>
          <w:sz w:val="24"/>
          <w:highlight w:val="none"/>
          <w:u w:val="single"/>
        </w:rPr>
        <w:t>11</w:t>
      </w:r>
      <w:r>
        <w:rPr>
          <w:rFonts w:hint="eastAsia" w:ascii="宋体" w:hAnsi="宋体" w:cs="宋体"/>
          <w:sz w:val="24"/>
          <w:highlight w:val="none"/>
        </w:rPr>
        <w:t>个。</w:t>
      </w:r>
    </w:p>
    <w:p w14:paraId="23F5F982">
      <w:pPr>
        <w:spacing w:line="500" w:lineRule="exact"/>
        <w:ind w:firstLine="482" w:firstLineChars="200"/>
        <w:rPr>
          <w:rFonts w:ascii="宋体" w:hAnsi="宋体"/>
          <w:b/>
          <w:sz w:val="24"/>
          <w:highlight w:val="none"/>
        </w:rPr>
      </w:pPr>
      <w:r>
        <w:rPr>
          <w:rFonts w:hint="eastAsia" w:ascii="宋体" w:hAnsi="宋体" w:cs="宋体"/>
          <w:b/>
          <w:sz w:val="24"/>
          <w:highlight w:val="none"/>
        </w:rPr>
        <w:t>信息技术安全检测研究所，</w:t>
      </w:r>
      <w:r>
        <w:rPr>
          <w:rFonts w:hint="eastAsia" w:ascii="宋体" w:hAnsi="宋体" w:cs="宋体"/>
          <w:sz w:val="24"/>
          <w:highlight w:val="none"/>
        </w:rPr>
        <w:t>广渠门院区地址：北京市东城区广渠门内大街9号。占地面积2351.6平米，总建筑面积</w:t>
      </w:r>
      <w:r>
        <w:rPr>
          <w:rFonts w:hint="eastAsia" w:ascii="宋体" w:hAnsi="宋体" w:cs="宋体"/>
          <w:sz w:val="24"/>
          <w:highlight w:val="none"/>
          <w:u w:val="single"/>
        </w:rPr>
        <w:t>3519.6</w:t>
      </w:r>
      <w:r>
        <w:rPr>
          <w:rFonts w:hint="eastAsia" w:ascii="宋体" w:hAnsi="宋体" w:cs="宋体"/>
          <w:sz w:val="24"/>
          <w:highlight w:val="none"/>
        </w:rPr>
        <w:t>平方米。共有建筑物</w:t>
      </w:r>
      <w:r>
        <w:rPr>
          <w:rFonts w:hint="eastAsia" w:ascii="宋体" w:hAnsi="宋体" w:cs="宋体"/>
          <w:b/>
          <w:sz w:val="24"/>
          <w:highlight w:val="none"/>
        </w:rPr>
        <w:t>7</w:t>
      </w:r>
      <w:r>
        <w:rPr>
          <w:rFonts w:hint="eastAsia" w:ascii="宋体" w:hAnsi="宋体" w:cs="宋体"/>
          <w:sz w:val="24"/>
          <w:highlight w:val="none"/>
        </w:rPr>
        <w:t>幢，其中包括：主楼四层、平房及其它附属房屋。机动车停车位</w:t>
      </w:r>
      <w:r>
        <w:rPr>
          <w:rFonts w:hint="eastAsia" w:ascii="宋体" w:hAnsi="宋体" w:cs="宋体"/>
          <w:sz w:val="24"/>
          <w:highlight w:val="none"/>
          <w:u w:val="single"/>
        </w:rPr>
        <w:t>21</w:t>
      </w:r>
      <w:r>
        <w:rPr>
          <w:rFonts w:hint="eastAsia" w:ascii="宋体" w:hAnsi="宋体" w:cs="宋体"/>
          <w:sz w:val="24"/>
          <w:highlight w:val="none"/>
        </w:rPr>
        <w:t>个。不可提供人员餐饮、住宿。</w:t>
      </w:r>
    </w:p>
    <w:p w14:paraId="2E71B264">
      <w:pPr>
        <w:spacing w:line="360" w:lineRule="auto"/>
        <w:ind w:firstLine="482"/>
        <w:contextualSpacing/>
        <w:rPr>
          <w:b/>
          <w:sz w:val="24"/>
          <w:highlight w:val="none"/>
        </w:rPr>
      </w:pPr>
    </w:p>
    <w:p w14:paraId="5AD568B7">
      <w:pPr>
        <w:pStyle w:val="6"/>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481F0BC6">
      <w:pPr>
        <w:spacing w:line="360" w:lineRule="auto"/>
        <w:contextualSpacing/>
        <w:rPr>
          <w:i/>
          <w:sz w:val="24"/>
          <w:highlight w:val="none"/>
        </w:rPr>
      </w:pPr>
      <w:r>
        <w:rPr>
          <w:sz w:val="24"/>
          <w:highlight w:val="none"/>
        </w:rPr>
        <w:t>1. 交付（实施）的时间（期限）和地点（范围）</w:t>
      </w:r>
    </w:p>
    <w:p w14:paraId="6A1375DB">
      <w:pPr>
        <w:spacing w:line="500" w:lineRule="exact"/>
        <w:ind w:firstLine="482" w:firstLineChars="200"/>
        <w:rPr>
          <w:rFonts w:ascii="宋体" w:hAnsi="宋体"/>
          <w:sz w:val="24"/>
          <w:highlight w:val="none"/>
        </w:rPr>
      </w:pPr>
      <w:r>
        <w:rPr>
          <w:rFonts w:hint="eastAsia" w:ascii="宋体" w:hAnsi="宋体"/>
          <w:b/>
          <w:bCs/>
          <w:sz w:val="24"/>
          <w:highlight w:val="none"/>
        </w:rPr>
        <w:t>顺义院区（本部）</w:t>
      </w:r>
      <w:r>
        <w:rPr>
          <w:rFonts w:hint="eastAsia" w:ascii="宋体" w:hAnsi="宋体"/>
          <w:sz w:val="24"/>
          <w:highlight w:val="none"/>
        </w:rPr>
        <w:t>：综合服务、会议服务、日常维修服务、紧急维修服务、保洁服务、供冷暖服务、临时交办的工作等。</w:t>
      </w:r>
    </w:p>
    <w:p w14:paraId="079D44FA">
      <w:pPr>
        <w:spacing w:line="500" w:lineRule="exact"/>
        <w:ind w:firstLine="482" w:firstLineChars="200"/>
        <w:rPr>
          <w:rFonts w:ascii="仿宋" w:hAnsi="仿宋" w:eastAsia="仿宋"/>
          <w:sz w:val="24"/>
          <w:highlight w:val="none"/>
        </w:rPr>
      </w:pPr>
      <w:r>
        <w:rPr>
          <w:rFonts w:hint="eastAsia" w:ascii="宋体" w:hAnsi="宋体"/>
          <w:b/>
          <w:bCs/>
          <w:sz w:val="24"/>
          <w:highlight w:val="none"/>
        </w:rPr>
        <w:t>八里庄、广渠门</w:t>
      </w:r>
      <w:r>
        <w:rPr>
          <w:rFonts w:hint="eastAsia" w:ascii="宋体" w:hAnsi="宋体"/>
          <w:sz w:val="24"/>
          <w:highlight w:val="none"/>
        </w:rPr>
        <w:t>两个院区：综合服务、日常维修服务、紧急维修服务、保洁服务、临时交办的工作等。</w:t>
      </w:r>
    </w:p>
    <w:p w14:paraId="376BEC4F">
      <w:pPr>
        <w:spacing w:line="500" w:lineRule="exact"/>
        <w:ind w:firstLine="480" w:firstLineChars="200"/>
        <w:rPr>
          <w:rFonts w:ascii="宋体" w:hAnsi="宋体"/>
          <w:sz w:val="24"/>
          <w:highlight w:val="none"/>
        </w:rPr>
      </w:pPr>
      <w:r>
        <w:rPr>
          <w:rFonts w:hint="eastAsia" w:ascii="宋体" w:hAnsi="宋体"/>
          <w:sz w:val="24"/>
          <w:highlight w:val="none"/>
        </w:rPr>
        <w:t>服务期限：2</w:t>
      </w:r>
      <w:r>
        <w:rPr>
          <w:rFonts w:ascii="宋体" w:hAnsi="宋体"/>
          <w:sz w:val="24"/>
          <w:highlight w:val="none"/>
        </w:rPr>
        <w:t>026</w:t>
      </w:r>
      <w:r>
        <w:rPr>
          <w:rFonts w:hint="eastAsia" w:ascii="宋体" w:hAnsi="宋体"/>
          <w:sz w:val="24"/>
          <w:highlight w:val="none"/>
        </w:rPr>
        <w:t>年</w:t>
      </w:r>
      <w:r>
        <w:rPr>
          <w:rFonts w:ascii="宋体" w:hAnsi="宋体"/>
          <w:sz w:val="24"/>
          <w:highlight w:val="none"/>
        </w:rPr>
        <w:t>7</w:t>
      </w:r>
      <w:r>
        <w:rPr>
          <w:rFonts w:hint="eastAsia" w:ascii="宋体" w:hAnsi="宋体"/>
          <w:sz w:val="24"/>
          <w:highlight w:val="none"/>
        </w:rPr>
        <w:t>月1日至2</w:t>
      </w:r>
      <w:r>
        <w:rPr>
          <w:rFonts w:ascii="宋体" w:hAnsi="宋体"/>
          <w:sz w:val="24"/>
          <w:highlight w:val="none"/>
        </w:rPr>
        <w:t>027</w:t>
      </w:r>
      <w:r>
        <w:rPr>
          <w:rFonts w:hint="eastAsia" w:ascii="宋体" w:hAnsi="宋体"/>
          <w:sz w:val="24"/>
          <w:highlight w:val="none"/>
        </w:rPr>
        <w:t>年6月3</w:t>
      </w:r>
      <w:r>
        <w:rPr>
          <w:rFonts w:ascii="宋体" w:hAnsi="宋体"/>
          <w:sz w:val="24"/>
          <w:highlight w:val="none"/>
        </w:rPr>
        <w:t>0</w:t>
      </w:r>
      <w:r>
        <w:rPr>
          <w:rFonts w:hint="eastAsia" w:ascii="宋体" w:hAnsi="宋体"/>
          <w:sz w:val="24"/>
          <w:highlight w:val="none"/>
        </w:rPr>
        <w:t>日，以实际进场时间为准，为期满1年。</w:t>
      </w:r>
    </w:p>
    <w:p w14:paraId="42556319">
      <w:pPr>
        <w:spacing w:line="360" w:lineRule="auto"/>
        <w:contextualSpacing/>
        <w:rPr>
          <w:i/>
          <w:sz w:val="24"/>
          <w:highlight w:val="none"/>
        </w:rPr>
      </w:pPr>
    </w:p>
    <w:p w14:paraId="60C78C19">
      <w:pPr>
        <w:spacing w:line="360" w:lineRule="auto"/>
        <w:contextualSpacing/>
        <w:rPr>
          <w:sz w:val="24"/>
          <w:highlight w:val="none"/>
        </w:rPr>
      </w:pPr>
      <w:r>
        <w:rPr>
          <w:sz w:val="24"/>
          <w:highlight w:val="none"/>
        </w:rPr>
        <w:t>2. 付款条件（进度和方式）</w:t>
      </w:r>
    </w:p>
    <w:p w14:paraId="62568900">
      <w:pPr>
        <w:spacing w:line="360" w:lineRule="auto"/>
        <w:contextualSpacing/>
        <w:rPr>
          <w:i/>
          <w:sz w:val="24"/>
          <w:highlight w:val="none"/>
        </w:rPr>
      </w:pPr>
      <w:r>
        <w:rPr>
          <w:rFonts w:hint="eastAsia" w:ascii="宋体" w:hAnsi="宋体"/>
          <w:sz w:val="24"/>
          <w:highlight w:val="none"/>
        </w:rPr>
        <w:t>项目预算金额（壹年</w:t>
      </w:r>
      <w:r>
        <w:rPr>
          <w:rFonts w:ascii="宋体" w:hAnsi="宋体"/>
          <w:sz w:val="24"/>
          <w:highlight w:val="none"/>
        </w:rPr>
        <w:t>）</w:t>
      </w:r>
      <w:r>
        <w:rPr>
          <w:rFonts w:hint="eastAsia" w:ascii="宋体" w:hAnsi="宋体"/>
          <w:sz w:val="24"/>
          <w:highlight w:val="none"/>
        </w:rPr>
        <w:t>：</w:t>
      </w:r>
      <w:r>
        <w:rPr>
          <w:rFonts w:hint="eastAsia" w:ascii="宋体" w:hAnsi="宋体" w:cs="宋体"/>
          <w:sz w:val="24"/>
          <w:highlight w:val="none"/>
        </w:rPr>
        <w:t>￥</w:t>
      </w:r>
      <w:r>
        <w:rPr>
          <w:rFonts w:hint="eastAsia" w:ascii="宋体" w:hAnsi="宋体"/>
          <w:sz w:val="24"/>
          <w:highlight w:val="none"/>
        </w:rPr>
        <w:t>372万元（大写：叁佰柒拾贰万元整）。</w:t>
      </w:r>
    </w:p>
    <w:p w14:paraId="2CD2B0C0">
      <w:pPr>
        <w:spacing w:line="360" w:lineRule="auto"/>
        <w:ind w:firstLine="480" w:firstLineChars="200"/>
        <w:contextualSpacing/>
        <w:rPr>
          <w:sz w:val="24"/>
          <w:highlight w:val="none"/>
        </w:rPr>
      </w:pPr>
      <w:r>
        <w:rPr>
          <w:rFonts w:hint="eastAsia" w:ascii="宋体" w:hAnsi="宋体"/>
          <w:sz w:val="24"/>
          <w:highlight w:val="none"/>
        </w:rPr>
        <w:t>支付方式：</w:t>
      </w:r>
      <w:r>
        <w:rPr>
          <w:rFonts w:hint="eastAsia" w:ascii="宋体" w:hAnsi="宋体"/>
          <w:kern w:val="0"/>
          <w:sz w:val="24"/>
          <w:highlight w:val="none"/>
        </w:rPr>
        <w:t>中标人在次月月初开具上月服务费用等额增值税专用发票，采购人在收到发票后10个工作日内支付乙方服务费。</w:t>
      </w:r>
    </w:p>
    <w:p w14:paraId="2F9DDA8D">
      <w:pPr>
        <w:spacing w:line="360" w:lineRule="auto"/>
        <w:contextualSpacing/>
        <w:rPr>
          <w:b/>
          <w:i/>
          <w:sz w:val="24"/>
          <w:highlight w:val="none"/>
        </w:rPr>
      </w:pPr>
    </w:p>
    <w:p w14:paraId="55D62E42">
      <w:pPr>
        <w:pStyle w:val="6"/>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14B98E6B">
      <w:pPr>
        <w:spacing w:line="500" w:lineRule="exact"/>
        <w:rPr>
          <w:rFonts w:ascii="宋体" w:hAnsi="宋体"/>
          <w:sz w:val="24"/>
          <w:highlight w:val="none"/>
        </w:rPr>
      </w:pPr>
      <w:r>
        <w:rPr>
          <w:rFonts w:hint="eastAsia" w:ascii="宋体" w:hAnsi="宋体"/>
          <w:sz w:val="24"/>
          <w:highlight w:val="none"/>
        </w:rPr>
        <w:t>（一）</w:t>
      </w:r>
      <w:r>
        <w:rPr>
          <w:rFonts w:hint="eastAsia" w:ascii="宋体" w:hAnsi="宋体"/>
          <w:b/>
          <w:bCs/>
          <w:sz w:val="24"/>
          <w:highlight w:val="none"/>
        </w:rPr>
        <w:t>院本部</w:t>
      </w:r>
      <w:r>
        <w:rPr>
          <w:rFonts w:hint="eastAsia" w:ascii="宋体" w:hAnsi="宋体"/>
          <w:sz w:val="24"/>
          <w:highlight w:val="none"/>
        </w:rPr>
        <w:t>服务要求</w:t>
      </w:r>
    </w:p>
    <w:p w14:paraId="2D995CB0">
      <w:pPr>
        <w:spacing w:line="500" w:lineRule="exact"/>
        <w:ind w:firstLine="480" w:firstLineChars="200"/>
        <w:rPr>
          <w:rFonts w:ascii="宋体" w:hAnsi="宋体"/>
          <w:sz w:val="24"/>
          <w:highlight w:val="none"/>
        </w:rPr>
      </w:pPr>
      <w:r>
        <w:rPr>
          <w:rFonts w:hint="eastAsia" w:ascii="宋体" w:hAnsi="宋体"/>
          <w:sz w:val="24"/>
          <w:highlight w:val="none"/>
        </w:rPr>
        <w:t>投标人应具有系统的工作制度和管理制度，设项目经理1人，须具有本科及以上学历，承诺具备中级以上职称证书，具有5年及以上物业项目经理管理工作经验，同时须持有有效期内的《北京市从业人员健康证明》及本单位任意一个月的社保缴纳证明材料。项目经理负责全面工作。其他工作人员岗位职责明晰；应以物业管理法规和服务标准化、正规化为宗旨，在合同约定期限内，确保采购人的安全，为采购人提供良好的服务。因物业公司的原因导致采购人损失产生任何的损失，由中标人全部负责承担。</w:t>
      </w:r>
    </w:p>
    <w:p w14:paraId="54FF9B65">
      <w:pPr>
        <w:spacing w:line="500" w:lineRule="exact"/>
        <w:rPr>
          <w:rFonts w:ascii="宋体" w:hAnsi="宋体"/>
          <w:b/>
          <w:bCs/>
          <w:sz w:val="24"/>
          <w:highlight w:val="none"/>
        </w:rPr>
      </w:pPr>
      <w:r>
        <w:rPr>
          <w:rFonts w:hint="eastAsia" w:ascii="宋体" w:hAnsi="宋体"/>
          <w:sz w:val="24"/>
          <w:highlight w:val="none"/>
        </w:rPr>
        <w:t>3.1.1</w:t>
      </w:r>
      <w:r>
        <w:rPr>
          <w:rFonts w:hint="eastAsia" w:ascii="宋体" w:hAnsi="宋体"/>
          <w:b/>
          <w:bCs/>
          <w:sz w:val="24"/>
          <w:highlight w:val="none"/>
        </w:rPr>
        <w:t>工程及设备维护（13人）：</w:t>
      </w:r>
    </w:p>
    <w:p w14:paraId="02E0C448">
      <w:pPr>
        <w:spacing w:line="500" w:lineRule="exact"/>
        <w:ind w:firstLine="482" w:firstLineChars="200"/>
        <w:rPr>
          <w:rFonts w:ascii="宋体" w:hAnsi="宋体"/>
          <w:b/>
          <w:bCs/>
          <w:sz w:val="24"/>
          <w:highlight w:val="none"/>
        </w:rPr>
      </w:pPr>
      <w:r>
        <w:rPr>
          <w:rFonts w:hint="eastAsia" w:ascii="宋体" w:hAnsi="宋体"/>
          <w:b/>
          <w:bCs/>
          <w:sz w:val="24"/>
          <w:highlight w:val="none"/>
        </w:rPr>
        <w:t>工程主管1人，</w:t>
      </w:r>
      <w:r>
        <w:rPr>
          <w:rFonts w:ascii="Segoe UI" w:hAnsi="Segoe UI" w:cs="Segoe UI"/>
          <w:color w:val="0D0D0D"/>
          <w:highlight w:val="none"/>
          <w:shd w:val="clear" w:color="auto" w:fill="FFFFFF"/>
        </w:rPr>
        <w:t>须具备大专及以上学历，承诺具备特种作业操作证（高压电工作业），具有3年及以上工程维修管理工作经验，同时须持有有效期内的《北京市从业人员健康证明》及本单位任意一个月的社保缴纳证明材料。</w:t>
      </w:r>
    </w:p>
    <w:p w14:paraId="6CF95139">
      <w:pPr>
        <w:spacing w:line="500" w:lineRule="exact"/>
        <w:ind w:firstLine="480" w:firstLineChars="200"/>
        <w:rPr>
          <w:rFonts w:ascii="宋体" w:hAnsi="宋体"/>
          <w:sz w:val="24"/>
          <w:highlight w:val="none"/>
        </w:rPr>
      </w:pPr>
      <w:r>
        <w:rPr>
          <w:rFonts w:hint="eastAsia" w:ascii="宋体" w:hAnsi="宋体"/>
          <w:sz w:val="24"/>
          <w:highlight w:val="none"/>
        </w:rPr>
        <w:t>其他工程相关人员（综合维修工、高压值班、制冷维修工（涵盖综合维修工作）1</w:t>
      </w:r>
      <w:r>
        <w:rPr>
          <w:rFonts w:ascii="宋体" w:hAnsi="宋体"/>
          <w:sz w:val="24"/>
          <w:highlight w:val="none"/>
        </w:rPr>
        <w:t>2</w:t>
      </w:r>
      <w:r>
        <w:rPr>
          <w:rFonts w:hint="eastAsia" w:ascii="宋体" w:hAnsi="宋体"/>
          <w:sz w:val="24"/>
          <w:highlight w:val="none"/>
        </w:rPr>
        <w:t>人，负责院区基建工程及综合维修、高压配电室</w:t>
      </w:r>
      <w:r>
        <w:rPr>
          <w:rFonts w:ascii="宋体" w:hAnsi="宋体"/>
          <w:sz w:val="24"/>
          <w:highlight w:val="none"/>
        </w:rPr>
        <w:t>24小时值班、供热制冷维修等工作。应配有相应的水电工、供热制冷维修工，做好配套的机电设备、供水、供电、空调制冷</w:t>
      </w:r>
      <w:r>
        <w:rPr>
          <w:rFonts w:hint="eastAsia" w:ascii="宋体" w:hAnsi="宋体"/>
          <w:sz w:val="24"/>
          <w:highlight w:val="none"/>
        </w:rPr>
        <w:t>具备</w:t>
      </w:r>
      <w:r>
        <w:rPr>
          <w:rFonts w:hint="eastAsia"/>
          <w:sz w:val="24"/>
          <w:highlight w:val="none"/>
        </w:rPr>
        <w:t>低压电工作业特种作业操作证、高压电工作业特种作业操作证。</w:t>
      </w:r>
      <w:r>
        <w:rPr>
          <w:rFonts w:hint="eastAsia" w:ascii="宋体" w:hAnsi="宋体"/>
          <w:sz w:val="24"/>
          <w:highlight w:val="none"/>
        </w:rPr>
        <w:t>地源热泵供水系统等公共设施的日常维护保养。保证路灯、草坪灯、办公室及办公、实验等区域的照明线路正常运转，出现故障立即排除；做到对室内外共用设备设施及公用设备设施设专人</w:t>
      </w:r>
      <w:r>
        <w:rPr>
          <w:rFonts w:ascii="宋体" w:hAnsi="宋体"/>
          <w:sz w:val="24"/>
          <w:highlight w:val="none"/>
        </w:rPr>
        <w:t>24小时巡查</w:t>
      </w:r>
      <w:r>
        <w:rPr>
          <w:rFonts w:hint="eastAsia" w:ascii="宋体" w:hAnsi="宋体"/>
          <w:sz w:val="24"/>
          <w:highlight w:val="none"/>
        </w:rPr>
        <w:t>，发现问题及时报告并做好记录等其他工作。因巡查工作不到位导致设备设施出现故障、损坏等造成的损失由中标人全部承担。</w:t>
      </w:r>
    </w:p>
    <w:p w14:paraId="31B3B27F">
      <w:pPr>
        <w:spacing w:line="500" w:lineRule="exact"/>
        <w:rPr>
          <w:rFonts w:ascii="宋体" w:hAnsi="宋体"/>
          <w:sz w:val="24"/>
          <w:highlight w:val="none"/>
        </w:rPr>
      </w:pPr>
      <w:r>
        <w:rPr>
          <w:rFonts w:hint="eastAsia" w:ascii="宋体" w:hAnsi="宋体"/>
          <w:sz w:val="24"/>
          <w:highlight w:val="none"/>
        </w:rPr>
        <w:t xml:space="preserve">3.1.2 </w:t>
      </w:r>
      <w:r>
        <w:rPr>
          <w:rFonts w:hint="eastAsia" w:ascii="宋体" w:hAnsi="宋体"/>
          <w:b/>
          <w:bCs/>
          <w:sz w:val="24"/>
          <w:highlight w:val="none"/>
        </w:rPr>
        <w:t>卫生保洁（22人）</w:t>
      </w:r>
      <w:r>
        <w:rPr>
          <w:rFonts w:hint="eastAsia" w:ascii="宋体" w:hAnsi="宋体"/>
          <w:sz w:val="24"/>
          <w:highlight w:val="none"/>
        </w:rPr>
        <w:t>：</w:t>
      </w:r>
    </w:p>
    <w:p w14:paraId="3A5B916B">
      <w:pPr>
        <w:spacing w:line="500" w:lineRule="exact"/>
        <w:ind w:firstLine="480" w:firstLineChars="200"/>
        <w:rPr>
          <w:rFonts w:ascii="宋体" w:hAnsi="宋体"/>
          <w:sz w:val="24"/>
          <w:highlight w:val="none"/>
        </w:rPr>
      </w:pPr>
      <w:r>
        <w:rPr>
          <w:rFonts w:hint="eastAsia" w:ascii="宋体" w:hAnsi="宋体"/>
          <w:sz w:val="24"/>
          <w:highlight w:val="none"/>
        </w:rPr>
        <w:t>保洁主管1人，</w:t>
      </w:r>
      <w:r>
        <w:rPr>
          <w:rFonts w:ascii="Segoe UI" w:hAnsi="Segoe UI" w:cs="Segoe UI"/>
          <w:color w:val="0D0D0D"/>
          <w:highlight w:val="none"/>
          <w:shd w:val="clear" w:color="auto" w:fill="FFFFFF"/>
        </w:rPr>
        <w:t>须具备大专及以上学历，具有3年及以上保洁管理工作经验，同时须持有有效期内的《北京市从业人员健康证明》及本单位任意一个月的社保缴纳证明材料。</w:t>
      </w:r>
    </w:p>
    <w:p w14:paraId="55D38468">
      <w:pPr>
        <w:spacing w:line="500" w:lineRule="exact"/>
        <w:ind w:firstLine="480" w:firstLineChars="200"/>
        <w:rPr>
          <w:rFonts w:ascii="宋体" w:hAnsi="宋体"/>
          <w:color w:val="FF0000"/>
          <w:sz w:val="24"/>
          <w:highlight w:val="none"/>
        </w:rPr>
      </w:pPr>
      <w:r>
        <w:rPr>
          <w:rFonts w:hint="eastAsia" w:ascii="宋体" w:hAnsi="宋体"/>
          <w:sz w:val="24"/>
          <w:highlight w:val="none"/>
        </w:rPr>
        <w:t>保洁员（含会议室保洁、热水保障）2</w:t>
      </w:r>
      <w:r>
        <w:rPr>
          <w:rFonts w:ascii="宋体" w:hAnsi="宋体"/>
          <w:sz w:val="24"/>
          <w:highlight w:val="none"/>
        </w:rPr>
        <w:t>1</w:t>
      </w:r>
      <w:r>
        <w:rPr>
          <w:rFonts w:hint="eastAsia" w:ascii="宋体" w:hAnsi="宋体"/>
          <w:sz w:val="24"/>
          <w:highlight w:val="none"/>
        </w:rPr>
        <w:t>人，负责院区公共区域、各会议室布置、保洁、热水保障等工作。保洁人员应做好办公区、公共区域、公共设备设施、卫生间、室外道路、广场、草坪、停车场、宣传栏、垃圾桶、路灯、草坪灯、室内外上下管道、标识等设施的日常保洁。做到地面无杂物、无废弃物、无污渍，夏季防汛冬季扫雪等环境卫生清洁率达</w:t>
      </w:r>
      <w:r>
        <w:rPr>
          <w:rFonts w:ascii="宋体" w:hAnsi="宋体"/>
          <w:sz w:val="24"/>
          <w:highlight w:val="none"/>
        </w:rPr>
        <w:t>99%</w:t>
      </w:r>
      <w:r>
        <w:rPr>
          <w:rFonts w:hint="eastAsia" w:ascii="宋体" w:hAnsi="宋体"/>
          <w:sz w:val="24"/>
          <w:highlight w:val="none"/>
        </w:rPr>
        <w:t>。排水管、下水管等室内外沟渠保持畅通，窨井和水池无超量淤积，窨井和水池每年至少全面清理2次，单体建筑一层的外窗玻璃每周清洗1次。保洁用品、用具(含驻外实验室)采购人不另行提供。垃圾日产日清等其他工作。垃圾清运费</w:t>
      </w:r>
      <w:r>
        <w:rPr>
          <w:rFonts w:ascii="宋体" w:hAnsi="宋体"/>
          <w:sz w:val="24"/>
          <w:highlight w:val="none"/>
        </w:rPr>
        <w:t>(含驻外实验室)</w:t>
      </w:r>
      <w:r>
        <w:rPr>
          <w:rFonts w:hint="eastAsia" w:ascii="宋体" w:hAnsi="宋体"/>
          <w:sz w:val="24"/>
          <w:highlight w:val="none"/>
        </w:rPr>
        <w:t>采购人</w:t>
      </w:r>
      <w:r>
        <w:rPr>
          <w:rFonts w:ascii="宋体" w:hAnsi="宋体"/>
          <w:sz w:val="24"/>
          <w:highlight w:val="none"/>
        </w:rPr>
        <w:t>不另行支付。</w:t>
      </w:r>
    </w:p>
    <w:p w14:paraId="2E8B748E">
      <w:pPr>
        <w:spacing w:line="500" w:lineRule="exact"/>
        <w:ind w:firstLine="480" w:firstLineChars="200"/>
        <w:rPr>
          <w:rFonts w:ascii="宋体" w:hAnsi="宋体"/>
          <w:sz w:val="24"/>
          <w:highlight w:val="none"/>
        </w:rPr>
      </w:pPr>
      <w:r>
        <w:rPr>
          <w:rFonts w:hint="eastAsia" w:ascii="宋体" w:hAnsi="宋体"/>
          <w:sz w:val="24"/>
          <w:highlight w:val="none"/>
        </w:rPr>
        <w:t>保持所有会议室、报告厅的卫生整洁。桌、椅、窗台、门无尘土、无污渍。随时处于待用状态。会议结束后及时清理会议室卫生，达到正常使用状态。</w:t>
      </w:r>
    </w:p>
    <w:p w14:paraId="37033F35">
      <w:pPr>
        <w:pStyle w:val="3"/>
        <w:adjustRightInd w:val="0"/>
        <w:spacing w:after="0" w:line="500" w:lineRule="atLeast"/>
        <w:ind w:left="0" w:leftChars="0" w:firstLine="0" w:firstLineChars="0"/>
        <w:textAlignment w:val="baseline"/>
        <w:rPr>
          <w:rFonts w:ascii="宋体" w:hAnsi="宋体"/>
          <w:highlight w:val="none"/>
        </w:rPr>
      </w:pPr>
      <w:r>
        <w:rPr>
          <w:rFonts w:hint="eastAsia" w:ascii="宋体" w:hAnsi="宋体"/>
          <w:highlight w:val="none"/>
        </w:rPr>
        <w:t xml:space="preserve">3.1.3 </w:t>
      </w:r>
      <w:r>
        <w:rPr>
          <w:rFonts w:hint="eastAsia" w:ascii="宋体" w:hAnsi="宋体"/>
          <w:b/>
          <w:bCs/>
          <w:highlight w:val="none"/>
        </w:rPr>
        <w:t>会议服务人员（2人）</w:t>
      </w:r>
      <w:r>
        <w:rPr>
          <w:rFonts w:hint="eastAsia" w:ascii="宋体" w:hAnsi="宋体"/>
          <w:highlight w:val="none"/>
        </w:rPr>
        <w:t>：</w:t>
      </w:r>
    </w:p>
    <w:p w14:paraId="129CA302">
      <w:pPr>
        <w:pStyle w:val="3"/>
        <w:adjustRightInd w:val="0"/>
        <w:spacing w:after="0" w:line="500" w:lineRule="atLeast"/>
        <w:ind w:left="0" w:leftChars="0" w:firstLine="480"/>
        <w:textAlignment w:val="baseline"/>
        <w:rPr>
          <w:rFonts w:ascii="宋体" w:hAnsi="宋体"/>
          <w:highlight w:val="none"/>
        </w:rPr>
      </w:pPr>
      <w:r>
        <w:rPr>
          <w:rFonts w:ascii="宋体" w:hAnsi="宋体"/>
          <w:highlight w:val="none"/>
        </w:rPr>
        <w:t>服务人员着</w:t>
      </w:r>
      <w:r>
        <w:rPr>
          <w:rFonts w:hint="eastAsia" w:ascii="宋体" w:hAnsi="宋体"/>
          <w:highlight w:val="none"/>
        </w:rPr>
        <w:t>正</w:t>
      </w:r>
      <w:r>
        <w:rPr>
          <w:rFonts w:ascii="宋体" w:hAnsi="宋体"/>
          <w:highlight w:val="none"/>
        </w:rPr>
        <w:t>装，佩戴工牌，以整洁、端庄的仪表接待与会者。在接待过程中，要保持微笑服务，使用礼貌用语，为与会者提供热情、周到的服务。在会议进行期间，服务人员需要随时关注与会者的需求，提供茶水、果点等服务，确保与会者的舒适度。通常，服务人员会每15分钟添加一次茶水，以满足与会者的饮水需求。</w:t>
      </w:r>
    </w:p>
    <w:p w14:paraId="1E263389">
      <w:pPr>
        <w:pStyle w:val="3"/>
        <w:adjustRightInd w:val="0"/>
        <w:spacing w:after="0" w:line="500" w:lineRule="atLeast"/>
        <w:ind w:left="0" w:leftChars="0" w:firstLine="480"/>
        <w:textAlignment w:val="baseline"/>
        <w:rPr>
          <w:rFonts w:ascii="宋体" w:hAnsi="宋体"/>
          <w:highlight w:val="none"/>
        </w:rPr>
      </w:pPr>
      <w:r>
        <w:rPr>
          <w:rFonts w:hint="eastAsia" w:ascii="宋体" w:hAnsi="宋体"/>
          <w:highlight w:val="none"/>
        </w:rPr>
        <w:t>会议结束后补好所需的杯子、茶叶，达到使用状态。会议用茶杯，每日清理干净，无茶渍、无污渍，并做到一客一消毒。随时检查会议室内的设备设施是否完好，发现问题及时报修，以免延误会议的进行。根据会议的需求随时领取茶叶、纸杯及会议用品。</w:t>
      </w:r>
    </w:p>
    <w:p w14:paraId="3A93BDE6">
      <w:pPr>
        <w:spacing w:line="500" w:lineRule="exact"/>
        <w:rPr>
          <w:rFonts w:ascii="宋体" w:hAnsi="宋体"/>
          <w:sz w:val="24"/>
          <w:highlight w:val="none"/>
        </w:rPr>
      </w:pPr>
      <w:r>
        <w:rPr>
          <w:rFonts w:hint="eastAsia" w:ascii="宋体" w:hAnsi="宋体"/>
          <w:sz w:val="24"/>
          <w:highlight w:val="none"/>
        </w:rPr>
        <w:t xml:space="preserve">3.1.4 </w:t>
      </w:r>
      <w:r>
        <w:rPr>
          <w:rFonts w:hint="eastAsia" w:ascii="宋体" w:hAnsi="宋体"/>
          <w:b/>
          <w:bCs/>
          <w:sz w:val="24"/>
          <w:highlight w:val="none"/>
        </w:rPr>
        <w:t>绿化（4人）</w:t>
      </w:r>
      <w:r>
        <w:rPr>
          <w:rFonts w:hint="eastAsia" w:ascii="宋体" w:hAnsi="宋体"/>
          <w:sz w:val="24"/>
          <w:highlight w:val="none"/>
        </w:rPr>
        <w:t>：</w:t>
      </w:r>
    </w:p>
    <w:p w14:paraId="20649B35">
      <w:pPr>
        <w:spacing w:line="500" w:lineRule="exact"/>
        <w:rPr>
          <w:rFonts w:ascii="宋体" w:hAnsi="宋体"/>
          <w:sz w:val="24"/>
          <w:highlight w:val="none"/>
        </w:rPr>
      </w:pPr>
      <w:r>
        <w:rPr>
          <w:rFonts w:hint="eastAsia" w:ascii="宋体" w:hAnsi="宋体"/>
          <w:sz w:val="24"/>
          <w:highlight w:val="none"/>
        </w:rPr>
        <w:t>绿化主管1人，</w:t>
      </w:r>
      <w:r>
        <w:rPr>
          <w:rFonts w:ascii="Segoe UI" w:hAnsi="Segoe UI" w:cs="Segoe UI"/>
          <w:color w:val="0D0D0D"/>
          <w:highlight w:val="none"/>
          <w:shd w:val="clear" w:color="auto" w:fill="FFFFFF"/>
        </w:rPr>
        <w:t>须具备大专及以上学历，具有3年及以上绿化养护管理工作经验，同时须持有有效期内的《北京市从业人员健康证明》及本单位任意一个月的社保缴纳证明材料。</w:t>
      </w:r>
    </w:p>
    <w:p w14:paraId="50E9040F">
      <w:pPr>
        <w:spacing w:line="500" w:lineRule="exact"/>
        <w:ind w:firstLine="480" w:firstLineChars="200"/>
        <w:rPr>
          <w:rFonts w:ascii="宋体" w:hAnsi="宋体"/>
          <w:sz w:val="24"/>
          <w:highlight w:val="none"/>
        </w:rPr>
      </w:pPr>
      <w:r>
        <w:rPr>
          <w:rFonts w:hint="eastAsia" w:ascii="宋体" w:hAnsi="宋体" w:cs="宋体"/>
          <w:color w:val="000000"/>
          <w:sz w:val="24"/>
          <w:highlight w:val="none"/>
        </w:rPr>
        <w:t>绿化工</w:t>
      </w:r>
      <w:r>
        <w:rPr>
          <w:rFonts w:ascii="宋体" w:hAnsi="宋体" w:cs="宋体"/>
          <w:color w:val="000000"/>
          <w:sz w:val="24"/>
          <w:highlight w:val="none"/>
        </w:rPr>
        <w:t>3</w:t>
      </w:r>
      <w:r>
        <w:rPr>
          <w:rFonts w:hint="eastAsia" w:ascii="宋体" w:hAnsi="宋体" w:cs="宋体"/>
          <w:color w:val="000000"/>
          <w:sz w:val="24"/>
          <w:highlight w:val="none"/>
        </w:rPr>
        <w:t>人，负责</w:t>
      </w:r>
      <w:r>
        <w:rPr>
          <w:rFonts w:hint="eastAsia" w:ascii="宋体" w:hAnsi="宋体"/>
          <w:sz w:val="24"/>
          <w:highlight w:val="none"/>
        </w:rPr>
        <w:t>包括但不限于</w:t>
      </w:r>
      <w:r>
        <w:rPr>
          <w:rFonts w:hint="eastAsia" w:ascii="宋体" w:hAnsi="宋体" w:cs="宋体e眠副浡渀."/>
          <w:sz w:val="24"/>
          <w:highlight w:val="none"/>
        </w:rPr>
        <w:t>植物（树木、绿篱、草坪等）修剪整形</w:t>
      </w:r>
      <w:r>
        <w:rPr>
          <w:rFonts w:hint="eastAsia" w:ascii="宋体" w:hAnsi="宋体"/>
          <w:sz w:val="24"/>
          <w:highlight w:val="none"/>
        </w:rPr>
        <w:t>、</w:t>
      </w:r>
      <w:r>
        <w:rPr>
          <w:rFonts w:hint="eastAsia" w:ascii="宋体" w:hAnsi="宋体" w:cs="宋体e眠副浡渀."/>
          <w:sz w:val="24"/>
          <w:highlight w:val="none"/>
        </w:rPr>
        <w:t>补植补造</w:t>
      </w:r>
      <w:r>
        <w:rPr>
          <w:rFonts w:hint="eastAsia" w:ascii="宋体" w:hAnsi="宋体"/>
          <w:sz w:val="24"/>
          <w:highlight w:val="none"/>
        </w:rPr>
        <w:t>、</w:t>
      </w:r>
      <w:r>
        <w:rPr>
          <w:rFonts w:hint="eastAsia" w:ascii="宋体" w:hAnsi="宋体" w:cs="宋体e眠副浡渀."/>
          <w:sz w:val="24"/>
          <w:highlight w:val="none"/>
        </w:rPr>
        <w:t>修整树盘</w:t>
      </w:r>
      <w:r>
        <w:rPr>
          <w:rFonts w:hint="eastAsia" w:ascii="宋体" w:hAnsi="宋体"/>
          <w:sz w:val="24"/>
          <w:highlight w:val="none"/>
        </w:rPr>
        <w:t>、</w:t>
      </w:r>
      <w:r>
        <w:rPr>
          <w:rFonts w:hint="eastAsia" w:ascii="宋体" w:hAnsi="宋体" w:cs="宋体e眠副浡渀."/>
          <w:sz w:val="24"/>
          <w:highlight w:val="none"/>
        </w:rPr>
        <w:t>抹芽除蘖</w:t>
      </w:r>
      <w:r>
        <w:rPr>
          <w:rFonts w:hint="eastAsia" w:ascii="宋体" w:hAnsi="宋体"/>
          <w:sz w:val="24"/>
          <w:highlight w:val="none"/>
        </w:rPr>
        <w:t>、</w:t>
      </w:r>
      <w:r>
        <w:rPr>
          <w:rFonts w:hint="eastAsia" w:ascii="宋体" w:hAnsi="宋体" w:cs="宋体e眠副浡渀."/>
          <w:sz w:val="24"/>
          <w:highlight w:val="none"/>
        </w:rPr>
        <w:t>老树复壮</w:t>
      </w:r>
      <w:r>
        <w:rPr>
          <w:rFonts w:hint="eastAsia" w:ascii="宋体" w:hAnsi="宋体"/>
          <w:sz w:val="24"/>
          <w:highlight w:val="none"/>
        </w:rPr>
        <w:t>、</w:t>
      </w:r>
      <w:r>
        <w:rPr>
          <w:rFonts w:hint="eastAsia" w:ascii="宋体" w:hAnsi="宋体" w:cs="宋体e眠副浡渀."/>
          <w:sz w:val="24"/>
          <w:highlight w:val="none"/>
        </w:rPr>
        <w:t>树木扶正</w:t>
      </w:r>
      <w:r>
        <w:rPr>
          <w:rFonts w:hint="eastAsia" w:ascii="宋体" w:hAnsi="宋体"/>
          <w:sz w:val="24"/>
          <w:highlight w:val="none"/>
        </w:rPr>
        <w:t>、</w:t>
      </w:r>
      <w:r>
        <w:rPr>
          <w:rFonts w:hint="eastAsia" w:ascii="宋体" w:hAnsi="宋体" w:cs="宋体e眠副浡渀."/>
          <w:sz w:val="24"/>
          <w:highlight w:val="none"/>
        </w:rPr>
        <w:t>林分更新</w:t>
      </w:r>
      <w:r>
        <w:rPr>
          <w:rFonts w:hint="eastAsia" w:ascii="宋体" w:hAnsi="宋体"/>
          <w:sz w:val="24"/>
          <w:highlight w:val="none"/>
        </w:rPr>
        <w:t>、</w:t>
      </w:r>
      <w:r>
        <w:rPr>
          <w:rFonts w:hint="eastAsia" w:ascii="宋体" w:hAnsi="宋体" w:cs="宋体e眠副浡渀."/>
          <w:sz w:val="24"/>
          <w:highlight w:val="none"/>
        </w:rPr>
        <w:t>浇水排涝</w:t>
      </w:r>
      <w:r>
        <w:rPr>
          <w:rFonts w:hint="eastAsia" w:ascii="宋体" w:hAnsi="宋体"/>
          <w:sz w:val="24"/>
          <w:highlight w:val="none"/>
        </w:rPr>
        <w:t>、</w:t>
      </w:r>
      <w:r>
        <w:rPr>
          <w:rFonts w:hint="eastAsia" w:ascii="宋体" w:hAnsi="宋体" w:cs="宋体e眠副浡渀."/>
          <w:sz w:val="24"/>
          <w:highlight w:val="none"/>
        </w:rPr>
        <w:t>施肥追肥</w:t>
      </w:r>
      <w:r>
        <w:rPr>
          <w:rFonts w:hint="eastAsia" w:ascii="宋体" w:hAnsi="宋体"/>
          <w:sz w:val="24"/>
          <w:highlight w:val="none"/>
        </w:rPr>
        <w:t>、</w:t>
      </w:r>
      <w:r>
        <w:rPr>
          <w:rFonts w:hint="eastAsia" w:ascii="宋体" w:hAnsi="宋体" w:cs="宋体e眠副浡渀."/>
          <w:sz w:val="24"/>
          <w:highlight w:val="none"/>
        </w:rPr>
        <w:t>植物防护（防寒、旱、涝、高温等）</w:t>
      </w:r>
      <w:r>
        <w:rPr>
          <w:rFonts w:hint="eastAsia" w:ascii="宋体" w:hAnsi="宋体"/>
          <w:sz w:val="24"/>
          <w:highlight w:val="none"/>
        </w:rPr>
        <w:t>、</w:t>
      </w:r>
      <w:r>
        <w:rPr>
          <w:rFonts w:hint="eastAsia" w:ascii="宋体" w:hAnsi="宋体" w:cs="宋体e眠副浡渀."/>
          <w:sz w:val="24"/>
          <w:highlight w:val="none"/>
        </w:rPr>
        <w:t>间株定株</w:t>
      </w:r>
      <w:r>
        <w:rPr>
          <w:rFonts w:hint="eastAsia" w:ascii="宋体" w:hAnsi="宋体"/>
          <w:sz w:val="24"/>
          <w:highlight w:val="none"/>
        </w:rPr>
        <w:t>、</w:t>
      </w:r>
      <w:r>
        <w:rPr>
          <w:rFonts w:hint="eastAsia" w:ascii="宋体" w:hAnsi="宋体" w:cs="宋体e眠副浡渀."/>
          <w:sz w:val="24"/>
          <w:highlight w:val="none"/>
        </w:rPr>
        <w:t>移植间伐</w:t>
      </w:r>
      <w:r>
        <w:rPr>
          <w:rFonts w:hint="eastAsia" w:ascii="宋体" w:hAnsi="宋体"/>
          <w:sz w:val="24"/>
          <w:highlight w:val="none"/>
        </w:rPr>
        <w:t>、</w:t>
      </w:r>
      <w:r>
        <w:rPr>
          <w:rFonts w:hint="eastAsia" w:ascii="宋体" w:hAnsi="宋体" w:cs="宋体e眠副浡渀."/>
          <w:sz w:val="24"/>
          <w:highlight w:val="none"/>
        </w:rPr>
        <w:t>地被种植</w:t>
      </w:r>
      <w:r>
        <w:rPr>
          <w:rFonts w:hint="eastAsia" w:ascii="宋体" w:hAnsi="宋体"/>
          <w:sz w:val="24"/>
          <w:highlight w:val="none"/>
        </w:rPr>
        <w:t>、</w:t>
      </w:r>
      <w:r>
        <w:rPr>
          <w:rFonts w:hint="eastAsia" w:ascii="宋体" w:hAnsi="宋体" w:cs="宋体e眠副浡渀."/>
          <w:sz w:val="24"/>
          <w:highlight w:val="none"/>
        </w:rPr>
        <w:t>清理杂草</w:t>
      </w:r>
      <w:r>
        <w:rPr>
          <w:rFonts w:hint="eastAsia" w:ascii="宋体" w:hAnsi="宋体"/>
          <w:sz w:val="24"/>
          <w:highlight w:val="none"/>
        </w:rPr>
        <w:t>、</w:t>
      </w:r>
      <w:r>
        <w:rPr>
          <w:rFonts w:hint="eastAsia" w:ascii="宋体" w:hAnsi="宋体" w:cs="宋体e眠副浡渀."/>
          <w:sz w:val="24"/>
          <w:highlight w:val="none"/>
        </w:rPr>
        <w:t>根除有害杂草</w:t>
      </w:r>
      <w:r>
        <w:rPr>
          <w:rFonts w:hint="eastAsia" w:ascii="宋体" w:hAnsi="宋体"/>
          <w:sz w:val="24"/>
          <w:highlight w:val="none"/>
        </w:rPr>
        <w:t>、</w:t>
      </w:r>
      <w:r>
        <w:rPr>
          <w:rFonts w:hint="eastAsia" w:ascii="宋体" w:hAnsi="宋体" w:cs="宋体e眠副浡渀."/>
          <w:sz w:val="24"/>
          <w:highlight w:val="none"/>
        </w:rPr>
        <w:t>土盘松土</w:t>
      </w:r>
      <w:r>
        <w:rPr>
          <w:rFonts w:hint="eastAsia" w:ascii="宋体" w:hAnsi="宋体"/>
          <w:sz w:val="24"/>
          <w:highlight w:val="none"/>
        </w:rPr>
        <w:t>、</w:t>
      </w:r>
      <w:r>
        <w:rPr>
          <w:rFonts w:hint="eastAsia" w:ascii="宋体" w:hAnsi="宋体" w:cs="宋体e眠副浡渀."/>
          <w:sz w:val="24"/>
          <w:highlight w:val="none"/>
        </w:rPr>
        <w:t>土壤改良</w:t>
      </w:r>
      <w:r>
        <w:rPr>
          <w:rFonts w:hint="eastAsia" w:ascii="宋体" w:hAnsi="宋体"/>
          <w:sz w:val="24"/>
          <w:highlight w:val="none"/>
        </w:rPr>
        <w:t>、</w:t>
      </w:r>
      <w:r>
        <w:rPr>
          <w:rFonts w:hint="eastAsia" w:ascii="宋体" w:hAnsi="宋体" w:cs="宋体e眠副浡渀."/>
          <w:sz w:val="24"/>
          <w:highlight w:val="none"/>
        </w:rPr>
        <w:t>涂白、架杆</w:t>
      </w:r>
      <w:r>
        <w:rPr>
          <w:rFonts w:hint="eastAsia" w:ascii="宋体" w:hAnsi="宋体"/>
          <w:sz w:val="24"/>
          <w:highlight w:val="none"/>
        </w:rPr>
        <w:t>、</w:t>
      </w:r>
      <w:r>
        <w:rPr>
          <w:rFonts w:hint="eastAsia" w:ascii="宋体" w:hAnsi="宋体" w:cs="宋体e眠副浡渀."/>
          <w:sz w:val="24"/>
          <w:highlight w:val="none"/>
        </w:rPr>
        <w:t>绿化设备（包括水井、喷灌机浇灌设备等）的维护</w:t>
      </w:r>
      <w:r>
        <w:rPr>
          <w:rFonts w:hint="eastAsia" w:ascii="宋体" w:hAnsi="宋体"/>
          <w:sz w:val="24"/>
          <w:highlight w:val="none"/>
        </w:rPr>
        <w:t>、</w:t>
      </w:r>
      <w:r>
        <w:rPr>
          <w:rFonts w:hint="eastAsia" w:ascii="宋体" w:hAnsi="宋体" w:cs="宋体e眠副浡渀."/>
          <w:sz w:val="24"/>
          <w:highlight w:val="none"/>
        </w:rPr>
        <w:t>垃圾收集、清运</w:t>
      </w:r>
      <w:r>
        <w:rPr>
          <w:rFonts w:hint="eastAsia" w:ascii="宋体" w:hAnsi="宋体"/>
          <w:sz w:val="24"/>
          <w:highlight w:val="none"/>
        </w:rPr>
        <w:t>、</w:t>
      </w:r>
      <w:r>
        <w:rPr>
          <w:rFonts w:hint="eastAsia" w:ascii="宋体" w:hAnsi="宋体" w:cs="宋体e眠副浡渀."/>
          <w:sz w:val="24"/>
          <w:highlight w:val="none"/>
        </w:rPr>
        <w:t>林业有害生物防治</w:t>
      </w:r>
      <w:r>
        <w:rPr>
          <w:rFonts w:hint="eastAsia" w:ascii="宋体" w:hAnsi="宋体"/>
          <w:sz w:val="24"/>
          <w:highlight w:val="none"/>
        </w:rPr>
        <w:t>、</w:t>
      </w:r>
      <w:r>
        <w:rPr>
          <w:rFonts w:hint="eastAsia" w:ascii="宋体" w:hAnsi="宋体" w:cs="宋体e眠副浡渀."/>
          <w:sz w:val="24"/>
          <w:highlight w:val="none"/>
        </w:rPr>
        <w:t>可燃物清理</w:t>
      </w:r>
      <w:r>
        <w:rPr>
          <w:rFonts w:hint="eastAsia" w:ascii="宋体" w:hAnsi="宋体"/>
          <w:sz w:val="24"/>
          <w:highlight w:val="none"/>
        </w:rPr>
        <w:t>、</w:t>
      </w:r>
      <w:r>
        <w:rPr>
          <w:rFonts w:hint="eastAsia" w:ascii="宋体" w:hAnsi="宋体" w:cs="宋体e眠副浡渀."/>
          <w:sz w:val="24"/>
          <w:highlight w:val="none"/>
        </w:rPr>
        <w:t>冬季扫雪除冰、垃圾收集、清运</w:t>
      </w:r>
      <w:r>
        <w:rPr>
          <w:rFonts w:hint="eastAsia" w:ascii="宋体" w:hAnsi="宋体"/>
          <w:sz w:val="24"/>
          <w:highlight w:val="none"/>
        </w:rPr>
        <w:t>、</w:t>
      </w:r>
      <w:r>
        <w:rPr>
          <w:rFonts w:hint="eastAsia" w:ascii="宋体" w:hAnsi="宋体" w:cs="宋体e眠副浡渀."/>
          <w:sz w:val="24"/>
          <w:highlight w:val="none"/>
        </w:rPr>
        <w:t>雨水边沟的清洁、整理</w:t>
      </w:r>
      <w:r>
        <w:rPr>
          <w:rFonts w:hint="eastAsia" w:ascii="宋体" w:hAnsi="宋体"/>
          <w:sz w:val="24"/>
          <w:highlight w:val="none"/>
        </w:rPr>
        <w:t>、</w:t>
      </w:r>
      <w:r>
        <w:rPr>
          <w:rFonts w:hint="eastAsia" w:ascii="宋体" w:hAnsi="宋体" w:cs="宋体e眠副浡渀."/>
          <w:sz w:val="24"/>
          <w:highlight w:val="none"/>
        </w:rPr>
        <w:t>林业有害生物防治</w:t>
      </w:r>
      <w:r>
        <w:rPr>
          <w:rFonts w:hint="eastAsia" w:ascii="宋体" w:hAnsi="宋体"/>
          <w:sz w:val="24"/>
          <w:highlight w:val="none"/>
        </w:rPr>
        <w:t>、</w:t>
      </w:r>
      <w:r>
        <w:rPr>
          <w:rFonts w:hint="eastAsia" w:ascii="宋体" w:hAnsi="宋体" w:cs="宋体e眠副浡渀."/>
          <w:sz w:val="24"/>
          <w:highlight w:val="none"/>
        </w:rPr>
        <w:t>林木保护</w:t>
      </w:r>
      <w:r>
        <w:rPr>
          <w:rFonts w:hint="eastAsia" w:ascii="宋体" w:hAnsi="宋体"/>
          <w:sz w:val="24"/>
          <w:highlight w:val="none"/>
        </w:rPr>
        <w:t>、</w:t>
      </w:r>
      <w:r>
        <w:rPr>
          <w:rFonts w:hint="eastAsia" w:ascii="宋体" w:hAnsi="宋体" w:cs="宋体e眠副浡渀."/>
          <w:sz w:val="24"/>
          <w:highlight w:val="none"/>
        </w:rPr>
        <w:t>应急救灾</w:t>
      </w:r>
      <w:r>
        <w:rPr>
          <w:rFonts w:hint="eastAsia" w:ascii="宋体" w:hAnsi="宋体"/>
          <w:sz w:val="24"/>
          <w:highlight w:val="none"/>
        </w:rPr>
        <w:t>、</w:t>
      </w:r>
      <w:r>
        <w:rPr>
          <w:rFonts w:hint="eastAsia" w:ascii="宋体" w:hAnsi="宋体" w:cs="宋体e眠副浡渀."/>
          <w:sz w:val="24"/>
          <w:highlight w:val="none"/>
        </w:rPr>
        <w:t>养护管理方案编制、档案管理</w:t>
      </w:r>
      <w:r>
        <w:rPr>
          <w:rFonts w:hint="eastAsia" w:ascii="宋体" w:hAnsi="宋体"/>
          <w:sz w:val="24"/>
          <w:highlight w:val="none"/>
        </w:rPr>
        <w:t>等</w:t>
      </w:r>
      <w:r>
        <w:rPr>
          <w:rFonts w:hint="eastAsia" w:ascii="宋体" w:hAnsi="宋体" w:cs="宋体e眠副浡渀."/>
          <w:sz w:val="24"/>
          <w:highlight w:val="none"/>
        </w:rPr>
        <w:t>。</w:t>
      </w:r>
    </w:p>
    <w:p w14:paraId="164D95AF">
      <w:pPr>
        <w:spacing w:line="500" w:lineRule="exact"/>
        <w:rPr>
          <w:rFonts w:ascii="宋体" w:hAnsi="宋体"/>
          <w:sz w:val="24"/>
          <w:highlight w:val="none"/>
        </w:rPr>
      </w:pPr>
      <w:r>
        <w:rPr>
          <w:rFonts w:hint="eastAsia" w:ascii="宋体" w:hAnsi="宋体"/>
          <w:sz w:val="24"/>
          <w:highlight w:val="none"/>
        </w:rPr>
        <w:t xml:space="preserve">3.1.5 </w:t>
      </w:r>
      <w:r>
        <w:rPr>
          <w:rFonts w:hint="eastAsia" w:ascii="宋体" w:hAnsi="宋体"/>
          <w:b/>
          <w:bCs/>
          <w:sz w:val="24"/>
          <w:highlight w:val="none"/>
        </w:rPr>
        <w:t>各类日常维护</w:t>
      </w:r>
      <w:r>
        <w:rPr>
          <w:rFonts w:hint="eastAsia" w:ascii="宋体" w:hAnsi="宋体"/>
          <w:sz w:val="24"/>
          <w:highlight w:val="none"/>
        </w:rPr>
        <w:t>：各类临时小修、急修：每周巡视办公桌椅、门锁、窗帘、照明、指示灯、上下水管道、装潢破损、卫生间设施及公用设施设备等设备设施，发现问题及时维修；每年夏冬季前的空调系统清洗维护保养、地源热泵的24小时专人值守、夏季防汛冬季扫雪及维护保养等。</w:t>
      </w:r>
    </w:p>
    <w:p w14:paraId="39741312">
      <w:pPr>
        <w:spacing w:line="500" w:lineRule="exact"/>
        <w:rPr>
          <w:rFonts w:ascii="宋体" w:hAnsi="宋体"/>
          <w:sz w:val="24"/>
          <w:highlight w:val="none"/>
        </w:rPr>
      </w:pPr>
      <w:r>
        <w:rPr>
          <w:rFonts w:hint="eastAsia" w:ascii="宋体" w:hAnsi="宋体" w:cs="宋体"/>
          <w:sz w:val="24"/>
          <w:highlight w:val="none"/>
        </w:rPr>
        <w:t xml:space="preserve">3.1.6 </w:t>
      </w:r>
      <w:r>
        <w:rPr>
          <w:rFonts w:hint="eastAsia" w:ascii="宋体" w:hAnsi="宋体" w:cs="宋体"/>
          <w:b/>
          <w:bCs/>
          <w:sz w:val="24"/>
          <w:highlight w:val="none"/>
        </w:rPr>
        <w:t>领导房间每天必做</w:t>
      </w:r>
      <w:r>
        <w:rPr>
          <w:rFonts w:hint="eastAsia" w:ascii="宋体" w:hAnsi="宋体" w:cs="宋体"/>
          <w:sz w:val="24"/>
          <w:highlight w:val="none"/>
        </w:rPr>
        <w:t>：开关空调、更换饮用水、刷办公人员茶杯、清洗烟灰缸、扫地、换垃圾袋、擦办公桌、擦电源开关、擦柜子、擦沙发、擦椅子、擦窗台。检查室内设施，发现问题及时报修。达到室内干净整洁。</w:t>
      </w:r>
    </w:p>
    <w:p w14:paraId="350C71BB">
      <w:pPr>
        <w:spacing w:line="500" w:lineRule="exact"/>
        <w:rPr>
          <w:rFonts w:ascii="宋体" w:hAnsi="宋体"/>
          <w:sz w:val="24"/>
          <w:highlight w:val="none"/>
        </w:rPr>
      </w:pPr>
      <w:r>
        <w:rPr>
          <w:rFonts w:hint="eastAsia" w:ascii="宋体" w:hAnsi="宋体"/>
          <w:sz w:val="24"/>
          <w:highlight w:val="none"/>
        </w:rPr>
        <w:t>3.1.7 值守岗位、特定岗位等其他需要持证上岗的岗位，必须持有国家签发的有效证件并在有效期内。</w:t>
      </w:r>
    </w:p>
    <w:p w14:paraId="3973E4C2">
      <w:pPr>
        <w:spacing w:line="500" w:lineRule="exact"/>
        <w:rPr>
          <w:rFonts w:ascii="宋体" w:hAnsi="宋体"/>
          <w:sz w:val="24"/>
          <w:highlight w:val="none"/>
        </w:rPr>
      </w:pPr>
      <w:r>
        <w:rPr>
          <w:rFonts w:hint="eastAsia" w:ascii="宋体" w:hAnsi="宋体"/>
          <w:sz w:val="24"/>
          <w:highlight w:val="none"/>
        </w:rPr>
        <w:t>3.1.8 遇节假日中标人每个岗位至少两人值守。</w:t>
      </w:r>
    </w:p>
    <w:p w14:paraId="2E1BA771">
      <w:pPr>
        <w:spacing w:line="500" w:lineRule="exact"/>
        <w:rPr>
          <w:rFonts w:ascii="宋体" w:hAnsi="宋体"/>
          <w:sz w:val="24"/>
          <w:highlight w:val="none"/>
        </w:rPr>
      </w:pPr>
      <w:r>
        <w:rPr>
          <w:rFonts w:hint="eastAsia" w:ascii="宋体" w:hAnsi="宋体"/>
          <w:sz w:val="24"/>
          <w:highlight w:val="none"/>
        </w:rPr>
        <w:t>3.1.9 与相关政府部门及其他单位对接并建立联系。</w:t>
      </w:r>
    </w:p>
    <w:p w14:paraId="75F36008">
      <w:pPr>
        <w:spacing w:line="500" w:lineRule="exact"/>
        <w:rPr>
          <w:rFonts w:ascii="宋体" w:hAnsi="宋体"/>
          <w:sz w:val="24"/>
          <w:highlight w:val="none"/>
        </w:rPr>
      </w:pPr>
      <w:r>
        <w:rPr>
          <w:rFonts w:hint="eastAsia" w:ascii="宋体" w:hAnsi="宋体"/>
          <w:sz w:val="24"/>
          <w:highlight w:val="none"/>
        </w:rPr>
        <w:t>3.1.10 建立物业档案；建立完备的物管相关资料及设备维修保养资料。</w:t>
      </w:r>
    </w:p>
    <w:p w14:paraId="14B805C6">
      <w:pPr>
        <w:spacing w:line="500" w:lineRule="exact"/>
        <w:rPr>
          <w:rFonts w:ascii="宋体" w:hAnsi="宋体"/>
          <w:sz w:val="24"/>
          <w:highlight w:val="none"/>
        </w:rPr>
      </w:pPr>
      <w:r>
        <w:rPr>
          <w:rFonts w:hint="eastAsia" w:ascii="宋体" w:hAnsi="宋体"/>
          <w:sz w:val="24"/>
          <w:highlight w:val="none"/>
        </w:rPr>
        <w:t>3.1.11 中标人在服务期间，因中标人管理过失，所导致的人身伤害、财产损失等法律责任由中标人予以承担。如果导致采购人对外承担责任的，采购人有权向中标人予以追偿。采购人对中标人建立绩效考核制度，按照绩效考核支付服务费。</w:t>
      </w:r>
    </w:p>
    <w:p w14:paraId="21687931">
      <w:pPr>
        <w:spacing w:line="500" w:lineRule="exact"/>
        <w:rPr>
          <w:rFonts w:ascii="宋体" w:hAnsi="宋体"/>
          <w:bCs/>
          <w:sz w:val="24"/>
          <w:highlight w:val="none"/>
        </w:rPr>
      </w:pPr>
      <w:r>
        <w:rPr>
          <w:rFonts w:hint="eastAsia" w:ascii="宋体" w:hAnsi="宋体"/>
          <w:sz w:val="24"/>
          <w:highlight w:val="none"/>
        </w:rPr>
        <w:t>3.1.12 完成采购人交给的其他临时工作，中标人不得另行收费。产生额外费用的工作，采购人会提前告知中标人。</w:t>
      </w:r>
    </w:p>
    <w:p w14:paraId="3FFE20F2">
      <w:pPr>
        <w:pStyle w:val="3"/>
        <w:ind w:left="0" w:leftChars="0" w:firstLine="0" w:firstLineChars="0"/>
        <w:rPr>
          <w:rFonts w:ascii="宋体" w:hAnsi="宋体"/>
          <w:bCs/>
          <w:highlight w:val="none"/>
        </w:rPr>
      </w:pPr>
    </w:p>
    <w:p w14:paraId="1342BD15">
      <w:pPr>
        <w:rPr>
          <w:rFonts w:ascii="宋体" w:hAnsi="宋体"/>
          <w:b/>
          <w:sz w:val="24"/>
          <w:highlight w:val="none"/>
        </w:rPr>
      </w:pPr>
      <w:r>
        <w:rPr>
          <w:rFonts w:hint="eastAsia" w:ascii="宋体" w:hAnsi="宋体" w:cs="宋体"/>
          <w:b/>
          <w:sz w:val="24"/>
          <w:highlight w:val="none"/>
        </w:rPr>
        <w:t>以上服务项目共需要服务人员42人，其中（可根据实际情况增减类别）：</w:t>
      </w:r>
    </w:p>
    <w:p w14:paraId="025C87F4">
      <w:pPr>
        <w:rPr>
          <w:rFonts w:ascii="宋体" w:hAnsi="宋体"/>
          <w:b/>
          <w:sz w:val="24"/>
          <w:highlight w:val="none"/>
        </w:rPr>
      </w:pPr>
    </w:p>
    <w:tbl>
      <w:tblPr>
        <w:tblStyle w:val="4"/>
        <w:tblW w:w="73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7"/>
        <w:gridCol w:w="2552"/>
        <w:gridCol w:w="3402"/>
      </w:tblGrid>
      <w:tr w14:paraId="733CC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1357" w:type="dxa"/>
            <w:shd w:val="clear" w:color="auto" w:fill="C0C0C0"/>
            <w:vAlign w:val="center"/>
          </w:tcPr>
          <w:p w14:paraId="32D84D65">
            <w:pPr>
              <w:widowControl/>
              <w:jc w:val="center"/>
              <w:textAlignment w:val="center"/>
              <w:rPr>
                <w:rFonts w:ascii="宋体" w:hAnsi="宋体" w:cs="宋体"/>
                <w:sz w:val="24"/>
                <w:highlight w:val="none"/>
              </w:rPr>
            </w:pPr>
            <w:r>
              <w:rPr>
                <w:rFonts w:hint="eastAsia" w:ascii="宋体" w:hAnsi="宋体" w:cs="宋体"/>
                <w:b/>
                <w:color w:val="000000"/>
                <w:sz w:val="24"/>
                <w:highlight w:val="none"/>
              </w:rPr>
              <w:t>项</w:t>
            </w:r>
            <w:r>
              <w:rPr>
                <w:rFonts w:ascii="宋体" w:hAnsi="宋体" w:cs="宋体"/>
                <w:b/>
                <w:color w:val="000000"/>
                <w:sz w:val="24"/>
                <w:highlight w:val="none"/>
              </w:rPr>
              <w:t xml:space="preserve"> </w:t>
            </w:r>
            <w:r>
              <w:rPr>
                <w:rFonts w:hint="eastAsia" w:ascii="宋体" w:hAnsi="宋体" w:cs="宋体"/>
                <w:b/>
                <w:color w:val="000000"/>
                <w:sz w:val="24"/>
                <w:highlight w:val="none"/>
              </w:rPr>
              <w:t>目</w:t>
            </w:r>
          </w:p>
        </w:tc>
        <w:tc>
          <w:tcPr>
            <w:tcW w:w="2552" w:type="dxa"/>
            <w:shd w:val="clear" w:color="auto" w:fill="C0C0C0"/>
            <w:vAlign w:val="center"/>
          </w:tcPr>
          <w:p w14:paraId="2F1DE68C">
            <w:pPr>
              <w:widowControl/>
              <w:jc w:val="center"/>
              <w:textAlignment w:val="center"/>
              <w:rPr>
                <w:rFonts w:ascii="宋体" w:hAnsi="宋体" w:cs="宋体"/>
                <w:sz w:val="24"/>
                <w:highlight w:val="none"/>
              </w:rPr>
            </w:pPr>
            <w:r>
              <w:rPr>
                <w:rFonts w:hint="eastAsia" w:ascii="宋体" w:hAnsi="宋体" w:cs="宋体"/>
                <w:b/>
                <w:color w:val="000000"/>
                <w:sz w:val="24"/>
                <w:highlight w:val="none"/>
              </w:rPr>
              <w:t>岗</w:t>
            </w:r>
            <w:r>
              <w:rPr>
                <w:rFonts w:ascii="宋体" w:hAnsi="宋体" w:cs="宋体"/>
                <w:b/>
                <w:color w:val="000000"/>
                <w:sz w:val="24"/>
                <w:highlight w:val="none"/>
              </w:rPr>
              <w:t xml:space="preserve">  </w:t>
            </w:r>
            <w:r>
              <w:rPr>
                <w:rFonts w:hint="eastAsia" w:ascii="宋体" w:hAnsi="宋体" w:cs="宋体"/>
                <w:b/>
                <w:color w:val="000000"/>
                <w:sz w:val="24"/>
                <w:highlight w:val="none"/>
              </w:rPr>
              <w:t>位</w:t>
            </w:r>
          </w:p>
        </w:tc>
        <w:tc>
          <w:tcPr>
            <w:tcW w:w="3402" w:type="dxa"/>
            <w:shd w:val="clear" w:color="auto" w:fill="C0C0C0"/>
            <w:vAlign w:val="center"/>
          </w:tcPr>
          <w:p w14:paraId="292264F3">
            <w:pPr>
              <w:widowControl/>
              <w:jc w:val="center"/>
              <w:textAlignment w:val="center"/>
              <w:rPr>
                <w:rFonts w:ascii="宋体" w:hAnsi="宋体" w:cs="宋体"/>
                <w:sz w:val="24"/>
                <w:highlight w:val="none"/>
              </w:rPr>
            </w:pPr>
            <w:r>
              <w:rPr>
                <w:rFonts w:hint="eastAsia" w:ascii="宋体" w:hAnsi="宋体" w:cs="宋体"/>
                <w:b/>
                <w:color w:val="000000"/>
                <w:sz w:val="24"/>
                <w:highlight w:val="none"/>
              </w:rPr>
              <w:t>人数</w:t>
            </w:r>
          </w:p>
        </w:tc>
      </w:tr>
      <w:tr w14:paraId="59926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atLeast"/>
          <w:jc w:val="center"/>
        </w:trPr>
        <w:tc>
          <w:tcPr>
            <w:tcW w:w="1357" w:type="dxa"/>
            <w:shd w:val="clear" w:color="auto" w:fill="auto"/>
            <w:vAlign w:val="center"/>
          </w:tcPr>
          <w:p w14:paraId="137F9B24">
            <w:pPr>
              <w:widowControl/>
              <w:jc w:val="center"/>
              <w:textAlignment w:val="center"/>
              <w:rPr>
                <w:rFonts w:ascii="宋体" w:hAnsi="宋体" w:cs="宋体"/>
                <w:sz w:val="24"/>
                <w:highlight w:val="none"/>
              </w:rPr>
            </w:pPr>
          </w:p>
        </w:tc>
        <w:tc>
          <w:tcPr>
            <w:tcW w:w="2552" w:type="dxa"/>
            <w:shd w:val="clear" w:color="auto" w:fill="FFFFFF"/>
            <w:vAlign w:val="center"/>
          </w:tcPr>
          <w:p w14:paraId="216F672E">
            <w:pPr>
              <w:widowControl/>
              <w:jc w:val="center"/>
              <w:textAlignment w:val="center"/>
              <w:rPr>
                <w:rFonts w:ascii="宋体" w:hAnsi="宋体" w:cs="宋体"/>
                <w:sz w:val="24"/>
                <w:highlight w:val="none"/>
              </w:rPr>
            </w:pPr>
            <w:r>
              <w:rPr>
                <w:rFonts w:hint="eastAsia" w:ascii="宋体" w:hAnsi="宋体" w:cs="宋体"/>
                <w:color w:val="000000"/>
                <w:sz w:val="24"/>
                <w:highlight w:val="none"/>
              </w:rPr>
              <w:t>项目经理</w:t>
            </w:r>
          </w:p>
        </w:tc>
        <w:tc>
          <w:tcPr>
            <w:tcW w:w="3402" w:type="dxa"/>
            <w:shd w:val="clear" w:color="auto" w:fill="auto"/>
            <w:vAlign w:val="center"/>
          </w:tcPr>
          <w:p w14:paraId="49D624E7">
            <w:pPr>
              <w:widowControl/>
              <w:jc w:val="center"/>
              <w:textAlignment w:val="center"/>
              <w:rPr>
                <w:rFonts w:ascii="宋体" w:hAnsi="宋体" w:cs="宋体"/>
                <w:sz w:val="24"/>
                <w:highlight w:val="none"/>
              </w:rPr>
            </w:pPr>
            <w:r>
              <w:rPr>
                <w:rFonts w:ascii="宋体" w:hAnsi="宋体" w:cs="宋体"/>
                <w:color w:val="000000"/>
                <w:sz w:val="24"/>
                <w:highlight w:val="none"/>
              </w:rPr>
              <w:t>1</w:t>
            </w:r>
          </w:p>
        </w:tc>
      </w:tr>
      <w:tr w14:paraId="75202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357" w:type="dxa"/>
            <w:vMerge w:val="restart"/>
            <w:shd w:val="clear" w:color="auto" w:fill="auto"/>
            <w:vAlign w:val="center"/>
          </w:tcPr>
          <w:p w14:paraId="77CDA05B">
            <w:pPr>
              <w:widowControl/>
              <w:jc w:val="center"/>
              <w:textAlignment w:val="center"/>
              <w:rPr>
                <w:rFonts w:ascii="宋体" w:hAnsi="宋体" w:cs="宋体"/>
                <w:sz w:val="24"/>
                <w:highlight w:val="none"/>
              </w:rPr>
            </w:pPr>
            <w:r>
              <w:rPr>
                <w:rFonts w:hint="eastAsia" w:ascii="宋体" w:hAnsi="宋体" w:cs="宋体"/>
                <w:color w:val="000000"/>
                <w:sz w:val="24"/>
                <w:highlight w:val="none"/>
              </w:rPr>
              <w:t>环境</w:t>
            </w:r>
          </w:p>
        </w:tc>
        <w:tc>
          <w:tcPr>
            <w:tcW w:w="2552" w:type="dxa"/>
            <w:shd w:val="clear" w:color="auto" w:fill="FFFFFF"/>
            <w:vAlign w:val="center"/>
          </w:tcPr>
          <w:p w14:paraId="268DC6C9">
            <w:pPr>
              <w:widowControl/>
              <w:jc w:val="center"/>
              <w:textAlignment w:val="center"/>
              <w:rPr>
                <w:rFonts w:ascii="宋体" w:hAnsi="宋体" w:cs="宋体"/>
                <w:sz w:val="24"/>
                <w:highlight w:val="none"/>
              </w:rPr>
            </w:pPr>
            <w:r>
              <w:rPr>
                <w:rFonts w:hint="eastAsia" w:ascii="宋体" w:hAnsi="宋体" w:cs="宋体"/>
                <w:color w:val="000000"/>
                <w:sz w:val="24"/>
                <w:highlight w:val="none"/>
              </w:rPr>
              <w:t>保洁主管</w:t>
            </w:r>
          </w:p>
        </w:tc>
        <w:tc>
          <w:tcPr>
            <w:tcW w:w="3402" w:type="dxa"/>
            <w:shd w:val="clear" w:color="auto" w:fill="auto"/>
            <w:vAlign w:val="center"/>
          </w:tcPr>
          <w:p w14:paraId="280FCD16">
            <w:pPr>
              <w:widowControl/>
              <w:jc w:val="center"/>
              <w:textAlignment w:val="center"/>
              <w:rPr>
                <w:rFonts w:ascii="宋体" w:hAnsi="宋体" w:cs="宋体"/>
                <w:sz w:val="24"/>
                <w:highlight w:val="none"/>
              </w:rPr>
            </w:pPr>
            <w:r>
              <w:rPr>
                <w:rFonts w:ascii="宋体" w:hAnsi="宋体" w:cs="宋体"/>
                <w:sz w:val="24"/>
                <w:highlight w:val="none"/>
              </w:rPr>
              <w:t>1</w:t>
            </w:r>
          </w:p>
        </w:tc>
      </w:tr>
      <w:tr w14:paraId="633C5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357" w:type="dxa"/>
            <w:vMerge w:val="continue"/>
            <w:shd w:val="clear" w:color="auto" w:fill="auto"/>
            <w:vAlign w:val="center"/>
          </w:tcPr>
          <w:p w14:paraId="76B91E7E">
            <w:pPr>
              <w:widowControl/>
              <w:jc w:val="center"/>
              <w:textAlignment w:val="center"/>
              <w:rPr>
                <w:rFonts w:ascii="宋体" w:hAnsi="宋体" w:cs="宋体"/>
                <w:color w:val="000000"/>
                <w:sz w:val="24"/>
                <w:highlight w:val="none"/>
              </w:rPr>
            </w:pPr>
          </w:p>
        </w:tc>
        <w:tc>
          <w:tcPr>
            <w:tcW w:w="2552" w:type="dxa"/>
            <w:shd w:val="clear" w:color="auto" w:fill="FFFFFF"/>
            <w:vAlign w:val="center"/>
          </w:tcPr>
          <w:p w14:paraId="36D3B9BE">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保洁员（含会议室保洁、热水保障）</w:t>
            </w:r>
          </w:p>
        </w:tc>
        <w:tc>
          <w:tcPr>
            <w:tcW w:w="3402" w:type="dxa"/>
            <w:shd w:val="clear" w:color="auto" w:fill="auto"/>
            <w:vAlign w:val="center"/>
          </w:tcPr>
          <w:p w14:paraId="73896C23">
            <w:pPr>
              <w:widowControl/>
              <w:jc w:val="center"/>
              <w:textAlignment w:val="center"/>
              <w:rPr>
                <w:rFonts w:ascii="宋体" w:hAnsi="宋体" w:cs="宋体"/>
                <w:sz w:val="24"/>
                <w:highlight w:val="none"/>
              </w:rPr>
            </w:pPr>
            <w:r>
              <w:rPr>
                <w:rFonts w:ascii="宋体" w:hAnsi="宋体" w:cs="宋体"/>
                <w:color w:val="000000"/>
                <w:sz w:val="24"/>
                <w:highlight w:val="none"/>
              </w:rPr>
              <w:t>21</w:t>
            </w:r>
          </w:p>
        </w:tc>
      </w:tr>
      <w:tr w14:paraId="34385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357" w:type="dxa"/>
            <w:vMerge w:val="continue"/>
            <w:shd w:val="clear" w:color="auto" w:fill="auto"/>
            <w:vAlign w:val="center"/>
          </w:tcPr>
          <w:p w14:paraId="6346F138">
            <w:pPr>
              <w:jc w:val="center"/>
              <w:rPr>
                <w:rFonts w:ascii="宋体" w:hAnsi="宋体" w:cs="宋体"/>
                <w:sz w:val="24"/>
                <w:highlight w:val="none"/>
              </w:rPr>
            </w:pPr>
          </w:p>
        </w:tc>
        <w:tc>
          <w:tcPr>
            <w:tcW w:w="2552" w:type="dxa"/>
            <w:shd w:val="clear" w:color="auto" w:fill="FFFFFF"/>
            <w:vAlign w:val="center"/>
          </w:tcPr>
          <w:p w14:paraId="33A0D826">
            <w:pPr>
              <w:widowControl/>
              <w:jc w:val="center"/>
              <w:textAlignment w:val="center"/>
              <w:rPr>
                <w:rFonts w:ascii="宋体" w:hAnsi="宋体" w:cs="宋体"/>
                <w:sz w:val="24"/>
                <w:highlight w:val="none"/>
              </w:rPr>
            </w:pPr>
            <w:r>
              <w:rPr>
                <w:rFonts w:hint="eastAsia" w:ascii="宋体" w:hAnsi="宋体" w:cs="宋体"/>
                <w:color w:val="000000"/>
                <w:sz w:val="24"/>
                <w:highlight w:val="none"/>
              </w:rPr>
              <w:t>会服</w:t>
            </w:r>
          </w:p>
        </w:tc>
        <w:tc>
          <w:tcPr>
            <w:tcW w:w="3402" w:type="dxa"/>
            <w:shd w:val="clear" w:color="auto" w:fill="auto"/>
            <w:vAlign w:val="center"/>
          </w:tcPr>
          <w:p w14:paraId="3C90F0D6">
            <w:pPr>
              <w:widowControl/>
              <w:jc w:val="center"/>
              <w:textAlignment w:val="center"/>
              <w:rPr>
                <w:rFonts w:ascii="宋体" w:hAnsi="宋体" w:cs="宋体"/>
                <w:sz w:val="24"/>
                <w:highlight w:val="none"/>
              </w:rPr>
            </w:pPr>
            <w:r>
              <w:rPr>
                <w:rFonts w:ascii="宋体" w:hAnsi="宋体" w:cs="宋体"/>
                <w:sz w:val="24"/>
                <w:highlight w:val="none"/>
              </w:rPr>
              <w:t>2</w:t>
            </w:r>
          </w:p>
        </w:tc>
      </w:tr>
      <w:tr w14:paraId="22E6C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1357" w:type="dxa"/>
            <w:vMerge w:val="continue"/>
            <w:shd w:val="clear" w:color="auto" w:fill="auto"/>
            <w:vAlign w:val="center"/>
          </w:tcPr>
          <w:p w14:paraId="457267DE">
            <w:pPr>
              <w:jc w:val="center"/>
              <w:rPr>
                <w:rFonts w:ascii="宋体" w:hAnsi="宋体" w:cs="宋体"/>
                <w:sz w:val="24"/>
                <w:highlight w:val="none"/>
              </w:rPr>
            </w:pPr>
          </w:p>
        </w:tc>
        <w:tc>
          <w:tcPr>
            <w:tcW w:w="2552" w:type="dxa"/>
            <w:shd w:val="clear" w:color="auto" w:fill="FFFFFF"/>
            <w:vAlign w:val="center"/>
          </w:tcPr>
          <w:p w14:paraId="510792ED">
            <w:pPr>
              <w:widowControl/>
              <w:jc w:val="center"/>
              <w:textAlignment w:val="center"/>
              <w:rPr>
                <w:rFonts w:ascii="宋体" w:hAnsi="宋体" w:cs="宋体"/>
                <w:sz w:val="24"/>
                <w:highlight w:val="none"/>
              </w:rPr>
            </w:pPr>
            <w:r>
              <w:rPr>
                <w:rFonts w:hint="eastAsia" w:ascii="宋体" w:hAnsi="宋体" w:cs="宋体"/>
                <w:color w:val="000000"/>
                <w:sz w:val="24"/>
                <w:highlight w:val="none"/>
              </w:rPr>
              <w:t>绿化主管</w:t>
            </w:r>
          </w:p>
        </w:tc>
        <w:tc>
          <w:tcPr>
            <w:tcW w:w="3402" w:type="dxa"/>
            <w:shd w:val="clear" w:color="auto" w:fill="auto"/>
            <w:vAlign w:val="center"/>
          </w:tcPr>
          <w:p w14:paraId="2A9C81CA">
            <w:pPr>
              <w:widowControl/>
              <w:jc w:val="center"/>
              <w:textAlignment w:val="center"/>
              <w:rPr>
                <w:rFonts w:ascii="宋体" w:hAnsi="宋体" w:cs="宋体"/>
                <w:sz w:val="24"/>
                <w:highlight w:val="none"/>
              </w:rPr>
            </w:pPr>
            <w:r>
              <w:rPr>
                <w:rFonts w:ascii="宋体" w:hAnsi="宋体" w:cs="宋体"/>
                <w:color w:val="000000"/>
                <w:sz w:val="24"/>
                <w:highlight w:val="none"/>
              </w:rPr>
              <w:t>1</w:t>
            </w:r>
          </w:p>
        </w:tc>
      </w:tr>
      <w:tr w14:paraId="1D9E8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1357" w:type="dxa"/>
            <w:shd w:val="clear" w:color="auto" w:fill="auto"/>
            <w:vAlign w:val="center"/>
          </w:tcPr>
          <w:p w14:paraId="086160D4">
            <w:pPr>
              <w:jc w:val="center"/>
              <w:rPr>
                <w:rFonts w:ascii="宋体" w:hAnsi="宋体" w:cs="宋体"/>
                <w:sz w:val="24"/>
                <w:highlight w:val="none"/>
              </w:rPr>
            </w:pPr>
          </w:p>
        </w:tc>
        <w:tc>
          <w:tcPr>
            <w:tcW w:w="2552" w:type="dxa"/>
            <w:shd w:val="clear" w:color="auto" w:fill="FFFFFF"/>
            <w:vAlign w:val="center"/>
          </w:tcPr>
          <w:p w14:paraId="1ACC65AE">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绿化工</w:t>
            </w:r>
          </w:p>
        </w:tc>
        <w:tc>
          <w:tcPr>
            <w:tcW w:w="3402" w:type="dxa"/>
            <w:shd w:val="clear" w:color="auto" w:fill="auto"/>
            <w:vAlign w:val="center"/>
          </w:tcPr>
          <w:p w14:paraId="2E6594AF">
            <w:pPr>
              <w:widowControl/>
              <w:jc w:val="center"/>
              <w:textAlignment w:val="center"/>
              <w:rPr>
                <w:rFonts w:ascii="宋体" w:hAnsi="宋体" w:cs="宋体"/>
                <w:color w:val="000000"/>
                <w:sz w:val="24"/>
                <w:highlight w:val="none"/>
              </w:rPr>
            </w:pPr>
            <w:r>
              <w:rPr>
                <w:rFonts w:ascii="宋体" w:hAnsi="宋体" w:cs="宋体"/>
                <w:color w:val="000000"/>
                <w:sz w:val="24"/>
                <w:highlight w:val="none"/>
              </w:rPr>
              <w:t>3</w:t>
            </w:r>
          </w:p>
        </w:tc>
      </w:tr>
      <w:tr w14:paraId="10072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1357" w:type="dxa"/>
            <w:vMerge w:val="restart"/>
            <w:shd w:val="clear" w:color="auto" w:fill="auto"/>
            <w:vAlign w:val="center"/>
          </w:tcPr>
          <w:p w14:paraId="1C530C98">
            <w:pPr>
              <w:widowControl/>
              <w:jc w:val="center"/>
              <w:textAlignment w:val="center"/>
              <w:rPr>
                <w:rFonts w:ascii="宋体" w:hAnsi="宋体" w:cs="宋体"/>
                <w:sz w:val="24"/>
                <w:highlight w:val="none"/>
              </w:rPr>
            </w:pPr>
            <w:r>
              <w:rPr>
                <w:rFonts w:hint="eastAsia" w:ascii="宋体" w:hAnsi="宋体" w:cs="宋体"/>
                <w:color w:val="000000"/>
                <w:sz w:val="24"/>
                <w:highlight w:val="none"/>
              </w:rPr>
              <w:t>工程</w:t>
            </w:r>
          </w:p>
        </w:tc>
        <w:tc>
          <w:tcPr>
            <w:tcW w:w="2552" w:type="dxa"/>
            <w:shd w:val="clear" w:color="auto" w:fill="FFFFFF"/>
            <w:vAlign w:val="center"/>
          </w:tcPr>
          <w:p w14:paraId="3916D93E">
            <w:pPr>
              <w:widowControl/>
              <w:jc w:val="center"/>
              <w:textAlignment w:val="center"/>
              <w:rPr>
                <w:rFonts w:ascii="宋体" w:hAnsi="宋体" w:cs="宋体"/>
                <w:sz w:val="24"/>
                <w:highlight w:val="none"/>
              </w:rPr>
            </w:pPr>
            <w:r>
              <w:rPr>
                <w:rFonts w:hint="eastAsia" w:ascii="宋体" w:hAnsi="宋体" w:cs="宋体"/>
                <w:color w:val="000000"/>
                <w:sz w:val="24"/>
                <w:highlight w:val="none"/>
              </w:rPr>
              <w:t>工程主管</w:t>
            </w:r>
          </w:p>
        </w:tc>
        <w:tc>
          <w:tcPr>
            <w:tcW w:w="3402" w:type="dxa"/>
            <w:shd w:val="clear" w:color="auto" w:fill="auto"/>
            <w:vAlign w:val="center"/>
          </w:tcPr>
          <w:p w14:paraId="3C98F7F0">
            <w:pPr>
              <w:widowControl/>
              <w:jc w:val="center"/>
              <w:textAlignment w:val="center"/>
              <w:rPr>
                <w:rFonts w:ascii="宋体" w:hAnsi="宋体" w:cs="宋体"/>
                <w:sz w:val="24"/>
                <w:highlight w:val="none"/>
              </w:rPr>
            </w:pPr>
            <w:r>
              <w:rPr>
                <w:rFonts w:ascii="宋体" w:hAnsi="宋体" w:cs="宋体"/>
                <w:color w:val="000000"/>
                <w:sz w:val="24"/>
                <w:highlight w:val="none"/>
              </w:rPr>
              <w:t xml:space="preserve">1 </w:t>
            </w:r>
          </w:p>
        </w:tc>
      </w:tr>
      <w:tr w14:paraId="781E1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357" w:type="dxa"/>
            <w:vMerge w:val="continue"/>
            <w:shd w:val="clear" w:color="auto" w:fill="auto"/>
            <w:vAlign w:val="center"/>
          </w:tcPr>
          <w:p w14:paraId="083323F9">
            <w:pPr>
              <w:jc w:val="center"/>
              <w:rPr>
                <w:rFonts w:ascii="宋体" w:hAnsi="宋体" w:cs="宋体"/>
                <w:sz w:val="24"/>
                <w:highlight w:val="none"/>
              </w:rPr>
            </w:pPr>
          </w:p>
        </w:tc>
        <w:tc>
          <w:tcPr>
            <w:tcW w:w="2552" w:type="dxa"/>
            <w:shd w:val="clear" w:color="auto" w:fill="FFFFFF"/>
            <w:vAlign w:val="center"/>
          </w:tcPr>
          <w:p w14:paraId="2CF7CE91">
            <w:pPr>
              <w:widowControl/>
              <w:jc w:val="center"/>
              <w:textAlignment w:val="center"/>
              <w:rPr>
                <w:rFonts w:ascii="宋体" w:hAnsi="宋体" w:cs="宋体"/>
                <w:sz w:val="24"/>
                <w:highlight w:val="none"/>
              </w:rPr>
            </w:pPr>
            <w:r>
              <w:rPr>
                <w:rFonts w:hint="eastAsia" w:ascii="宋体" w:hAnsi="宋体" w:cs="宋体"/>
                <w:color w:val="000000"/>
                <w:sz w:val="24"/>
                <w:highlight w:val="none"/>
              </w:rPr>
              <w:t>综合维修工</w:t>
            </w:r>
          </w:p>
        </w:tc>
        <w:tc>
          <w:tcPr>
            <w:tcW w:w="3402" w:type="dxa"/>
            <w:shd w:val="clear" w:color="auto" w:fill="auto"/>
            <w:vAlign w:val="center"/>
          </w:tcPr>
          <w:p w14:paraId="39BC529D">
            <w:pPr>
              <w:widowControl/>
              <w:jc w:val="center"/>
              <w:textAlignment w:val="center"/>
              <w:rPr>
                <w:rFonts w:ascii="宋体" w:hAnsi="宋体" w:cs="宋体"/>
                <w:sz w:val="24"/>
                <w:highlight w:val="none"/>
              </w:rPr>
            </w:pPr>
            <w:r>
              <w:rPr>
                <w:rFonts w:ascii="宋体" w:hAnsi="宋体" w:cs="宋体"/>
                <w:color w:val="000000"/>
                <w:sz w:val="24"/>
                <w:highlight w:val="none"/>
              </w:rPr>
              <w:t xml:space="preserve">4 </w:t>
            </w:r>
          </w:p>
        </w:tc>
      </w:tr>
      <w:tr w14:paraId="2FBA4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357" w:type="dxa"/>
            <w:vMerge w:val="continue"/>
            <w:shd w:val="clear" w:color="auto" w:fill="auto"/>
            <w:vAlign w:val="center"/>
          </w:tcPr>
          <w:p w14:paraId="6825AF64">
            <w:pPr>
              <w:jc w:val="center"/>
              <w:rPr>
                <w:rFonts w:ascii="宋体" w:hAnsi="宋体" w:cs="宋体"/>
                <w:sz w:val="24"/>
                <w:highlight w:val="none"/>
              </w:rPr>
            </w:pPr>
          </w:p>
        </w:tc>
        <w:tc>
          <w:tcPr>
            <w:tcW w:w="2552" w:type="dxa"/>
            <w:shd w:val="clear" w:color="auto" w:fill="FFFFFF"/>
            <w:vAlign w:val="center"/>
          </w:tcPr>
          <w:p w14:paraId="08C67F80">
            <w:pPr>
              <w:widowControl/>
              <w:jc w:val="center"/>
              <w:textAlignment w:val="center"/>
              <w:rPr>
                <w:rFonts w:ascii="宋体" w:hAnsi="宋体" w:cs="宋体"/>
                <w:sz w:val="24"/>
                <w:highlight w:val="none"/>
              </w:rPr>
            </w:pPr>
            <w:r>
              <w:rPr>
                <w:rFonts w:hint="eastAsia" w:ascii="宋体" w:hAnsi="宋体" w:cs="宋体"/>
                <w:color w:val="000000"/>
                <w:sz w:val="24"/>
                <w:highlight w:val="none"/>
              </w:rPr>
              <w:t>高压值班</w:t>
            </w:r>
          </w:p>
        </w:tc>
        <w:tc>
          <w:tcPr>
            <w:tcW w:w="3402" w:type="dxa"/>
            <w:shd w:val="clear" w:color="auto" w:fill="auto"/>
            <w:vAlign w:val="center"/>
          </w:tcPr>
          <w:p w14:paraId="421601C1">
            <w:pPr>
              <w:widowControl/>
              <w:jc w:val="center"/>
              <w:textAlignment w:val="center"/>
              <w:rPr>
                <w:rFonts w:ascii="宋体" w:hAnsi="宋体" w:cs="宋体"/>
                <w:sz w:val="24"/>
                <w:highlight w:val="none"/>
              </w:rPr>
            </w:pPr>
            <w:r>
              <w:rPr>
                <w:rFonts w:ascii="宋体" w:hAnsi="宋体" w:cs="宋体"/>
                <w:color w:val="000000"/>
                <w:sz w:val="24"/>
                <w:highlight w:val="none"/>
              </w:rPr>
              <w:t>6</w:t>
            </w:r>
          </w:p>
        </w:tc>
      </w:tr>
      <w:tr w14:paraId="4300B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1357" w:type="dxa"/>
            <w:vMerge w:val="continue"/>
            <w:shd w:val="clear" w:color="auto" w:fill="auto"/>
            <w:vAlign w:val="center"/>
          </w:tcPr>
          <w:p w14:paraId="0D7D3DDE">
            <w:pPr>
              <w:jc w:val="center"/>
              <w:rPr>
                <w:rFonts w:ascii="宋体" w:hAnsi="宋体" w:cs="宋体"/>
                <w:sz w:val="24"/>
                <w:highlight w:val="none"/>
              </w:rPr>
            </w:pPr>
          </w:p>
        </w:tc>
        <w:tc>
          <w:tcPr>
            <w:tcW w:w="2552" w:type="dxa"/>
            <w:shd w:val="clear" w:color="auto" w:fill="FFFFFF"/>
            <w:vAlign w:val="center"/>
          </w:tcPr>
          <w:p w14:paraId="18BB2BC4">
            <w:pPr>
              <w:widowControl/>
              <w:jc w:val="center"/>
              <w:textAlignment w:val="center"/>
              <w:rPr>
                <w:rFonts w:ascii="宋体" w:hAnsi="宋体" w:cs="宋体"/>
                <w:sz w:val="24"/>
                <w:highlight w:val="none"/>
              </w:rPr>
            </w:pPr>
            <w:r>
              <w:rPr>
                <w:rFonts w:hint="eastAsia" w:ascii="宋体" w:hAnsi="宋体" w:cs="宋体"/>
                <w:color w:val="000000"/>
                <w:sz w:val="24"/>
                <w:highlight w:val="none"/>
              </w:rPr>
              <w:t>制冷维修工（涵盖综合维修工作）</w:t>
            </w:r>
          </w:p>
        </w:tc>
        <w:tc>
          <w:tcPr>
            <w:tcW w:w="3402" w:type="dxa"/>
            <w:shd w:val="clear" w:color="auto" w:fill="auto"/>
            <w:vAlign w:val="center"/>
          </w:tcPr>
          <w:p w14:paraId="5F8AC7EE">
            <w:pPr>
              <w:widowControl/>
              <w:jc w:val="center"/>
              <w:textAlignment w:val="center"/>
              <w:rPr>
                <w:rFonts w:ascii="宋体" w:hAnsi="宋体" w:cs="宋体"/>
                <w:sz w:val="24"/>
                <w:highlight w:val="none"/>
              </w:rPr>
            </w:pPr>
            <w:r>
              <w:rPr>
                <w:rFonts w:ascii="宋体" w:hAnsi="宋体" w:cs="宋体"/>
                <w:color w:val="000000"/>
                <w:sz w:val="24"/>
                <w:highlight w:val="none"/>
              </w:rPr>
              <w:t xml:space="preserve">2 </w:t>
            </w:r>
          </w:p>
        </w:tc>
      </w:tr>
      <w:tr w14:paraId="676A3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3909" w:type="dxa"/>
            <w:gridSpan w:val="2"/>
            <w:shd w:val="clear" w:color="auto" w:fill="C0C0C0"/>
            <w:vAlign w:val="center"/>
          </w:tcPr>
          <w:p w14:paraId="256A5E05">
            <w:pPr>
              <w:widowControl/>
              <w:jc w:val="center"/>
              <w:textAlignment w:val="center"/>
              <w:rPr>
                <w:rFonts w:ascii="宋体" w:hAnsi="宋体" w:cs="宋体"/>
                <w:sz w:val="24"/>
                <w:highlight w:val="none"/>
              </w:rPr>
            </w:pPr>
            <w:r>
              <w:rPr>
                <w:rFonts w:hint="eastAsia" w:ascii="宋体" w:hAnsi="宋体" w:cs="宋体"/>
                <w:b/>
                <w:color w:val="000000"/>
                <w:sz w:val="24"/>
                <w:highlight w:val="none"/>
              </w:rPr>
              <w:t>合</w:t>
            </w:r>
            <w:r>
              <w:rPr>
                <w:rFonts w:ascii="宋体" w:hAnsi="宋体" w:cs="宋体"/>
                <w:b/>
                <w:color w:val="000000"/>
                <w:sz w:val="24"/>
                <w:highlight w:val="none"/>
              </w:rPr>
              <w:t xml:space="preserve">  </w:t>
            </w:r>
            <w:r>
              <w:rPr>
                <w:rFonts w:hint="eastAsia" w:ascii="宋体" w:hAnsi="宋体" w:cs="宋体"/>
                <w:b/>
                <w:color w:val="000000"/>
                <w:sz w:val="24"/>
                <w:highlight w:val="none"/>
              </w:rPr>
              <w:t>计</w:t>
            </w:r>
          </w:p>
        </w:tc>
        <w:tc>
          <w:tcPr>
            <w:tcW w:w="3402" w:type="dxa"/>
            <w:shd w:val="clear" w:color="auto" w:fill="C0C0C0"/>
            <w:vAlign w:val="center"/>
          </w:tcPr>
          <w:p w14:paraId="7CA5B038">
            <w:pPr>
              <w:widowControl/>
              <w:jc w:val="center"/>
              <w:textAlignment w:val="center"/>
              <w:rPr>
                <w:rFonts w:ascii="宋体" w:hAnsi="宋体" w:cs="宋体"/>
                <w:sz w:val="24"/>
                <w:highlight w:val="none"/>
              </w:rPr>
            </w:pPr>
            <w:r>
              <w:rPr>
                <w:rFonts w:ascii="宋体" w:hAnsi="宋体" w:cs="宋体"/>
                <w:color w:val="000000"/>
                <w:sz w:val="24"/>
                <w:highlight w:val="none"/>
              </w:rPr>
              <w:t>42</w:t>
            </w:r>
          </w:p>
        </w:tc>
      </w:tr>
    </w:tbl>
    <w:p w14:paraId="1C25DA4E">
      <w:pPr>
        <w:pStyle w:val="3"/>
        <w:ind w:left="0" w:leftChars="0" w:firstLine="0" w:firstLineChars="0"/>
        <w:rPr>
          <w:rFonts w:ascii="宋体" w:hAnsi="宋体" w:cs="宋体"/>
          <w:highlight w:val="none"/>
        </w:rPr>
      </w:pPr>
    </w:p>
    <w:p w14:paraId="7334B02F">
      <w:pPr>
        <w:pStyle w:val="3"/>
        <w:ind w:left="0" w:leftChars="0" w:firstLine="0" w:firstLineChars="0"/>
        <w:rPr>
          <w:rFonts w:ascii="宋体" w:hAnsi="宋体" w:cs="宋体"/>
          <w:highlight w:val="none"/>
        </w:rPr>
      </w:pPr>
      <w:r>
        <w:rPr>
          <w:rFonts w:hint="eastAsia" w:ascii="宋体" w:hAnsi="宋体" w:cs="宋体"/>
          <w:highlight w:val="none"/>
        </w:rPr>
        <w:t>（二）</w:t>
      </w:r>
      <w:r>
        <w:rPr>
          <w:rFonts w:hint="eastAsia" w:ascii="宋体" w:hAnsi="宋体" w:cs="宋体"/>
          <w:b/>
          <w:bCs/>
          <w:highlight w:val="none"/>
        </w:rPr>
        <w:t>八里庄、广渠门</w:t>
      </w:r>
      <w:r>
        <w:rPr>
          <w:rFonts w:hint="eastAsia" w:ascii="宋体" w:hAnsi="宋体" w:cs="宋体"/>
          <w:highlight w:val="none"/>
        </w:rPr>
        <w:t>两个院区服务要求</w:t>
      </w:r>
    </w:p>
    <w:p w14:paraId="4757F0B6">
      <w:pPr>
        <w:spacing w:line="500" w:lineRule="exact"/>
        <w:ind w:firstLine="480" w:firstLineChars="200"/>
        <w:rPr>
          <w:rFonts w:ascii="宋体" w:hAnsi="宋体" w:cs="宋体"/>
          <w:sz w:val="24"/>
          <w:highlight w:val="none"/>
        </w:rPr>
      </w:pPr>
      <w:r>
        <w:rPr>
          <w:rFonts w:hint="eastAsia" w:ascii="宋体" w:hAnsi="宋体"/>
          <w:sz w:val="24"/>
          <w:highlight w:val="none"/>
        </w:rPr>
        <w:t>中标人</w:t>
      </w:r>
      <w:r>
        <w:rPr>
          <w:rFonts w:hint="eastAsia" w:ascii="宋体" w:hAnsi="宋体" w:cs="宋体"/>
          <w:sz w:val="24"/>
          <w:highlight w:val="none"/>
        </w:rPr>
        <w:t>应具有系统的工作制度和管理制度，工作人员岗位职责明晰；应以物业管理法规和服务标准化、正规化为宗旨，在合同约定期限内，确保甲方的安全，为甲方提供良好的服务。</w:t>
      </w:r>
    </w:p>
    <w:p w14:paraId="13BA56DA">
      <w:pPr>
        <w:spacing w:line="500" w:lineRule="exact"/>
        <w:rPr>
          <w:rFonts w:ascii="宋体" w:hAnsi="宋体" w:cs="宋体"/>
          <w:sz w:val="24"/>
          <w:highlight w:val="none"/>
        </w:rPr>
      </w:pPr>
      <w:r>
        <w:rPr>
          <w:rFonts w:hint="eastAsia" w:ascii="宋体" w:hAnsi="宋体" w:cs="宋体"/>
          <w:sz w:val="24"/>
          <w:highlight w:val="none"/>
        </w:rPr>
        <w:t xml:space="preserve">3.2.1 </w:t>
      </w:r>
      <w:r>
        <w:rPr>
          <w:rFonts w:hint="eastAsia" w:ascii="宋体" w:hAnsi="宋体" w:cs="宋体"/>
          <w:b/>
          <w:bCs/>
          <w:sz w:val="24"/>
          <w:highlight w:val="none"/>
        </w:rPr>
        <w:t>设备维护</w:t>
      </w:r>
      <w:r>
        <w:rPr>
          <w:rFonts w:hint="eastAsia" w:ascii="宋体" w:hAnsi="宋体" w:cs="宋体"/>
          <w:sz w:val="24"/>
          <w:highlight w:val="none"/>
        </w:rPr>
        <w:t>：两院区应配有相应的水电工各1名，具有特种作业操作证（高压电工作业），做好配套的机电设备、供水、供电及地源热泵供水系统等公共设施的日常维护保养。保证路灯、办公室及办公、实验等区域的照明线路正常运转，出现故障立即排除；因巡查工作不到位导致设备设施出现故障、损坏等造成的损失由</w:t>
      </w:r>
      <w:r>
        <w:rPr>
          <w:rFonts w:hint="eastAsia" w:ascii="宋体" w:hAnsi="宋体"/>
          <w:sz w:val="24"/>
          <w:highlight w:val="none"/>
        </w:rPr>
        <w:t>中标人</w:t>
      </w:r>
      <w:r>
        <w:rPr>
          <w:rFonts w:hint="eastAsia" w:ascii="宋体" w:hAnsi="宋体" w:cs="宋体"/>
          <w:sz w:val="24"/>
          <w:highlight w:val="none"/>
        </w:rPr>
        <w:t>全部承担。</w:t>
      </w:r>
    </w:p>
    <w:p w14:paraId="6EA2AFC6">
      <w:pPr>
        <w:spacing w:line="500" w:lineRule="exact"/>
        <w:rPr>
          <w:rFonts w:ascii="宋体" w:hAnsi="宋体" w:cs="宋体"/>
          <w:sz w:val="24"/>
          <w:highlight w:val="none"/>
        </w:rPr>
      </w:pPr>
      <w:r>
        <w:rPr>
          <w:rFonts w:hint="eastAsia" w:ascii="宋体" w:hAnsi="宋体" w:cs="宋体"/>
          <w:sz w:val="24"/>
          <w:highlight w:val="none"/>
        </w:rPr>
        <w:t xml:space="preserve">3.2.2 </w:t>
      </w:r>
      <w:r>
        <w:rPr>
          <w:rFonts w:hint="eastAsia" w:ascii="宋体" w:hAnsi="宋体" w:cs="宋体"/>
          <w:b/>
          <w:bCs/>
          <w:sz w:val="24"/>
          <w:highlight w:val="none"/>
        </w:rPr>
        <w:t>安全工作</w:t>
      </w:r>
      <w:r>
        <w:rPr>
          <w:rFonts w:hint="eastAsia" w:ascii="宋体" w:hAnsi="宋体" w:cs="宋体"/>
          <w:sz w:val="24"/>
          <w:highlight w:val="none"/>
        </w:rPr>
        <w:t>：维修人员能及时发现和处理各种安全事故隐患，确保不发生安全上的问题，能迅速有效地处置突发事件，有安全预案，应保证院内手提式灭火器始终处于良好的待用状态。对消防设备定期检查，确保良好的待用状态，完好率达100%等其他工作。</w:t>
      </w:r>
    </w:p>
    <w:p w14:paraId="723E432D">
      <w:pPr>
        <w:spacing w:line="500" w:lineRule="exact"/>
        <w:rPr>
          <w:rFonts w:ascii="宋体" w:hAnsi="宋体" w:cs="宋体"/>
          <w:sz w:val="24"/>
          <w:highlight w:val="none"/>
        </w:rPr>
      </w:pPr>
      <w:r>
        <w:rPr>
          <w:rFonts w:hint="eastAsia" w:ascii="宋体" w:hAnsi="宋体" w:cs="宋体"/>
          <w:sz w:val="24"/>
          <w:highlight w:val="none"/>
        </w:rPr>
        <w:t xml:space="preserve">3.2.3 </w:t>
      </w:r>
      <w:r>
        <w:rPr>
          <w:rFonts w:hint="eastAsia" w:ascii="宋体" w:hAnsi="宋体" w:cs="宋体"/>
          <w:b/>
          <w:bCs/>
          <w:sz w:val="24"/>
          <w:highlight w:val="none"/>
        </w:rPr>
        <w:t>卫生保洁</w:t>
      </w:r>
      <w:r>
        <w:rPr>
          <w:rFonts w:hint="eastAsia" w:ascii="宋体" w:hAnsi="宋体" w:cs="宋体"/>
          <w:sz w:val="24"/>
          <w:highlight w:val="none"/>
        </w:rPr>
        <w:t>：八里庄院区配有保洁人员3名，广渠门办公区配有保洁人员2名，其职责应做好办公区（实验区）等公共区域、公共设备设施、卫生间、停车场、活动中心、垃圾桶、路灯、标识等设施的日常保洁。做到地面无杂物、无废弃物、无污渍，夏季防汛冬季扫雪等环境卫生清洁率达99%。排水管、下水管等室内外沟渠保持畅通；大厅一层的外窗玻璃每周清洗1次。承担清运处理费（2处的化粪池、1处泔水池清理费、垃圾清运费）等费用。</w:t>
      </w:r>
    </w:p>
    <w:p w14:paraId="59A4061D">
      <w:pPr>
        <w:spacing w:line="500" w:lineRule="exact"/>
        <w:rPr>
          <w:rFonts w:ascii="宋体" w:hAnsi="宋体" w:cs="宋体"/>
          <w:sz w:val="24"/>
          <w:highlight w:val="none"/>
        </w:rPr>
      </w:pPr>
      <w:r>
        <w:rPr>
          <w:rFonts w:hint="eastAsia" w:ascii="宋体" w:hAnsi="宋体" w:cs="宋体"/>
          <w:sz w:val="24"/>
          <w:highlight w:val="none"/>
        </w:rPr>
        <w:t xml:space="preserve">3.2.4 </w:t>
      </w:r>
      <w:r>
        <w:rPr>
          <w:rFonts w:hint="eastAsia" w:ascii="宋体" w:hAnsi="宋体" w:cs="宋体"/>
          <w:b/>
          <w:bCs/>
          <w:sz w:val="24"/>
          <w:highlight w:val="none"/>
        </w:rPr>
        <w:t>领导房间每天必做</w:t>
      </w:r>
      <w:r>
        <w:rPr>
          <w:rFonts w:hint="eastAsia" w:ascii="宋体" w:hAnsi="宋体" w:cs="宋体"/>
          <w:sz w:val="24"/>
          <w:highlight w:val="none"/>
        </w:rPr>
        <w:t>：开关空调、更换饮用水、刷办公人员茶杯、清洗烟灰缸、扫地、换垃圾袋、擦办公桌、擦电源开关、擦柜子、擦沙发、擦椅子、擦窗台。检查室内设施，发现问题及时报修。达到室内干净整洁。</w:t>
      </w:r>
    </w:p>
    <w:p w14:paraId="048B6E9D">
      <w:pPr>
        <w:spacing w:line="500" w:lineRule="exact"/>
        <w:rPr>
          <w:rFonts w:ascii="宋体" w:hAnsi="宋体" w:cs="宋体"/>
          <w:sz w:val="24"/>
          <w:highlight w:val="none"/>
        </w:rPr>
      </w:pPr>
      <w:r>
        <w:rPr>
          <w:rFonts w:hint="eastAsia" w:ascii="宋体" w:hAnsi="宋体" w:cs="宋体"/>
          <w:sz w:val="24"/>
          <w:highlight w:val="none"/>
        </w:rPr>
        <w:t xml:space="preserve">3.2.5 </w:t>
      </w:r>
      <w:r>
        <w:rPr>
          <w:rFonts w:hint="eastAsia" w:ascii="宋体" w:hAnsi="宋体" w:cs="宋体"/>
          <w:b/>
          <w:bCs/>
          <w:sz w:val="24"/>
          <w:highlight w:val="none"/>
        </w:rPr>
        <w:t>各类日常维护：</w:t>
      </w:r>
      <w:r>
        <w:rPr>
          <w:rFonts w:hint="eastAsia" w:ascii="宋体" w:hAnsi="宋体" w:cs="宋体"/>
          <w:sz w:val="24"/>
          <w:highlight w:val="none"/>
        </w:rPr>
        <w:t>各类临时小修、急修：每周巡视办公桌椅、门锁、窗帘、照明、指示灯、上下水管道、卫生间设施及公用设施设备等设备设施，发现问题及时维修；每年夏冬、夏季防汛冬季扫雪及维护保养等。</w:t>
      </w:r>
    </w:p>
    <w:p w14:paraId="741F3BF9">
      <w:pPr>
        <w:spacing w:line="500" w:lineRule="exact"/>
        <w:rPr>
          <w:rFonts w:ascii="宋体" w:hAnsi="宋体" w:cs="宋体"/>
          <w:sz w:val="24"/>
          <w:highlight w:val="none"/>
        </w:rPr>
      </w:pPr>
      <w:r>
        <w:rPr>
          <w:rFonts w:hint="eastAsia" w:ascii="宋体" w:hAnsi="宋体" w:cs="宋体"/>
          <w:sz w:val="24"/>
          <w:highlight w:val="none"/>
        </w:rPr>
        <w:t>3.2.6 建立物业档案；建立完备的物业管理相关资料及设备维修保养资料。</w:t>
      </w:r>
    </w:p>
    <w:p w14:paraId="6D4CAF79">
      <w:pPr>
        <w:spacing w:line="500" w:lineRule="exact"/>
        <w:rPr>
          <w:rFonts w:ascii="宋体" w:hAnsi="宋体" w:cs="宋体"/>
          <w:sz w:val="24"/>
          <w:highlight w:val="none"/>
        </w:rPr>
      </w:pPr>
      <w:r>
        <w:rPr>
          <w:rFonts w:hint="eastAsia" w:ascii="宋体" w:hAnsi="宋体" w:cs="宋体"/>
          <w:sz w:val="24"/>
          <w:highlight w:val="none"/>
        </w:rPr>
        <w:t>3.2.7 中标人在服务期间，应负有管理区域内的安全保障义务，因中标人管理过失，所导致的人身伤害、财产损失等法律责任由中标人予以承担。如果导致采购人对外承担责任的，采购人有权向物业公司予以追偿。采购人对中标人建立绩效考核制度.按照绩效考核支付服务费。</w:t>
      </w:r>
    </w:p>
    <w:p w14:paraId="31F4A414">
      <w:pPr>
        <w:spacing w:line="500" w:lineRule="exact"/>
        <w:rPr>
          <w:rFonts w:ascii="宋体" w:hAnsi="宋体" w:cs="宋体"/>
          <w:sz w:val="24"/>
          <w:highlight w:val="none"/>
        </w:rPr>
      </w:pPr>
      <w:r>
        <w:rPr>
          <w:rFonts w:hint="eastAsia" w:ascii="宋体" w:hAnsi="宋体" w:cs="宋体"/>
          <w:sz w:val="24"/>
          <w:highlight w:val="none"/>
        </w:rPr>
        <w:t xml:space="preserve">3.2.8 完成采购人交给的其他临时工作，中标人不得另行收费。产生额外费用的工作，采购人会提前告知中标人。 </w:t>
      </w:r>
    </w:p>
    <w:p w14:paraId="11475521">
      <w:pPr>
        <w:pStyle w:val="3"/>
        <w:ind w:left="0" w:leftChars="0" w:firstLine="0" w:firstLineChars="0"/>
        <w:rPr>
          <w:rFonts w:ascii="宋体" w:hAnsi="宋体"/>
          <w:highlight w:val="none"/>
        </w:rPr>
      </w:pPr>
    </w:p>
    <w:p w14:paraId="78999FDD">
      <w:pPr>
        <w:pStyle w:val="3"/>
        <w:ind w:left="0" w:leftChars="0" w:firstLine="0" w:firstLineChars="0"/>
        <w:rPr>
          <w:rFonts w:ascii="宋体" w:hAnsi="宋体"/>
          <w:highlight w:val="none"/>
        </w:rPr>
      </w:pPr>
    </w:p>
    <w:p w14:paraId="3896C910">
      <w:pPr>
        <w:pStyle w:val="3"/>
        <w:ind w:left="0" w:leftChars="0" w:firstLine="0" w:firstLineChars="0"/>
        <w:rPr>
          <w:rFonts w:ascii="宋体" w:hAnsi="宋体"/>
          <w:highlight w:val="none"/>
        </w:rPr>
      </w:pPr>
    </w:p>
    <w:p w14:paraId="0BAC3452">
      <w:pPr>
        <w:snapToGrid w:val="0"/>
        <w:spacing w:line="400" w:lineRule="atLeast"/>
        <w:outlineLvl w:val="0"/>
        <w:rPr>
          <w:rFonts w:ascii="宋体" w:hAnsi="宋体"/>
          <w:b/>
          <w:sz w:val="24"/>
          <w:highlight w:val="none"/>
        </w:rPr>
      </w:pPr>
      <w:r>
        <w:rPr>
          <w:rFonts w:ascii="宋体" w:hAnsi="宋体"/>
          <w:bCs/>
          <w:sz w:val="24"/>
          <w:highlight w:val="none"/>
        </w:rPr>
        <w:t>3</w:t>
      </w:r>
      <w:r>
        <w:rPr>
          <w:rFonts w:hint="eastAsia" w:ascii="宋体" w:hAnsi="宋体"/>
          <w:bCs/>
          <w:sz w:val="24"/>
          <w:highlight w:val="none"/>
        </w:rPr>
        <w:t>.2</w:t>
      </w:r>
      <w:r>
        <w:rPr>
          <w:rFonts w:ascii="宋体" w:hAnsi="宋体"/>
          <w:bCs/>
          <w:sz w:val="24"/>
          <w:highlight w:val="none"/>
        </w:rPr>
        <w:t>.</w:t>
      </w:r>
      <w:r>
        <w:rPr>
          <w:rFonts w:hint="eastAsia" w:ascii="宋体" w:hAnsi="宋体"/>
          <w:bCs/>
          <w:sz w:val="24"/>
          <w:highlight w:val="none"/>
        </w:rPr>
        <w:t xml:space="preserve">9 </w:t>
      </w:r>
      <w:r>
        <w:rPr>
          <w:rFonts w:hint="eastAsia" w:ascii="宋体" w:hAnsi="宋体"/>
          <w:b/>
          <w:sz w:val="24"/>
          <w:highlight w:val="none"/>
        </w:rPr>
        <w:t>人员配置如下：</w:t>
      </w:r>
    </w:p>
    <w:tbl>
      <w:tblPr>
        <w:tblStyle w:val="4"/>
        <w:tblW w:w="8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54"/>
        <w:gridCol w:w="2816"/>
        <w:gridCol w:w="3504"/>
      </w:tblGrid>
      <w:tr w14:paraId="63002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2454" w:type="dxa"/>
            <w:shd w:val="clear" w:color="auto" w:fill="auto"/>
            <w:vAlign w:val="center"/>
          </w:tcPr>
          <w:p w14:paraId="685FE888">
            <w:pPr>
              <w:jc w:val="center"/>
              <w:rPr>
                <w:rFonts w:ascii="宋体" w:hAnsi="宋体"/>
                <w:sz w:val="24"/>
                <w:highlight w:val="none"/>
              </w:rPr>
            </w:pPr>
            <w:r>
              <w:rPr>
                <w:rFonts w:hint="eastAsia" w:ascii="宋体" w:hAnsi="宋体"/>
                <w:sz w:val="24"/>
                <w:highlight w:val="none"/>
              </w:rPr>
              <w:t>保洁服务人员（</w:t>
            </w:r>
            <w:r>
              <w:rPr>
                <w:rFonts w:hint="eastAsia" w:ascii="宋体" w:hAnsi="宋体"/>
                <w:b/>
                <w:sz w:val="24"/>
                <w:highlight w:val="none"/>
              </w:rPr>
              <w:t>5名</w:t>
            </w:r>
            <w:r>
              <w:rPr>
                <w:rFonts w:hint="eastAsia" w:ascii="宋体" w:hAnsi="宋体"/>
                <w:sz w:val="24"/>
                <w:highlight w:val="none"/>
              </w:rPr>
              <w:t>）</w:t>
            </w:r>
          </w:p>
        </w:tc>
        <w:tc>
          <w:tcPr>
            <w:tcW w:w="2816" w:type="dxa"/>
            <w:tcBorders>
              <w:right w:val="single" w:color="auto" w:sz="4" w:space="0"/>
            </w:tcBorders>
            <w:shd w:val="clear" w:color="auto" w:fill="auto"/>
            <w:vAlign w:val="center"/>
          </w:tcPr>
          <w:p w14:paraId="426892D5">
            <w:pPr>
              <w:jc w:val="center"/>
              <w:rPr>
                <w:rFonts w:ascii="宋体" w:hAnsi="宋体"/>
                <w:sz w:val="24"/>
                <w:highlight w:val="none"/>
              </w:rPr>
            </w:pPr>
            <w:r>
              <w:rPr>
                <w:rFonts w:hint="eastAsia" w:ascii="宋体" w:hAnsi="宋体"/>
                <w:sz w:val="24"/>
                <w:highlight w:val="none"/>
              </w:rPr>
              <w:t>维修工程人员（</w:t>
            </w:r>
            <w:r>
              <w:rPr>
                <w:rFonts w:hint="eastAsia" w:ascii="宋体" w:hAnsi="宋体"/>
                <w:b/>
                <w:sz w:val="24"/>
                <w:highlight w:val="none"/>
              </w:rPr>
              <w:t>2名</w:t>
            </w:r>
            <w:r>
              <w:rPr>
                <w:rFonts w:hint="eastAsia" w:ascii="宋体" w:hAnsi="宋体"/>
                <w:sz w:val="24"/>
                <w:highlight w:val="none"/>
              </w:rPr>
              <w:t>）</w:t>
            </w:r>
          </w:p>
        </w:tc>
        <w:tc>
          <w:tcPr>
            <w:tcW w:w="3504" w:type="dxa"/>
            <w:tcBorders>
              <w:left w:val="single" w:color="auto" w:sz="4" w:space="0"/>
            </w:tcBorders>
            <w:shd w:val="clear" w:color="auto" w:fill="auto"/>
            <w:vAlign w:val="center"/>
          </w:tcPr>
          <w:p w14:paraId="40D5BEA9">
            <w:pPr>
              <w:jc w:val="center"/>
              <w:rPr>
                <w:rFonts w:ascii="宋体" w:hAnsi="宋体"/>
                <w:sz w:val="24"/>
                <w:highlight w:val="none"/>
              </w:rPr>
            </w:pPr>
            <w:r>
              <w:rPr>
                <w:rFonts w:hint="eastAsia" w:ascii="宋体" w:hAnsi="宋体"/>
                <w:sz w:val="24"/>
                <w:highlight w:val="none"/>
              </w:rPr>
              <w:t>物业经理人员（</w:t>
            </w:r>
            <w:r>
              <w:rPr>
                <w:rFonts w:hint="eastAsia" w:ascii="宋体" w:hAnsi="宋体"/>
                <w:b/>
                <w:sz w:val="24"/>
                <w:highlight w:val="none"/>
              </w:rPr>
              <w:t>2名</w:t>
            </w:r>
            <w:r>
              <w:rPr>
                <w:rFonts w:hint="eastAsia" w:ascii="宋体" w:hAnsi="宋体"/>
                <w:sz w:val="24"/>
                <w:highlight w:val="none"/>
              </w:rPr>
              <w:t>）</w:t>
            </w:r>
          </w:p>
        </w:tc>
      </w:tr>
      <w:tr w14:paraId="77422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2" w:hRule="atLeast"/>
          <w:jc w:val="center"/>
        </w:trPr>
        <w:tc>
          <w:tcPr>
            <w:tcW w:w="2454" w:type="dxa"/>
            <w:shd w:val="clear" w:color="auto" w:fill="auto"/>
            <w:vAlign w:val="center"/>
          </w:tcPr>
          <w:p w14:paraId="17AF2E02">
            <w:pPr>
              <w:jc w:val="center"/>
              <w:rPr>
                <w:rFonts w:ascii="宋体" w:hAnsi="宋体"/>
                <w:sz w:val="24"/>
                <w:highlight w:val="none"/>
              </w:rPr>
            </w:pPr>
            <w:r>
              <w:rPr>
                <w:rFonts w:hint="eastAsia" w:ascii="宋体" w:hAnsi="宋体"/>
                <w:sz w:val="24"/>
                <w:highlight w:val="none"/>
              </w:rPr>
              <w:t>按3.2.3、3.2.4、3.2.7、3.2.8执行</w:t>
            </w:r>
          </w:p>
        </w:tc>
        <w:tc>
          <w:tcPr>
            <w:tcW w:w="2816" w:type="dxa"/>
            <w:tcBorders>
              <w:right w:val="single" w:color="auto" w:sz="4" w:space="0"/>
            </w:tcBorders>
            <w:shd w:val="clear" w:color="auto" w:fill="auto"/>
            <w:vAlign w:val="center"/>
          </w:tcPr>
          <w:p w14:paraId="3684CAE2">
            <w:pPr>
              <w:rPr>
                <w:rFonts w:ascii="宋体" w:hAnsi="宋体"/>
                <w:sz w:val="24"/>
                <w:highlight w:val="none"/>
              </w:rPr>
            </w:pPr>
            <w:r>
              <w:rPr>
                <w:rFonts w:hint="eastAsia" w:ascii="宋体" w:hAnsi="宋体"/>
                <w:sz w:val="24"/>
                <w:highlight w:val="none"/>
              </w:rPr>
              <w:t>8小时工作制，按3.2.1、3.2.2、3.2.5、3.2.6、3.2.7、3.2.8执行</w:t>
            </w:r>
          </w:p>
        </w:tc>
        <w:tc>
          <w:tcPr>
            <w:tcW w:w="3504" w:type="dxa"/>
            <w:tcBorders>
              <w:left w:val="single" w:color="auto" w:sz="4" w:space="0"/>
            </w:tcBorders>
            <w:shd w:val="clear" w:color="auto" w:fill="auto"/>
            <w:vAlign w:val="center"/>
          </w:tcPr>
          <w:p w14:paraId="1F6816DF">
            <w:pPr>
              <w:rPr>
                <w:rFonts w:ascii="宋体" w:hAnsi="宋体"/>
                <w:sz w:val="24"/>
                <w:highlight w:val="none"/>
              </w:rPr>
            </w:pPr>
            <w:r>
              <w:rPr>
                <w:rFonts w:hint="eastAsia" w:ascii="宋体" w:hAnsi="宋体"/>
                <w:sz w:val="24"/>
                <w:highlight w:val="none"/>
              </w:rPr>
              <w:t>8小时工作制，按服务要求执行，并负责协调与采购人相关工作，执行所有条款。</w:t>
            </w:r>
          </w:p>
        </w:tc>
      </w:tr>
    </w:tbl>
    <w:p w14:paraId="403FE294">
      <w:pPr>
        <w:rPr>
          <w:rFonts w:ascii="宋体" w:hAnsi="宋体"/>
          <w:b/>
          <w:sz w:val="24"/>
          <w:highlight w:val="none"/>
        </w:rPr>
      </w:pPr>
    </w:p>
    <w:p w14:paraId="6DE42CFE">
      <w:pPr>
        <w:rPr>
          <w:rFonts w:ascii="宋体" w:hAnsi="宋体"/>
          <w:b/>
          <w:sz w:val="24"/>
          <w:highlight w:val="none"/>
        </w:rPr>
      </w:pPr>
    </w:p>
    <w:p w14:paraId="6602C928">
      <w:pPr>
        <w:rPr>
          <w:rFonts w:ascii="宋体" w:hAnsi="宋体"/>
          <w:b/>
          <w:sz w:val="24"/>
          <w:highlight w:val="none"/>
        </w:rPr>
      </w:pPr>
    </w:p>
    <w:p w14:paraId="5AE252C5">
      <w:pPr>
        <w:rPr>
          <w:rFonts w:ascii="宋体" w:hAnsi="宋体"/>
          <w:b/>
          <w:sz w:val="24"/>
          <w:highlight w:val="none"/>
        </w:rPr>
      </w:pPr>
    </w:p>
    <w:p w14:paraId="659EF552">
      <w:pPr>
        <w:rPr>
          <w:rFonts w:ascii="宋体" w:hAnsi="宋体"/>
          <w:b/>
          <w:sz w:val="24"/>
          <w:highlight w:val="none"/>
        </w:rPr>
      </w:pPr>
      <w:r>
        <w:rPr>
          <w:rFonts w:hint="eastAsia" w:ascii="宋体" w:hAnsi="宋体"/>
          <w:b/>
          <w:sz w:val="24"/>
          <w:highlight w:val="none"/>
        </w:rPr>
        <w:t>以上服务项目</w:t>
      </w:r>
      <w:r>
        <w:rPr>
          <w:rFonts w:hint="eastAsia" w:ascii="宋体" w:hAnsi="宋体"/>
          <w:b/>
          <w:bCs/>
          <w:sz w:val="24"/>
          <w:highlight w:val="none"/>
        </w:rPr>
        <w:t>八里庄</w:t>
      </w:r>
      <w:r>
        <w:rPr>
          <w:rFonts w:hint="eastAsia" w:ascii="宋体" w:hAnsi="宋体"/>
          <w:b/>
          <w:sz w:val="24"/>
          <w:highlight w:val="none"/>
        </w:rPr>
        <w:t>院区共需要服务人员5人：</w:t>
      </w:r>
    </w:p>
    <w:tbl>
      <w:tblPr>
        <w:tblStyle w:val="4"/>
        <w:tblpPr w:leftFromText="180" w:rightFromText="180" w:vertAnchor="text" w:horzAnchor="margin" w:tblpXSpec="center" w:tblpY="213"/>
        <w:tblW w:w="43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2217"/>
        <w:gridCol w:w="844"/>
      </w:tblGrid>
      <w:tr w14:paraId="1880D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exact"/>
          <w:jc w:val="center"/>
        </w:trPr>
        <w:tc>
          <w:tcPr>
            <w:tcW w:w="1242" w:type="dxa"/>
            <w:shd w:val="clear" w:color="auto" w:fill="auto"/>
            <w:vAlign w:val="center"/>
          </w:tcPr>
          <w:p w14:paraId="1E363E1B">
            <w:pPr>
              <w:jc w:val="center"/>
              <w:rPr>
                <w:rFonts w:ascii="宋体" w:hAnsi="宋体"/>
                <w:sz w:val="24"/>
                <w:highlight w:val="none"/>
              </w:rPr>
            </w:pPr>
            <w:r>
              <w:rPr>
                <w:rFonts w:hint="eastAsia" w:ascii="宋体" w:hAnsi="宋体"/>
                <w:sz w:val="24"/>
                <w:highlight w:val="none"/>
              </w:rPr>
              <w:t>序号</w:t>
            </w:r>
          </w:p>
        </w:tc>
        <w:tc>
          <w:tcPr>
            <w:tcW w:w="2217" w:type="dxa"/>
            <w:shd w:val="clear" w:color="auto" w:fill="auto"/>
            <w:vAlign w:val="center"/>
          </w:tcPr>
          <w:p w14:paraId="21F95A31">
            <w:pPr>
              <w:jc w:val="center"/>
              <w:rPr>
                <w:rFonts w:ascii="宋体" w:hAnsi="宋体"/>
                <w:sz w:val="24"/>
                <w:highlight w:val="none"/>
              </w:rPr>
            </w:pPr>
            <w:r>
              <w:rPr>
                <w:rFonts w:hint="eastAsia" w:ascii="宋体" w:hAnsi="宋体"/>
                <w:sz w:val="24"/>
                <w:highlight w:val="none"/>
              </w:rPr>
              <w:t>类别</w:t>
            </w:r>
          </w:p>
        </w:tc>
        <w:tc>
          <w:tcPr>
            <w:tcW w:w="844" w:type="dxa"/>
            <w:shd w:val="clear" w:color="auto" w:fill="auto"/>
            <w:vAlign w:val="center"/>
          </w:tcPr>
          <w:p w14:paraId="7605CF1B">
            <w:pPr>
              <w:jc w:val="center"/>
              <w:rPr>
                <w:rFonts w:ascii="宋体" w:hAnsi="宋体"/>
                <w:sz w:val="24"/>
                <w:highlight w:val="none"/>
              </w:rPr>
            </w:pPr>
            <w:r>
              <w:rPr>
                <w:rFonts w:hint="eastAsia" w:ascii="宋体" w:hAnsi="宋体"/>
                <w:sz w:val="24"/>
                <w:highlight w:val="none"/>
              </w:rPr>
              <w:t>人数</w:t>
            </w:r>
          </w:p>
        </w:tc>
      </w:tr>
      <w:tr w14:paraId="1EBEF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exact"/>
          <w:jc w:val="center"/>
        </w:trPr>
        <w:tc>
          <w:tcPr>
            <w:tcW w:w="1242" w:type="dxa"/>
            <w:shd w:val="clear" w:color="auto" w:fill="auto"/>
            <w:vAlign w:val="center"/>
          </w:tcPr>
          <w:p w14:paraId="5D830699">
            <w:pPr>
              <w:jc w:val="center"/>
              <w:rPr>
                <w:rFonts w:ascii="宋体" w:hAnsi="宋体"/>
                <w:sz w:val="24"/>
                <w:highlight w:val="none"/>
              </w:rPr>
            </w:pPr>
            <w:r>
              <w:rPr>
                <w:rFonts w:hint="eastAsia" w:ascii="宋体" w:hAnsi="宋体"/>
                <w:sz w:val="24"/>
                <w:highlight w:val="none"/>
              </w:rPr>
              <w:t>1</w:t>
            </w:r>
          </w:p>
        </w:tc>
        <w:tc>
          <w:tcPr>
            <w:tcW w:w="2217" w:type="dxa"/>
            <w:shd w:val="clear" w:color="auto" w:fill="auto"/>
            <w:vAlign w:val="center"/>
          </w:tcPr>
          <w:p w14:paraId="06A0F640">
            <w:pPr>
              <w:jc w:val="center"/>
              <w:rPr>
                <w:rFonts w:ascii="宋体" w:hAnsi="宋体"/>
                <w:sz w:val="24"/>
                <w:highlight w:val="none"/>
              </w:rPr>
            </w:pPr>
            <w:r>
              <w:rPr>
                <w:rFonts w:hint="eastAsia" w:ascii="宋体" w:hAnsi="宋体"/>
                <w:sz w:val="24"/>
                <w:highlight w:val="none"/>
              </w:rPr>
              <w:t>物业经理</w:t>
            </w:r>
          </w:p>
        </w:tc>
        <w:tc>
          <w:tcPr>
            <w:tcW w:w="844" w:type="dxa"/>
            <w:shd w:val="clear" w:color="auto" w:fill="auto"/>
            <w:vAlign w:val="center"/>
          </w:tcPr>
          <w:p w14:paraId="6813A07B">
            <w:pPr>
              <w:jc w:val="center"/>
              <w:rPr>
                <w:rFonts w:ascii="宋体" w:hAnsi="宋体"/>
                <w:sz w:val="24"/>
                <w:highlight w:val="none"/>
              </w:rPr>
            </w:pPr>
            <w:r>
              <w:rPr>
                <w:rFonts w:hint="eastAsia" w:ascii="宋体" w:hAnsi="宋体"/>
                <w:sz w:val="24"/>
                <w:highlight w:val="none"/>
              </w:rPr>
              <w:t>1</w:t>
            </w:r>
          </w:p>
        </w:tc>
      </w:tr>
      <w:tr w14:paraId="4BD30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9" w:hRule="exact"/>
          <w:jc w:val="center"/>
        </w:trPr>
        <w:tc>
          <w:tcPr>
            <w:tcW w:w="1242" w:type="dxa"/>
            <w:shd w:val="clear" w:color="auto" w:fill="auto"/>
            <w:vAlign w:val="center"/>
          </w:tcPr>
          <w:p w14:paraId="3359D8F1">
            <w:pPr>
              <w:jc w:val="center"/>
              <w:rPr>
                <w:rFonts w:ascii="宋体" w:hAnsi="宋体"/>
                <w:sz w:val="24"/>
                <w:highlight w:val="none"/>
              </w:rPr>
            </w:pPr>
            <w:r>
              <w:rPr>
                <w:rFonts w:hint="eastAsia" w:ascii="宋体" w:hAnsi="宋体"/>
                <w:sz w:val="24"/>
                <w:highlight w:val="none"/>
              </w:rPr>
              <w:t>2</w:t>
            </w:r>
          </w:p>
        </w:tc>
        <w:tc>
          <w:tcPr>
            <w:tcW w:w="2217" w:type="dxa"/>
            <w:shd w:val="clear" w:color="auto" w:fill="auto"/>
            <w:vAlign w:val="center"/>
          </w:tcPr>
          <w:p w14:paraId="18E460EE">
            <w:pPr>
              <w:jc w:val="center"/>
              <w:rPr>
                <w:rFonts w:ascii="宋体" w:hAnsi="宋体"/>
                <w:sz w:val="24"/>
                <w:highlight w:val="none"/>
              </w:rPr>
            </w:pPr>
            <w:r>
              <w:rPr>
                <w:rFonts w:hint="eastAsia" w:ascii="宋体" w:hAnsi="宋体"/>
                <w:sz w:val="24"/>
                <w:highlight w:val="none"/>
              </w:rPr>
              <w:t>维修工程人员</w:t>
            </w:r>
          </w:p>
        </w:tc>
        <w:tc>
          <w:tcPr>
            <w:tcW w:w="844" w:type="dxa"/>
            <w:shd w:val="clear" w:color="auto" w:fill="auto"/>
            <w:vAlign w:val="center"/>
          </w:tcPr>
          <w:p w14:paraId="0C6759F7">
            <w:pPr>
              <w:jc w:val="center"/>
              <w:rPr>
                <w:rFonts w:ascii="宋体" w:hAnsi="宋体"/>
                <w:sz w:val="24"/>
                <w:highlight w:val="none"/>
              </w:rPr>
            </w:pPr>
            <w:r>
              <w:rPr>
                <w:rFonts w:hint="eastAsia" w:ascii="宋体" w:hAnsi="宋体"/>
                <w:sz w:val="24"/>
                <w:highlight w:val="none"/>
              </w:rPr>
              <w:t>1</w:t>
            </w:r>
          </w:p>
        </w:tc>
      </w:tr>
      <w:tr w14:paraId="614F3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exact"/>
          <w:jc w:val="center"/>
        </w:trPr>
        <w:tc>
          <w:tcPr>
            <w:tcW w:w="1242" w:type="dxa"/>
            <w:shd w:val="clear" w:color="auto" w:fill="auto"/>
            <w:vAlign w:val="center"/>
          </w:tcPr>
          <w:p w14:paraId="4C8D116B">
            <w:pPr>
              <w:jc w:val="center"/>
              <w:rPr>
                <w:rFonts w:ascii="宋体" w:hAnsi="宋体"/>
                <w:sz w:val="24"/>
                <w:highlight w:val="none"/>
              </w:rPr>
            </w:pPr>
            <w:r>
              <w:rPr>
                <w:rFonts w:hint="eastAsia" w:ascii="宋体" w:hAnsi="宋体"/>
                <w:sz w:val="24"/>
                <w:highlight w:val="none"/>
              </w:rPr>
              <w:t>3</w:t>
            </w:r>
          </w:p>
        </w:tc>
        <w:tc>
          <w:tcPr>
            <w:tcW w:w="2217" w:type="dxa"/>
            <w:shd w:val="clear" w:color="auto" w:fill="auto"/>
            <w:vAlign w:val="center"/>
          </w:tcPr>
          <w:p w14:paraId="5AE21D32">
            <w:pPr>
              <w:jc w:val="center"/>
              <w:rPr>
                <w:rFonts w:ascii="宋体" w:hAnsi="宋体"/>
                <w:sz w:val="24"/>
                <w:highlight w:val="none"/>
              </w:rPr>
            </w:pPr>
            <w:r>
              <w:rPr>
                <w:rFonts w:hint="eastAsia" w:ascii="宋体" w:hAnsi="宋体"/>
                <w:sz w:val="24"/>
                <w:highlight w:val="none"/>
              </w:rPr>
              <w:t>保洁服务人员</w:t>
            </w:r>
          </w:p>
        </w:tc>
        <w:tc>
          <w:tcPr>
            <w:tcW w:w="844" w:type="dxa"/>
            <w:shd w:val="clear" w:color="auto" w:fill="auto"/>
            <w:vAlign w:val="center"/>
          </w:tcPr>
          <w:p w14:paraId="2F86F383">
            <w:pPr>
              <w:jc w:val="center"/>
              <w:rPr>
                <w:rFonts w:ascii="宋体" w:hAnsi="宋体"/>
                <w:sz w:val="24"/>
                <w:highlight w:val="none"/>
              </w:rPr>
            </w:pPr>
            <w:r>
              <w:rPr>
                <w:rFonts w:hint="eastAsia" w:ascii="宋体" w:hAnsi="宋体"/>
                <w:sz w:val="24"/>
                <w:highlight w:val="none"/>
              </w:rPr>
              <w:t>3</w:t>
            </w:r>
          </w:p>
        </w:tc>
      </w:tr>
      <w:tr w14:paraId="16DEF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exact"/>
          <w:jc w:val="center"/>
        </w:trPr>
        <w:tc>
          <w:tcPr>
            <w:tcW w:w="3459" w:type="dxa"/>
            <w:gridSpan w:val="2"/>
            <w:shd w:val="clear" w:color="auto" w:fill="auto"/>
            <w:vAlign w:val="center"/>
          </w:tcPr>
          <w:p w14:paraId="05881EA8">
            <w:pPr>
              <w:jc w:val="center"/>
              <w:rPr>
                <w:rFonts w:ascii="宋体" w:hAnsi="宋体"/>
                <w:sz w:val="24"/>
                <w:highlight w:val="none"/>
              </w:rPr>
            </w:pPr>
            <w:r>
              <w:rPr>
                <w:rFonts w:hint="eastAsia" w:ascii="宋体" w:hAnsi="宋体"/>
                <w:sz w:val="24"/>
                <w:highlight w:val="none"/>
              </w:rPr>
              <w:t>合计</w:t>
            </w:r>
          </w:p>
        </w:tc>
        <w:tc>
          <w:tcPr>
            <w:tcW w:w="844" w:type="dxa"/>
            <w:shd w:val="clear" w:color="auto" w:fill="auto"/>
            <w:vAlign w:val="center"/>
          </w:tcPr>
          <w:p w14:paraId="520CCAB4">
            <w:pPr>
              <w:jc w:val="center"/>
              <w:rPr>
                <w:rFonts w:ascii="宋体" w:hAnsi="宋体"/>
                <w:sz w:val="24"/>
                <w:highlight w:val="none"/>
              </w:rPr>
            </w:pPr>
            <w:r>
              <w:rPr>
                <w:rFonts w:hint="eastAsia" w:ascii="宋体" w:hAnsi="宋体"/>
                <w:sz w:val="24"/>
                <w:highlight w:val="none"/>
              </w:rPr>
              <w:t>5</w:t>
            </w:r>
          </w:p>
        </w:tc>
      </w:tr>
    </w:tbl>
    <w:p w14:paraId="7CAF4887">
      <w:pPr>
        <w:rPr>
          <w:rFonts w:ascii="宋体" w:hAnsi="宋体"/>
          <w:b/>
          <w:sz w:val="24"/>
          <w:highlight w:val="none"/>
        </w:rPr>
      </w:pPr>
    </w:p>
    <w:p w14:paraId="0EC65C15">
      <w:pPr>
        <w:rPr>
          <w:rFonts w:ascii="宋体" w:hAnsi="宋体"/>
          <w:b/>
          <w:sz w:val="24"/>
          <w:highlight w:val="none"/>
        </w:rPr>
      </w:pPr>
    </w:p>
    <w:p w14:paraId="6157EAB4">
      <w:pPr>
        <w:rPr>
          <w:rFonts w:ascii="宋体" w:hAnsi="宋体"/>
          <w:b/>
          <w:sz w:val="24"/>
          <w:highlight w:val="none"/>
        </w:rPr>
      </w:pPr>
    </w:p>
    <w:p w14:paraId="5BE27CCD">
      <w:pPr>
        <w:rPr>
          <w:rFonts w:ascii="宋体" w:hAnsi="宋体"/>
          <w:b/>
          <w:sz w:val="24"/>
          <w:highlight w:val="none"/>
        </w:rPr>
      </w:pPr>
    </w:p>
    <w:p w14:paraId="0131C629">
      <w:pPr>
        <w:rPr>
          <w:rFonts w:ascii="宋体" w:hAnsi="宋体"/>
          <w:b/>
          <w:sz w:val="24"/>
          <w:highlight w:val="none"/>
        </w:rPr>
      </w:pPr>
    </w:p>
    <w:p w14:paraId="79124A12">
      <w:pPr>
        <w:rPr>
          <w:rFonts w:ascii="宋体" w:hAnsi="宋体"/>
          <w:b/>
          <w:sz w:val="24"/>
          <w:highlight w:val="none"/>
        </w:rPr>
      </w:pPr>
    </w:p>
    <w:p w14:paraId="6468B732">
      <w:pPr>
        <w:rPr>
          <w:rFonts w:ascii="宋体" w:hAnsi="宋体"/>
          <w:b/>
          <w:sz w:val="24"/>
          <w:highlight w:val="none"/>
        </w:rPr>
      </w:pPr>
    </w:p>
    <w:p w14:paraId="378D2D5A">
      <w:pPr>
        <w:rPr>
          <w:rFonts w:ascii="宋体" w:hAnsi="宋体"/>
          <w:b/>
          <w:sz w:val="24"/>
          <w:highlight w:val="none"/>
        </w:rPr>
      </w:pPr>
    </w:p>
    <w:p w14:paraId="3AA92B8D">
      <w:pPr>
        <w:rPr>
          <w:rFonts w:ascii="宋体" w:hAnsi="宋体"/>
          <w:b/>
          <w:sz w:val="24"/>
          <w:highlight w:val="none"/>
        </w:rPr>
      </w:pPr>
    </w:p>
    <w:p w14:paraId="4D78A1B5">
      <w:pPr>
        <w:rPr>
          <w:rFonts w:ascii="宋体" w:hAnsi="宋体"/>
          <w:b/>
          <w:sz w:val="24"/>
          <w:highlight w:val="none"/>
        </w:rPr>
      </w:pPr>
    </w:p>
    <w:p w14:paraId="754263A1">
      <w:pPr>
        <w:rPr>
          <w:rFonts w:ascii="宋体" w:hAnsi="宋体"/>
          <w:b/>
          <w:sz w:val="24"/>
          <w:highlight w:val="none"/>
        </w:rPr>
      </w:pPr>
    </w:p>
    <w:p w14:paraId="78BBCAAA">
      <w:pPr>
        <w:rPr>
          <w:rFonts w:ascii="宋体" w:hAnsi="宋体"/>
          <w:b/>
          <w:sz w:val="24"/>
          <w:highlight w:val="none"/>
        </w:rPr>
      </w:pPr>
    </w:p>
    <w:p w14:paraId="65104BA1">
      <w:pPr>
        <w:rPr>
          <w:rFonts w:ascii="宋体" w:hAnsi="宋体"/>
          <w:b/>
          <w:sz w:val="24"/>
          <w:highlight w:val="none"/>
        </w:rPr>
      </w:pPr>
    </w:p>
    <w:p w14:paraId="7EBF5211">
      <w:pPr>
        <w:rPr>
          <w:rFonts w:ascii="宋体" w:hAnsi="宋体"/>
          <w:b/>
          <w:sz w:val="24"/>
          <w:highlight w:val="none"/>
        </w:rPr>
      </w:pPr>
    </w:p>
    <w:p w14:paraId="22657416">
      <w:pPr>
        <w:rPr>
          <w:rFonts w:ascii="宋体" w:hAnsi="宋体"/>
          <w:b/>
          <w:sz w:val="24"/>
          <w:highlight w:val="none"/>
        </w:rPr>
      </w:pPr>
    </w:p>
    <w:p w14:paraId="54B71954">
      <w:pPr>
        <w:rPr>
          <w:rFonts w:ascii="宋体" w:hAnsi="宋体"/>
          <w:b/>
          <w:sz w:val="24"/>
          <w:highlight w:val="none"/>
        </w:rPr>
      </w:pPr>
    </w:p>
    <w:p w14:paraId="2EA80E98">
      <w:pPr>
        <w:rPr>
          <w:rFonts w:ascii="宋体" w:hAnsi="宋体"/>
          <w:b/>
          <w:sz w:val="24"/>
          <w:highlight w:val="none"/>
        </w:rPr>
      </w:pPr>
    </w:p>
    <w:p w14:paraId="5653EBF4">
      <w:pPr>
        <w:rPr>
          <w:rFonts w:ascii="宋体" w:hAnsi="宋体"/>
          <w:b/>
          <w:sz w:val="24"/>
          <w:highlight w:val="none"/>
        </w:rPr>
      </w:pPr>
    </w:p>
    <w:p w14:paraId="7A200C60">
      <w:pPr>
        <w:rPr>
          <w:rFonts w:ascii="宋体" w:hAnsi="宋体"/>
          <w:b/>
          <w:sz w:val="24"/>
          <w:highlight w:val="none"/>
        </w:rPr>
      </w:pPr>
    </w:p>
    <w:p w14:paraId="64C7B894">
      <w:pPr>
        <w:rPr>
          <w:rFonts w:ascii="宋体" w:hAnsi="宋体"/>
          <w:b/>
          <w:sz w:val="24"/>
          <w:highlight w:val="none"/>
        </w:rPr>
      </w:pPr>
    </w:p>
    <w:p w14:paraId="74CF8CD2">
      <w:pPr>
        <w:rPr>
          <w:rFonts w:ascii="宋体" w:hAnsi="宋体"/>
          <w:b/>
          <w:sz w:val="24"/>
          <w:highlight w:val="none"/>
        </w:rPr>
      </w:pPr>
      <w:r>
        <w:rPr>
          <w:rFonts w:hint="eastAsia" w:ascii="宋体" w:hAnsi="宋体"/>
          <w:b/>
          <w:sz w:val="24"/>
          <w:highlight w:val="none"/>
        </w:rPr>
        <w:t>以上服务项目广渠门院区共需要服务人员4人：</w:t>
      </w:r>
    </w:p>
    <w:tbl>
      <w:tblPr>
        <w:tblStyle w:val="4"/>
        <w:tblpPr w:leftFromText="180" w:rightFromText="180" w:vertAnchor="text" w:horzAnchor="margin" w:tblpXSpec="center" w:tblpY="213"/>
        <w:tblW w:w="47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2"/>
        <w:gridCol w:w="2011"/>
        <w:gridCol w:w="1418"/>
      </w:tblGrid>
      <w:tr w14:paraId="33822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exact"/>
          <w:jc w:val="center"/>
        </w:trPr>
        <w:tc>
          <w:tcPr>
            <w:tcW w:w="1272" w:type="dxa"/>
            <w:shd w:val="clear" w:color="auto" w:fill="auto"/>
            <w:vAlign w:val="center"/>
          </w:tcPr>
          <w:p w14:paraId="595A377E">
            <w:pPr>
              <w:jc w:val="center"/>
              <w:rPr>
                <w:rFonts w:ascii="宋体" w:hAnsi="宋体"/>
                <w:sz w:val="24"/>
                <w:highlight w:val="none"/>
              </w:rPr>
            </w:pPr>
            <w:r>
              <w:rPr>
                <w:rFonts w:hint="eastAsia" w:ascii="宋体" w:hAnsi="宋体"/>
                <w:sz w:val="24"/>
                <w:highlight w:val="none"/>
              </w:rPr>
              <w:t>序号</w:t>
            </w:r>
          </w:p>
        </w:tc>
        <w:tc>
          <w:tcPr>
            <w:tcW w:w="2011" w:type="dxa"/>
            <w:shd w:val="clear" w:color="auto" w:fill="auto"/>
            <w:vAlign w:val="center"/>
          </w:tcPr>
          <w:p w14:paraId="750FC97E">
            <w:pPr>
              <w:jc w:val="center"/>
              <w:rPr>
                <w:rFonts w:ascii="宋体" w:hAnsi="宋体"/>
                <w:sz w:val="24"/>
                <w:highlight w:val="none"/>
              </w:rPr>
            </w:pPr>
            <w:r>
              <w:rPr>
                <w:rFonts w:hint="eastAsia" w:ascii="宋体" w:hAnsi="宋体"/>
                <w:sz w:val="24"/>
                <w:highlight w:val="none"/>
              </w:rPr>
              <w:t>类别</w:t>
            </w:r>
          </w:p>
        </w:tc>
        <w:tc>
          <w:tcPr>
            <w:tcW w:w="1418" w:type="dxa"/>
            <w:shd w:val="clear" w:color="auto" w:fill="auto"/>
            <w:vAlign w:val="center"/>
          </w:tcPr>
          <w:p w14:paraId="79B1D61D">
            <w:pPr>
              <w:jc w:val="center"/>
              <w:rPr>
                <w:rFonts w:ascii="宋体" w:hAnsi="宋体"/>
                <w:sz w:val="24"/>
                <w:highlight w:val="none"/>
              </w:rPr>
            </w:pPr>
            <w:r>
              <w:rPr>
                <w:rFonts w:hint="eastAsia" w:ascii="宋体" w:hAnsi="宋体"/>
                <w:sz w:val="24"/>
                <w:highlight w:val="none"/>
              </w:rPr>
              <w:t>人数</w:t>
            </w:r>
          </w:p>
        </w:tc>
      </w:tr>
      <w:tr w14:paraId="404A7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exact"/>
          <w:jc w:val="center"/>
        </w:trPr>
        <w:tc>
          <w:tcPr>
            <w:tcW w:w="1272" w:type="dxa"/>
            <w:shd w:val="clear" w:color="auto" w:fill="auto"/>
            <w:vAlign w:val="center"/>
          </w:tcPr>
          <w:p w14:paraId="04B22795">
            <w:pPr>
              <w:jc w:val="center"/>
              <w:rPr>
                <w:rFonts w:ascii="宋体" w:hAnsi="宋体"/>
                <w:sz w:val="24"/>
                <w:highlight w:val="none"/>
              </w:rPr>
            </w:pPr>
            <w:r>
              <w:rPr>
                <w:rFonts w:hint="eastAsia" w:ascii="宋体" w:hAnsi="宋体"/>
                <w:sz w:val="24"/>
                <w:highlight w:val="none"/>
              </w:rPr>
              <w:t>1</w:t>
            </w:r>
          </w:p>
        </w:tc>
        <w:tc>
          <w:tcPr>
            <w:tcW w:w="2011" w:type="dxa"/>
            <w:shd w:val="clear" w:color="auto" w:fill="auto"/>
            <w:vAlign w:val="center"/>
          </w:tcPr>
          <w:p w14:paraId="41A54483">
            <w:pPr>
              <w:jc w:val="center"/>
              <w:rPr>
                <w:rFonts w:ascii="宋体" w:hAnsi="宋体"/>
                <w:sz w:val="24"/>
                <w:highlight w:val="none"/>
              </w:rPr>
            </w:pPr>
            <w:r>
              <w:rPr>
                <w:rFonts w:hint="eastAsia" w:ascii="宋体" w:hAnsi="宋体"/>
                <w:sz w:val="24"/>
                <w:highlight w:val="none"/>
              </w:rPr>
              <w:t>物业经理</w:t>
            </w:r>
          </w:p>
        </w:tc>
        <w:tc>
          <w:tcPr>
            <w:tcW w:w="1418" w:type="dxa"/>
            <w:shd w:val="clear" w:color="auto" w:fill="auto"/>
            <w:vAlign w:val="center"/>
          </w:tcPr>
          <w:p w14:paraId="7C423711">
            <w:pPr>
              <w:jc w:val="center"/>
              <w:rPr>
                <w:rFonts w:ascii="宋体" w:hAnsi="宋体"/>
                <w:sz w:val="24"/>
                <w:highlight w:val="none"/>
              </w:rPr>
            </w:pPr>
            <w:r>
              <w:rPr>
                <w:rFonts w:hint="eastAsia" w:ascii="宋体" w:hAnsi="宋体"/>
                <w:sz w:val="24"/>
                <w:highlight w:val="none"/>
              </w:rPr>
              <w:t>1</w:t>
            </w:r>
          </w:p>
        </w:tc>
      </w:tr>
      <w:tr w14:paraId="116F6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exact"/>
          <w:jc w:val="center"/>
        </w:trPr>
        <w:tc>
          <w:tcPr>
            <w:tcW w:w="1272" w:type="dxa"/>
            <w:shd w:val="clear" w:color="auto" w:fill="auto"/>
            <w:vAlign w:val="center"/>
          </w:tcPr>
          <w:p w14:paraId="3BF03117">
            <w:pPr>
              <w:jc w:val="center"/>
              <w:rPr>
                <w:rFonts w:ascii="宋体" w:hAnsi="宋体"/>
                <w:sz w:val="24"/>
                <w:highlight w:val="none"/>
              </w:rPr>
            </w:pPr>
            <w:r>
              <w:rPr>
                <w:rFonts w:hint="eastAsia" w:ascii="宋体" w:hAnsi="宋体"/>
                <w:sz w:val="24"/>
                <w:highlight w:val="none"/>
              </w:rPr>
              <w:t>2</w:t>
            </w:r>
          </w:p>
        </w:tc>
        <w:tc>
          <w:tcPr>
            <w:tcW w:w="2011" w:type="dxa"/>
            <w:shd w:val="clear" w:color="auto" w:fill="auto"/>
            <w:vAlign w:val="center"/>
          </w:tcPr>
          <w:p w14:paraId="08980D6F">
            <w:pPr>
              <w:jc w:val="center"/>
              <w:rPr>
                <w:rFonts w:ascii="宋体" w:hAnsi="宋体"/>
                <w:sz w:val="24"/>
                <w:highlight w:val="none"/>
              </w:rPr>
            </w:pPr>
            <w:r>
              <w:rPr>
                <w:rFonts w:hint="eastAsia" w:ascii="宋体" w:hAnsi="宋体"/>
                <w:sz w:val="24"/>
                <w:highlight w:val="none"/>
              </w:rPr>
              <w:t>维修工程人员</w:t>
            </w:r>
          </w:p>
        </w:tc>
        <w:tc>
          <w:tcPr>
            <w:tcW w:w="1418" w:type="dxa"/>
            <w:shd w:val="clear" w:color="auto" w:fill="auto"/>
            <w:vAlign w:val="center"/>
          </w:tcPr>
          <w:p w14:paraId="4C481924">
            <w:pPr>
              <w:jc w:val="center"/>
              <w:rPr>
                <w:rFonts w:ascii="宋体" w:hAnsi="宋体"/>
                <w:sz w:val="24"/>
                <w:highlight w:val="none"/>
              </w:rPr>
            </w:pPr>
            <w:r>
              <w:rPr>
                <w:rFonts w:hint="eastAsia" w:ascii="宋体" w:hAnsi="宋体"/>
                <w:sz w:val="24"/>
                <w:highlight w:val="none"/>
              </w:rPr>
              <w:t>1</w:t>
            </w:r>
          </w:p>
        </w:tc>
      </w:tr>
      <w:tr w14:paraId="626BF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exact"/>
          <w:jc w:val="center"/>
        </w:trPr>
        <w:tc>
          <w:tcPr>
            <w:tcW w:w="1272" w:type="dxa"/>
            <w:shd w:val="clear" w:color="auto" w:fill="auto"/>
            <w:vAlign w:val="center"/>
          </w:tcPr>
          <w:p w14:paraId="6B3D99BD">
            <w:pPr>
              <w:jc w:val="center"/>
              <w:rPr>
                <w:rFonts w:ascii="宋体" w:hAnsi="宋体"/>
                <w:sz w:val="24"/>
                <w:highlight w:val="none"/>
              </w:rPr>
            </w:pPr>
            <w:r>
              <w:rPr>
                <w:rFonts w:hint="eastAsia" w:ascii="宋体" w:hAnsi="宋体"/>
                <w:sz w:val="24"/>
                <w:highlight w:val="none"/>
              </w:rPr>
              <w:t>3</w:t>
            </w:r>
          </w:p>
        </w:tc>
        <w:tc>
          <w:tcPr>
            <w:tcW w:w="2011" w:type="dxa"/>
            <w:shd w:val="clear" w:color="auto" w:fill="auto"/>
            <w:vAlign w:val="center"/>
          </w:tcPr>
          <w:p w14:paraId="353FE996">
            <w:pPr>
              <w:jc w:val="center"/>
              <w:rPr>
                <w:rFonts w:ascii="宋体" w:hAnsi="宋体"/>
                <w:sz w:val="24"/>
                <w:highlight w:val="none"/>
              </w:rPr>
            </w:pPr>
            <w:r>
              <w:rPr>
                <w:rFonts w:hint="eastAsia" w:ascii="宋体" w:hAnsi="宋体"/>
                <w:sz w:val="24"/>
                <w:highlight w:val="none"/>
              </w:rPr>
              <w:t>保洁服务人员</w:t>
            </w:r>
          </w:p>
        </w:tc>
        <w:tc>
          <w:tcPr>
            <w:tcW w:w="1418" w:type="dxa"/>
            <w:shd w:val="clear" w:color="auto" w:fill="auto"/>
            <w:vAlign w:val="center"/>
          </w:tcPr>
          <w:p w14:paraId="6FF0F821">
            <w:pPr>
              <w:jc w:val="center"/>
              <w:rPr>
                <w:rFonts w:ascii="宋体" w:hAnsi="宋体"/>
                <w:sz w:val="24"/>
                <w:highlight w:val="none"/>
              </w:rPr>
            </w:pPr>
            <w:r>
              <w:rPr>
                <w:rFonts w:hint="eastAsia" w:ascii="宋体" w:hAnsi="宋体"/>
                <w:sz w:val="24"/>
                <w:highlight w:val="none"/>
              </w:rPr>
              <w:t>2</w:t>
            </w:r>
          </w:p>
        </w:tc>
      </w:tr>
      <w:tr w14:paraId="5446C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exact"/>
          <w:jc w:val="center"/>
        </w:trPr>
        <w:tc>
          <w:tcPr>
            <w:tcW w:w="3283" w:type="dxa"/>
            <w:gridSpan w:val="2"/>
            <w:shd w:val="clear" w:color="auto" w:fill="auto"/>
            <w:vAlign w:val="center"/>
          </w:tcPr>
          <w:p w14:paraId="6D207382">
            <w:pPr>
              <w:jc w:val="center"/>
              <w:rPr>
                <w:rFonts w:ascii="宋体" w:hAnsi="宋体"/>
                <w:sz w:val="24"/>
                <w:highlight w:val="none"/>
              </w:rPr>
            </w:pPr>
            <w:r>
              <w:rPr>
                <w:rFonts w:hint="eastAsia" w:ascii="宋体" w:hAnsi="宋体"/>
                <w:sz w:val="24"/>
                <w:highlight w:val="none"/>
              </w:rPr>
              <w:t>合计</w:t>
            </w:r>
          </w:p>
        </w:tc>
        <w:tc>
          <w:tcPr>
            <w:tcW w:w="1418" w:type="dxa"/>
            <w:shd w:val="clear" w:color="auto" w:fill="auto"/>
            <w:vAlign w:val="center"/>
          </w:tcPr>
          <w:p w14:paraId="10FC3EC3">
            <w:pPr>
              <w:jc w:val="center"/>
              <w:rPr>
                <w:rFonts w:ascii="宋体" w:hAnsi="宋体"/>
                <w:sz w:val="24"/>
                <w:highlight w:val="none"/>
              </w:rPr>
            </w:pPr>
            <w:r>
              <w:rPr>
                <w:rFonts w:hint="eastAsia" w:ascii="宋体" w:hAnsi="宋体"/>
                <w:sz w:val="24"/>
                <w:highlight w:val="none"/>
              </w:rPr>
              <w:t>4</w:t>
            </w:r>
          </w:p>
        </w:tc>
      </w:tr>
    </w:tbl>
    <w:p w14:paraId="6A39480A">
      <w:pPr>
        <w:pStyle w:val="3"/>
        <w:adjustRightInd w:val="0"/>
        <w:ind w:left="0" w:leftChars="0" w:firstLine="0" w:firstLineChars="0"/>
        <w:textAlignment w:val="baseline"/>
        <w:rPr>
          <w:rFonts w:ascii="宋体" w:hAnsi="宋体" w:cs="宋体"/>
          <w:b/>
          <w:bCs/>
          <w:highlight w:val="none"/>
        </w:rPr>
      </w:pPr>
    </w:p>
    <w:p w14:paraId="10DDAF83">
      <w:pPr>
        <w:pStyle w:val="3"/>
        <w:adjustRightInd w:val="0"/>
        <w:ind w:left="0" w:leftChars="0" w:firstLine="0" w:firstLineChars="0"/>
        <w:textAlignment w:val="baseline"/>
        <w:rPr>
          <w:rFonts w:ascii="宋体" w:hAnsi="宋体" w:cs="宋体"/>
          <w:b/>
          <w:bCs/>
          <w:highlight w:val="none"/>
        </w:rPr>
      </w:pPr>
    </w:p>
    <w:p w14:paraId="0241F017">
      <w:pPr>
        <w:pStyle w:val="3"/>
        <w:adjustRightInd w:val="0"/>
        <w:ind w:left="0" w:leftChars="0" w:firstLine="0" w:firstLineChars="0"/>
        <w:textAlignment w:val="baseline"/>
        <w:rPr>
          <w:rFonts w:ascii="宋体" w:hAnsi="宋体" w:cs="宋体"/>
          <w:b/>
          <w:bCs/>
          <w:highlight w:val="none"/>
        </w:rPr>
      </w:pPr>
    </w:p>
    <w:p w14:paraId="71F6C8C0">
      <w:pPr>
        <w:pStyle w:val="3"/>
        <w:adjustRightInd w:val="0"/>
        <w:ind w:left="0" w:leftChars="0" w:firstLine="0" w:firstLineChars="0"/>
        <w:textAlignment w:val="baseline"/>
        <w:rPr>
          <w:rFonts w:ascii="宋体" w:hAnsi="宋体" w:cs="宋体"/>
          <w:b/>
          <w:bCs/>
          <w:highlight w:val="none"/>
        </w:rPr>
      </w:pPr>
    </w:p>
    <w:p w14:paraId="75E1FD48">
      <w:pPr>
        <w:pStyle w:val="3"/>
        <w:adjustRightInd w:val="0"/>
        <w:ind w:left="0" w:leftChars="0" w:firstLine="0" w:firstLineChars="0"/>
        <w:textAlignment w:val="baseline"/>
        <w:rPr>
          <w:rFonts w:ascii="宋体" w:hAnsi="宋体" w:cs="宋体"/>
          <w:b/>
          <w:bCs/>
          <w:highlight w:val="none"/>
        </w:rPr>
      </w:pPr>
    </w:p>
    <w:p w14:paraId="038D6658">
      <w:pPr>
        <w:pStyle w:val="3"/>
        <w:adjustRightInd w:val="0"/>
        <w:ind w:left="0" w:leftChars="0" w:firstLine="0" w:firstLineChars="0"/>
        <w:textAlignment w:val="baseline"/>
        <w:rPr>
          <w:rFonts w:ascii="宋体" w:hAnsi="宋体" w:cs="宋体"/>
          <w:b/>
          <w:bCs/>
          <w:highlight w:val="none"/>
        </w:rPr>
      </w:pPr>
      <w:r>
        <w:rPr>
          <w:rFonts w:hint="eastAsia" w:ascii="宋体" w:hAnsi="宋体" w:cs="宋体"/>
          <w:b/>
          <w:bCs/>
          <w:highlight w:val="none"/>
        </w:rPr>
        <w:t>（三）院本部、八里庄、广渠门</w:t>
      </w:r>
    </w:p>
    <w:p w14:paraId="629BF198">
      <w:pPr>
        <w:pStyle w:val="3"/>
        <w:adjustRightInd w:val="0"/>
        <w:ind w:left="0" w:leftChars="0" w:firstLine="482"/>
        <w:textAlignment w:val="baseline"/>
        <w:rPr>
          <w:rFonts w:ascii="宋体" w:hAnsi="宋体"/>
          <w:highlight w:val="none"/>
        </w:rPr>
      </w:pPr>
      <w:r>
        <w:rPr>
          <w:rFonts w:hint="eastAsia" w:ascii="宋体" w:hAnsi="宋体" w:cs="宋体"/>
          <w:b/>
          <w:bCs/>
          <w:highlight w:val="none"/>
        </w:rPr>
        <w:t>三</w:t>
      </w:r>
      <w:r>
        <w:rPr>
          <w:rFonts w:hint="eastAsia" w:ascii="宋体" w:hAnsi="宋体" w:cs="宋体"/>
          <w:highlight w:val="none"/>
        </w:rPr>
        <w:t>个院区</w:t>
      </w:r>
      <w:r>
        <w:rPr>
          <w:rFonts w:hint="eastAsia" w:ascii="宋体" w:hAnsi="宋体"/>
          <w:highlight w:val="none"/>
        </w:rPr>
        <w:t>日常人员检查要求</w:t>
      </w:r>
    </w:p>
    <w:p w14:paraId="139033D5">
      <w:pPr>
        <w:rPr>
          <w:rFonts w:ascii="宋体" w:hAnsi="宋体"/>
          <w:sz w:val="24"/>
          <w:highlight w:val="none"/>
        </w:rPr>
      </w:pPr>
      <w:r>
        <w:rPr>
          <w:rFonts w:hint="eastAsia" w:ascii="宋体" w:hAnsi="宋体"/>
          <w:sz w:val="24"/>
          <w:highlight w:val="none"/>
        </w:rPr>
        <w:t>院后勤保障部定期或不定期对三个院区物业服务工作人员考勤和服务质量进行监督检查。从合同签订后的次月一日开始。按照物业公司提供的人员花名册，每次人员检查，发现无正常理由缺勤，收取违约金500元/人/次；有服务质量问题，收取违约金500元/人/次；从当月物业服务费中扣除。</w:t>
      </w:r>
    </w:p>
    <w:p w14:paraId="220D080B">
      <w:pPr>
        <w:rPr>
          <w:rFonts w:ascii="宋体" w:hAnsi="宋体"/>
          <w:sz w:val="24"/>
          <w:highlight w:val="none"/>
        </w:rPr>
      </w:pPr>
    </w:p>
    <w:p w14:paraId="2F936BD7">
      <w:pPr>
        <w:numPr>
          <w:ilvl w:val="0"/>
          <w:numId w:val="1"/>
        </w:numPr>
        <w:rPr>
          <w:rFonts w:ascii="宋体" w:hAnsi="宋体"/>
          <w:sz w:val="24"/>
          <w:highlight w:val="none"/>
        </w:rPr>
      </w:pPr>
      <w:r>
        <w:rPr>
          <w:rFonts w:hint="eastAsia" w:ascii="宋体" w:hAnsi="宋体"/>
          <w:sz w:val="24"/>
          <w:highlight w:val="none"/>
        </w:rPr>
        <w:t>信用要求</w:t>
      </w:r>
    </w:p>
    <w:p w14:paraId="62772519">
      <w:pPr>
        <w:rPr>
          <w:rFonts w:ascii="宋体" w:hAnsi="宋体" w:cs="宋体"/>
          <w:sz w:val="24"/>
          <w:highlight w:val="none"/>
        </w:rPr>
      </w:pPr>
      <w:r>
        <w:rPr>
          <w:rFonts w:hint="eastAsia" w:ascii="宋体" w:hAnsi="宋体" w:cs="宋体"/>
          <w:sz w:val="24"/>
          <w:highlight w:val="none"/>
        </w:rPr>
        <w:t>1.为深入贯彻落实中共中央办公厅、国务院办公厅《关于健全社会信用体系的意见》，进一步推动《财政部关于在政府采购活动中查询及使用信用记录有关问题的通知》（财库〔</w:t>
      </w:r>
      <w:r>
        <w:rPr>
          <w:rFonts w:ascii="宋体" w:hAnsi="宋体" w:cs="宋体"/>
          <w:sz w:val="24"/>
          <w:highlight w:val="none"/>
        </w:rPr>
        <w:t>2016</w:t>
      </w:r>
      <w:r>
        <w:rPr>
          <w:rFonts w:hint="eastAsia" w:ascii="宋体" w:hAnsi="宋体" w:cs="宋体"/>
          <w:sz w:val="24"/>
          <w:highlight w:val="none"/>
        </w:rPr>
        <w:t>〕</w:t>
      </w:r>
      <w:r>
        <w:rPr>
          <w:rFonts w:ascii="宋体" w:hAnsi="宋体" w:cs="宋体"/>
          <w:sz w:val="24"/>
          <w:highlight w:val="none"/>
        </w:rPr>
        <w:t>125</w:t>
      </w:r>
      <w:r>
        <w:rPr>
          <w:rFonts w:hint="eastAsia" w:ascii="宋体" w:hAnsi="宋体" w:cs="宋体"/>
          <w:sz w:val="24"/>
          <w:highlight w:val="none"/>
        </w:rPr>
        <w:t>号）《国务院关于印发社会信用体系建设规划纲要（</w:t>
      </w:r>
      <w:r>
        <w:rPr>
          <w:rFonts w:ascii="宋体" w:hAnsi="宋体" w:cs="宋体"/>
          <w:sz w:val="24"/>
          <w:highlight w:val="none"/>
        </w:rPr>
        <w:t>2014</w:t>
      </w:r>
      <w:r>
        <w:rPr>
          <w:rFonts w:hint="eastAsia" w:ascii="宋体" w:hAnsi="宋体" w:cs="宋体"/>
          <w:sz w:val="24"/>
          <w:highlight w:val="none"/>
        </w:rPr>
        <w:t>—</w:t>
      </w:r>
      <w:r>
        <w:rPr>
          <w:rFonts w:ascii="宋体" w:hAnsi="宋体" w:cs="宋体"/>
          <w:sz w:val="24"/>
          <w:highlight w:val="none"/>
        </w:rPr>
        <w:t>2020</w:t>
      </w:r>
      <w:r>
        <w:rPr>
          <w:rFonts w:hint="eastAsia" w:ascii="宋体" w:hAnsi="宋体" w:cs="宋体"/>
          <w:sz w:val="24"/>
          <w:highlight w:val="none"/>
        </w:rPr>
        <w:t>年）的通知》（国发〔</w:t>
      </w:r>
      <w:r>
        <w:rPr>
          <w:rFonts w:ascii="宋体" w:hAnsi="宋体" w:cs="宋体"/>
          <w:sz w:val="24"/>
          <w:highlight w:val="none"/>
        </w:rPr>
        <w:t>2014</w:t>
      </w:r>
      <w:r>
        <w:rPr>
          <w:rFonts w:hint="eastAsia" w:ascii="宋体" w:hAnsi="宋体" w:cs="宋体"/>
          <w:sz w:val="24"/>
          <w:highlight w:val="none"/>
        </w:rPr>
        <w:t>〕21号）《关于对重大税收违法案件当事人实施联合惩戒措施的合作备忘录》（发改财金〔</w:t>
      </w:r>
      <w:r>
        <w:rPr>
          <w:rFonts w:ascii="宋体" w:hAnsi="宋体" w:cs="宋体"/>
          <w:sz w:val="24"/>
          <w:highlight w:val="none"/>
        </w:rPr>
        <w:t>2014</w:t>
      </w:r>
      <w:r>
        <w:rPr>
          <w:rFonts w:hint="eastAsia" w:ascii="宋体" w:hAnsi="宋体" w:cs="宋体"/>
          <w:sz w:val="24"/>
          <w:highlight w:val="none"/>
        </w:rPr>
        <w:t>〕</w:t>
      </w:r>
      <w:r>
        <w:rPr>
          <w:rFonts w:ascii="宋体" w:hAnsi="宋体" w:cs="宋体"/>
          <w:sz w:val="24"/>
          <w:highlight w:val="none"/>
        </w:rPr>
        <w:t>3062</w:t>
      </w:r>
      <w:r>
        <w:rPr>
          <w:rFonts w:hint="eastAsia" w:ascii="宋体" w:hAnsi="宋体" w:cs="宋体"/>
          <w:sz w:val="24"/>
          <w:highlight w:val="none"/>
        </w:rPr>
        <w:t>号）《关于报送政府采购严重违法失信行为信息记录的通知》（财办库〔</w:t>
      </w:r>
      <w:r>
        <w:rPr>
          <w:rFonts w:ascii="宋体" w:hAnsi="宋体" w:cs="宋体"/>
          <w:sz w:val="24"/>
          <w:highlight w:val="none"/>
        </w:rPr>
        <w:t>2014</w:t>
      </w:r>
      <w:r>
        <w:rPr>
          <w:rFonts w:hint="eastAsia" w:ascii="宋体" w:hAnsi="宋体" w:cs="宋体"/>
          <w:sz w:val="24"/>
          <w:highlight w:val="none"/>
        </w:rPr>
        <w:t>〕</w:t>
      </w:r>
      <w:r>
        <w:rPr>
          <w:rFonts w:ascii="宋体" w:hAnsi="宋体" w:cs="宋体"/>
          <w:sz w:val="24"/>
          <w:highlight w:val="none"/>
        </w:rPr>
        <w:t>526</w:t>
      </w:r>
      <w:r>
        <w:rPr>
          <w:rFonts w:hint="eastAsia" w:ascii="宋体" w:hAnsi="宋体" w:cs="宋体"/>
          <w:sz w:val="24"/>
          <w:highlight w:val="none"/>
        </w:rPr>
        <w:t>号）《国务院关于建立完善守信联合激励和失信联合惩戒制度加快推进社会诚信建设的指导意见》（国发〔</w:t>
      </w:r>
      <w:r>
        <w:rPr>
          <w:rFonts w:ascii="宋体" w:hAnsi="宋体" w:cs="宋体"/>
          <w:sz w:val="24"/>
          <w:highlight w:val="none"/>
        </w:rPr>
        <w:t>2016</w:t>
      </w:r>
      <w:r>
        <w:rPr>
          <w:rFonts w:hint="eastAsia" w:ascii="宋体" w:hAnsi="宋体" w:cs="宋体"/>
          <w:sz w:val="24"/>
          <w:highlight w:val="none"/>
        </w:rPr>
        <w:t>〕</w:t>
      </w:r>
      <w:r>
        <w:rPr>
          <w:rFonts w:ascii="宋体" w:hAnsi="宋体" w:cs="宋体"/>
          <w:sz w:val="24"/>
          <w:highlight w:val="none"/>
        </w:rPr>
        <w:t>33</w:t>
      </w:r>
      <w:r>
        <w:rPr>
          <w:rFonts w:hint="eastAsia" w:ascii="宋体" w:hAnsi="宋体" w:cs="宋体"/>
          <w:sz w:val="24"/>
          <w:highlight w:val="none"/>
        </w:rPr>
        <w:t>号）《关于做好政府采购有关信用主体标识码登记工作的通知》（财办库〔</w:t>
      </w:r>
      <w:r>
        <w:rPr>
          <w:rFonts w:ascii="宋体" w:hAnsi="宋体" w:cs="宋体"/>
          <w:sz w:val="24"/>
          <w:highlight w:val="none"/>
        </w:rPr>
        <w:t>2016</w:t>
      </w:r>
      <w:r>
        <w:rPr>
          <w:rFonts w:hint="eastAsia" w:ascii="宋体" w:hAnsi="宋体" w:cs="宋体"/>
          <w:sz w:val="24"/>
          <w:highlight w:val="none"/>
        </w:rPr>
        <w:t>〕</w:t>
      </w:r>
      <w:r>
        <w:rPr>
          <w:rFonts w:ascii="宋体" w:hAnsi="宋体" w:cs="宋体"/>
          <w:sz w:val="24"/>
          <w:highlight w:val="none"/>
        </w:rPr>
        <w:t>320</w:t>
      </w:r>
      <w:r>
        <w:rPr>
          <w:rFonts w:hint="eastAsia" w:ascii="宋体" w:hAnsi="宋体" w:cs="宋体"/>
          <w:sz w:val="24"/>
          <w:highlight w:val="none"/>
        </w:rPr>
        <w:t>号）《京津冀市场监管部门关于实施深化信用提升助力经营主体高质量发展三年行动方案的意见》《北京市财政局关于进一步优化政府采购营商环境的通知》等政策要求在政府采购工作中落实落地，请供应商承诺投标截止日前</w:t>
      </w:r>
      <w:r>
        <w:rPr>
          <w:rFonts w:ascii="宋体" w:hAnsi="宋体" w:cs="宋体"/>
          <w:sz w:val="24"/>
          <w:highlight w:val="none"/>
        </w:rPr>
        <w:t>3</w:t>
      </w:r>
      <w:r>
        <w:rPr>
          <w:rFonts w:hint="eastAsia" w:ascii="宋体" w:hAnsi="宋体" w:cs="宋体"/>
          <w:sz w:val="24"/>
          <w:highlight w:val="none"/>
        </w:rPr>
        <w:t>年内未发生以下事项：</w:t>
      </w:r>
    </w:p>
    <w:p w14:paraId="0FD72353">
      <w:pPr>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在招标（交易发起）文件规定的投标（交易响应）截止日起的投标（交易响应）有效期内撤销其投标（交易响应）的；</w:t>
      </w:r>
    </w:p>
    <w:p w14:paraId="4B72E890">
      <w:pPr>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因供应商自身原因或其他客观情况造成合同履约超期，或经过采购人催告后仍故意或拒绝履行合同义务的；</w:t>
      </w:r>
    </w:p>
    <w:p w14:paraId="1250CC1C">
      <w:pPr>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因供应商其自身严重或持续的履约缺陷，导致合同被提前终止、索赔或其他类似制裁的；</w:t>
      </w:r>
    </w:p>
    <w:p w14:paraId="40B301F3">
      <w:pPr>
        <w:rPr>
          <w:rFonts w:ascii="宋体" w:hAnsi="宋体" w:cs="宋体"/>
          <w:sz w:val="24"/>
          <w:highlight w:val="none"/>
        </w:rPr>
      </w:pPr>
      <w:r>
        <w:rPr>
          <w:rFonts w:ascii="宋体" w:hAnsi="宋体" w:cs="宋体"/>
          <w:sz w:val="24"/>
          <w:highlight w:val="none"/>
        </w:rPr>
        <w:t>4.</w:t>
      </w:r>
      <w:r>
        <w:rPr>
          <w:rFonts w:hint="eastAsia" w:ascii="宋体" w:hAnsi="宋体" w:cs="宋体"/>
          <w:sz w:val="24"/>
          <w:highlight w:val="none"/>
        </w:rPr>
        <w:t>存在拖欠工资的；</w:t>
      </w:r>
    </w:p>
    <w:p w14:paraId="2E5E8E76">
      <w:pPr>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存在《京津冀政府采购负面行为清单》（冀财采〔</w:t>
      </w:r>
      <w:r>
        <w:rPr>
          <w:rFonts w:ascii="宋体" w:hAnsi="宋体" w:cs="宋体"/>
          <w:sz w:val="24"/>
          <w:highlight w:val="none"/>
        </w:rPr>
        <w:t>2024</w:t>
      </w:r>
      <w:r>
        <w:rPr>
          <w:rFonts w:hint="eastAsia" w:ascii="宋体" w:hAnsi="宋体" w:cs="宋体"/>
          <w:sz w:val="24"/>
          <w:highlight w:val="none"/>
        </w:rPr>
        <w:t>〕</w:t>
      </w:r>
      <w:r>
        <w:rPr>
          <w:rFonts w:ascii="宋体" w:hAnsi="宋体" w:cs="宋体"/>
          <w:sz w:val="24"/>
          <w:highlight w:val="none"/>
        </w:rPr>
        <w:t>18</w:t>
      </w:r>
      <w:r>
        <w:rPr>
          <w:rFonts w:hint="eastAsia" w:ascii="宋体" w:hAnsi="宋体" w:cs="宋体"/>
          <w:sz w:val="24"/>
          <w:highlight w:val="none"/>
        </w:rPr>
        <w:t>号）规定的供应商负面行为的：</w:t>
      </w:r>
    </w:p>
    <w:p w14:paraId="7C8C0DC5">
      <w:pPr>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）具有关联或存在利益冲突的供应商违规参加同一政府采购项目；</w:t>
      </w:r>
    </w:p>
    <w:p w14:paraId="23F934A8">
      <w:pPr>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）供应商不公平竞争；</w:t>
      </w:r>
    </w:p>
    <w:p w14:paraId="2A65CEB3">
      <w:pPr>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）供应商恶意串通；</w:t>
      </w:r>
    </w:p>
    <w:p w14:paraId="1EB76F50">
      <w:pPr>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）其他串通行为；</w:t>
      </w:r>
    </w:p>
    <w:p w14:paraId="7E361212">
      <w:pPr>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5</w:t>
      </w:r>
      <w:r>
        <w:rPr>
          <w:rFonts w:hint="eastAsia" w:ascii="宋体" w:hAnsi="宋体" w:cs="宋体"/>
          <w:sz w:val="24"/>
          <w:highlight w:val="none"/>
        </w:rPr>
        <w:t>）未按规定签订合同；</w:t>
      </w:r>
    </w:p>
    <w:p w14:paraId="7B603DB6">
      <w:pPr>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6</w:t>
      </w:r>
      <w:r>
        <w:rPr>
          <w:rFonts w:hint="eastAsia" w:ascii="宋体" w:hAnsi="宋体" w:cs="宋体"/>
          <w:sz w:val="24"/>
          <w:highlight w:val="none"/>
        </w:rPr>
        <w:t>）未按规定履行合同；</w:t>
      </w:r>
    </w:p>
    <w:p w14:paraId="61854D0E">
      <w:pPr>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7</w:t>
      </w:r>
      <w:r>
        <w:rPr>
          <w:rFonts w:hint="eastAsia" w:ascii="宋体" w:hAnsi="宋体" w:cs="宋体"/>
          <w:sz w:val="24"/>
          <w:highlight w:val="none"/>
        </w:rPr>
        <w:t>）在监督检查和投诉处理中提供虚假材料。</w:t>
      </w:r>
    </w:p>
    <w:p w14:paraId="21F0FAC1">
      <w:pPr>
        <w:rPr>
          <w:rFonts w:ascii="宋体" w:hAnsi="宋体" w:cs="宋体"/>
          <w:sz w:val="24"/>
          <w:highlight w:val="none"/>
        </w:rPr>
      </w:pPr>
    </w:p>
    <w:p w14:paraId="3A64B26C">
      <w:pPr>
        <w:numPr>
          <w:ilvl w:val="0"/>
          <w:numId w:val="1"/>
        </w:numPr>
        <w:rPr>
          <w:rFonts w:ascii="宋体" w:hAnsi="宋体" w:cs="宋体"/>
          <w:sz w:val="24"/>
          <w:highlight w:val="none"/>
        </w:rPr>
      </w:pPr>
      <w:r>
        <w:rPr>
          <w:rFonts w:hint="eastAsia" w:ascii="宋体" w:hAnsi="宋体" w:cs="宋体"/>
          <w:sz w:val="24"/>
          <w:highlight w:val="none"/>
        </w:rPr>
        <w:t>其他要求</w:t>
      </w:r>
    </w:p>
    <w:p w14:paraId="6200A5B8">
      <w:pPr>
        <w:numPr>
          <w:ilvl w:val="255"/>
          <w:numId w:val="0"/>
        </w:numPr>
        <w:rPr>
          <w:rFonts w:ascii="宋体" w:hAnsi="宋体" w:cs="宋体"/>
          <w:sz w:val="24"/>
          <w:highlight w:val="none"/>
        </w:rPr>
      </w:pPr>
      <w:r>
        <w:rPr>
          <w:rFonts w:hint="eastAsia" w:ascii="宋体" w:hAnsi="宋体" w:cs="宋体"/>
          <w:sz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1BC0333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宋体e眠副浡渀.">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4D6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70"/>
    </w:pPr>
    <w:rPr>
      <w:sz w:val="24"/>
    </w:rPr>
  </w:style>
  <w:style w:type="paragraph" w:styleId="3">
    <w:name w:val="Body Text First Indent 2"/>
    <w:basedOn w:val="2"/>
    <w:qFormat/>
    <w:uiPriority w:val="0"/>
    <w:pPr>
      <w:spacing w:after="120" w:line="480" w:lineRule="exact"/>
      <w:ind w:left="420" w:leftChars="200" w:firstLine="420" w:firstLineChars="200"/>
    </w:pPr>
    <w:rPr>
      <w:szCs w:val="20"/>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2026-06-05T06:57:15Z</dcterms:created>
  <dc:creator>李政豪</dc:creator>
  <cp:lastModifiedBy>10674</cp:lastModifiedBy>
  <dcterms:modified xsi:type="dcterms:W3CDTF">2026-06-05T06:57:31Z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F94E2FDD0BA8468A9CDFADC113FDE8B4_12</vt:lpwstr>
  </property>
</Properties>
</file>