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配电室代维服务</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cs="宋体"/>
          <w:sz w:val="24"/>
          <w:szCs w:val="24"/>
          <w:highlight w:val="none"/>
          <w:u w:val="single"/>
          <w:lang w:eastAsia="zh-CN"/>
        </w:rPr>
        <w:t>2026年7月2日上午09时30分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6"/>
        <w:pageBreakBefore w:val="0"/>
        <w:kinsoku/>
        <w:overflowPunct/>
        <w:bidi w:val="0"/>
        <w:spacing w:before="0" w:after="0" w:line="360" w:lineRule="auto"/>
        <w:rPr>
          <w:rFonts w:hint="eastAsia" w:ascii="宋体" w:hAnsi="宋体" w:eastAsia="宋体" w:cs="宋体"/>
          <w:b w:val="0"/>
          <w:sz w:val="24"/>
          <w:szCs w:val="24"/>
        </w:rPr>
      </w:pPr>
      <w:bookmarkStart w:id="2" w:name="_Toc35393621"/>
      <w:bookmarkStart w:id="3" w:name="_Toc35393790"/>
      <w:bookmarkStart w:id="4" w:name="_Toc28359079"/>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cs="宋体"/>
          <w:sz w:val="24"/>
          <w:szCs w:val="24"/>
          <w:lang w:eastAsia="zh-CN"/>
        </w:rPr>
        <w:t>0686-2611BI044370Z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配电室代维服务</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cs="宋体"/>
          <w:sz w:val="24"/>
          <w:szCs w:val="24"/>
          <w:lang w:val="en-US" w:eastAsia="zh-CN"/>
        </w:rPr>
        <w:t>350</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496"/>
        <w:gridCol w:w="2005"/>
        <w:gridCol w:w="1025"/>
        <w:gridCol w:w="3892"/>
      </w:tblGrid>
      <w:tr w14:paraId="1470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41" w:type="pct"/>
            <w:vAlign w:val="center"/>
          </w:tcPr>
          <w:p w14:paraId="7F3FCFFF">
            <w:pPr>
              <w:widowControl/>
              <w:autoSpaceDE w:val="0"/>
              <w:autoSpaceDN w:val="0"/>
              <w:jc w:val="center"/>
              <w:rPr>
                <w:rFonts w:hint="eastAsia" w:ascii="宋体" w:hAnsi="宋体" w:eastAsia="宋体" w:cs="宋体"/>
                <w:kern w:val="0"/>
                <w:sz w:val="24"/>
                <w:szCs w:val="22"/>
                <w:highlight w:val="none"/>
                <w:lang w:eastAsia="en-US"/>
              </w:rPr>
            </w:pPr>
            <w:r>
              <w:rPr>
                <w:rFonts w:hint="eastAsia" w:ascii="宋体" w:hAnsi="宋体" w:eastAsia="宋体" w:cs="宋体"/>
                <w:kern w:val="0"/>
                <w:sz w:val="24"/>
                <w:szCs w:val="22"/>
                <w:highlight w:val="none"/>
                <w:lang w:eastAsia="en-US"/>
              </w:rPr>
              <w:t>包号</w:t>
            </w:r>
          </w:p>
        </w:tc>
        <w:tc>
          <w:tcPr>
            <w:tcW w:w="1208" w:type="pct"/>
            <w:vAlign w:val="center"/>
          </w:tcPr>
          <w:p w14:paraId="1D0DBFB6">
            <w:pPr>
              <w:widowControl/>
              <w:autoSpaceDE w:val="0"/>
              <w:autoSpaceDN w:val="0"/>
              <w:jc w:val="center"/>
              <w:rPr>
                <w:rFonts w:hint="eastAsia" w:ascii="宋体" w:hAnsi="宋体" w:eastAsia="宋体" w:cs="宋体"/>
                <w:kern w:val="0"/>
                <w:sz w:val="24"/>
                <w:szCs w:val="22"/>
                <w:highlight w:val="none"/>
                <w:lang w:eastAsia="en-US"/>
              </w:rPr>
            </w:pPr>
            <w:r>
              <w:rPr>
                <w:rFonts w:hint="eastAsia" w:ascii="宋体" w:hAnsi="宋体" w:eastAsia="宋体" w:cs="宋体"/>
                <w:kern w:val="0"/>
                <w:sz w:val="24"/>
                <w:szCs w:val="22"/>
                <w:highlight w:val="none"/>
                <w:lang w:eastAsia="en-US"/>
              </w:rPr>
              <w:t>标的名称</w:t>
            </w:r>
          </w:p>
        </w:tc>
        <w:tc>
          <w:tcPr>
            <w:tcW w:w="970" w:type="pct"/>
            <w:vAlign w:val="center"/>
          </w:tcPr>
          <w:p w14:paraId="379733AA">
            <w:pPr>
              <w:widowControl/>
              <w:autoSpaceDE w:val="0"/>
              <w:autoSpaceDN w:val="0"/>
              <w:jc w:val="center"/>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lang w:eastAsia="zh-CN"/>
              </w:rPr>
              <w:t>分包预算金额</w:t>
            </w:r>
          </w:p>
          <w:p w14:paraId="707ADC0A">
            <w:pPr>
              <w:widowControl/>
              <w:autoSpaceDE w:val="0"/>
              <w:autoSpaceDN w:val="0"/>
              <w:jc w:val="center"/>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lang w:eastAsia="zh-CN"/>
              </w:rPr>
              <w:t>（万元）</w:t>
            </w:r>
          </w:p>
        </w:tc>
        <w:tc>
          <w:tcPr>
            <w:tcW w:w="496" w:type="pct"/>
            <w:vAlign w:val="center"/>
          </w:tcPr>
          <w:p w14:paraId="35B57FC9">
            <w:pPr>
              <w:widowControl/>
              <w:autoSpaceDE w:val="0"/>
              <w:autoSpaceDN w:val="0"/>
              <w:jc w:val="center"/>
              <w:rPr>
                <w:rFonts w:hint="eastAsia" w:ascii="宋体" w:hAnsi="宋体" w:eastAsia="宋体" w:cs="宋体"/>
                <w:kern w:val="0"/>
                <w:sz w:val="24"/>
                <w:szCs w:val="22"/>
                <w:highlight w:val="none"/>
                <w:lang w:eastAsia="en-US"/>
              </w:rPr>
            </w:pPr>
            <w:r>
              <w:rPr>
                <w:rFonts w:hint="eastAsia" w:ascii="宋体" w:hAnsi="宋体" w:eastAsia="宋体" w:cs="宋体"/>
                <w:kern w:val="0"/>
                <w:sz w:val="24"/>
                <w:szCs w:val="22"/>
                <w:highlight w:val="none"/>
                <w:lang w:eastAsia="en-US"/>
              </w:rPr>
              <w:t>数量</w:t>
            </w:r>
          </w:p>
        </w:tc>
        <w:tc>
          <w:tcPr>
            <w:tcW w:w="1883" w:type="pct"/>
            <w:vAlign w:val="center"/>
          </w:tcPr>
          <w:p w14:paraId="627A20B7">
            <w:pPr>
              <w:widowControl/>
              <w:autoSpaceDE w:val="0"/>
              <w:autoSpaceDN w:val="0"/>
              <w:jc w:val="center"/>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lang w:eastAsia="zh-CN"/>
              </w:rPr>
              <w:t>简要技术需求或服务要求</w:t>
            </w:r>
          </w:p>
        </w:tc>
      </w:tr>
      <w:tr w14:paraId="06FC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41" w:type="pct"/>
            <w:noWrap/>
            <w:vAlign w:val="center"/>
          </w:tcPr>
          <w:p w14:paraId="31CC2FA9">
            <w:pPr>
              <w:autoSpaceDE w:val="0"/>
              <w:autoSpaceDN w:val="0"/>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1</w:t>
            </w:r>
          </w:p>
        </w:tc>
        <w:tc>
          <w:tcPr>
            <w:tcW w:w="1208" w:type="pct"/>
            <w:vAlign w:val="center"/>
          </w:tcPr>
          <w:p w14:paraId="7095E453">
            <w:pPr>
              <w:autoSpaceDE w:val="0"/>
              <w:autoSpaceDN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配电室代维服务</w:t>
            </w:r>
          </w:p>
        </w:tc>
        <w:tc>
          <w:tcPr>
            <w:tcW w:w="970" w:type="pct"/>
            <w:noWrap/>
            <w:vAlign w:val="center"/>
          </w:tcPr>
          <w:p w14:paraId="05093A11">
            <w:pPr>
              <w:widowControl/>
              <w:autoSpaceDE w:val="0"/>
              <w:autoSpaceDN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350</w:t>
            </w:r>
          </w:p>
        </w:tc>
        <w:tc>
          <w:tcPr>
            <w:tcW w:w="496" w:type="pct"/>
            <w:noWrap/>
            <w:vAlign w:val="center"/>
          </w:tcPr>
          <w:p w14:paraId="797E3887">
            <w:pPr>
              <w:widowControl/>
              <w:autoSpaceDE w:val="0"/>
              <w:autoSpaceDN w:val="0"/>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1项</w:t>
            </w:r>
          </w:p>
        </w:tc>
        <w:tc>
          <w:tcPr>
            <w:tcW w:w="1883" w:type="pct"/>
            <w:vAlign w:val="center"/>
          </w:tcPr>
          <w:p w14:paraId="73A25152">
            <w:pPr>
              <w:widowControl/>
              <w:autoSpaceDE w:val="0"/>
              <w:autoSpaceDN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详见“采购需求”</w:t>
            </w:r>
          </w:p>
        </w:tc>
      </w:tr>
    </w:tbl>
    <w:p w14:paraId="7DFC34F9">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5.合同履行期限：详见第五章《采购需求》。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6.本项目是否接受联合体投标：□是</w:t>
      </w:r>
      <w:r>
        <w:rPr>
          <w:rFonts w:hint="eastAsia" w:ascii="宋体" w:hAnsi="宋体" w:eastAsia="宋体" w:cs="宋体"/>
          <w:sz w:val="24"/>
          <w:szCs w:val="24"/>
        </w:rPr>
        <w:tab/>
      </w:r>
      <w:r>
        <w:rPr>
          <w:rFonts w:hint="eastAsia" w:ascii="宋体" w:hAnsi="宋体" w:eastAsia="宋体" w:cs="宋体"/>
          <w:sz w:val="24"/>
          <w:szCs w:val="24"/>
        </w:rPr>
        <w:t>■否。</w:t>
      </w:r>
    </w:p>
    <w:p w14:paraId="6DC1024A">
      <w:pPr>
        <w:pStyle w:val="6"/>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35393622"/>
      <w:bookmarkStart w:id="9" w:name="_Toc35393791"/>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2838F25D">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623"/>
      <w:bookmarkStart w:id="12" w:name="_Toc28359081"/>
      <w:bookmarkStart w:id="13" w:name="_Toc35393792"/>
      <w:bookmarkStart w:id="14" w:name="_Toc28359004"/>
      <w:r>
        <w:rPr>
          <w:rFonts w:hint="eastAsia" w:ascii="宋体" w:hAnsi="宋体" w:eastAsia="宋体" w:cs="宋体"/>
          <w:sz w:val="24"/>
          <w:szCs w:val="24"/>
          <w:lang w:val="en-US" w:eastAsia="zh-CN"/>
        </w:rPr>
        <w:t>1.满足《中华人民共和国政府采购法》第二十二条规定；</w:t>
      </w:r>
    </w:p>
    <w:p w14:paraId="4FDA529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52EA34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5F23B8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34130FC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。即：提供的服务全部由符合政策要求的中小企业承接。</w:t>
      </w:r>
    </w:p>
    <w:p w14:paraId="031C111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        。</w:t>
      </w:r>
    </w:p>
    <w:p w14:paraId="50DA8D1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3FF212C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F46C574">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362B16D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186E6F7A">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383A8F05">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是，公益一类事业单位、使用事业编制且由财政拨款保障的群团组织，不得</w:t>
      </w:r>
    </w:p>
    <w:p w14:paraId="310D01CA">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5E26FF8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p>
    <w:p w14:paraId="63D1745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（1）具备有效的电力工程施工总承包资质三级及以上或输变电工程专业承包资质三级及以上资质证书；同时具备有效的安全生产许可证。</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（2）具备承装 （修、试）电力设施资质三级及以上。</w:t>
      </w:r>
    </w:p>
    <w:p w14:paraId="7F827E0E">
      <w:pPr>
        <w:pStyle w:val="6"/>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329D83F7">
      <w:pPr>
        <w:pageBreakBefore w:val="0"/>
        <w:kinsoku/>
        <w:overflowPunct/>
        <w:bidi w:val="0"/>
        <w:spacing w:line="360" w:lineRule="auto"/>
        <w:ind w:firstLine="480" w:firstLineChars="200"/>
        <w:rPr>
          <w:rFonts w:hint="eastAsia" w:ascii="宋体" w:hAnsi="宋体" w:eastAsia="宋体" w:cs="宋体"/>
          <w:sz w:val="24"/>
          <w:szCs w:val="24"/>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1.时间：2026年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日至2026年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日，每天上午8:30至12:00，下午12:00至</w:t>
      </w:r>
      <w:r>
        <w:rPr>
          <w:rFonts w:hint="eastAsia" w:ascii="宋体" w:hAnsi="宋体" w:cs="宋体"/>
          <w:sz w:val="24"/>
          <w:szCs w:val="24"/>
          <w:lang w:val="en-US" w:eastAsia="zh-CN"/>
        </w:rPr>
        <w:t>16:3</w:t>
      </w:r>
      <w:r>
        <w:rPr>
          <w:rFonts w:hint="eastAsia" w:ascii="宋体" w:hAnsi="宋体" w:eastAsia="宋体" w:cs="宋体"/>
          <w:sz w:val="24"/>
          <w:szCs w:val="24"/>
        </w:rPr>
        <w:t>0（北京时间，法定节假日除外）。</w:t>
      </w:r>
    </w:p>
    <w:p w14:paraId="37ABA7B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p>
    <w:p w14:paraId="3103C7F5">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数字证书或电子营业执照登录北京市政府采购电子交易平台（http://zbcg-bjzc.zhongcy.com/bjczj-portal-site/index.html#/home）获取电子版招标文件。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4.售价：0 元</w:t>
      </w:r>
      <w:r>
        <w:rPr>
          <w:rFonts w:hint="eastAsia" w:ascii="宋体" w:hAnsi="宋体" w:eastAsia="宋体" w:cs="宋体"/>
          <w:sz w:val="24"/>
          <w:szCs w:val="24"/>
          <w:highlight w:val="none"/>
        </w:rPr>
        <w:t>。</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2ABFC13E">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35393794"/>
      <w:bookmarkStart w:id="22" w:name="_Toc28359007"/>
      <w:r>
        <w:rPr>
          <w:rFonts w:hint="eastAsia" w:ascii="宋体" w:hAnsi="宋体" w:eastAsia="宋体" w:cs="宋体"/>
          <w:bCs/>
          <w:sz w:val="24"/>
          <w:szCs w:val="24"/>
          <w:highlight w:val="none"/>
        </w:rPr>
        <w:t>投标截止时间、开标时间：2026年</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日</w:t>
      </w:r>
      <w:r>
        <w:rPr>
          <w:rFonts w:hint="eastAsia" w:ascii="宋体" w:hAnsi="宋体" w:cs="宋体"/>
          <w:bCs/>
          <w:sz w:val="24"/>
          <w:szCs w:val="24"/>
          <w:highlight w:val="none"/>
          <w:lang w:val="en-US" w:eastAsia="zh-CN"/>
        </w:rPr>
        <w:t>09</w:t>
      </w:r>
      <w:r>
        <w:rPr>
          <w:rFonts w:hint="eastAsia" w:ascii="宋体" w:hAnsi="宋体" w:eastAsia="宋体" w:cs="宋体"/>
          <w:bCs/>
          <w:sz w:val="24"/>
          <w:szCs w:val="24"/>
          <w:highlight w:val="none"/>
        </w:rPr>
        <w:t>点30分（北京时间）。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地点：北京国际贸易有限公司（北京市朝阳区建国门外大街甲3号）</w:t>
      </w:r>
      <w:r>
        <w:rPr>
          <w:rFonts w:hint="eastAsia" w:ascii="宋体" w:hAnsi="宋体" w:eastAsia="宋体" w:cs="宋体"/>
          <w:sz w:val="24"/>
          <w:szCs w:val="24"/>
          <w:highlight w:val="none"/>
          <w:lang w:val="en-US" w:eastAsia="zh-CN"/>
        </w:rPr>
        <w:t>。</w:t>
      </w:r>
    </w:p>
    <w:p w14:paraId="56E1BB06">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28359008"/>
      <w:bookmarkStart w:id="26" w:name="_Toc35393627"/>
      <w:bookmarkStart w:id="27" w:name="_Toc35393796"/>
      <w:bookmarkStart w:id="28" w:name="_Toc28359085"/>
    </w:p>
    <w:p w14:paraId="52DF47E3">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1. 本项目需要落实的政府采购政策：促进中小企业发展政策、监狱企业扶持政策、促进残疾人就业政府采购政策、鼓励节能、环保政策、实施本国产品标准及相关政策等。具体落实情况详见招标文件。 </w:t>
      </w:r>
    </w:p>
    <w:p w14:paraId="0DD83B3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2.申请人的资格要求补充： </w:t>
      </w:r>
    </w:p>
    <w:p w14:paraId="4CFAA7B5">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（1）被“信用中国”网站（www.creditchina.gov.cn）列入失信被执行人和重大税收</w:t>
      </w:r>
    </w:p>
    <w:p w14:paraId="17026F4A">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违法案件当事人名单的、被“中国政府采购网”网站（www.ccgp.gov.cn）列入政</w:t>
      </w:r>
    </w:p>
    <w:p w14:paraId="7E5EEE3D">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府采购严重违法失信行为记录名单（处罚期限尚未届满的）的供应商，不得参与</w:t>
      </w:r>
    </w:p>
    <w:p w14:paraId="010A6A04">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本项目的政府采购活动。 </w:t>
      </w:r>
    </w:p>
    <w:p w14:paraId="74D79AEB">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（2）单位负责人为同一人或者存在直接控股、管理关系的不同供应商，不得参加同一</w:t>
      </w:r>
    </w:p>
    <w:p w14:paraId="1F825508">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包的投标或者未划分包的同一招标项目的投标。 </w:t>
      </w:r>
    </w:p>
    <w:p w14:paraId="0EE75A8A">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 本条所指单位负责人为同一人指单位法定代表人或者法律、行政法规规定代表</w:t>
      </w:r>
    </w:p>
    <w:p w14:paraId="5B1B419E">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单位行使职权的主要负责人。 </w:t>
      </w:r>
    </w:p>
    <w:p w14:paraId="416103D0">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2CCBA47">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w:t>
      </w:r>
    </w:p>
    <w:p w14:paraId="2685D1C7">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公司股本总额百分之五十以上的股东； </w:t>
      </w:r>
    </w:p>
    <w:p w14:paraId="04F264E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w:t>
      </w:r>
    </w:p>
    <w:p w14:paraId="4EDE780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有的表决权已足以对股东会、股东大会的决议产生重大影响的股东。 </w:t>
      </w:r>
    </w:p>
    <w:p w14:paraId="451B3A0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 本条所指管理关系指不具有出资持股关系的其他单位之间存在的管理与被管理</w:t>
      </w:r>
    </w:p>
    <w:p w14:paraId="4CF4C4AB">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关系。 </w:t>
      </w:r>
    </w:p>
    <w:p w14:paraId="644FDD30">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注：本条所指的控股、管理关系仅限于直接控股、直接管理关系，不包括间接控</w:t>
      </w:r>
    </w:p>
    <w:p w14:paraId="665B7C85">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股或管理关系。 </w:t>
      </w:r>
    </w:p>
    <w:p w14:paraId="0BDFC220">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（3）为本采购项目提供过整体设计、规范编制或者项目管理、监理、检测等服务的供</w:t>
      </w:r>
    </w:p>
    <w:p w14:paraId="6FF4EC32">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应商及其附属机构，不得再参加本采购项目的投标活动。 </w:t>
      </w:r>
    </w:p>
    <w:p w14:paraId="43D31A15">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E96A700">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333081CA">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3.本次招标供应商必须以包为单位进行投标响应，评标和合同授予也以包为单位。</w:t>
      </w:r>
    </w:p>
    <w:p w14:paraId="1EBA3161">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本项目采用全流程电子化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5BB9BB2">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49FF9EE">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194F0689">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9E04EEA">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22B37A2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w:t>
      </w:r>
    </w:p>
    <w:p w14:paraId="17B8FB42">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“市场主体 CA 办理操作流程指引”/“电子营业执照使用指南”，按照程序要求办理。</w:t>
      </w:r>
    </w:p>
    <w:p w14:paraId="74F9A4CB">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5785178A">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w:t>
      </w:r>
    </w:p>
    <w:p w14:paraId="6AA3D317">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场主体注册入库操作流程指引”进行自助注册绑定。</w:t>
      </w:r>
    </w:p>
    <w:p w14:paraId="4A690671">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38F902D">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w:t>
      </w:r>
    </w:p>
    <w:p w14:paraId="327D76C9">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标采购系统文件驱动安装包”下载相关驱动。</w:t>
      </w:r>
    </w:p>
    <w:p w14:paraId="5CF5D915">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w:t>
      </w:r>
    </w:p>
    <w:p w14:paraId="56D0327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标文件编制工具”下载相关客户端。</w:t>
      </w:r>
    </w:p>
    <w:p w14:paraId="442CE97E">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5A9EE57B">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w:t>
      </w:r>
    </w:p>
    <w:p w14:paraId="00E8AD38">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电子招标文件。</w:t>
      </w:r>
    </w:p>
    <w:p w14:paraId="283AC15E">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w:t>
      </w:r>
    </w:p>
    <w:p w14:paraId="58C3DDB8">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分别按采购包下载招标文件电子版。未在规定期限内按上述操作获取招标文件的投标无效。</w:t>
      </w:r>
    </w:p>
    <w:p w14:paraId="1401B7EE">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4.5 编制电子投标文件</w:t>
      </w:r>
    </w:p>
    <w:p w14:paraId="21EE698F">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供应商应使用电子投标客户端编制电子投标文件并进行线上投标，供应商电子投标</w:t>
      </w:r>
    </w:p>
    <w:p w14:paraId="789711D9">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文件需要加密并加盖电子签章，如无法按照要求在电子投标文件中加盖电子签章和加密，请及时通过技术支持服务热线联系技术人员。</w:t>
      </w:r>
    </w:p>
    <w:p w14:paraId="4CD05F8E">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4.6 提交电子投标文件</w:t>
      </w:r>
    </w:p>
    <w:p w14:paraId="1065DCC6">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供应商应于投标截止时间前在北京市政府采购电子交易平台提交电子投标文件，上</w:t>
      </w:r>
    </w:p>
    <w:p w14:paraId="130F9E1C">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传电子投标文件过程中请保持与互联网的连接畅通。</w:t>
      </w:r>
    </w:p>
    <w:p w14:paraId="7F1CFE93">
      <w:pPr>
        <w:widowControl w:val="0"/>
        <w:autoSpaceDE w:val="0"/>
        <w:autoSpaceDN w:val="0"/>
        <w:spacing w:line="56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4.7 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供应商在开标地点使用CA认证证书登录北京市政府采购电子交易平台进行电子开标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3"/>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085E394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bookmarkStart w:id="29" w:name="_GoBack"/>
      <w:bookmarkEnd w:id="29"/>
    </w:p>
    <w:p w14:paraId="5C9A58B1">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086D3E44">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40A566DC">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510E3B26">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174CD74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称：北京国际贸易有限公司</w:t>
      </w:r>
    </w:p>
    <w:p w14:paraId="34040BC9">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1172023A">
      <w:pPr>
        <w:pageBreakBefore w:val="0"/>
        <w:kinsoku/>
        <w:overflowPunct/>
        <w:bidi w:val="0"/>
        <w:spacing w:line="360" w:lineRule="auto"/>
        <w:ind w:firstLine="720" w:firstLineChars="3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w:t>
      </w:r>
      <w:r>
        <w:rPr>
          <w:rFonts w:hint="eastAsia" w:ascii="宋体" w:hAnsi="宋体" w:cs="宋体"/>
          <w:bCs/>
          <w:sz w:val="24"/>
          <w:szCs w:val="24"/>
          <w:u w:val="single"/>
          <w:lang w:val="en-US" w:eastAsia="zh-CN"/>
        </w:rPr>
        <w:t>34</w:t>
      </w:r>
    </w:p>
    <w:p w14:paraId="3352B81A">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E866E86">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3D4394"/>
    <w:rsid w:val="12A51AA6"/>
    <w:rsid w:val="12F47048"/>
    <w:rsid w:val="130E27A5"/>
    <w:rsid w:val="13400495"/>
    <w:rsid w:val="134C1D1E"/>
    <w:rsid w:val="13EA45AA"/>
    <w:rsid w:val="13F86009"/>
    <w:rsid w:val="141D78B9"/>
    <w:rsid w:val="15065107"/>
    <w:rsid w:val="15735CFA"/>
    <w:rsid w:val="158C674C"/>
    <w:rsid w:val="167D7355"/>
    <w:rsid w:val="17B61D19"/>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D3B6B3D"/>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3FFD43E3"/>
    <w:rsid w:val="40331F2C"/>
    <w:rsid w:val="40E6314D"/>
    <w:rsid w:val="40FD2E2B"/>
    <w:rsid w:val="41270BD1"/>
    <w:rsid w:val="425D1A0B"/>
    <w:rsid w:val="42C43A92"/>
    <w:rsid w:val="43CA6B8D"/>
    <w:rsid w:val="440700DA"/>
    <w:rsid w:val="454569E4"/>
    <w:rsid w:val="459660BA"/>
    <w:rsid w:val="46050649"/>
    <w:rsid w:val="46AF7F09"/>
    <w:rsid w:val="46CA2B46"/>
    <w:rsid w:val="46D52298"/>
    <w:rsid w:val="47FB402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D0D27E3"/>
    <w:rsid w:val="6D8C327A"/>
    <w:rsid w:val="6F542E7B"/>
    <w:rsid w:val="6F542FCF"/>
    <w:rsid w:val="709C1A26"/>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2440</Words>
  <Characters>2789</Characters>
  <Lines>18</Lines>
  <Paragraphs>5</Paragraphs>
  <TotalTime>3</TotalTime>
  <ScaleCrop>false</ScaleCrop>
  <LinksUpToDate>false</LinksUpToDate>
  <CharactersWithSpaces>2952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2026-06-11T08:32:38Z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AD996F78E08443EF86438616E5CF7E6C_13</vt:lpwstr>
  </property>
  <property fmtid="{D5CDD505-2E9C-101B-9397-08002B2CF9AE}" pid="4" name="KSOTemplateDocerSaveRecord">
    <vt:lpwstr>eyJoZGlkIjoiMTUxNjU4Y2I1ZTg1ZmY0MTJiZWRhYWQxYzNmOTNlNDEiLCJ1c2VySWQiOiIyMTg5Mjc5NjMifQ==</vt:lpwstr>
  </property>
</Properties>
</file>