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C6" w:rsidRPr="00833445" w:rsidRDefault="003A5DC6" w:rsidP="003A5DC6">
      <w:pPr>
        <w:snapToGrid w:val="0"/>
        <w:spacing w:line="360" w:lineRule="auto"/>
        <w:jc w:val="center"/>
        <w:outlineLvl w:val="0"/>
        <w:rPr>
          <w:rFonts w:ascii="仿宋" w:eastAsia="仿宋" w:hAnsi="仿宋" w:cs="仿宋"/>
          <w:b/>
          <w:sz w:val="40"/>
          <w:szCs w:val="40"/>
        </w:rPr>
      </w:pPr>
      <w:bookmarkStart w:id="0" w:name="_Toc99301424"/>
      <w:r w:rsidRPr="00833445">
        <w:rPr>
          <w:rFonts w:ascii="仿宋" w:eastAsia="仿宋" w:hAnsi="仿宋" w:cs="仿宋" w:hint="eastAsia"/>
          <w:b/>
          <w:sz w:val="40"/>
          <w:szCs w:val="40"/>
        </w:rPr>
        <w:t>第五章   采购需求</w:t>
      </w:r>
      <w:bookmarkEnd w:id="0"/>
    </w:p>
    <w:p w:rsidR="003A5DC6" w:rsidRPr="00833445" w:rsidRDefault="003A5DC6" w:rsidP="003A5DC6">
      <w:pPr>
        <w:numPr>
          <w:ilvl w:val="0"/>
          <w:numId w:val="46"/>
        </w:numPr>
        <w:spacing w:line="360" w:lineRule="auto"/>
        <w:ind w:firstLineChars="200" w:firstLine="482"/>
        <w:contextualSpacing/>
        <w:jc w:val="left"/>
        <w:rPr>
          <w:rFonts w:ascii="仿宋" w:eastAsia="仿宋" w:hAnsi="仿宋" w:cs="宋体"/>
          <w:b/>
          <w:sz w:val="24"/>
        </w:rPr>
      </w:pPr>
      <w:r w:rsidRPr="00833445">
        <w:rPr>
          <w:rFonts w:ascii="仿宋" w:eastAsia="仿宋" w:hAnsi="仿宋" w:cs="宋体" w:hint="eastAsia"/>
          <w:b/>
          <w:sz w:val="24"/>
        </w:rPr>
        <w:t>采购标的</w:t>
      </w:r>
    </w:p>
    <w:p w:rsidR="003A5DC6" w:rsidRPr="00833445" w:rsidRDefault="003A5DC6" w:rsidP="003A5DC6">
      <w:pPr>
        <w:spacing w:line="360" w:lineRule="auto"/>
        <w:ind w:firstLine="482"/>
        <w:contextualSpacing/>
        <w:rPr>
          <w:rFonts w:ascii="仿宋" w:eastAsia="仿宋" w:hAnsi="仿宋" w:cs="宋体"/>
          <w:b/>
          <w:bCs/>
          <w:sz w:val="24"/>
        </w:rPr>
      </w:pPr>
      <w:r w:rsidRPr="00833445">
        <w:rPr>
          <w:rFonts w:ascii="仿宋" w:eastAsia="仿宋" w:hAnsi="仿宋" w:cs="宋体" w:hint="eastAsia"/>
          <w:b/>
          <w:bCs/>
          <w:sz w:val="24"/>
        </w:rPr>
        <w:t>1.采购标的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2957"/>
        <w:gridCol w:w="1480"/>
        <w:gridCol w:w="3176"/>
      </w:tblGrid>
      <w:tr w:rsidR="003A5DC6" w:rsidRPr="00833445" w:rsidTr="000D38DA">
        <w:trPr>
          <w:jc w:val="center"/>
        </w:trPr>
        <w:tc>
          <w:tcPr>
            <w:tcW w:w="536" w:type="pct"/>
            <w:vAlign w:val="center"/>
          </w:tcPr>
          <w:p w:rsidR="003A5DC6" w:rsidRPr="00833445" w:rsidRDefault="003A5DC6" w:rsidP="000D38DA">
            <w:pPr>
              <w:spacing w:line="360" w:lineRule="auto"/>
              <w:contextualSpacing/>
              <w:rPr>
                <w:rFonts w:ascii="仿宋" w:eastAsia="仿宋" w:hAnsi="仿宋" w:cs="宋体"/>
                <w:b/>
                <w:bCs/>
                <w:sz w:val="24"/>
              </w:rPr>
            </w:pPr>
            <w:r w:rsidRPr="00833445">
              <w:rPr>
                <w:rFonts w:ascii="仿宋" w:eastAsia="仿宋" w:hAnsi="仿宋" w:cs="宋体" w:hint="eastAsia"/>
                <w:b/>
                <w:bCs/>
                <w:sz w:val="24"/>
              </w:rPr>
              <w:t>包号</w:t>
            </w:r>
          </w:p>
        </w:tc>
        <w:tc>
          <w:tcPr>
            <w:tcW w:w="1733" w:type="pct"/>
            <w:vAlign w:val="center"/>
          </w:tcPr>
          <w:p w:rsidR="003A5DC6" w:rsidRPr="00833445" w:rsidRDefault="003A5DC6" w:rsidP="000D38DA">
            <w:pPr>
              <w:spacing w:line="360" w:lineRule="auto"/>
              <w:contextualSpacing/>
              <w:jc w:val="center"/>
              <w:rPr>
                <w:rFonts w:ascii="仿宋" w:eastAsia="仿宋" w:hAnsi="仿宋" w:cs="宋体"/>
                <w:b/>
                <w:bCs/>
                <w:sz w:val="24"/>
              </w:rPr>
            </w:pPr>
            <w:r w:rsidRPr="00833445">
              <w:rPr>
                <w:rFonts w:ascii="仿宋" w:eastAsia="仿宋" w:hAnsi="仿宋" w:cs="宋体" w:hint="eastAsia"/>
                <w:b/>
                <w:bCs/>
                <w:sz w:val="24"/>
              </w:rPr>
              <w:t>标的名称</w:t>
            </w:r>
          </w:p>
        </w:tc>
        <w:tc>
          <w:tcPr>
            <w:tcW w:w="868" w:type="pct"/>
            <w:vAlign w:val="center"/>
          </w:tcPr>
          <w:p w:rsidR="003A5DC6" w:rsidRPr="00833445" w:rsidRDefault="003A5DC6" w:rsidP="000D38DA">
            <w:pPr>
              <w:spacing w:line="360" w:lineRule="auto"/>
              <w:contextualSpacing/>
              <w:jc w:val="center"/>
              <w:rPr>
                <w:rFonts w:ascii="仿宋" w:eastAsia="仿宋" w:hAnsi="仿宋" w:cs="宋体"/>
                <w:b/>
                <w:bCs/>
                <w:sz w:val="24"/>
              </w:rPr>
            </w:pPr>
            <w:r w:rsidRPr="00833445">
              <w:rPr>
                <w:rFonts w:ascii="仿宋" w:eastAsia="仿宋" w:hAnsi="仿宋" w:cs="宋体" w:hint="eastAsia"/>
                <w:b/>
                <w:bCs/>
                <w:sz w:val="24"/>
              </w:rPr>
              <w:t>数量</w:t>
            </w:r>
          </w:p>
        </w:tc>
        <w:tc>
          <w:tcPr>
            <w:tcW w:w="1862" w:type="pct"/>
            <w:vAlign w:val="center"/>
          </w:tcPr>
          <w:p w:rsidR="003A5DC6" w:rsidRPr="00833445" w:rsidRDefault="003A5DC6" w:rsidP="000D38DA">
            <w:pPr>
              <w:spacing w:line="360" w:lineRule="auto"/>
              <w:contextualSpacing/>
              <w:jc w:val="center"/>
              <w:rPr>
                <w:rFonts w:ascii="仿宋" w:eastAsia="仿宋" w:hAnsi="仿宋" w:cs="宋体"/>
                <w:b/>
                <w:bCs/>
                <w:sz w:val="24"/>
              </w:rPr>
            </w:pPr>
            <w:r w:rsidRPr="00833445">
              <w:rPr>
                <w:rFonts w:ascii="仿宋" w:eastAsia="仿宋" w:hAnsi="仿宋" w:cs="宋体" w:hint="eastAsia"/>
                <w:b/>
                <w:bCs/>
                <w:sz w:val="24"/>
              </w:rPr>
              <w:t>是否接受进口产品</w:t>
            </w:r>
          </w:p>
        </w:tc>
      </w:tr>
      <w:tr w:rsidR="003A5DC6" w:rsidRPr="00833445" w:rsidTr="000D38DA">
        <w:trPr>
          <w:jc w:val="center"/>
        </w:trPr>
        <w:tc>
          <w:tcPr>
            <w:tcW w:w="536" w:type="pct"/>
            <w:vAlign w:val="center"/>
          </w:tcPr>
          <w:p w:rsidR="003A5DC6" w:rsidRPr="00833445" w:rsidRDefault="003A5DC6" w:rsidP="000D38DA">
            <w:pPr>
              <w:spacing w:line="360" w:lineRule="auto"/>
              <w:contextualSpacing/>
              <w:jc w:val="center"/>
              <w:rPr>
                <w:rFonts w:ascii="仿宋" w:eastAsia="仿宋" w:hAnsi="仿宋" w:cs="宋体"/>
                <w:bCs/>
                <w:sz w:val="24"/>
              </w:rPr>
            </w:pPr>
            <w:r w:rsidRPr="00833445">
              <w:rPr>
                <w:rFonts w:ascii="仿宋" w:eastAsia="仿宋" w:hAnsi="仿宋" w:cs="宋体" w:hint="eastAsia"/>
                <w:bCs/>
                <w:sz w:val="24"/>
              </w:rPr>
              <w:t>1</w:t>
            </w:r>
          </w:p>
        </w:tc>
        <w:tc>
          <w:tcPr>
            <w:tcW w:w="1733" w:type="pct"/>
            <w:vAlign w:val="center"/>
          </w:tcPr>
          <w:p w:rsidR="003A5DC6" w:rsidRPr="00833445" w:rsidRDefault="003A5DC6" w:rsidP="000D38DA">
            <w:pPr>
              <w:spacing w:line="360" w:lineRule="auto"/>
              <w:contextualSpacing/>
              <w:jc w:val="center"/>
              <w:rPr>
                <w:rFonts w:ascii="仿宋" w:eastAsia="仿宋" w:hAnsi="仿宋" w:cs="宋体"/>
                <w:bCs/>
                <w:sz w:val="24"/>
              </w:rPr>
            </w:pPr>
            <w:r w:rsidRPr="00833445">
              <w:rPr>
                <w:rFonts w:ascii="仿宋" w:eastAsia="仿宋" w:hAnsi="仿宋" w:cs="仿宋" w:hint="eastAsia"/>
                <w:kern w:val="0"/>
                <w:szCs w:val="21"/>
                <w:lang w:bidi="ar"/>
              </w:rPr>
              <w:t>首都医科大学附属首都儿童医学中心职工体检服务项目</w:t>
            </w:r>
          </w:p>
        </w:tc>
        <w:tc>
          <w:tcPr>
            <w:tcW w:w="868" w:type="pct"/>
            <w:vAlign w:val="center"/>
          </w:tcPr>
          <w:p w:rsidR="003A5DC6" w:rsidRPr="00833445" w:rsidRDefault="003A5DC6" w:rsidP="000D38DA">
            <w:pPr>
              <w:spacing w:line="360" w:lineRule="auto"/>
              <w:contextualSpacing/>
              <w:jc w:val="center"/>
              <w:rPr>
                <w:rFonts w:ascii="仿宋" w:eastAsia="仿宋" w:hAnsi="仿宋" w:cs="宋体"/>
                <w:bCs/>
                <w:sz w:val="24"/>
              </w:rPr>
            </w:pPr>
            <w:r w:rsidRPr="00833445">
              <w:rPr>
                <w:rFonts w:ascii="仿宋" w:eastAsia="仿宋" w:hAnsi="仿宋" w:cs="宋体" w:hint="eastAsia"/>
                <w:bCs/>
                <w:sz w:val="24"/>
              </w:rPr>
              <w:t>1项</w:t>
            </w:r>
          </w:p>
        </w:tc>
        <w:tc>
          <w:tcPr>
            <w:tcW w:w="1862" w:type="pct"/>
            <w:vAlign w:val="center"/>
          </w:tcPr>
          <w:p w:rsidR="003A5DC6" w:rsidRPr="00833445" w:rsidRDefault="003A5DC6" w:rsidP="000D38DA">
            <w:pPr>
              <w:spacing w:line="360" w:lineRule="auto"/>
              <w:contextualSpacing/>
              <w:jc w:val="center"/>
              <w:rPr>
                <w:rFonts w:ascii="仿宋" w:eastAsia="仿宋" w:hAnsi="仿宋" w:cs="宋体"/>
                <w:bCs/>
                <w:sz w:val="24"/>
              </w:rPr>
            </w:pPr>
            <w:r w:rsidRPr="00833445">
              <w:rPr>
                <w:rFonts w:ascii="仿宋" w:eastAsia="仿宋" w:hAnsi="仿宋" w:cs="宋体" w:hint="eastAsia"/>
                <w:bCs/>
                <w:sz w:val="24"/>
              </w:rPr>
              <w:t>否</w:t>
            </w:r>
          </w:p>
        </w:tc>
      </w:tr>
    </w:tbl>
    <w:p w:rsidR="003A5DC6" w:rsidRPr="00833445" w:rsidRDefault="003A5DC6" w:rsidP="003A5DC6">
      <w:pPr>
        <w:spacing w:line="360" w:lineRule="auto"/>
        <w:ind w:firstLine="482"/>
        <w:contextualSpacing/>
        <w:rPr>
          <w:rFonts w:ascii="仿宋" w:eastAsia="仿宋" w:hAnsi="仿宋" w:cs="宋体"/>
          <w:b/>
          <w:bCs/>
          <w:sz w:val="24"/>
        </w:rPr>
      </w:pPr>
      <w:r w:rsidRPr="00833445">
        <w:rPr>
          <w:rFonts w:ascii="仿宋" w:eastAsia="仿宋" w:hAnsi="仿宋" w:cs="宋体" w:hint="eastAsia"/>
          <w:b/>
          <w:bCs/>
          <w:sz w:val="24"/>
        </w:rPr>
        <w:t>2.项目背景/项目概述</w:t>
      </w:r>
    </w:p>
    <w:p w:rsidR="003A5DC6" w:rsidRPr="00833445" w:rsidRDefault="003A5DC6" w:rsidP="003A5DC6">
      <w:pPr>
        <w:spacing w:line="360" w:lineRule="auto"/>
        <w:ind w:firstLine="480"/>
        <w:rPr>
          <w:rFonts w:ascii="仿宋" w:eastAsia="仿宋" w:hAnsi="仿宋" w:cs="宋体"/>
          <w:sz w:val="24"/>
        </w:rPr>
      </w:pPr>
      <w:bookmarkStart w:id="1" w:name="OLE_LINK15"/>
      <w:bookmarkStart w:id="2" w:name="OLE_LINK16"/>
      <w:r w:rsidRPr="00833445">
        <w:rPr>
          <w:rFonts w:ascii="仿宋" w:eastAsia="仿宋" w:hAnsi="仿宋" w:hint="eastAsia"/>
          <w:sz w:val="24"/>
        </w:rPr>
        <w:t>本次招标采购是为首都医科大学附属首都儿童医学中心采购职工体检服务，投标人应根据招标文件所提出的技术规格和服务要求，综合考虑设备的适用性，选择需要最佳性能价格比的设备前来投标。投标人应以技术先进的设备、优良的服务和优惠的价格，充分显示自己的竞争实力。</w:t>
      </w:r>
      <w:bookmarkEnd w:id="1"/>
      <w:bookmarkEnd w:id="2"/>
    </w:p>
    <w:p w:rsidR="003A5DC6" w:rsidRPr="00833445" w:rsidRDefault="003A5DC6" w:rsidP="003A5DC6">
      <w:pPr>
        <w:numPr>
          <w:ilvl w:val="0"/>
          <w:numId w:val="46"/>
        </w:numPr>
        <w:spacing w:line="360" w:lineRule="auto"/>
        <w:ind w:firstLineChars="200" w:firstLine="482"/>
        <w:contextualSpacing/>
        <w:jc w:val="left"/>
        <w:rPr>
          <w:rFonts w:ascii="仿宋" w:eastAsia="仿宋" w:hAnsi="仿宋" w:cs="宋体"/>
          <w:b/>
          <w:sz w:val="24"/>
        </w:rPr>
      </w:pPr>
      <w:r w:rsidRPr="00833445">
        <w:rPr>
          <w:rFonts w:ascii="仿宋" w:eastAsia="仿宋" w:hAnsi="仿宋" w:cs="宋体" w:hint="eastAsia"/>
          <w:b/>
          <w:sz w:val="24"/>
        </w:rPr>
        <w:t>商务要求</w:t>
      </w:r>
    </w:p>
    <w:p w:rsidR="003A5DC6" w:rsidRPr="00833445" w:rsidRDefault="003A5DC6" w:rsidP="003A5DC6">
      <w:pPr>
        <w:spacing w:line="360" w:lineRule="auto"/>
        <w:ind w:firstLine="482"/>
        <w:contextualSpacing/>
        <w:rPr>
          <w:rFonts w:ascii="仿宋" w:eastAsia="仿宋" w:hAnsi="仿宋" w:cs="宋体"/>
          <w:b/>
          <w:sz w:val="24"/>
        </w:rPr>
      </w:pPr>
      <w:r w:rsidRPr="00833445">
        <w:rPr>
          <w:rFonts w:ascii="仿宋" w:eastAsia="仿宋" w:hAnsi="仿宋" w:cs="宋体" w:hint="eastAsia"/>
          <w:b/>
          <w:sz w:val="24"/>
        </w:rPr>
        <w:t>1. 交付（实施）的时间（期限）和地点（范围）</w:t>
      </w:r>
    </w:p>
    <w:p w:rsidR="003A5DC6" w:rsidRPr="00833445" w:rsidRDefault="003A5DC6" w:rsidP="003A5DC6">
      <w:pPr>
        <w:spacing w:line="360" w:lineRule="auto"/>
        <w:ind w:firstLine="480"/>
        <w:rPr>
          <w:rFonts w:ascii="仿宋" w:eastAsia="仿宋" w:hAnsi="仿宋" w:cs="宋体"/>
          <w:sz w:val="24"/>
        </w:rPr>
      </w:pPr>
      <w:r w:rsidRPr="00833445">
        <w:rPr>
          <w:rFonts w:ascii="仿宋" w:eastAsia="仿宋" w:hAnsi="仿宋" w:cs="宋体" w:hint="eastAsia"/>
          <w:sz w:val="24"/>
        </w:rPr>
        <w:t>服务期限：</w:t>
      </w:r>
      <w:bookmarkStart w:id="3" w:name="OLE_LINK18"/>
      <w:r w:rsidRPr="00833445">
        <w:rPr>
          <w:rFonts w:ascii="仿宋" w:eastAsia="仿宋" w:hAnsi="仿宋" w:hint="eastAsia"/>
          <w:sz w:val="24"/>
        </w:rPr>
        <w:t>自签订合同之日起3年，合同一年一签。</w:t>
      </w:r>
      <w:bookmarkEnd w:id="3"/>
    </w:p>
    <w:p w:rsidR="003A5DC6" w:rsidRPr="00833445" w:rsidRDefault="003A5DC6" w:rsidP="003A5DC6">
      <w:pPr>
        <w:spacing w:line="360" w:lineRule="auto"/>
        <w:ind w:firstLine="480"/>
        <w:rPr>
          <w:rFonts w:ascii="仿宋" w:eastAsia="仿宋" w:hAnsi="仿宋" w:cs="宋体"/>
          <w:sz w:val="24"/>
        </w:rPr>
      </w:pPr>
      <w:r w:rsidRPr="00833445">
        <w:rPr>
          <w:rFonts w:ascii="仿宋" w:eastAsia="仿宋" w:hAnsi="仿宋" w:cs="宋体" w:hint="eastAsia"/>
          <w:sz w:val="24"/>
        </w:rPr>
        <w:t>服务地点：</w:t>
      </w:r>
      <w:r w:rsidRPr="00833445">
        <w:rPr>
          <w:rFonts w:ascii="仿宋" w:eastAsia="仿宋" w:hAnsi="仿宋" w:hint="eastAsia"/>
          <w:sz w:val="24"/>
        </w:rPr>
        <w:t>首都医科大学附属首都儿童医学中心指定地点。</w:t>
      </w:r>
    </w:p>
    <w:p w:rsidR="003A5DC6" w:rsidRPr="00833445" w:rsidRDefault="003A5DC6" w:rsidP="003A5DC6">
      <w:pPr>
        <w:spacing w:line="360" w:lineRule="auto"/>
        <w:ind w:firstLine="482"/>
        <w:contextualSpacing/>
        <w:rPr>
          <w:rFonts w:ascii="仿宋" w:eastAsia="仿宋" w:hAnsi="仿宋" w:cs="宋体"/>
          <w:b/>
          <w:sz w:val="24"/>
        </w:rPr>
      </w:pPr>
      <w:r w:rsidRPr="00833445">
        <w:rPr>
          <w:rFonts w:ascii="仿宋" w:eastAsia="仿宋" w:hAnsi="仿宋" w:cs="宋体" w:hint="eastAsia"/>
          <w:b/>
          <w:sz w:val="24"/>
        </w:rPr>
        <w:t>2. 付款条件（进度和方式）</w:t>
      </w:r>
    </w:p>
    <w:p w:rsidR="003A5DC6" w:rsidRPr="00833445" w:rsidRDefault="003A5DC6" w:rsidP="003A5DC6">
      <w:pPr>
        <w:spacing w:line="360" w:lineRule="auto"/>
        <w:ind w:firstLine="480"/>
        <w:rPr>
          <w:rFonts w:ascii="仿宋" w:eastAsia="仿宋" w:hAnsi="仿宋"/>
          <w:sz w:val="24"/>
        </w:rPr>
      </w:pPr>
      <w:r w:rsidRPr="00833445">
        <w:rPr>
          <w:rFonts w:ascii="仿宋" w:eastAsia="仿宋" w:hAnsi="仿宋" w:hint="eastAsia"/>
          <w:sz w:val="24"/>
        </w:rPr>
        <w:t>参照拟签订的合同文本中的付款方式及进度执行。</w:t>
      </w:r>
    </w:p>
    <w:p w:rsidR="003A5DC6" w:rsidRPr="00833445" w:rsidRDefault="003A5DC6" w:rsidP="003A5DC6">
      <w:pPr>
        <w:spacing w:line="360" w:lineRule="auto"/>
        <w:ind w:firstLine="482"/>
        <w:rPr>
          <w:rFonts w:ascii="仿宋" w:eastAsia="仿宋" w:hAnsi="仿宋" w:cs="宋体"/>
          <w:b/>
          <w:sz w:val="24"/>
        </w:rPr>
      </w:pPr>
      <w:r w:rsidRPr="00833445">
        <w:rPr>
          <w:rFonts w:ascii="仿宋" w:eastAsia="仿宋" w:hAnsi="仿宋" w:cs="宋体" w:hint="eastAsia"/>
          <w:b/>
          <w:sz w:val="24"/>
        </w:rPr>
        <w:t>3.</w:t>
      </w:r>
      <w:r w:rsidRPr="00833445">
        <w:rPr>
          <w:rFonts w:ascii="仿宋" w:eastAsia="仿宋" w:hAnsi="仿宋" w:cs="宋体"/>
          <w:b/>
          <w:sz w:val="24"/>
        </w:rPr>
        <w:t>包装和运输</w:t>
      </w:r>
    </w:p>
    <w:p w:rsidR="003A5DC6" w:rsidRPr="00833445" w:rsidRDefault="003A5DC6" w:rsidP="003A5DC6">
      <w:pPr>
        <w:spacing w:line="360" w:lineRule="auto"/>
        <w:ind w:firstLine="480"/>
        <w:rPr>
          <w:rFonts w:ascii="仿宋" w:eastAsia="仿宋" w:hAnsi="仿宋"/>
          <w:sz w:val="24"/>
        </w:rPr>
      </w:pPr>
      <w:r w:rsidRPr="00833445">
        <w:rPr>
          <w:rFonts w:ascii="仿宋" w:eastAsia="仿宋" w:hAnsi="仿宋" w:hint="eastAsia"/>
          <w:sz w:val="24"/>
        </w:rPr>
        <w:t>无。</w:t>
      </w:r>
    </w:p>
    <w:p w:rsidR="003A5DC6" w:rsidRPr="00833445" w:rsidRDefault="003A5DC6" w:rsidP="003A5DC6">
      <w:pPr>
        <w:spacing w:line="360" w:lineRule="auto"/>
        <w:ind w:firstLine="482"/>
        <w:rPr>
          <w:rFonts w:ascii="仿宋" w:eastAsia="仿宋" w:hAnsi="仿宋"/>
          <w:sz w:val="24"/>
        </w:rPr>
      </w:pPr>
      <w:r w:rsidRPr="00833445">
        <w:rPr>
          <w:rFonts w:ascii="仿宋" w:eastAsia="仿宋" w:hAnsi="仿宋" w:cs="宋体" w:hint="eastAsia"/>
          <w:b/>
          <w:sz w:val="24"/>
        </w:rPr>
        <w:t>4.</w:t>
      </w:r>
      <w:r w:rsidRPr="00833445">
        <w:rPr>
          <w:rFonts w:ascii="仿宋" w:eastAsia="仿宋" w:hAnsi="仿宋" w:cs="宋体"/>
          <w:b/>
          <w:sz w:val="24"/>
        </w:rPr>
        <w:t>售后服务（质保期）（如适用）</w:t>
      </w:r>
    </w:p>
    <w:p w:rsidR="003A5DC6" w:rsidRPr="00833445" w:rsidRDefault="003A5DC6" w:rsidP="003A5DC6">
      <w:pPr>
        <w:spacing w:line="360" w:lineRule="auto"/>
        <w:ind w:firstLine="480"/>
        <w:rPr>
          <w:rFonts w:ascii="仿宋" w:eastAsia="仿宋" w:hAnsi="仿宋"/>
          <w:sz w:val="24"/>
        </w:rPr>
      </w:pPr>
      <w:r w:rsidRPr="00833445">
        <w:rPr>
          <w:rFonts w:ascii="仿宋" w:eastAsia="仿宋" w:hAnsi="仿宋" w:hint="eastAsia"/>
          <w:sz w:val="24"/>
        </w:rPr>
        <w:t>无。</w:t>
      </w:r>
    </w:p>
    <w:p w:rsidR="003A5DC6" w:rsidRPr="00833445" w:rsidRDefault="003A5DC6" w:rsidP="003A5DC6">
      <w:pPr>
        <w:spacing w:line="360" w:lineRule="auto"/>
        <w:ind w:firstLine="482"/>
        <w:rPr>
          <w:rFonts w:ascii="仿宋" w:eastAsia="仿宋" w:hAnsi="仿宋" w:cs="宋体"/>
          <w:sz w:val="24"/>
        </w:rPr>
      </w:pPr>
      <w:r w:rsidRPr="00833445">
        <w:rPr>
          <w:rFonts w:ascii="仿宋" w:eastAsia="仿宋" w:hAnsi="仿宋" w:cs="宋体" w:hint="eastAsia"/>
          <w:b/>
          <w:sz w:val="24"/>
        </w:rPr>
        <w:t>5.</w:t>
      </w:r>
      <w:r w:rsidRPr="00833445">
        <w:rPr>
          <w:rFonts w:ascii="仿宋" w:eastAsia="仿宋" w:hAnsi="仿宋" w:cs="宋体"/>
          <w:b/>
          <w:sz w:val="24"/>
        </w:rPr>
        <w:t>保险（</w:t>
      </w:r>
      <w:r w:rsidRPr="00833445">
        <w:rPr>
          <w:rFonts w:ascii="仿宋" w:eastAsia="仿宋" w:hAnsi="仿宋" w:cs="宋体" w:hint="eastAsia"/>
          <w:b/>
          <w:sz w:val="24"/>
        </w:rPr>
        <w:t>不</w:t>
      </w:r>
      <w:r w:rsidRPr="00833445">
        <w:rPr>
          <w:rFonts w:ascii="仿宋" w:eastAsia="仿宋" w:hAnsi="仿宋" w:cs="宋体"/>
          <w:b/>
          <w:sz w:val="24"/>
        </w:rPr>
        <w:t>适用）</w:t>
      </w:r>
    </w:p>
    <w:p w:rsidR="003A5DC6" w:rsidRPr="00833445" w:rsidRDefault="003A5DC6" w:rsidP="003A5DC6">
      <w:pPr>
        <w:spacing w:line="360" w:lineRule="auto"/>
        <w:ind w:firstLine="480"/>
        <w:rPr>
          <w:rFonts w:ascii="仿宋" w:eastAsia="仿宋" w:hAnsi="仿宋"/>
          <w:sz w:val="24"/>
        </w:rPr>
      </w:pPr>
      <w:r w:rsidRPr="00833445">
        <w:rPr>
          <w:rFonts w:ascii="仿宋" w:eastAsia="仿宋" w:hAnsi="仿宋" w:hint="eastAsia"/>
          <w:sz w:val="24"/>
        </w:rPr>
        <w:t>无。</w:t>
      </w:r>
    </w:p>
    <w:p w:rsidR="003A5DC6" w:rsidRPr="00833445" w:rsidRDefault="003A5DC6" w:rsidP="003A5DC6">
      <w:pPr>
        <w:numPr>
          <w:ilvl w:val="0"/>
          <w:numId w:val="46"/>
        </w:numPr>
        <w:spacing w:line="360" w:lineRule="auto"/>
        <w:ind w:firstLineChars="200" w:firstLine="482"/>
        <w:contextualSpacing/>
        <w:jc w:val="left"/>
        <w:rPr>
          <w:rFonts w:ascii="仿宋" w:eastAsia="仿宋" w:hAnsi="仿宋" w:cs="宋体"/>
          <w:b/>
          <w:sz w:val="24"/>
        </w:rPr>
      </w:pPr>
      <w:r w:rsidRPr="00833445">
        <w:rPr>
          <w:rFonts w:ascii="仿宋" w:eastAsia="仿宋" w:hAnsi="仿宋" w:cs="宋体" w:hint="eastAsia"/>
          <w:b/>
          <w:sz w:val="24"/>
        </w:rPr>
        <w:t>技术要求</w:t>
      </w:r>
    </w:p>
    <w:p w:rsidR="003A5DC6" w:rsidRPr="00833445" w:rsidRDefault="003A5DC6" w:rsidP="003A5DC6">
      <w:pPr>
        <w:spacing w:line="360" w:lineRule="auto"/>
        <w:ind w:firstLine="503"/>
        <w:rPr>
          <w:rFonts w:ascii="仿宋" w:eastAsia="仿宋" w:hAnsi="仿宋"/>
          <w:b/>
          <w:sz w:val="24"/>
        </w:rPr>
      </w:pPr>
      <w:r w:rsidRPr="00833445">
        <w:rPr>
          <w:rFonts w:ascii="仿宋" w:eastAsia="仿宋" w:hAnsi="仿宋" w:cs="Arial"/>
          <w:b/>
          <w:w w:val="105"/>
          <w:sz w:val="24"/>
        </w:rPr>
        <w:t>1.</w:t>
      </w:r>
      <w:r w:rsidRPr="00833445">
        <w:rPr>
          <w:rFonts w:ascii="仿宋" w:eastAsia="仿宋" w:hAnsi="仿宋"/>
          <w:b/>
          <w:w w:val="105"/>
          <w:sz w:val="24"/>
        </w:rPr>
        <w:t>基本要求</w:t>
      </w:r>
    </w:p>
    <w:p w:rsidR="003A5DC6" w:rsidRPr="00833445" w:rsidRDefault="003A5DC6" w:rsidP="003A5DC6">
      <w:pPr>
        <w:spacing w:line="360" w:lineRule="auto"/>
        <w:ind w:firstLine="480"/>
        <w:rPr>
          <w:rFonts w:ascii="仿宋" w:eastAsia="仿宋" w:hAnsi="仿宋"/>
          <w:b/>
          <w:sz w:val="24"/>
        </w:rPr>
      </w:pPr>
      <w:r w:rsidRPr="00833445">
        <w:rPr>
          <w:rFonts w:ascii="仿宋" w:eastAsia="仿宋" w:hAnsi="仿宋" w:cs="Arial"/>
          <w:b/>
          <w:sz w:val="24"/>
        </w:rPr>
        <w:t>1.1</w:t>
      </w:r>
      <w:r w:rsidRPr="00833445">
        <w:rPr>
          <w:rFonts w:ascii="仿宋" w:eastAsia="仿宋" w:hAnsi="仿宋"/>
          <w:b/>
          <w:sz w:val="24"/>
        </w:rPr>
        <w:t>采购标的需实现的功能或者目标</w:t>
      </w:r>
      <w:r w:rsidRPr="00833445">
        <w:rPr>
          <w:rFonts w:ascii="仿宋" w:eastAsia="仿宋" w:hAnsi="仿宋" w:hint="eastAsia"/>
          <w:b/>
          <w:sz w:val="24"/>
        </w:rPr>
        <w:t>。</w:t>
      </w:r>
    </w:p>
    <w:p w:rsidR="003A5DC6" w:rsidRPr="00833445" w:rsidRDefault="003A5DC6" w:rsidP="003A5DC6">
      <w:pPr>
        <w:spacing w:line="360" w:lineRule="auto"/>
        <w:ind w:firstLine="482"/>
        <w:contextualSpacing/>
        <w:rPr>
          <w:rFonts w:ascii="仿宋" w:eastAsia="仿宋" w:hAnsi="仿宋"/>
          <w:sz w:val="24"/>
        </w:rPr>
      </w:pPr>
      <w:bookmarkStart w:id="4" w:name="OLE_LINK53"/>
      <w:bookmarkStart w:id="5" w:name="OLE_LINK54"/>
      <w:r w:rsidRPr="00833445">
        <w:rPr>
          <w:rFonts w:ascii="仿宋" w:eastAsia="仿宋" w:hAnsi="仿宋" w:hint="eastAsia"/>
          <w:sz w:val="24"/>
        </w:rPr>
        <w:t>本次招标采购是</w:t>
      </w:r>
      <w:r w:rsidRPr="00833445">
        <w:rPr>
          <w:rFonts w:ascii="仿宋" w:eastAsia="仿宋" w:hAnsi="仿宋" w:cs="仿宋" w:hint="eastAsia"/>
          <w:kern w:val="0"/>
          <w:sz w:val="24"/>
          <w:lang w:bidi="ar"/>
        </w:rPr>
        <w:t>首都医科大学附属首都儿童医学中心职工体检服务项目</w:t>
      </w:r>
      <w:r w:rsidRPr="00833445">
        <w:rPr>
          <w:rFonts w:ascii="仿宋" w:eastAsia="仿宋" w:hAnsi="仿宋" w:hint="eastAsia"/>
          <w:sz w:val="24"/>
        </w:rPr>
        <w:t>，投标人应根据招标文件所提出的技术规格和服务要求，综合考虑前来投标。投标人应以技术先进的设备、优良的服务和优惠的价格，充分显示自己的竞争实力。</w:t>
      </w:r>
      <w:bookmarkEnd w:id="4"/>
      <w:bookmarkEnd w:id="5"/>
    </w:p>
    <w:p w:rsidR="003A5DC6" w:rsidRPr="00833445" w:rsidRDefault="003A5DC6" w:rsidP="003A5DC6">
      <w:pPr>
        <w:spacing w:line="360" w:lineRule="auto"/>
        <w:ind w:firstLine="482"/>
        <w:contextualSpacing/>
        <w:rPr>
          <w:rFonts w:ascii="仿宋" w:eastAsia="仿宋" w:hAnsi="仿宋"/>
          <w:b/>
          <w:sz w:val="24"/>
        </w:rPr>
      </w:pPr>
      <w:r w:rsidRPr="00833445">
        <w:rPr>
          <w:rFonts w:ascii="仿宋" w:eastAsia="仿宋" w:hAnsi="仿宋" w:cs="Arial"/>
          <w:b/>
          <w:sz w:val="24"/>
        </w:rPr>
        <w:lastRenderedPageBreak/>
        <w:t>1.2</w:t>
      </w:r>
      <w:r w:rsidRPr="00833445">
        <w:rPr>
          <w:rFonts w:ascii="仿宋" w:eastAsia="仿宋" w:hAnsi="仿宋"/>
          <w:b/>
          <w:sz w:val="24"/>
        </w:rPr>
        <w:t>需执行的国家相关标准、行业标准、地方标准或者其他标准、规范</w:t>
      </w:r>
    </w:p>
    <w:p w:rsidR="003A5DC6" w:rsidRPr="00833445" w:rsidRDefault="003A5DC6" w:rsidP="003A5DC6">
      <w:pPr>
        <w:spacing w:line="360" w:lineRule="auto"/>
        <w:ind w:firstLine="482"/>
        <w:contextualSpacing/>
        <w:rPr>
          <w:rFonts w:ascii="仿宋" w:eastAsia="仿宋" w:hAnsi="仿宋" w:cs="宋体"/>
          <w:bCs/>
          <w:sz w:val="24"/>
        </w:rPr>
      </w:pPr>
      <w:r w:rsidRPr="00833445">
        <w:rPr>
          <w:rFonts w:ascii="仿宋" w:eastAsia="仿宋" w:hAnsi="仿宋" w:cs="Arial" w:hint="eastAsia"/>
          <w:bCs/>
          <w:sz w:val="24"/>
        </w:rPr>
        <w:t>需执行的国家相关标准、行业标准、地方标准或者其他标准、规范。符合已颁布的现行中华人民共和国认可的国家标准、地方标准和行业标准。如果这些标准内容有矛盾时，应按最高标准的条款执行。</w:t>
      </w:r>
    </w:p>
    <w:p w:rsidR="003A5DC6" w:rsidRPr="00833445" w:rsidRDefault="003A5DC6" w:rsidP="003A5DC6">
      <w:pPr>
        <w:spacing w:line="360" w:lineRule="auto"/>
        <w:ind w:firstLine="480"/>
        <w:rPr>
          <w:rFonts w:ascii="仿宋" w:eastAsia="仿宋" w:hAnsi="仿宋"/>
          <w:b/>
          <w:sz w:val="24"/>
        </w:rPr>
      </w:pPr>
      <w:r w:rsidRPr="00833445">
        <w:rPr>
          <w:rFonts w:ascii="仿宋" w:eastAsia="仿宋" w:hAnsi="仿宋" w:cs="Arial"/>
          <w:b/>
          <w:sz w:val="24"/>
        </w:rPr>
        <w:t>2.</w:t>
      </w:r>
      <w:r w:rsidRPr="00833445">
        <w:rPr>
          <w:rFonts w:ascii="仿宋" w:eastAsia="仿宋" w:hAnsi="仿宋"/>
          <w:b/>
          <w:sz w:val="24"/>
        </w:rPr>
        <w:t>服务内容及要求</w:t>
      </w:r>
      <w:r w:rsidRPr="00833445">
        <w:rPr>
          <w:rFonts w:ascii="仿宋" w:eastAsia="仿宋" w:hAnsi="仿宋" w:cs="Arial"/>
          <w:b/>
          <w:sz w:val="24"/>
        </w:rPr>
        <w:t>/</w:t>
      </w:r>
      <w:r w:rsidRPr="00833445">
        <w:rPr>
          <w:rFonts w:ascii="仿宋" w:eastAsia="仿宋" w:hAnsi="仿宋"/>
          <w:b/>
          <w:sz w:val="24"/>
        </w:rPr>
        <w:t>货物技术要求</w:t>
      </w:r>
    </w:p>
    <w:p w:rsidR="003A5DC6" w:rsidRPr="00833445" w:rsidRDefault="003A5DC6" w:rsidP="003A5DC6">
      <w:pPr>
        <w:spacing w:line="360" w:lineRule="auto"/>
        <w:ind w:firstLine="480"/>
        <w:rPr>
          <w:rFonts w:ascii="仿宋" w:eastAsia="仿宋" w:hAnsi="仿宋"/>
          <w:b/>
          <w:sz w:val="24"/>
        </w:rPr>
      </w:pPr>
      <w:r w:rsidRPr="00833445">
        <w:rPr>
          <w:rFonts w:ascii="仿宋" w:eastAsia="仿宋" w:hAnsi="仿宋" w:cs="Arial"/>
          <w:b/>
          <w:sz w:val="24"/>
        </w:rPr>
        <w:t>2.1</w:t>
      </w:r>
      <w:r w:rsidRPr="00833445">
        <w:rPr>
          <w:rFonts w:ascii="仿宋" w:eastAsia="仿宋" w:hAnsi="仿宋"/>
          <w:b/>
          <w:sz w:val="24"/>
        </w:rPr>
        <w:t>采购标的需满足的性能、材料、结构、外观、质量、安全、技术规格、物理特性等要求</w:t>
      </w:r>
      <w:r w:rsidRPr="00833445">
        <w:rPr>
          <w:rFonts w:ascii="仿宋" w:eastAsia="仿宋" w:hAnsi="仿宋" w:hint="eastAsia"/>
          <w:b/>
          <w:sz w:val="24"/>
        </w:rPr>
        <w:t>。</w:t>
      </w:r>
    </w:p>
    <w:p w:rsidR="003A5DC6" w:rsidRPr="00833445" w:rsidRDefault="003A5DC6" w:rsidP="003A5DC6">
      <w:pPr>
        <w:spacing w:line="360" w:lineRule="auto"/>
        <w:ind w:firstLine="480"/>
        <w:rPr>
          <w:rFonts w:ascii="仿宋" w:eastAsia="仿宋" w:hAnsi="仿宋"/>
          <w:sz w:val="24"/>
        </w:rPr>
      </w:pPr>
      <w:r w:rsidRPr="00833445">
        <w:rPr>
          <w:rFonts w:ascii="仿宋" w:eastAsia="仿宋" w:hAnsi="仿宋"/>
          <w:sz w:val="24"/>
        </w:rPr>
        <w:t>无。</w:t>
      </w:r>
    </w:p>
    <w:p w:rsidR="003A5DC6" w:rsidRPr="00833445" w:rsidRDefault="003A5DC6" w:rsidP="003A5DC6">
      <w:pPr>
        <w:spacing w:line="360" w:lineRule="auto"/>
        <w:ind w:firstLine="480"/>
        <w:rPr>
          <w:rFonts w:ascii="仿宋" w:eastAsia="仿宋" w:hAnsi="仿宋"/>
          <w:b/>
          <w:sz w:val="24"/>
        </w:rPr>
      </w:pPr>
      <w:r w:rsidRPr="00833445">
        <w:rPr>
          <w:rFonts w:ascii="仿宋" w:eastAsia="仿宋" w:hAnsi="仿宋" w:cs="Arial"/>
          <w:b/>
          <w:sz w:val="24"/>
        </w:rPr>
        <w:t>2.2</w:t>
      </w:r>
      <w:r w:rsidRPr="00833445">
        <w:rPr>
          <w:rFonts w:ascii="仿宋" w:eastAsia="仿宋" w:hAnsi="仿宋"/>
          <w:b/>
          <w:sz w:val="24"/>
        </w:rPr>
        <w:t>采购标的需满足的服务标准、期限、效率等要求</w:t>
      </w:r>
    </w:p>
    <w:p w:rsidR="003A5DC6" w:rsidRPr="00833445" w:rsidRDefault="003A5DC6" w:rsidP="003A5DC6">
      <w:pPr>
        <w:spacing w:line="360" w:lineRule="auto"/>
        <w:ind w:firstLine="480"/>
        <w:rPr>
          <w:rFonts w:ascii="仿宋" w:eastAsia="仿宋" w:hAnsi="仿宋"/>
          <w:sz w:val="24"/>
        </w:rPr>
      </w:pPr>
      <w:r w:rsidRPr="00833445">
        <w:rPr>
          <w:rFonts w:ascii="仿宋" w:eastAsia="仿宋" w:hAnsi="仿宋" w:hint="eastAsia"/>
          <w:sz w:val="24"/>
        </w:rPr>
        <w:t>服务期限：自签订合同之日起3年，合同一年一签。</w:t>
      </w:r>
    </w:p>
    <w:p w:rsidR="003A5DC6" w:rsidRPr="00833445" w:rsidRDefault="003A5DC6" w:rsidP="003A5DC6">
      <w:pPr>
        <w:spacing w:line="360" w:lineRule="auto"/>
        <w:ind w:firstLine="480"/>
        <w:rPr>
          <w:rFonts w:ascii="仿宋" w:eastAsia="仿宋" w:hAnsi="仿宋"/>
          <w:b/>
          <w:sz w:val="24"/>
        </w:rPr>
      </w:pPr>
      <w:r w:rsidRPr="00833445">
        <w:rPr>
          <w:rFonts w:ascii="仿宋" w:eastAsia="仿宋" w:hAnsi="仿宋" w:cs="Arial"/>
          <w:b/>
          <w:sz w:val="24"/>
        </w:rPr>
        <w:t>2.3</w:t>
      </w:r>
      <w:r w:rsidRPr="00833445">
        <w:rPr>
          <w:rFonts w:ascii="仿宋" w:eastAsia="仿宋" w:hAnsi="仿宋"/>
          <w:b/>
          <w:sz w:val="24"/>
        </w:rPr>
        <w:t>为落实政府采购政策需满足的要求</w:t>
      </w:r>
    </w:p>
    <w:p w:rsidR="003A5DC6" w:rsidRPr="00833445" w:rsidRDefault="003A5DC6" w:rsidP="003A5DC6">
      <w:pPr>
        <w:spacing w:line="360" w:lineRule="auto"/>
        <w:ind w:firstLine="480"/>
        <w:rPr>
          <w:rFonts w:ascii="仿宋" w:eastAsia="仿宋" w:hAnsi="仿宋" w:cs="宋体"/>
          <w:sz w:val="24"/>
        </w:rPr>
      </w:pPr>
      <w:r w:rsidRPr="00833445">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3A5DC6" w:rsidRPr="00833445" w:rsidRDefault="003A5DC6" w:rsidP="003A5DC6">
      <w:pPr>
        <w:spacing w:line="360" w:lineRule="auto"/>
        <w:ind w:firstLine="480"/>
        <w:rPr>
          <w:rFonts w:ascii="仿宋" w:eastAsia="仿宋" w:hAnsi="仿宋" w:cs="宋体"/>
          <w:sz w:val="24"/>
        </w:rPr>
      </w:pPr>
      <w:r w:rsidRPr="00833445">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3A5DC6" w:rsidRPr="00833445" w:rsidRDefault="003A5DC6" w:rsidP="003A5DC6">
      <w:pPr>
        <w:spacing w:line="360" w:lineRule="auto"/>
        <w:ind w:firstLine="480"/>
        <w:rPr>
          <w:rFonts w:ascii="仿宋" w:eastAsia="仿宋" w:hAnsi="仿宋" w:cs="宋体"/>
          <w:sz w:val="24"/>
        </w:rPr>
      </w:pPr>
      <w:r w:rsidRPr="00833445">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3A5DC6" w:rsidRPr="00833445" w:rsidRDefault="003A5DC6" w:rsidP="003A5DC6">
      <w:pPr>
        <w:spacing w:line="360" w:lineRule="auto"/>
        <w:ind w:firstLine="480"/>
        <w:rPr>
          <w:rFonts w:ascii="仿宋" w:eastAsia="仿宋" w:hAnsi="仿宋" w:cs="宋体"/>
          <w:sz w:val="24"/>
        </w:rPr>
      </w:pPr>
      <w:r w:rsidRPr="00833445">
        <w:rPr>
          <w:rFonts w:ascii="仿宋" w:eastAsia="仿宋" w:hAnsi="仿宋" w:cs="宋体" w:hint="eastAsia"/>
          <w:sz w:val="24"/>
        </w:rPr>
        <w:lastRenderedPageBreak/>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3A5DC6" w:rsidRPr="00833445" w:rsidRDefault="003A5DC6" w:rsidP="003A5DC6">
      <w:pPr>
        <w:pStyle w:val="a0"/>
        <w:spacing w:line="360" w:lineRule="auto"/>
        <w:ind w:firstLine="480"/>
        <w:rPr>
          <w:rFonts w:ascii="仿宋" w:eastAsia="仿宋" w:hAnsi="仿宋"/>
        </w:rPr>
      </w:pPr>
      <w:r w:rsidRPr="00833445">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3A5DC6" w:rsidRPr="00833445" w:rsidRDefault="003A5DC6" w:rsidP="003A5DC6">
      <w:pPr>
        <w:pStyle w:val="a0"/>
        <w:spacing w:line="360" w:lineRule="auto"/>
        <w:ind w:firstLine="480"/>
        <w:rPr>
          <w:rFonts w:ascii="仿宋" w:eastAsia="仿宋" w:hAnsi="仿宋"/>
        </w:rPr>
      </w:pPr>
      <w:r w:rsidRPr="00833445">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3A5DC6" w:rsidRPr="00833445" w:rsidRDefault="003A5DC6" w:rsidP="003A5DC6">
      <w:pPr>
        <w:spacing w:line="360" w:lineRule="auto"/>
        <w:ind w:firstLine="480"/>
        <w:rPr>
          <w:rFonts w:ascii="仿宋" w:eastAsia="仿宋" w:hAnsi="仿宋"/>
          <w:b/>
          <w:sz w:val="24"/>
        </w:rPr>
      </w:pPr>
      <w:r w:rsidRPr="00833445">
        <w:rPr>
          <w:rFonts w:ascii="仿宋" w:eastAsia="仿宋" w:hAnsi="仿宋" w:cs="Arial"/>
          <w:b/>
          <w:sz w:val="24"/>
        </w:rPr>
        <w:t>2.4</w:t>
      </w:r>
      <w:r w:rsidRPr="00833445">
        <w:rPr>
          <w:rFonts w:ascii="仿宋" w:eastAsia="仿宋" w:hAnsi="仿宋"/>
          <w:b/>
          <w:sz w:val="24"/>
        </w:rPr>
        <w:t>采购标的其他技术、服务等要求</w:t>
      </w:r>
    </w:p>
    <w:p w:rsidR="003A5DC6" w:rsidRPr="00833445" w:rsidRDefault="003A5DC6" w:rsidP="003A5DC6">
      <w:pPr>
        <w:pStyle w:val="a0"/>
        <w:spacing w:line="360" w:lineRule="auto"/>
        <w:ind w:firstLine="482"/>
        <w:rPr>
          <w:rFonts w:ascii="仿宋" w:eastAsia="仿宋" w:hAnsi="仿宋"/>
          <w:b/>
        </w:rPr>
      </w:pPr>
      <w:r w:rsidRPr="00833445">
        <w:rPr>
          <w:rFonts w:ascii="仿宋" w:eastAsia="仿宋" w:hAnsi="仿宋" w:hint="eastAsia"/>
          <w:b/>
        </w:rPr>
        <w:t>2.4.1项目概况</w:t>
      </w:r>
    </w:p>
    <w:p w:rsidR="003A5DC6" w:rsidRPr="00833445" w:rsidRDefault="003A5DC6" w:rsidP="003A5DC6">
      <w:pPr>
        <w:pStyle w:val="a0"/>
        <w:spacing w:line="360" w:lineRule="auto"/>
        <w:ind w:firstLine="482"/>
        <w:contextualSpacing/>
        <w:rPr>
          <w:rFonts w:ascii="仿宋" w:eastAsia="仿宋" w:hAnsi="仿宋"/>
        </w:rPr>
      </w:pPr>
      <w:r w:rsidRPr="00833445">
        <w:rPr>
          <w:rFonts w:ascii="仿宋" w:eastAsia="仿宋" w:hAnsi="仿宋" w:hint="eastAsia"/>
        </w:rPr>
        <w:t>2026年职工体检工作即将开始，我中心在职、派遣及退休职工体检预算如下：</w:t>
      </w:r>
    </w:p>
    <w:p w:rsidR="003A5DC6" w:rsidRPr="00833445" w:rsidRDefault="003A5DC6" w:rsidP="003A5DC6">
      <w:pPr>
        <w:pStyle w:val="a0"/>
        <w:spacing w:line="360" w:lineRule="auto"/>
        <w:ind w:firstLine="482"/>
        <w:contextualSpacing/>
        <w:rPr>
          <w:rFonts w:ascii="仿宋" w:eastAsia="仿宋" w:hAnsi="仿宋"/>
        </w:rPr>
      </w:pPr>
      <w:r w:rsidRPr="00833445">
        <w:rPr>
          <w:rFonts w:ascii="仿宋" w:eastAsia="仿宋" w:hAnsi="仿宋" w:hint="eastAsia"/>
        </w:rPr>
        <w:t>中心现有需体检职工（在职、派遣、院退休）共2306人，费用总计:4300296元/年。</w:t>
      </w:r>
    </w:p>
    <w:p w:rsidR="003A5DC6" w:rsidRPr="00833445" w:rsidRDefault="003A5DC6" w:rsidP="003A5DC6">
      <w:pPr>
        <w:pStyle w:val="a0"/>
        <w:spacing w:line="360" w:lineRule="auto"/>
        <w:ind w:firstLine="482"/>
        <w:contextualSpacing/>
        <w:rPr>
          <w:rFonts w:ascii="仿宋" w:eastAsia="仿宋" w:hAnsi="仿宋"/>
          <w:b/>
        </w:rPr>
      </w:pPr>
      <w:r w:rsidRPr="00833445">
        <w:rPr>
          <w:rFonts w:ascii="仿宋" w:eastAsia="仿宋" w:hAnsi="仿宋" w:hint="eastAsia"/>
          <w:b/>
        </w:rPr>
        <w:t>2.4.2项目实施要求</w:t>
      </w:r>
    </w:p>
    <w:p w:rsidR="003A5DC6" w:rsidRPr="00833445" w:rsidRDefault="003A5DC6" w:rsidP="003A5DC6">
      <w:pPr>
        <w:pStyle w:val="a0"/>
        <w:spacing w:line="360" w:lineRule="auto"/>
        <w:ind w:firstLine="482"/>
        <w:contextualSpacing/>
        <w:rPr>
          <w:rFonts w:ascii="仿宋" w:eastAsia="仿宋" w:hAnsi="仿宋"/>
        </w:rPr>
      </w:pPr>
      <w:bookmarkStart w:id="6" w:name="OLE_LINK25"/>
      <w:r w:rsidRPr="00833445">
        <w:rPr>
          <w:rFonts w:ascii="仿宋" w:eastAsia="仿宋" w:hAnsi="仿宋" w:hint="eastAsia"/>
        </w:rPr>
        <w:t>2.4.2.1</w:t>
      </w:r>
      <w:bookmarkEnd w:id="6"/>
      <w:r w:rsidRPr="00833445">
        <w:rPr>
          <w:rFonts w:ascii="仿宋" w:eastAsia="仿宋" w:hAnsi="仿宋" w:hint="eastAsia"/>
        </w:rPr>
        <w:t>、体检结论：体检结论应在结束后15个工作日内，向用户方提交体检报告，具体内容包括个人体检报告、各分项统计报告和总体统计报告。</w:t>
      </w:r>
    </w:p>
    <w:p w:rsidR="003A5DC6" w:rsidRPr="00833445" w:rsidRDefault="003A5DC6" w:rsidP="003A5DC6">
      <w:pPr>
        <w:pStyle w:val="a0"/>
        <w:spacing w:line="360" w:lineRule="auto"/>
        <w:ind w:firstLine="482"/>
        <w:contextualSpacing/>
        <w:rPr>
          <w:rFonts w:ascii="仿宋" w:eastAsia="仿宋" w:hAnsi="仿宋"/>
        </w:rPr>
      </w:pPr>
      <w:r w:rsidRPr="00833445">
        <w:rPr>
          <w:rFonts w:ascii="仿宋" w:eastAsia="仿宋" w:hAnsi="仿宋" w:hint="eastAsia"/>
        </w:rPr>
        <w:t>2.4.2.2、其它需要说明问题：体检过程中所需要的设备和耗材，全部由体</w:t>
      </w:r>
      <w:r w:rsidRPr="00833445">
        <w:rPr>
          <w:rFonts w:ascii="仿宋" w:eastAsia="仿宋" w:hAnsi="仿宋" w:hint="eastAsia"/>
        </w:rPr>
        <w:lastRenderedPageBreak/>
        <w:t>检机构提供；要求耗材采用一次性用品。</w:t>
      </w:r>
    </w:p>
    <w:p w:rsidR="003A5DC6" w:rsidRPr="00833445" w:rsidRDefault="003A5DC6" w:rsidP="003A5DC6">
      <w:pPr>
        <w:pStyle w:val="a0"/>
        <w:spacing w:line="360" w:lineRule="auto"/>
        <w:ind w:firstLine="482"/>
        <w:contextualSpacing/>
        <w:rPr>
          <w:rFonts w:ascii="仿宋" w:eastAsia="仿宋" w:hAnsi="仿宋"/>
          <w:b/>
        </w:rPr>
      </w:pPr>
      <w:bookmarkStart w:id="7" w:name="OLE_LINK28"/>
      <w:bookmarkStart w:id="8" w:name="OLE_LINK29"/>
      <w:r w:rsidRPr="00833445">
        <w:rPr>
          <w:rFonts w:ascii="仿宋" w:eastAsia="仿宋" w:hAnsi="仿宋" w:hint="eastAsia"/>
          <w:b/>
        </w:rPr>
        <w:t>2.4.3</w:t>
      </w:r>
      <w:bookmarkEnd w:id="7"/>
      <w:bookmarkEnd w:id="8"/>
      <w:r w:rsidRPr="00833445">
        <w:rPr>
          <w:rFonts w:ascii="仿宋" w:eastAsia="仿宋" w:hAnsi="仿宋" w:hint="eastAsia"/>
          <w:b/>
        </w:rPr>
        <w:t>服务要求</w:t>
      </w:r>
    </w:p>
    <w:p w:rsidR="003A5DC6" w:rsidRPr="00833445" w:rsidRDefault="003A5DC6" w:rsidP="003A5DC6">
      <w:pPr>
        <w:spacing w:line="360" w:lineRule="auto"/>
        <w:ind w:firstLineChars="200" w:firstLine="480"/>
        <w:contextualSpacing/>
        <w:rPr>
          <w:rFonts w:ascii="仿宋" w:eastAsia="仿宋" w:hAnsi="仿宋"/>
          <w:sz w:val="24"/>
        </w:rPr>
      </w:pPr>
      <w:bookmarkStart w:id="9" w:name="OLE_LINK30"/>
      <w:r w:rsidRPr="00833445">
        <w:rPr>
          <w:rFonts w:ascii="仿宋" w:eastAsia="仿宋" w:hAnsi="仿宋" w:hint="eastAsia"/>
          <w:sz w:val="24"/>
        </w:rPr>
        <w:t>2.4.3.</w:t>
      </w:r>
      <w:bookmarkEnd w:id="9"/>
      <w:r w:rsidRPr="00833445">
        <w:rPr>
          <w:rFonts w:ascii="仿宋" w:eastAsia="仿宋" w:hAnsi="仿宋" w:hint="eastAsia"/>
          <w:sz w:val="24"/>
        </w:rPr>
        <w:t>1、体检机构在体检前提供体检注意事项及健康信息问卷调查表等。</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2.4.3.2、投标单位须在检前提供完善的体检服务计划。包括但不限于依据现实情况确定专场体检地点、场次等，并为单独前往体检的人员提供免费停车位，具体由双方协商确定。投标单位诊疗设备先进，符合质量规范的要求。医疗服务标准规范，医务人员责任心强，保证体检质量。有合理的体检流程、应急预案和人员引导，保证人员及时、安全地完成体检。</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2.4.3.3、为参检人员提供体检当日免费营养早餐。</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2.4.3.4、体检后10日内提供个人网上体检结果查询，健康报告在体检项目结束15个工作日内送达。</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2.4.3.5、所有参检人员的检查结果需进信息库保存，做到参检人本人随到随查，如体检人纸质体检报告不慎遗失，能够提供重新打印服务。</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2.4.3.6、体检后10-15天内由健康管理师进行电话回访服务，异常报告定期电话提醒复查，有体检结果重大异常者，体检机构需当天通知并协助相应的就诊绿色通道。</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2.4.3.7、体检机构能够提供网站、电话、微信等多种形式的预约、取消、体检结果查询，建立每位参检人员个人电子档案，以备与之后的检查结果进行对照，方便参检人员实施健康管理。</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2.4.3.8、体检过程中涉及参检人员的身份证号、个人健康情况、体检报告等私人信息，体检机构应按照相关法律法规的要求进行信息保护，严格保密，不得以任何理由、任何形式泄露或使用。</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 xml:space="preserve">2.4.3.9、补检人员需提前3个工作日通过电话预约补检时间，补检仍按实际补检人数向投标人支付体检费。 </w:t>
      </w:r>
    </w:p>
    <w:p w:rsidR="003A5DC6" w:rsidRPr="00833445" w:rsidRDefault="003A5DC6" w:rsidP="003A5DC6">
      <w:pPr>
        <w:spacing w:line="360" w:lineRule="auto"/>
        <w:ind w:firstLineChars="200" w:firstLine="480"/>
        <w:contextualSpacing/>
        <w:rPr>
          <w:rFonts w:ascii="仿宋" w:eastAsia="仿宋" w:hAnsi="仿宋" w:cs="宋体"/>
          <w:kern w:val="0"/>
          <w:sz w:val="24"/>
        </w:rPr>
      </w:pPr>
      <w:r w:rsidRPr="00833445">
        <w:rPr>
          <w:rFonts w:ascii="仿宋" w:eastAsia="仿宋" w:hAnsi="仿宋" w:hint="eastAsia"/>
          <w:sz w:val="24"/>
        </w:rPr>
        <w:t>2.4.3.10、投标人提供</w:t>
      </w:r>
      <w:r w:rsidRPr="00833445">
        <w:rPr>
          <w:rFonts w:ascii="仿宋" w:eastAsia="仿宋" w:hAnsi="仿宋" w:cs="宋体"/>
          <w:kern w:val="0"/>
          <w:sz w:val="24"/>
        </w:rPr>
        <w:t>需求理解方案</w:t>
      </w:r>
      <w:r w:rsidRPr="00833445">
        <w:rPr>
          <w:rFonts w:ascii="仿宋" w:eastAsia="仿宋" w:hAnsi="仿宋" w:cs="宋体" w:hint="eastAsia"/>
          <w:kern w:val="0"/>
          <w:sz w:val="24"/>
        </w:rPr>
        <w:t>，</w:t>
      </w:r>
      <w:r w:rsidRPr="00833445">
        <w:rPr>
          <w:rFonts w:ascii="仿宋" w:eastAsia="仿宋" w:hAnsi="仿宋" w:cs="宋体"/>
          <w:kern w:val="0"/>
          <w:sz w:val="24"/>
        </w:rPr>
        <w:t>进行需求分析，</w:t>
      </w:r>
      <w:r w:rsidRPr="00833445">
        <w:rPr>
          <w:rFonts w:ascii="仿宋" w:eastAsia="仿宋" w:hAnsi="仿宋" w:cs="宋体" w:hint="eastAsia"/>
          <w:kern w:val="0"/>
          <w:sz w:val="24"/>
        </w:rPr>
        <w:t>提供</w:t>
      </w:r>
      <w:r w:rsidRPr="00833445">
        <w:rPr>
          <w:rFonts w:ascii="仿宋" w:eastAsia="仿宋" w:hAnsi="仿宋" w:cs="宋体"/>
          <w:kern w:val="0"/>
          <w:sz w:val="24"/>
        </w:rPr>
        <w:t>服务质量保证措施</w:t>
      </w:r>
      <w:r w:rsidRPr="00833445">
        <w:rPr>
          <w:rFonts w:ascii="仿宋" w:eastAsia="仿宋" w:hAnsi="仿宋" w:cs="宋体" w:hint="eastAsia"/>
          <w:kern w:val="0"/>
          <w:sz w:val="24"/>
        </w:rPr>
        <w:t>。</w:t>
      </w:r>
    </w:p>
    <w:p w:rsidR="003A5DC6" w:rsidRPr="00833445" w:rsidRDefault="003A5DC6" w:rsidP="003A5DC6">
      <w:pPr>
        <w:spacing w:line="360" w:lineRule="auto"/>
        <w:ind w:firstLineChars="200" w:firstLine="480"/>
        <w:contextualSpacing/>
        <w:rPr>
          <w:rFonts w:ascii="仿宋" w:eastAsia="仿宋" w:hAnsi="仿宋" w:cs="宋体"/>
          <w:kern w:val="0"/>
          <w:sz w:val="24"/>
        </w:rPr>
      </w:pPr>
      <w:r w:rsidRPr="00833445">
        <w:rPr>
          <w:rFonts w:ascii="仿宋" w:eastAsia="仿宋" w:hAnsi="仿宋" w:hint="eastAsia"/>
          <w:sz w:val="24"/>
        </w:rPr>
        <w:t>2.4.3.</w:t>
      </w:r>
      <w:r w:rsidRPr="00833445">
        <w:rPr>
          <w:rFonts w:ascii="仿宋" w:eastAsia="仿宋" w:hAnsi="仿宋" w:cs="宋体" w:hint="eastAsia"/>
          <w:kern w:val="0"/>
          <w:sz w:val="24"/>
        </w:rPr>
        <w:t>11、投标人提供</w:t>
      </w:r>
      <w:r w:rsidRPr="00833445">
        <w:rPr>
          <w:rFonts w:ascii="仿宋" w:eastAsia="仿宋" w:hAnsi="仿宋" w:cs="宋体"/>
          <w:kern w:val="0"/>
          <w:sz w:val="24"/>
        </w:rPr>
        <w:t>整体服务方案</w:t>
      </w:r>
      <w:r w:rsidRPr="00833445">
        <w:rPr>
          <w:rFonts w:ascii="仿宋" w:eastAsia="仿宋" w:hAnsi="仿宋" w:cs="宋体" w:hint="eastAsia"/>
          <w:kern w:val="0"/>
          <w:sz w:val="24"/>
        </w:rPr>
        <w:t>（包括但不限于体检服务时间范围、体检流程安排、体检服务便利性、保证措施及服务承诺等），确保项目顺利实施；能够在一周内完成专场专区体检。交通便利，距离用户单位近。</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lastRenderedPageBreak/>
        <w:t>2.4.3.</w:t>
      </w:r>
      <w:r w:rsidRPr="00833445">
        <w:rPr>
          <w:rFonts w:ascii="仿宋" w:eastAsia="仿宋" w:hAnsi="仿宋" w:cs="宋体" w:hint="eastAsia"/>
          <w:kern w:val="0"/>
          <w:sz w:val="24"/>
        </w:rPr>
        <w:t>12、投标人提供</w:t>
      </w:r>
      <w:r w:rsidRPr="00833445">
        <w:rPr>
          <w:rFonts w:ascii="仿宋" w:eastAsia="仿宋" w:hAnsi="仿宋" w:hint="eastAsia"/>
          <w:sz w:val="24"/>
        </w:rPr>
        <w:t>体检流程方案专业度高，科学性强，服务满意度高。</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2.4.3.13、</w:t>
      </w:r>
      <w:r w:rsidRPr="00833445">
        <w:rPr>
          <w:rFonts w:ascii="仿宋" w:eastAsia="仿宋" w:hAnsi="仿宋" w:cs="宋体" w:hint="eastAsia"/>
          <w:kern w:val="0"/>
          <w:sz w:val="24"/>
        </w:rPr>
        <w:t>投标人拟投入</w:t>
      </w:r>
      <w:r w:rsidRPr="00833445">
        <w:rPr>
          <w:rFonts w:ascii="仿宋" w:eastAsia="仿宋" w:hAnsi="仿宋" w:hint="eastAsia"/>
          <w:sz w:val="24"/>
        </w:rPr>
        <w:t>设备种类全面，数量多，使用年限短，先进性及稳定性强，试剂质量高且能保证安全和准确性。</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2.4.3.14、投标人在在体检地点具有自有临床检验实验室，实验室设备自有，生物标本无须外送。</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2.4.3.15、投标人在放射科配备具有三甲医院从业经历的放射科医师，具备数据分析、影像学诊断、双阅片资格。</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2.4.3.16、投标人在病理科配备具有三甲医院从业经历的病理科医师，具备检验，病理学诊断资格。</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2.4.3.17、投标人提供的检验精确度能够达到相关要求，临床检验结果为京津冀互认。</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2.4.3.18、投标人提供应急事件处理预案，包括但不限于突发事件或临时事件等的响应时间及措施、包含提供绿色通道：确保体检人员在体检过程中出现突发急症能快色送至三甲医院；危急值制度：重大阳性检出结果及时通知（24小时内）受检者等内容。</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2.4.3.19、投标人提供售后服务方案完整具体、科学合理，可行性强，用户能通过微信公众号、小程序、APP等途径（至少具备1种途径），实现预约、查询电子健康体检报告等信息化管理和维护功能，并制定相应保密制度和措施，防止体检人员信息和结果被泄露，检后提供三甲医院就诊绿色通道，包括：协助指导就诊科室，挂普通及专家门诊号，提供团体报告汇总，体检异常数据分析，个性化健康改善计划，资讯及健康讲座等。</w:t>
      </w:r>
    </w:p>
    <w:p w:rsidR="003A5DC6" w:rsidRPr="00833445" w:rsidRDefault="003A5DC6" w:rsidP="003A5DC6">
      <w:pPr>
        <w:spacing w:line="360" w:lineRule="auto"/>
        <w:ind w:firstLineChars="200" w:firstLine="480"/>
        <w:contextualSpacing/>
        <w:rPr>
          <w:rFonts w:ascii="仿宋" w:eastAsia="仿宋" w:hAnsi="仿宋"/>
          <w:sz w:val="24"/>
        </w:rPr>
      </w:pPr>
      <w:r w:rsidRPr="00833445">
        <w:rPr>
          <w:rFonts w:ascii="仿宋" w:eastAsia="仿宋" w:hAnsi="仿宋" w:hint="eastAsia"/>
          <w:sz w:val="24"/>
        </w:rPr>
        <w:t>2.4.3.20、</w:t>
      </w:r>
      <w:r w:rsidRPr="00833445">
        <w:rPr>
          <w:rFonts w:ascii="仿宋" w:eastAsia="仿宋" w:hAnsi="仿宋" w:hint="eastAsia"/>
          <w:kern w:val="0"/>
          <w:sz w:val="24"/>
        </w:rPr>
        <w:t>投标人拟投入医生团队相关经验丰富，具有在三甲医院相关从业经历的体检医师。</w:t>
      </w:r>
    </w:p>
    <w:p w:rsidR="003A5DC6" w:rsidRPr="00833445" w:rsidRDefault="003A5DC6" w:rsidP="003A5DC6">
      <w:pPr>
        <w:spacing w:line="360" w:lineRule="auto"/>
        <w:ind w:firstLineChars="200" w:firstLine="482"/>
        <w:contextualSpacing/>
        <w:rPr>
          <w:rFonts w:ascii="仿宋" w:eastAsia="仿宋" w:hAnsi="仿宋"/>
          <w:b/>
          <w:sz w:val="24"/>
        </w:rPr>
      </w:pPr>
      <w:r w:rsidRPr="00833445">
        <w:rPr>
          <w:rFonts w:ascii="仿宋" w:eastAsia="仿宋" w:hAnsi="仿宋" w:hint="eastAsia"/>
          <w:b/>
          <w:sz w:val="24"/>
        </w:rPr>
        <w:t>2.4.3.21、项目明细单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3549"/>
        <w:gridCol w:w="849"/>
        <w:gridCol w:w="793"/>
        <w:gridCol w:w="711"/>
        <w:gridCol w:w="815"/>
      </w:tblGrid>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b/>
                <w:kern w:val="0"/>
                <w:sz w:val="24"/>
              </w:rPr>
            </w:pPr>
            <w:bookmarkStart w:id="10" w:name="_Hlk230900647"/>
            <w:bookmarkStart w:id="11" w:name="OLE_LINK41"/>
            <w:bookmarkStart w:id="12" w:name="OLE_LINK45"/>
            <w:r w:rsidRPr="00833445">
              <w:rPr>
                <w:rFonts w:ascii="仿宋" w:eastAsia="仿宋" w:hAnsi="仿宋" w:cs="宋体" w:hint="eastAsia"/>
                <w:b/>
                <w:kern w:val="0"/>
                <w:sz w:val="24"/>
              </w:rPr>
              <w:t>项目</w:t>
            </w:r>
          </w:p>
        </w:tc>
        <w:tc>
          <w:tcPr>
            <w:tcW w:w="2080" w:type="pct"/>
            <w:vAlign w:val="center"/>
          </w:tcPr>
          <w:p w:rsidR="003A5DC6" w:rsidRPr="00833445" w:rsidRDefault="003A5DC6" w:rsidP="000D38DA">
            <w:pPr>
              <w:widowControl/>
              <w:spacing w:line="276" w:lineRule="auto"/>
              <w:contextualSpacing/>
              <w:jc w:val="center"/>
              <w:rPr>
                <w:rFonts w:ascii="仿宋" w:eastAsia="仿宋" w:hAnsi="仿宋" w:cs="宋体"/>
                <w:b/>
                <w:kern w:val="0"/>
                <w:sz w:val="24"/>
              </w:rPr>
            </w:pPr>
            <w:r w:rsidRPr="00833445">
              <w:rPr>
                <w:rFonts w:ascii="仿宋" w:eastAsia="仿宋" w:hAnsi="仿宋" w:cs="宋体" w:hint="eastAsia"/>
                <w:b/>
                <w:kern w:val="0"/>
                <w:sz w:val="24"/>
              </w:rPr>
              <w:t>具体明细</w:t>
            </w:r>
          </w:p>
        </w:tc>
        <w:tc>
          <w:tcPr>
            <w:tcW w:w="498" w:type="pct"/>
            <w:noWrap/>
            <w:vAlign w:val="center"/>
          </w:tcPr>
          <w:p w:rsidR="003A5DC6" w:rsidRPr="00833445" w:rsidRDefault="003A5DC6" w:rsidP="000D38DA">
            <w:pPr>
              <w:widowControl/>
              <w:spacing w:line="276" w:lineRule="auto"/>
              <w:contextualSpacing/>
              <w:jc w:val="center"/>
              <w:rPr>
                <w:rFonts w:ascii="仿宋" w:eastAsia="仿宋" w:hAnsi="仿宋" w:cs="宋体"/>
                <w:b/>
                <w:kern w:val="0"/>
                <w:sz w:val="24"/>
              </w:rPr>
            </w:pPr>
            <w:bookmarkStart w:id="13" w:name="OLE_LINK46"/>
            <w:r w:rsidRPr="00833445">
              <w:rPr>
                <w:rFonts w:ascii="仿宋" w:eastAsia="仿宋" w:hAnsi="仿宋" w:cs="宋体" w:hint="eastAsia"/>
                <w:b/>
                <w:kern w:val="0"/>
                <w:sz w:val="24"/>
              </w:rPr>
              <w:t>≤40岁女职工</w:t>
            </w:r>
            <w:bookmarkEnd w:id="13"/>
          </w:p>
        </w:tc>
        <w:tc>
          <w:tcPr>
            <w:tcW w:w="465" w:type="pct"/>
            <w:noWrap/>
            <w:vAlign w:val="center"/>
          </w:tcPr>
          <w:p w:rsidR="003A5DC6" w:rsidRPr="00833445" w:rsidRDefault="003A5DC6" w:rsidP="000D38DA">
            <w:pPr>
              <w:widowControl/>
              <w:spacing w:line="276" w:lineRule="auto"/>
              <w:contextualSpacing/>
              <w:rPr>
                <w:rFonts w:ascii="仿宋" w:eastAsia="仿宋" w:hAnsi="仿宋" w:cs="宋体"/>
                <w:b/>
                <w:kern w:val="0"/>
                <w:sz w:val="24"/>
              </w:rPr>
            </w:pPr>
            <w:r w:rsidRPr="00833445">
              <w:rPr>
                <w:rFonts w:ascii="仿宋" w:eastAsia="仿宋" w:hAnsi="仿宋" w:cs="宋体" w:hint="eastAsia"/>
                <w:b/>
                <w:kern w:val="0"/>
                <w:sz w:val="24"/>
              </w:rPr>
              <w:t>＞40岁女职工</w:t>
            </w:r>
          </w:p>
        </w:tc>
        <w:tc>
          <w:tcPr>
            <w:tcW w:w="417" w:type="pct"/>
            <w:vAlign w:val="center"/>
          </w:tcPr>
          <w:p w:rsidR="003A5DC6" w:rsidRPr="00833445" w:rsidRDefault="003A5DC6" w:rsidP="000D38DA">
            <w:pPr>
              <w:widowControl/>
              <w:spacing w:line="276" w:lineRule="auto"/>
              <w:contextualSpacing/>
              <w:jc w:val="center"/>
              <w:rPr>
                <w:rFonts w:ascii="仿宋" w:eastAsia="仿宋" w:hAnsi="仿宋" w:cs="宋体"/>
                <w:b/>
                <w:kern w:val="0"/>
                <w:sz w:val="24"/>
              </w:rPr>
            </w:pPr>
            <w:bookmarkStart w:id="14" w:name="OLE_LINK47"/>
            <w:r w:rsidRPr="00833445">
              <w:rPr>
                <w:rFonts w:ascii="仿宋" w:eastAsia="仿宋" w:hAnsi="仿宋" w:cs="宋体" w:hint="eastAsia"/>
                <w:b/>
                <w:kern w:val="0"/>
                <w:sz w:val="24"/>
              </w:rPr>
              <w:t>≤45岁男职工</w:t>
            </w:r>
            <w:bookmarkEnd w:id="14"/>
          </w:p>
        </w:tc>
        <w:tc>
          <w:tcPr>
            <w:tcW w:w="478" w:type="pct"/>
            <w:vAlign w:val="center"/>
          </w:tcPr>
          <w:p w:rsidR="003A5DC6" w:rsidRPr="00833445" w:rsidRDefault="003A5DC6" w:rsidP="000D38DA">
            <w:pPr>
              <w:widowControl/>
              <w:spacing w:line="276" w:lineRule="auto"/>
              <w:contextualSpacing/>
              <w:jc w:val="center"/>
              <w:rPr>
                <w:rFonts w:ascii="仿宋" w:eastAsia="仿宋" w:hAnsi="仿宋" w:cs="宋体"/>
                <w:b/>
                <w:kern w:val="0"/>
                <w:sz w:val="24"/>
              </w:rPr>
            </w:pPr>
            <w:r w:rsidRPr="00833445">
              <w:rPr>
                <w:rFonts w:ascii="仿宋" w:eastAsia="仿宋" w:hAnsi="仿宋" w:cs="宋体" w:hint="eastAsia"/>
                <w:b/>
                <w:kern w:val="0"/>
                <w:sz w:val="24"/>
              </w:rPr>
              <w:t>＞45岁男职工</w:t>
            </w:r>
          </w:p>
        </w:tc>
      </w:tr>
      <w:bookmarkEnd w:id="10"/>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一般检查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身高、体重、腰臀比</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内科物理检查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收缩压、舒张压、脉搏、心率、心界大小、杂音、腹部器官、肺</w:t>
            </w:r>
            <w:r w:rsidRPr="00833445">
              <w:rPr>
                <w:rFonts w:ascii="仿宋" w:eastAsia="仿宋" w:hAnsi="仿宋" w:cs="宋体" w:hint="eastAsia"/>
                <w:kern w:val="0"/>
                <w:sz w:val="24"/>
              </w:rPr>
              <w:lastRenderedPageBreak/>
              <w:t>部、肝脏、脾脏、肾脏</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lastRenderedPageBreak/>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lastRenderedPageBreak/>
              <w:t>外科物理检查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甲状腺、淋巴结、脊柱、四肢、关节、肛门、乳腺</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439"/>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眼科物理检查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视力、辨色力、眼压测定、裂隙灯检查、小瞳孔眼底检查</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420"/>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耳鼻喉科物理检查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外耳道、鼓膜、鼻腔、咽喉部检查</w:t>
            </w:r>
          </w:p>
        </w:tc>
        <w:tc>
          <w:tcPr>
            <w:tcW w:w="498"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r>
      <w:tr w:rsidR="003A5DC6" w:rsidRPr="00833445" w:rsidTr="000D38DA">
        <w:trPr>
          <w:trHeight w:val="420"/>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口腔科物理检查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牙齿情况、牙周情况</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420"/>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妇科物理检查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外阴、阴道、宫颈、宫体、附件、分泌物</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r>
      <w:tr w:rsidR="003A5DC6" w:rsidRPr="00833445" w:rsidTr="000D38DA">
        <w:trPr>
          <w:trHeight w:val="420"/>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肝胆胰脾彩色多普勒超声检查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了解肝胆胰脾结构及病变</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肾彩色多普勒超声检查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了解肾脏结构及病变</w:t>
            </w:r>
          </w:p>
        </w:tc>
        <w:tc>
          <w:tcPr>
            <w:tcW w:w="498"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胸部C</w:t>
            </w:r>
            <w:r w:rsidRPr="00833445">
              <w:rPr>
                <w:rFonts w:ascii="仿宋" w:eastAsia="仿宋" w:hAnsi="仿宋" w:cs="宋体"/>
                <w:kern w:val="0"/>
                <w:sz w:val="24"/>
              </w:rPr>
              <w:t>T平扫（薄层低剂量）</w:t>
            </w:r>
            <w:r w:rsidRPr="00833445">
              <w:rPr>
                <w:rFonts w:ascii="仿宋" w:eastAsia="仿宋" w:hAnsi="仿宋" w:cs="宋体" w:hint="eastAsia"/>
                <w:kern w:val="0"/>
                <w:sz w:val="24"/>
              </w:rPr>
              <w:t>（无片）</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肺部小剂量CT：双肺情况</w:t>
            </w:r>
          </w:p>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以上内容</w:t>
            </w:r>
            <w:r w:rsidRPr="00833445">
              <w:rPr>
                <w:rFonts w:ascii="仿宋" w:eastAsia="仿宋" w:hAnsi="仿宋" w:cs="宋体" w:hint="eastAsia"/>
                <w:kern w:val="0"/>
                <w:sz w:val="24"/>
              </w:rPr>
              <w:t>+C</w:t>
            </w:r>
            <w:r w:rsidRPr="00833445">
              <w:rPr>
                <w:rFonts w:ascii="仿宋" w:eastAsia="仿宋" w:hAnsi="仿宋" w:cs="宋体"/>
                <w:kern w:val="0"/>
                <w:sz w:val="24"/>
              </w:rPr>
              <w:t>T</w:t>
            </w:r>
            <w:r w:rsidRPr="00833445">
              <w:rPr>
                <w:rFonts w:ascii="仿宋" w:eastAsia="仿宋" w:hAnsi="仿宋" w:cs="宋体" w:hint="eastAsia"/>
                <w:kern w:val="0"/>
                <w:sz w:val="24"/>
              </w:rPr>
              <w:t>（不含片）为C</w:t>
            </w:r>
            <w:r w:rsidRPr="00833445">
              <w:rPr>
                <w:rFonts w:ascii="仿宋" w:eastAsia="仿宋" w:hAnsi="仿宋" w:cs="宋体"/>
                <w:kern w:val="0"/>
                <w:sz w:val="24"/>
              </w:rPr>
              <w:t>T套餐</w:t>
            </w:r>
          </w:p>
        </w:tc>
        <w:tc>
          <w:tcPr>
            <w:tcW w:w="498"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心电图</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电脑多导联心电图</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血常规</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白细胞、中性粒细胞比率、淋巴细胞比率、单核细胞比率、嗜酸性粒细胞比率、嗜碱性粒细胞比率、中性粒细胞、淋巴细胞、单核细胞、嗜酸性粒细胞绝对值、嗜碱性粒细胞绝对值、红细胞、血红蛋白、红细胞压积、平均红细胞体积、平均红细胞血红蛋白含量、平均红细胞血红蛋白浓度、红细胞分布宽度、血小板、血小板分布宽度、血小板平均体积、大血小板比率</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尿常规</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白细胞、尿红细胞、酮体、尿蛋白、白细胞计数、红细胞计数、上皮细胞计数、管型计数、细菌计数</w:t>
            </w:r>
          </w:p>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结晶检查、小圆上皮细胞、酵母</w:t>
            </w:r>
            <w:r w:rsidRPr="00833445">
              <w:rPr>
                <w:rFonts w:ascii="仿宋" w:eastAsia="仿宋" w:hAnsi="仿宋" w:cs="宋体" w:hint="eastAsia"/>
                <w:kern w:val="0"/>
                <w:sz w:val="24"/>
              </w:rPr>
              <w:lastRenderedPageBreak/>
              <w:t>菌</w:t>
            </w:r>
          </w:p>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红细胞信息、电导率、完整红细胞绝对值、完整红细胞百分比、比重</w:t>
            </w:r>
          </w:p>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胆红素、葡萄糖、尿胆原、亚硝酸盐、颜色、清晰度</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lastRenderedPageBreak/>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lastRenderedPageBreak/>
              <w:t>生化全项</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总蛋白、白蛋白、谷草转氨酶、谷丙转氨酶、碱性磷酸酶、氯、球蛋白、白球比例、前白蛋白、总胆固醇、高密度脂蛋白、低密度脂蛋白、</w:t>
            </w:r>
          </w:p>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甘油三酯、脂蛋白、</w:t>
            </w:r>
            <w:r w:rsidRPr="00833445">
              <w:rPr>
                <w:rFonts w:ascii="仿宋" w:eastAsia="仿宋" w:hAnsi="仿宋" w:cs="宋体"/>
                <w:kern w:val="0"/>
                <w:sz w:val="24"/>
              </w:rPr>
              <w:t>AST:ALT</w:t>
            </w:r>
            <w:r w:rsidRPr="00833445">
              <w:rPr>
                <w:rFonts w:ascii="仿宋" w:eastAsia="仿宋" w:hAnsi="仿宋" w:cs="宋体" w:hint="eastAsia"/>
                <w:kern w:val="0"/>
                <w:sz w:val="24"/>
              </w:rPr>
              <w:t>、肌酸激酶、乳酸脱氢酶、ɑ-羟丁酸脱氢酶、r-谷氨酰转化酶、总胆红素、</w:t>
            </w:r>
          </w:p>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直接胆红素、间接胆红素、总胆汁酸、尿素、肌酐、尿酸、钙、磷、纳、钾、二氧化碳、阴离子间隙、</w:t>
            </w:r>
          </w:p>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血糖、渗透压</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同型半胱氨酸</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对于预测心血管事件和卒中的发病风险有意义</w:t>
            </w:r>
          </w:p>
        </w:tc>
        <w:tc>
          <w:tcPr>
            <w:tcW w:w="498"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p>
        </w:tc>
        <w:tc>
          <w:tcPr>
            <w:tcW w:w="465"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乳腺彩色多普勒超声检查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筛查乳腺疾病</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妇科彩色多普勒超声检查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了解生殖系统结构和病变</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泌尿系（男）彩色多普勒超声检查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了解双肾、输尿管、膀前列腺结构和病变</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甲状腺彩色多普勒超声检查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筛查甲状腺疾病</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颈动脉彩色多普勒超声检查</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了解中型动脉粥样硬化情况，预测冠脉粥样硬化风险</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肿瘤标记物（CEA+AFP)</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癌胚抗原、甲胎蛋白</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宫颈超薄细胞学检查（TCT）+</w:t>
            </w:r>
            <w:r w:rsidRPr="00833445">
              <w:rPr>
                <w:rFonts w:ascii="仿宋" w:eastAsia="仿宋" w:hAnsi="仿宋" w:cs="宋体"/>
                <w:kern w:val="0"/>
                <w:sz w:val="24"/>
              </w:rPr>
              <w:t>HPV</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了解宫颈细胞形态，筛查宫颈癌</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hint="eastAsia"/>
                <w:sz w:val="24"/>
              </w:rPr>
              <w:t>-</w:t>
            </w:r>
          </w:p>
        </w:tc>
      </w:tr>
      <w:tr w:rsidR="003A5DC6" w:rsidRPr="00833445" w:rsidTr="000D38DA">
        <w:trPr>
          <w:trHeight w:val="585"/>
          <w:jc w:val="center"/>
        </w:trPr>
        <w:tc>
          <w:tcPr>
            <w:tcW w:w="1061" w:type="pct"/>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lastRenderedPageBreak/>
              <w:t>肿瘤标记物C</w:t>
            </w:r>
            <w:r w:rsidRPr="00833445">
              <w:rPr>
                <w:rFonts w:ascii="仿宋" w:eastAsia="仿宋" w:hAnsi="仿宋" w:cs="宋体"/>
                <w:kern w:val="0"/>
                <w:sz w:val="24"/>
              </w:rPr>
              <w:t>A125</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糖类抗原肿瘤标志物</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p>
        </w:tc>
        <w:tc>
          <w:tcPr>
            <w:tcW w:w="465"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p>
        </w:tc>
      </w:tr>
      <w:tr w:rsidR="003A5DC6" w:rsidRPr="00833445" w:rsidTr="000D38DA">
        <w:trPr>
          <w:trHeight w:val="585"/>
          <w:jc w:val="center"/>
        </w:trPr>
        <w:tc>
          <w:tcPr>
            <w:tcW w:w="1061" w:type="pct"/>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肿瘤标记物C</w:t>
            </w:r>
            <w:r w:rsidRPr="00833445">
              <w:rPr>
                <w:rFonts w:ascii="仿宋" w:eastAsia="仿宋" w:hAnsi="仿宋" w:cs="宋体"/>
                <w:kern w:val="0"/>
                <w:sz w:val="24"/>
              </w:rPr>
              <w:t>A199</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糖类抗原肿瘤标志物</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p>
        </w:tc>
        <w:tc>
          <w:tcPr>
            <w:tcW w:w="465"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肿瘤标记物前列腺组合</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T</w:t>
            </w:r>
            <w:r w:rsidRPr="00833445">
              <w:rPr>
                <w:rFonts w:ascii="仿宋" w:eastAsia="仿宋" w:hAnsi="仿宋" w:cs="宋体"/>
                <w:kern w:val="0"/>
                <w:sz w:val="24"/>
              </w:rPr>
              <w:t>PSA、FPSA</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p>
        </w:tc>
        <w:tc>
          <w:tcPr>
            <w:tcW w:w="465"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甲状腺功能七项</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F</w:t>
            </w:r>
            <w:r w:rsidRPr="00833445">
              <w:rPr>
                <w:rFonts w:ascii="仿宋" w:eastAsia="仿宋" w:hAnsi="仿宋" w:cs="宋体"/>
                <w:kern w:val="0"/>
                <w:sz w:val="24"/>
              </w:rPr>
              <w:t>T3、FT4、</w:t>
            </w:r>
            <w:r w:rsidRPr="00833445">
              <w:rPr>
                <w:rFonts w:ascii="仿宋" w:eastAsia="仿宋" w:hAnsi="仿宋" w:cs="宋体" w:hint="eastAsia"/>
                <w:kern w:val="0"/>
                <w:sz w:val="24"/>
              </w:rPr>
              <w:t>T</w:t>
            </w:r>
            <w:r w:rsidRPr="00833445">
              <w:rPr>
                <w:rFonts w:ascii="仿宋" w:eastAsia="仿宋" w:hAnsi="仿宋" w:cs="宋体"/>
                <w:kern w:val="0"/>
                <w:sz w:val="24"/>
              </w:rPr>
              <w:t>T3、</w:t>
            </w:r>
            <w:r w:rsidRPr="00833445">
              <w:rPr>
                <w:rFonts w:ascii="仿宋" w:eastAsia="仿宋" w:hAnsi="仿宋" w:cs="宋体" w:hint="eastAsia"/>
                <w:kern w:val="0"/>
                <w:sz w:val="24"/>
              </w:rPr>
              <w:t>T</w:t>
            </w:r>
            <w:r w:rsidRPr="00833445">
              <w:rPr>
                <w:rFonts w:ascii="仿宋" w:eastAsia="仿宋" w:hAnsi="仿宋" w:cs="宋体"/>
                <w:kern w:val="0"/>
                <w:sz w:val="24"/>
              </w:rPr>
              <w:t>T4、anti-TG、anti-TOP、</w:t>
            </w:r>
            <w:r w:rsidRPr="00833445">
              <w:rPr>
                <w:rFonts w:ascii="仿宋" w:eastAsia="仿宋" w:hAnsi="仿宋" w:cs="宋体" w:hint="eastAsia"/>
                <w:kern w:val="0"/>
                <w:sz w:val="24"/>
              </w:rPr>
              <w:t>T</w:t>
            </w:r>
            <w:r w:rsidRPr="00833445">
              <w:rPr>
                <w:rFonts w:ascii="仿宋" w:eastAsia="仿宋" w:hAnsi="仿宋" w:cs="宋体"/>
                <w:kern w:val="0"/>
                <w:sz w:val="24"/>
              </w:rPr>
              <w:t>SH</w:t>
            </w: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cs="宋体"/>
                <w:kern w:val="0"/>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360"/>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kern w:val="0"/>
                <w:sz w:val="24"/>
              </w:rPr>
            </w:pPr>
            <w:r w:rsidRPr="00833445">
              <w:rPr>
                <w:rFonts w:ascii="仿宋" w:eastAsia="仿宋" w:hAnsi="仿宋" w:cs="宋体" w:hint="eastAsia"/>
                <w:kern w:val="0"/>
                <w:sz w:val="24"/>
              </w:rPr>
              <w:t>耗材</w:t>
            </w:r>
          </w:p>
        </w:tc>
        <w:tc>
          <w:tcPr>
            <w:tcW w:w="2080" w:type="pct"/>
            <w:vAlign w:val="center"/>
          </w:tcPr>
          <w:p w:rsidR="003A5DC6" w:rsidRPr="00833445" w:rsidRDefault="003A5DC6" w:rsidP="000D38DA">
            <w:pPr>
              <w:spacing w:line="276" w:lineRule="auto"/>
              <w:contextualSpacing/>
              <w:jc w:val="center"/>
              <w:rPr>
                <w:rFonts w:ascii="仿宋" w:eastAsia="仿宋" w:hAnsi="仿宋" w:cs="宋体"/>
                <w:kern w:val="0"/>
                <w:sz w:val="24"/>
              </w:rPr>
            </w:pPr>
          </w:p>
        </w:tc>
        <w:tc>
          <w:tcPr>
            <w:tcW w:w="49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65"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17"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c>
          <w:tcPr>
            <w:tcW w:w="478" w:type="pct"/>
            <w:noWrap/>
            <w:vAlign w:val="center"/>
          </w:tcPr>
          <w:p w:rsidR="003A5DC6" w:rsidRPr="00833445" w:rsidRDefault="003A5DC6" w:rsidP="000D38DA">
            <w:pPr>
              <w:spacing w:line="276" w:lineRule="auto"/>
              <w:contextualSpacing/>
              <w:jc w:val="center"/>
              <w:rPr>
                <w:rFonts w:ascii="仿宋" w:eastAsia="仿宋" w:hAnsi="仿宋"/>
                <w:sz w:val="24"/>
              </w:rPr>
            </w:pPr>
            <w:r w:rsidRPr="00833445">
              <w:rPr>
                <w:rFonts w:ascii="仿宋" w:eastAsia="仿宋" w:hAnsi="仿宋" w:cs="宋体"/>
                <w:kern w:val="0"/>
                <w:sz w:val="24"/>
              </w:rPr>
              <w:t>√</w:t>
            </w:r>
          </w:p>
        </w:tc>
      </w:tr>
      <w:tr w:rsidR="003A5DC6" w:rsidRPr="00833445" w:rsidTr="000D38DA">
        <w:trPr>
          <w:trHeight w:val="585"/>
          <w:jc w:val="center"/>
        </w:trPr>
        <w:tc>
          <w:tcPr>
            <w:tcW w:w="1061" w:type="pct"/>
            <w:noWrap/>
            <w:vAlign w:val="center"/>
          </w:tcPr>
          <w:p w:rsidR="003A5DC6" w:rsidRPr="00833445" w:rsidRDefault="003A5DC6" w:rsidP="000D38DA">
            <w:pPr>
              <w:widowControl/>
              <w:spacing w:line="276" w:lineRule="auto"/>
              <w:contextualSpacing/>
              <w:jc w:val="center"/>
              <w:rPr>
                <w:rFonts w:ascii="仿宋" w:eastAsia="仿宋" w:hAnsi="仿宋" w:cs="宋体"/>
                <w:b/>
                <w:kern w:val="0"/>
                <w:sz w:val="24"/>
              </w:rPr>
            </w:pPr>
            <w:r w:rsidRPr="00833445">
              <w:rPr>
                <w:rFonts w:ascii="仿宋" w:eastAsia="仿宋" w:hAnsi="仿宋" w:cs="宋体" w:hint="eastAsia"/>
                <w:b/>
                <w:kern w:val="0"/>
                <w:sz w:val="24"/>
              </w:rPr>
              <w:t>合计</w:t>
            </w:r>
          </w:p>
        </w:tc>
        <w:tc>
          <w:tcPr>
            <w:tcW w:w="2080" w:type="pct"/>
            <w:vAlign w:val="center"/>
          </w:tcPr>
          <w:p w:rsidR="003A5DC6" w:rsidRPr="00833445" w:rsidRDefault="003A5DC6" w:rsidP="000D38DA">
            <w:pPr>
              <w:spacing w:line="276" w:lineRule="auto"/>
              <w:contextualSpacing/>
              <w:jc w:val="left"/>
              <w:rPr>
                <w:rFonts w:ascii="仿宋" w:eastAsia="仿宋" w:hAnsi="仿宋" w:cs="宋体"/>
                <w:b/>
                <w:kern w:val="0"/>
                <w:sz w:val="24"/>
              </w:rPr>
            </w:pPr>
          </w:p>
        </w:tc>
        <w:tc>
          <w:tcPr>
            <w:tcW w:w="498" w:type="pct"/>
            <w:noWrap/>
            <w:vAlign w:val="center"/>
          </w:tcPr>
          <w:p w:rsidR="003A5DC6" w:rsidRPr="00833445" w:rsidRDefault="003A5DC6" w:rsidP="000D38DA">
            <w:pPr>
              <w:spacing w:line="276" w:lineRule="auto"/>
              <w:contextualSpacing/>
              <w:jc w:val="center"/>
              <w:rPr>
                <w:rFonts w:ascii="仿宋" w:eastAsia="仿宋" w:hAnsi="仿宋"/>
                <w:b/>
                <w:sz w:val="24"/>
              </w:rPr>
            </w:pPr>
          </w:p>
        </w:tc>
        <w:tc>
          <w:tcPr>
            <w:tcW w:w="465" w:type="pct"/>
            <w:noWrap/>
            <w:vAlign w:val="center"/>
          </w:tcPr>
          <w:p w:rsidR="003A5DC6" w:rsidRPr="00833445" w:rsidRDefault="003A5DC6" w:rsidP="000D38DA">
            <w:pPr>
              <w:spacing w:line="276" w:lineRule="auto"/>
              <w:contextualSpacing/>
              <w:jc w:val="center"/>
              <w:rPr>
                <w:rFonts w:ascii="仿宋" w:eastAsia="仿宋" w:hAnsi="仿宋"/>
                <w:b/>
                <w:sz w:val="24"/>
              </w:rPr>
            </w:pPr>
          </w:p>
        </w:tc>
        <w:tc>
          <w:tcPr>
            <w:tcW w:w="417" w:type="pct"/>
            <w:noWrap/>
            <w:vAlign w:val="center"/>
          </w:tcPr>
          <w:p w:rsidR="003A5DC6" w:rsidRPr="00833445" w:rsidRDefault="003A5DC6" w:rsidP="000D38DA">
            <w:pPr>
              <w:spacing w:line="276" w:lineRule="auto"/>
              <w:contextualSpacing/>
              <w:jc w:val="center"/>
              <w:rPr>
                <w:rFonts w:ascii="仿宋" w:eastAsia="仿宋" w:hAnsi="仿宋"/>
                <w:b/>
                <w:sz w:val="24"/>
              </w:rPr>
            </w:pPr>
          </w:p>
        </w:tc>
        <w:tc>
          <w:tcPr>
            <w:tcW w:w="478" w:type="pct"/>
            <w:noWrap/>
            <w:vAlign w:val="center"/>
          </w:tcPr>
          <w:p w:rsidR="003A5DC6" w:rsidRPr="00833445" w:rsidRDefault="003A5DC6" w:rsidP="000D38DA">
            <w:pPr>
              <w:spacing w:line="276" w:lineRule="auto"/>
              <w:contextualSpacing/>
              <w:jc w:val="center"/>
              <w:rPr>
                <w:rFonts w:ascii="仿宋" w:eastAsia="仿宋" w:hAnsi="仿宋"/>
                <w:b/>
                <w:sz w:val="24"/>
              </w:rPr>
            </w:pPr>
          </w:p>
        </w:tc>
      </w:tr>
    </w:tbl>
    <w:bookmarkEnd w:id="11"/>
    <w:bookmarkEnd w:id="12"/>
    <w:p w:rsidR="003A5DC6" w:rsidRPr="00833445" w:rsidRDefault="003A5DC6" w:rsidP="003A5DC6">
      <w:pPr>
        <w:pStyle w:val="a0"/>
        <w:spacing w:line="360" w:lineRule="auto"/>
        <w:ind w:firstLine="482"/>
        <w:contextualSpacing/>
        <w:rPr>
          <w:rFonts w:ascii="仿宋" w:eastAsia="仿宋" w:hAnsi="仿宋"/>
          <w:b/>
        </w:rPr>
      </w:pPr>
      <w:r w:rsidRPr="00833445">
        <w:rPr>
          <w:rFonts w:ascii="仿宋" w:eastAsia="仿宋" w:hAnsi="仿宋" w:hint="eastAsia"/>
          <w:b/>
        </w:rPr>
        <w:t>2.4.3.22、投标人需按照项目明细单表报出</w:t>
      </w:r>
      <w:bookmarkStart w:id="15" w:name="OLE_LINK48"/>
      <w:bookmarkStart w:id="16" w:name="OLE_LINK49"/>
      <w:r w:rsidRPr="00833445">
        <w:rPr>
          <w:rFonts w:ascii="仿宋" w:eastAsia="仿宋" w:hAnsi="仿宋" w:hint="eastAsia"/>
          <w:b/>
        </w:rPr>
        <w:t>≤40岁女职工、＞40岁女职工、≤45岁男职工、＞45岁男职工的单价</w:t>
      </w:r>
      <w:bookmarkEnd w:id="15"/>
      <w:bookmarkEnd w:id="16"/>
      <w:r w:rsidRPr="00833445">
        <w:rPr>
          <w:rFonts w:ascii="仿宋" w:eastAsia="仿宋" w:hAnsi="仿宋" w:hint="eastAsia"/>
          <w:b/>
        </w:rPr>
        <w:t>。</w:t>
      </w:r>
    </w:p>
    <w:p w:rsidR="003A5DC6" w:rsidRPr="00833445" w:rsidRDefault="003A5DC6" w:rsidP="003A5DC6">
      <w:pPr>
        <w:pStyle w:val="a0"/>
        <w:spacing w:line="360" w:lineRule="auto"/>
        <w:ind w:firstLine="482"/>
        <w:rPr>
          <w:rFonts w:ascii="仿宋" w:eastAsia="仿宋" w:hAnsi="仿宋"/>
          <w:bCs/>
        </w:rPr>
      </w:pPr>
    </w:p>
    <w:p w:rsidR="003A5DC6" w:rsidRPr="00833445" w:rsidRDefault="003A5DC6" w:rsidP="003A5DC6">
      <w:pPr>
        <w:widowControl/>
        <w:snapToGrid w:val="0"/>
        <w:spacing w:line="360" w:lineRule="auto"/>
        <w:ind w:firstLineChars="200" w:firstLine="482"/>
        <w:contextualSpacing/>
        <w:rPr>
          <w:rFonts w:ascii="仿宋" w:eastAsia="仿宋" w:hAnsi="仿宋" w:cs="仿宋"/>
          <w:b/>
          <w:sz w:val="24"/>
        </w:rPr>
      </w:pPr>
      <w:r w:rsidRPr="00833445">
        <w:rPr>
          <w:rFonts w:ascii="仿宋" w:eastAsia="仿宋" w:hAnsi="仿宋" w:cs="仿宋" w:hint="eastAsia"/>
          <w:b/>
          <w:sz w:val="24"/>
        </w:rPr>
        <w:t>2.5 需由投标人提供设计方案、解决方案或者组织方案的采购项目，应当说明采购标的的功能、应用场景、目标等基本要求</w:t>
      </w:r>
    </w:p>
    <w:p w:rsidR="003A5DC6" w:rsidRPr="00833445" w:rsidRDefault="003A5DC6" w:rsidP="003A5DC6">
      <w:pPr>
        <w:pStyle w:val="a0"/>
        <w:spacing w:line="360" w:lineRule="auto"/>
      </w:pPr>
      <w:r w:rsidRPr="00833445">
        <w:rPr>
          <w:rFonts w:ascii="仿宋" w:eastAsia="仿宋" w:hAnsi="仿宋" w:hint="eastAsia"/>
        </w:rPr>
        <w:t>投标人需按照招标文件要求提供需求理解和服务质量保证措施、项目整体服务方案、体检流程方案、拟投入设备情况、技术力量、应急事件处理预案、售后服务方案和拟投入医生团队等。</w:t>
      </w:r>
    </w:p>
    <w:p w:rsidR="003A5DC6" w:rsidRPr="00833445" w:rsidRDefault="003A5DC6" w:rsidP="003A5DC6">
      <w:pPr>
        <w:pStyle w:val="a0"/>
      </w:pPr>
    </w:p>
    <w:p w:rsidR="003A5DC6" w:rsidRPr="00833445" w:rsidRDefault="003A5DC6" w:rsidP="003A5DC6">
      <w:pPr>
        <w:spacing w:line="360" w:lineRule="auto"/>
        <w:ind w:firstLine="480"/>
        <w:rPr>
          <w:rFonts w:ascii="仿宋" w:eastAsia="仿宋" w:hAnsi="仿宋" w:cs="Arial"/>
          <w:b/>
          <w:sz w:val="24"/>
        </w:rPr>
      </w:pPr>
      <w:r w:rsidRPr="00833445">
        <w:rPr>
          <w:rFonts w:ascii="仿宋" w:eastAsia="仿宋" w:hAnsi="仿宋" w:cs="Arial" w:hint="eastAsia"/>
          <w:b/>
          <w:sz w:val="24"/>
        </w:rPr>
        <w:t>3.验收标准</w:t>
      </w:r>
    </w:p>
    <w:p w:rsidR="003A5DC6" w:rsidRPr="00833445" w:rsidRDefault="003A5DC6" w:rsidP="003A5DC6">
      <w:pPr>
        <w:pStyle w:val="a0"/>
        <w:spacing w:line="360" w:lineRule="auto"/>
        <w:ind w:firstLine="482"/>
        <w:rPr>
          <w:rFonts w:ascii="仿宋" w:eastAsia="仿宋" w:hAnsi="仿宋"/>
          <w:bCs/>
        </w:rPr>
      </w:pPr>
      <w:r w:rsidRPr="00833445">
        <w:rPr>
          <w:rFonts w:ascii="仿宋" w:eastAsia="仿宋" w:hAnsi="仿宋" w:hint="eastAsia"/>
          <w:bCs/>
        </w:rPr>
        <w:t>无。</w:t>
      </w:r>
    </w:p>
    <w:p w:rsidR="005A67C2" w:rsidRPr="003A5DC6" w:rsidRDefault="00B6785E" w:rsidP="003A5DC6">
      <w:bookmarkStart w:id="17" w:name="_GoBack"/>
      <w:bookmarkEnd w:id="17"/>
    </w:p>
    <w:sectPr w:rsidR="005A67C2" w:rsidRPr="003A5DC6" w:rsidSect="00504DC9">
      <w:headerReference w:type="default" r:id="rId8"/>
      <w:footerReference w:type="even"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5E" w:rsidRDefault="00B6785E" w:rsidP="00BE7A21">
      <w:r>
        <w:separator/>
      </w:r>
    </w:p>
  </w:endnote>
  <w:endnote w:type="continuationSeparator" w:id="0">
    <w:p w:rsidR="00B6785E" w:rsidRDefault="00B6785E"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11BE0B0C" wp14:editId="42BA9756">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726960AF" wp14:editId="4FAF0ACA">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3A5DC6">
                            <w:rPr>
                              <w:noProof/>
                              <w:sz w:val="18"/>
                            </w:rPr>
                            <w:t>8</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LqtX16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3A5DC6">
                      <w:rPr>
                        <w:noProof/>
                        <w:sz w:val="18"/>
                      </w:rPr>
                      <w:t>8</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093DD2E9" wp14:editId="23D0DADC">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0"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blpQEAACoDAAAOAAAAZHJzL2Uyb0RvYy54bWysUkuOGyEQ3UfKHRD7mPYo81H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N6Wm5a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5E" w:rsidRDefault="00B6785E" w:rsidP="00BE7A21">
      <w:r>
        <w:separator/>
      </w:r>
    </w:p>
  </w:footnote>
  <w:footnote w:type="continuationSeparator" w:id="0">
    <w:p w:rsidR="00B6785E" w:rsidRDefault="00B6785E"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6B4163DB" wp14:editId="46A0C3BE">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20821B2E" wp14:editId="3A596E4E">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BoLKFPpAEAACMDAAAOAAAAAAAAAAAAAAAAAC4CAABkcnMvZTJvRG9jLnhtbFBLAQItABQABgAI&#10;AAAAIQA22Kt+3gAAAAkBAAAPAAAAAAAAAAAAAAAAAP4DAABkcnMvZG93bnJldi54bWxQSwUGAAAA&#10;AAQABADzAAAACQ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3E981D4" wp14:editId="00264D2E">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27"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fMEI7qcBAAAqAwAADgAAAAAAAAAAAAAAAAAuAgAAZHJzL2Uyb0RvYy54bWxQSwECLQAU&#10;AAYACAAAACEAGKisHd8AAAAKAQAADwAAAAAAAAAAAAAAAAABBAAAZHJzL2Rvd25yZXYueG1sUEsF&#10;BgAAAAAEAAQA8wAAAA0FA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2">
    <w:nsid w:val="D591A877"/>
    <w:multiLevelType w:val="singleLevel"/>
    <w:tmpl w:val="D591A877"/>
    <w:lvl w:ilvl="0">
      <w:start w:val="1"/>
      <w:numFmt w:val="decimal"/>
      <w:suff w:val="nothing"/>
      <w:lvlText w:val="%1．"/>
      <w:lvlJc w:val="left"/>
      <w:pPr>
        <w:ind w:left="0" w:firstLine="400"/>
      </w:pPr>
    </w:lvl>
  </w:abstractNum>
  <w:abstractNum w:abstractNumId="3">
    <w:nsid w:val="EC7C2E8F"/>
    <w:multiLevelType w:val="singleLevel"/>
    <w:tmpl w:val="EC7C2E8F"/>
    <w:lvl w:ilvl="0">
      <w:start w:val="1"/>
      <w:numFmt w:val="chineseCounting"/>
      <w:suff w:val="nothing"/>
      <w:lvlText w:val="%1、"/>
      <w:lvlJc w:val="left"/>
      <w:pPr>
        <w:ind w:left="-420" w:firstLine="420"/>
      </w:pPr>
    </w:lvl>
  </w:abstractNum>
  <w:abstractNum w:abstractNumId="4">
    <w:nsid w:val="00000002"/>
    <w:multiLevelType w:val="singleLevel"/>
    <w:tmpl w:val="00000002"/>
    <w:lvl w:ilvl="0">
      <w:start w:val="1"/>
      <w:numFmt w:val="decimal"/>
      <w:suff w:val="nothing"/>
      <w:lvlText w:val="%1、"/>
      <w:lvlJc w:val="left"/>
      <w:pPr>
        <w:ind w:left="0" w:firstLine="0"/>
      </w:pPr>
    </w:lvl>
  </w:abstractNum>
  <w:abstractNum w:abstractNumId="5">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3E63149"/>
    <w:multiLevelType w:val="hybridMultilevel"/>
    <w:tmpl w:val="C85C0E02"/>
    <w:lvl w:ilvl="0" w:tplc="04090011">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3E44525"/>
    <w:multiLevelType w:val="hybridMultilevel"/>
    <w:tmpl w:val="C30403B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8">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2A5D5F1C"/>
    <w:multiLevelType w:val="hybridMultilevel"/>
    <w:tmpl w:val="F976B28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3209364E"/>
    <w:multiLevelType w:val="hybridMultilevel"/>
    <w:tmpl w:val="4EC085A2"/>
    <w:lvl w:ilvl="0" w:tplc="0409000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nsid w:val="464C1F70"/>
    <w:multiLevelType w:val="hybridMultilevel"/>
    <w:tmpl w:val="6D888156"/>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3">
    <w:nsid w:val="4A2D5809"/>
    <w:multiLevelType w:val="multilevel"/>
    <w:tmpl w:val="4A2D580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4">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3786AF5"/>
    <w:multiLevelType w:val="hybridMultilevel"/>
    <w:tmpl w:val="05F26E0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6">
    <w:nsid w:val="5A122240"/>
    <w:multiLevelType w:val="hybridMultilevel"/>
    <w:tmpl w:val="5D668632"/>
    <w:lvl w:ilvl="0" w:tplc="330A906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9">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20"/>
  </w:num>
  <w:num w:numId="3">
    <w:abstractNumId w:val="11"/>
  </w:num>
  <w:num w:numId="4">
    <w:abstractNumId w:val="24"/>
  </w:num>
  <w:num w:numId="5">
    <w:abstractNumId w:val="27"/>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1"/>
  </w:num>
  <w:num w:numId="13">
    <w:abstractNumId w:val="1"/>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8"/>
  </w:num>
  <w:num w:numId="38">
    <w:abstractNumId w:val="23"/>
  </w:num>
  <w:num w:numId="39">
    <w:abstractNumId w:val="19"/>
  </w:num>
  <w:num w:numId="40">
    <w:abstractNumId w:val="13"/>
  </w:num>
  <w:num w:numId="41">
    <w:abstractNumId w:val="21"/>
  </w:num>
  <w:num w:numId="42">
    <w:abstractNumId w:val="22"/>
  </w:num>
  <w:num w:numId="43">
    <w:abstractNumId w:val="25"/>
  </w:num>
  <w:num w:numId="44">
    <w:abstractNumId w:val="26"/>
  </w:num>
  <w:num w:numId="45">
    <w:abstractNumId w:val="7"/>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A7749"/>
    <w:rsid w:val="001D7E02"/>
    <w:rsid w:val="001E78A3"/>
    <w:rsid w:val="002000D7"/>
    <w:rsid w:val="0020585F"/>
    <w:rsid w:val="00262C0A"/>
    <w:rsid w:val="0027169F"/>
    <w:rsid w:val="00287BE9"/>
    <w:rsid w:val="002901AE"/>
    <w:rsid w:val="002B1A97"/>
    <w:rsid w:val="00307BC9"/>
    <w:rsid w:val="00331D98"/>
    <w:rsid w:val="00392D77"/>
    <w:rsid w:val="003A5DC6"/>
    <w:rsid w:val="00431219"/>
    <w:rsid w:val="0046640B"/>
    <w:rsid w:val="00471C3B"/>
    <w:rsid w:val="004F644E"/>
    <w:rsid w:val="004F66FA"/>
    <w:rsid w:val="00504DC9"/>
    <w:rsid w:val="00515BAC"/>
    <w:rsid w:val="0059095A"/>
    <w:rsid w:val="005A6B05"/>
    <w:rsid w:val="00613CF3"/>
    <w:rsid w:val="00687E80"/>
    <w:rsid w:val="006A37F0"/>
    <w:rsid w:val="006D6426"/>
    <w:rsid w:val="006F7B9A"/>
    <w:rsid w:val="007328B2"/>
    <w:rsid w:val="00767785"/>
    <w:rsid w:val="0077387E"/>
    <w:rsid w:val="007D3E6C"/>
    <w:rsid w:val="007D740F"/>
    <w:rsid w:val="007F4B3A"/>
    <w:rsid w:val="008300BA"/>
    <w:rsid w:val="00834121"/>
    <w:rsid w:val="00867494"/>
    <w:rsid w:val="00883501"/>
    <w:rsid w:val="008B1E99"/>
    <w:rsid w:val="00911391"/>
    <w:rsid w:val="0092428A"/>
    <w:rsid w:val="009E4BA7"/>
    <w:rsid w:val="00A242E8"/>
    <w:rsid w:val="00A42718"/>
    <w:rsid w:val="00A439C9"/>
    <w:rsid w:val="00B10D5B"/>
    <w:rsid w:val="00B23225"/>
    <w:rsid w:val="00B56523"/>
    <w:rsid w:val="00B6785E"/>
    <w:rsid w:val="00BB7182"/>
    <w:rsid w:val="00BE7A21"/>
    <w:rsid w:val="00BF25DA"/>
    <w:rsid w:val="00C3563E"/>
    <w:rsid w:val="00C460CB"/>
    <w:rsid w:val="00CA1927"/>
    <w:rsid w:val="00CB5D27"/>
    <w:rsid w:val="00CF4BAD"/>
    <w:rsid w:val="00D01513"/>
    <w:rsid w:val="00D50BAA"/>
    <w:rsid w:val="00D57FBF"/>
    <w:rsid w:val="00D85EFA"/>
    <w:rsid w:val="00DD75AB"/>
    <w:rsid w:val="00DE4230"/>
    <w:rsid w:val="00E45F05"/>
    <w:rsid w:val="00ED36F5"/>
    <w:rsid w:val="00EF5892"/>
    <w:rsid w:val="00F04A0A"/>
    <w:rsid w:val="00F41F90"/>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17</cp:revision>
  <dcterms:created xsi:type="dcterms:W3CDTF">2023-03-03T07:02:00Z</dcterms:created>
  <dcterms:modified xsi:type="dcterms:W3CDTF">2026-06-18T02:21:00Z</dcterms:modified>
</cp:coreProperties>
</file>