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7B097">
      <w:pPr>
        <w:snapToGrid w:val="0"/>
        <w:spacing w:line="360" w:lineRule="auto"/>
        <w:jc w:val="center"/>
        <w:outlineLvl w:val="0"/>
        <w:rPr>
          <w:rFonts w:ascii="仿宋" w:hAnsi="仿宋" w:eastAsia="仿宋" w:cs="仿宋"/>
          <w:b/>
          <w:sz w:val="40"/>
          <w:szCs w:val="40"/>
        </w:rPr>
      </w:pPr>
      <w:bookmarkStart w:id="0" w:name="_Toc229437482"/>
      <w:bookmarkStart w:id="1" w:name="_Toc227684378"/>
      <w:bookmarkStart w:id="8" w:name="_GoBack"/>
      <w:bookmarkEnd w:id="8"/>
      <w:r>
        <w:rPr>
          <w:rFonts w:hint="eastAsia" w:ascii="仿宋" w:hAnsi="仿宋" w:eastAsia="仿宋" w:cs="仿宋"/>
          <w:b/>
          <w:sz w:val="40"/>
          <w:szCs w:val="40"/>
        </w:rPr>
        <w:t>采购需求</w:t>
      </w:r>
      <w:bookmarkEnd w:id="0"/>
      <w:bookmarkEnd w:id="1"/>
    </w:p>
    <w:p w14:paraId="72244283">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14:paraId="414BEF99">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（一）采购标的（货物需求一览表或简要服务内容及数量）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39"/>
        <w:gridCol w:w="3086"/>
        <w:gridCol w:w="1175"/>
        <w:gridCol w:w="934"/>
        <w:gridCol w:w="1439"/>
      </w:tblGrid>
      <w:tr w14:paraId="41C1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98" w:type="dxa"/>
            <w:tcBorders>
              <w:tl2br w:val="nil"/>
              <w:tr2bl w:val="nil"/>
            </w:tcBorders>
            <w:noWrap/>
            <w:vAlign w:val="center"/>
          </w:tcPr>
          <w:p w14:paraId="78B211EB">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rPr>
              <w:t>包号</w:t>
            </w:r>
          </w:p>
        </w:tc>
        <w:tc>
          <w:tcPr>
            <w:tcW w:w="939" w:type="dxa"/>
            <w:tcBorders>
              <w:tl2br w:val="nil"/>
              <w:tr2bl w:val="nil"/>
            </w:tcBorders>
            <w:vAlign w:val="center"/>
          </w:tcPr>
          <w:p w14:paraId="0AC8C9D0">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rPr>
              <w:t>品目号</w:t>
            </w:r>
          </w:p>
        </w:tc>
        <w:tc>
          <w:tcPr>
            <w:tcW w:w="3086" w:type="dxa"/>
            <w:tcBorders>
              <w:tl2br w:val="nil"/>
              <w:tr2bl w:val="nil"/>
            </w:tcBorders>
            <w:noWrap/>
            <w:vAlign w:val="center"/>
          </w:tcPr>
          <w:p w14:paraId="3021D5FF">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rPr>
              <w:t>标的名称</w:t>
            </w:r>
          </w:p>
        </w:tc>
        <w:tc>
          <w:tcPr>
            <w:tcW w:w="1175" w:type="dxa"/>
            <w:tcBorders>
              <w:tl2br w:val="nil"/>
              <w:tr2bl w:val="nil"/>
            </w:tcBorders>
            <w:noWrap/>
            <w:vAlign w:val="center"/>
          </w:tcPr>
          <w:p w14:paraId="0124B3F4">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rPr>
              <w:t>数量</w:t>
            </w:r>
          </w:p>
        </w:tc>
        <w:tc>
          <w:tcPr>
            <w:tcW w:w="934" w:type="dxa"/>
            <w:tcBorders>
              <w:tl2br w:val="nil"/>
              <w:tr2bl w:val="nil"/>
            </w:tcBorders>
            <w:vAlign w:val="center"/>
          </w:tcPr>
          <w:p w14:paraId="0A8DEEE4">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rPr>
              <w:t>单位</w:t>
            </w:r>
          </w:p>
        </w:tc>
        <w:tc>
          <w:tcPr>
            <w:tcW w:w="1439" w:type="dxa"/>
            <w:tcBorders>
              <w:tl2br w:val="nil"/>
              <w:tr2bl w:val="nil"/>
            </w:tcBorders>
            <w:vAlign w:val="center"/>
          </w:tcPr>
          <w:p w14:paraId="00D5E3C5">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kern w:val="0"/>
                <w:sz w:val="24"/>
              </w:rPr>
              <w:t>是否接受进口产品</w:t>
            </w:r>
          </w:p>
        </w:tc>
      </w:tr>
      <w:tr w14:paraId="676F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8" w:type="dxa"/>
            <w:vMerge w:val="restart"/>
            <w:tcBorders>
              <w:tl2br w:val="nil"/>
              <w:tr2bl w:val="nil"/>
            </w:tcBorders>
            <w:noWrap/>
            <w:vAlign w:val="center"/>
          </w:tcPr>
          <w:p w14:paraId="639FD453">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 w:val="24"/>
              </w:rPr>
            </w:pPr>
            <w:r>
              <w:rPr>
                <w:rFonts w:hint="eastAsia" w:ascii="仿宋" w:hAnsi="仿宋" w:eastAsia="仿宋" w:cs="仿宋"/>
                <w:bCs/>
                <w:sz w:val="24"/>
              </w:rPr>
              <w:t>1</w:t>
            </w:r>
          </w:p>
        </w:tc>
        <w:tc>
          <w:tcPr>
            <w:tcW w:w="939" w:type="dxa"/>
            <w:tcBorders>
              <w:tl2br w:val="nil"/>
              <w:tr2bl w:val="nil"/>
            </w:tcBorders>
            <w:vAlign w:val="center"/>
          </w:tcPr>
          <w:p w14:paraId="4A34BA17">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 w:val="24"/>
                <w:lang w:bidi="ar"/>
              </w:rPr>
            </w:pPr>
            <w:r>
              <w:rPr>
                <w:rFonts w:hint="eastAsia" w:ascii="仿宋" w:hAnsi="仿宋" w:eastAsia="仿宋" w:cs="仿宋"/>
                <w:kern w:val="0"/>
                <w:sz w:val="24"/>
                <w:lang w:bidi="ar"/>
              </w:rPr>
              <w:t>1-1</w:t>
            </w:r>
          </w:p>
        </w:tc>
        <w:tc>
          <w:tcPr>
            <w:tcW w:w="3086" w:type="dxa"/>
            <w:tcBorders>
              <w:tl2br w:val="nil"/>
              <w:tr2bl w:val="nil"/>
            </w:tcBorders>
            <w:noWrap/>
            <w:vAlign w:val="center"/>
          </w:tcPr>
          <w:p w14:paraId="51C095AD">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仿宋" w:hAnsi="仿宋" w:eastAsia="仿宋" w:cs="宋体"/>
                <w:kern w:val="0"/>
                <w:sz w:val="24"/>
              </w:rPr>
              <w:t>核酸检测试剂</w:t>
            </w:r>
          </w:p>
        </w:tc>
        <w:tc>
          <w:tcPr>
            <w:tcW w:w="1175" w:type="dxa"/>
            <w:tcBorders>
              <w:tl2br w:val="nil"/>
              <w:tr2bl w:val="nil"/>
            </w:tcBorders>
            <w:noWrap/>
            <w:vAlign w:val="center"/>
          </w:tcPr>
          <w:p w14:paraId="3D38279D">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仿宋" w:hAnsi="仿宋" w:eastAsia="仿宋" w:cs="宋体"/>
                <w:kern w:val="0"/>
                <w:sz w:val="24"/>
              </w:rPr>
              <w:t>111402</w:t>
            </w:r>
          </w:p>
        </w:tc>
        <w:tc>
          <w:tcPr>
            <w:tcW w:w="934" w:type="dxa"/>
            <w:tcBorders>
              <w:tl2br w:val="nil"/>
              <w:tr2bl w:val="nil"/>
            </w:tcBorders>
            <w:vAlign w:val="center"/>
          </w:tcPr>
          <w:p w14:paraId="77261A17">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仿宋" w:hAnsi="仿宋" w:eastAsia="仿宋" w:cs="宋体"/>
                <w:kern w:val="0"/>
                <w:sz w:val="24"/>
              </w:rPr>
              <w:t>人份</w:t>
            </w:r>
          </w:p>
        </w:tc>
        <w:tc>
          <w:tcPr>
            <w:tcW w:w="1439" w:type="dxa"/>
            <w:tcBorders>
              <w:tl2br w:val="nil"/>
              <w:tr2bl w:val="nil"/>
            </w:tcBorders>
            <w:vAlign w:val="center"/>
          </w:tcPr>
          <w:p w14:paraId="5A703640">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 w:val="24"/>
                <w:lang w:bidi="ar"/>
              </w:rPr>
            </w:pPr>
            <w:r>
              <w:rPr>
                <w:rFonts w:hint="eastAsia" w:ascii="仿宋" w:hAnsi="仿宋" w:eastAsia="仿宋" w:cs="仿宋"/>
                <w:kern w:val="0"/>
                <w:sz w:val="24"/>
                <w:lang w:bidi="ar"/>
              </w:rPr>
              <w:t>否</w:t>
            </w:r>
          </w:p>
        </w:tc>
      </w:tr>
      <w:tr w14:paraId="4577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98" w:type="dxa"/>
            <w:vMerge w:val="continue"/>
            <w:tcBorders>
              <w:tl2br w:val="nil"/>
              <w:tr2bl w:val="nil"/>
            </w:tcBorders>
            <w:noWrap/>
            <w:vAlign w:val="center"/>
          </w:tcPr>
          <w:p w14:paraId="60898CEC">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 w:val="24"/>
              </w:rPr>
            </w:pPr>
          </w:p>
        </w:tc>
        <w:tc>
          <w:tcPr>
            <w:tcW w:w="939" w:type="dxa"/>
            <w:tcBorders>
              <w:tl2br w:val="nil"/>
              <w:tr2bl w:val="nil"/>
            </w:tcBorders>
            <w:vAlign w:val="center"/>
          </w:tcPr>
          <w:p w14:paraId="4862930F">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 w:val="24"/>
                <w:lang w:bidi="ar"/>
              </w:rPr>
            </w:pPr>
            <w:r>
              <w:rPr>
                <w:rFonts w:hint="eastAsia" w:ascii="仿宋" w:hAnsi="仿宋" w:eastAsia="仿宋" w:cs="仿宋"/>
                <w:kern w:val="0"/>
                <w:sz w:val="24"/>
                <w:lang w:bidi="ar"/>
              </w:rPr>
              <w:t>1-2</w:t>
            </w:r>
          </w:p>
        </w:tc>
        <w:tc>
          <w:tcPr>
            <w:tcW w:w="3086" w:type="dxa"/>
            <w:tcBorders>
              <w:tl2br w:val="nil"/>
              <w:tr2bl w:val="nil"/>
            </w:tcBorders>
            <w:noWrap/>
            <w:vAlign w:val="center"/>
          </w:tcPr>
          <w:p w14:paraId="03A69AA7">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default" w:ascii="仿宋" w:hAnsi="仿宋" w:eastAsia="仿宋" w:cs="宋体"/>
                <w:kern w:val="0"/>
                <w:sz w:val="24"/>
              </w:rPr>
              <w:t>核酸质控品</w:t>
            </w:r>
          </w:p>
        </w:tc>
        <w:tc>
          <w:tcPr>
            <w:tcW w:w="1175" w:type="dxa"/>
            <w:tcBorders>
              <w:tl2br w:val="nil"/>
              <w:tr2bl w:val="nil"/>
            </w:tcBorders>
            <w:noWrap/>
            <w:vAlign w:val="center"/>
          </w:tcPr>
          <w:p w14:paraId="6C934F03">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仿宋" w:hAnsi="仿宋" w:eastAsia="仿宋" w:cs="宋体"/>
                <w:kern w:val="0"/>
                <w:sz w:val="24"/>
              </w:rPr>
              <w:t>7775</w:t>
            </w:r>
          </w:p>
        </w:tc>
        <w:tc>
          <w:tcPr>
            <w:tcW w:w="934" w:type="dxa"/>
            <w:tcBorders>
              <w:tl2br w:val="nil"/>
              <w:tr2bl w:val="nil"/>
            </w:tcBorders>
            <w:vAlign w:val="center"/>
          </w:tcPr>
          <w:p w14:paraId="10C5BA0E">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仿宋" w:hAnsi="仿宋" w:eastAsia="仿宋" w:cs="宋体"/>
                <w:kern w:val="0"/>
                <w:sz w:val="24"/>
              </w:rPr>
              <w:t>支</w:t>
            </w:r>
          </w:p>
        </w:tc>
        <w:tc>
          <w:tcPr>
            <w:tcW w:w="1439" w:type="dxa"/>
            <w:tcBorders>
              <w:tl2br w:val="nil"/>
              <w:tr2bl w:val="nil"/>
            </w:tcBorders>
            <w:vAlign w:val="center"/>
          </w:tcPr>
          <w:p w14:paraId="1F2D34CB">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 w:val="24"/>
                <w:lang w:bidi="ar"/>
              </w:rPr>
            </w:pPr>
            <w:r>
              <w:rPr>
                <w:rFonts w:hint="eastAsia" w:ascii="仿宋" w:hAnsi="仿宋" w:eastAsia="仿宋" w:cs="仿宋"/>
                <w:kern w:val="0"/>
                <w:sz w:val="24"/>
                <w:lang w:bidi="ar"/>
              </w:rPr>
              <w:t>否</w:t>
            </w:r>
          </w:p>
        </w:tc>
      </w:tr>
      <w:tr w14:paraId="0107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98" w:type="dxa"/>
            <w:tcBorders>
              <w:tl2br w:val="nil"/>
              <w:tr2bl w:val="nil"/>
            </w:tcBorders>
            <w:noWrap/>
            <w:vAlign w:val="center"/>
          </w:tcPr>
          <w:p w14:paraId="661B7D8F">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 w:val="24"/>
              </w:rPr>
            </w:pPr>
            <w:r>
              <w:rPr>
                <w:rFonts w:hint="eastAsia" w:ascii="仿宋" w:hAnsi="仿宋" w:eastAsia="仿宋" w:cs="仿宋"/>
                <w:bCs/>
                <w:sz w:val="24"/>
              </w:rPr>
              <w:t>2</w:t>
            </w:r>
          </w:p>
        </w:tc>
        <w:tc>
          <w:tcPr>
            <w:tcW w:w="939" w:type="dxa"/>
            <w:tcBorders>
              <w:tl2br w:val="nil"/>
              <w:tr2bl w:val="nil"/>
            </w:tcBorders>
            <w:vAlign w:val="center"/>
          </w:tcPr>
          <w:p w14:paraId="360E7B14">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 w:val="24"/>
                <w:lang w:bidi="ar"/>
              </w:rPr>
            </w:pPr>
            <w:r>
              <w:rPr>
                <w:rFonts w:hint="eastAsia" w:ascii="仿宋" w:hAnsi="仿宋" w:eastAsia="仿宋" w:cs="仿宋"/>
                <w:kern w:val="0"/>
                <w:sz w:val="24"/>
                <w:lang w:bidi="ar"/>
              </w:rPr>
              <w:t>2-1</w:t>
            </w:r>
          </w:p>
        </w:tc>
        <w:tc>
          <w:tcPr>
            <w:tcW w:w="3086" w:type="dxa"/>
            <w:tcBorders>
              <w:tl2br w:val="nil"/>
              <w:tr2bl w:val="nil"/>
            </w:tcBorders>
            <w:noWrap/>
            <w:vAlign w:val="center"/>
          </w:tcPr>
          <w:p w14:paraId="0E353AAB">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仿宋" w:hAnsi="仿宋" w:eastAsia="仿宋" w:cs="宋体"/>
                <w:kern w:val="0"/>
                <w:sz w:val="24"/>
              </w:rPr>
              <w:t>核酸检测试剂</w:t>
            </w:r>
          </w:p>
        </w:tc>
        <w:tc>
          <w:tcPr>
            <w:tcW w:w="1175" w:type="dxa"/>
            <w:tcBorders>
              <w:tl2br w:val="nil"/>
              <w:tr2bl w:val="nil"/>
            </w:tcBorders>
            <w:noWrap/>
            <w:vAlign w:val="center"/>
          </w:tcPr>
          <w:p w14:paraId="62A99039">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仿宋" w:hAnsi="仿宋" w:eastAsia="仿宋" w:cs="宋体"/>
                <w:kern w:val="0"/>
                <w:sz w:val="24"/>
              </w:rPr>
              <w:t>25000</w:t>
            </w:r>
          </w:p>
        </w:tc>
        <w:tc>
          <w:tcPr>
            <w:tcW w:w="934" w:type="dxa"/>
            <w:tcBorders>
              <w:tl2br w:val="nil"/>
              <w:tr2bl w:val="nil"/>
            </w:tcBorders>
            <w:vAlign w:val="center"/>
          </w:tcPr>
          <w:p w14:paraId="227A2B42">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仿宋" w:hAnsi="仿宋" w:eastAsia="仿宋" w:cs="宋体"/>
                <w:kern w:val="0"/>
                <w:sz w:val="24"/>
              </w:rPr>
              <w:t>人份</w:t>
            </w:r>
          </w:p>
        </w:tc>
        <w:tc>
          <w:tcPr>
            <w:tcW w:w="1439" w:type="dxa"/>
            <w:tcBorders>
              <w:tl2br w:val="nil"/>
              <w:tr2bl w:val="nil"/>
            </w:tcBorders>
            <w:vAlign w:val="center"/>
          </w:tcPr>
          <w:p w14:paraId="33C2D402">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 w:val="24"/>
                <w:lang w:bidi="ar"/>
              </w:rPr>
            </w:pPr>
            <w:r>
              <w:rPr>
                <w:rFonts w:hint="eastAsia" w:ascii="仿宋" w:hAnsi="仿宋" w:eastAsia="仿宋" w:cs="仿宋"/>
                <w:kern w:val="0"/>
                <w:sz w:val="24"/>
                <w:lang w:bidi="ar"/>
              </w:rPr>
              <w:t>否</w:t>
            </w:r>
          </w:p>
        </w:tc>
      </w:tr>
    </w:tbl>
    <w:p w14:paraId="2933D5B8">
      <w:pPr>
        <w:snapToGrid w:val="0"/>
        <w:spacing w:line="360" w:lineRule="auto"/>
        <w:ind w:firstLine="482" w:firstLineChars="200"/>
        <w:rPr>
          <w:rFonts w:ascii="仿宋" w:hAnsi="仿宋" w:eastAsia="仿宋" w:cs="仿宋"/>
          <w:b/>
          <w:bCs/>
          <w:sz w:val="24"/>
        </w:rPr>
      </w:pPr>
    </w:p>
    <w:p w14:paraId="1DFFED6A">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（二）项目背景/项目概述（如有）</w:t>
      </w:r>
    </w:p>
    <w:p w14:paraId="1C14F94A">
      <w:pPr>
        <w:snapToGrid w:val="0"/>
        <w:spacing w:line="360" w:lineRule="auto"/>
        <w:ind w:firstLine="480" w:firstLineChars="200"/>
        <w:rPr>
          <w:rFonts w:ascii="仿宋" w:hAnsi="仿宋" w:eastAsia="仿宋" w:cs="仿宋"/>
          <w:bCs/>
          <w:sz w:val="24"/>
        </w:rPr>
      </w:pPr>
      <w:r>
        <w:rPr>
          <w:rFonts w:hint="eastAsia" w:ascii="仿宋" w:hAnsi="仿宋" w:eastAsia="仿宋"/>
          <w:sz w:val="24"/>
        </w:rPr>
        <w:t>本次招标采购是为北京市红十字血液中心购置核酸检测试剂、核酸质控品，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53F20FE8">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p>
    <w:p w14:paraId="6B7B180A">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（一）交付（实施）的时间（期限）和地点（范围）</w:t>
      </w:r>
    </w:p>
    <w:p w14:paraId="4ADBC1D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1、交付时间：</w:t>
      </w:r>
      <w:r>
        <w:rPr>
          <w:rFonts w:hint="eastAsia" w:ascii="仿宋" w:hAnsi="仿宋" w:eastAsia="仿宋" w:cs="宋体"/>
          <w:sz w:val="24"/>
        </w:rPr>
        <w:t>投标人在接到采购人订货通知后15个工作日内将货物运至采购人地点</w:t>
      </w:r>
      <w:r>
        <w:rPr>
          <w:rFonts w:ascii="仿宋_GB2312" w:eastAsia="仿宋_GB2312"/>
          <w:color w:val="000000" w:themeColor="text1"/>
          <w:sz w:val="24"/>
          <w14:textFill>
            <w14:solidFill>
              <w14:schemeClr w14:val="tx1"/>
            </w14:solidFill>
          </w14:textFill>
        </w:rPr>
        <w:t>（特殊情况除外）</w:t>
      </w:r>
      <w:r>
        <w:rPr>
          <w:rFonts w:hint="eastAsia" w:ascii="仿宋_GB2312" w:eastAsia="仿宋_GB2312"/>
          <w:color w:val="000000" w:themeColor="text1"/>
          <w:sz w:val="24"/>
          <w14:textFill>
            <w14:solidFill>
              <w14:schemeClr w14:val="tx1"/>
            </w14:solidFill>
          </w14:textFill>
        </w:rPr>
        <w:t>或按照双方约定的时间内送货，</w:t>
      </w:r>
      <w:r>
        <w:rPr>
          <w:rFonts w:hint="eastAsia" w:ascii="仿宋_GB2312" w:eastAsia="仿宋_GB2312"/>
          <w:sz w:val="24"/>
        </w:rPr>
        <w:t>并及时提供</w:t>
      </w:r>
      <w:r>
        <w:rPr>
          <w:rFonts w:hint="eastAsia" w:ascii="仿宋_GB2312" w:eastAsia="仿宋_GB2312"/>
          <w:color w:val="000000" w:themeColor="text1"/>
          <w:sz w:val="24"/>
          <w14:textFill>
            <w14:solidFill>
              <w14:schemeClr w14:val="tx1"/>
            </w14:solidFill>
          </w14:textFill>
        </w:rPr>
        <w:t>发货清单、产品检验报告</w:t>
      </w:r>
      <w:r>
        <w:rPr>
          <w:rFonts w:hint="eastAsia" w:ascii="仿宋_GB2312" w:eastAsia="仿宋_GB2312"/>
          <w:sz w:val="24"/>
        </w:rPr>
        <w:t>等相关文件</w:t>
      </w:r>
      <w:r>
        <w:rPr>
          <w:rFonts w:hint="eastAsia" w:ascii="仿宋" w:hAnsi="仿宋" w:eastAsia="仿宋" w:cs="宋体"/>
          <w:sz w:val="24"/>
        </w:rPr>
        <w:t>。</w:t>
      </w:r>
    </w:p>
    <w:p w14:paraId="157F7CE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2、交付地点：北京市红十字血液中心（</w:t>
      </w:r>
      <w:r>
        <w:rPr>
          <w:rFonts w:hint="eastAsia" w:ascii="仿宋_GB2312" w:eastAsia="仿宋_GB2312" w:hAnsiTheme="minorHAnsi"/>
          <w:sz w:val="24"/>
        </w:rPr>
        <w:t>北京市海淀区北三环中路37号</w:t>
      </w:r>
      <w:r>
        <w:rPr>
          <w:rFonts w:hint="eastAsia" w:ascii="仿宋" w:hAnsi="仿宋" w:eastAsia="仿宋" w:cs="仿宋"/>
          <w:bCs/>
          <w:sz w:val="24"/>
        </w:rPr>
        <w:t>）。</w:t>
      </w:r>
    </w:p>
    <w:p w14:paraId="42427146">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（二）付款条件（进度和方式）</w:t>
      </w:r>
    </w:p>
    <w:p w14:paraId="039F56EC">
      <w:pPr>
        <w:spacing w:line="360" w:lineRule="auto"/>
        <w:ind w:firstLine="480"/>
        <w:rPr>
          <w:rFonts w:ascii="仿宋" w:hAnsi="仿宋" w:eastAsia="仿宋" w:cs="仿宋"/>
          <w:b/>
          <w:bCs/>
          <w:sz w:val="24"/>
        </w:rPr>
      </w:pPr>
      <w:r>
        <w:rPr>
          <w:rFonts w:hint="eastAsia" w:ascii="仿宋" w:hAnsi="仿宋" w:eastAsia="仿宋"/>
          <w:sz w:val="24"/>
        </w:rPr>
        <w:t>参照合同文本中的付款方式及进度执行。</w:t>
      </w:r>
    </w:p>
    <w:p w14:paraId="4A3CCD10">
      <w:pPr>
        <w:pStyle w:val="2"/>
        <w:rPr>
          <w:b/>
        </w:rPr>
      </w:pPr>
    </w:p>
    <w:p w14:paraId="06027BAD">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（三）包装和运输</w:t>
      </w:r>
    </w:p>
    <w:p w14:paraId="73148E0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投标产品的包装应符合</w:t>
      </w:r>
      <w:r>
        <w:rPr>
          <w:rFonts w:hint="eastAsia" w:ascii="仿宋_GB2312" w:hAnsi="宋体" w:eastAsia="仿宋_GB2312"/>
          <w:sz w:val="24"/>
        </w:rPr>
        <w:t>《关于印发〈商品包装政府采购需求标准（试行）〉、〈快递包装政府采购需求标准（试行）〉的通知》（财办库﹝2020﹞123号）</w:t>
      </w:r>
      <w:r>
        <w:rPr>
          <w:rFonts w:hint="eastAsia" w:ascii="仿宋" w:hAnsi="仿宋" w:eastAsia="仿宋" w:cs="仿宋"/>
          <w:bCs/>
          <w:sz w:val="24"/>
        </w:rPr>
        <w:t>的规定。</w:t>
      </w:r>
    </w:p>
    <w:p w14:paraId="49EAF4C0">
      <w:pPr>
        <w:snapToGrid w:val="0"/>
        <w:spacing w:line="360" w:lineRule="auto"/>
        <w:ind w:firstLine="480" w:firstLineChars="200"/>
        <w:rPr>
          <w:rFonts w:ascii="仿宋" w:hAnsi="仿宋" w:eastAsia="仿宋" w:cs="仿宋"/>
          <w:bCs/>
          <w:sz w:val="24"/>
        </w:rPr>
      </w:pPr>
    </w:p>
    <w:p w14:paraId="6CA40194">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（四）售后服务（质保期）</w:t>
      </w:r>
    </w:p>
    <w:p w14:paraId="7C97BDB0">
      <w:pPr>
        <w:snapToGrid w:val="0"/>
        <w:spacing w:line="360" w:lineRule="auto"/>
        <w:ind w:firstLine="480" w:firstLineChars="200"/>
        <w:rPr>
          <w:rFonts w:ascii="仿宋" w:hAnsi="仿宋" w:eastAsia="仿宋" w:cs="仿宋"/>
          <w:bCs/>
          <w:sz w:val="24"/>
        </w:rPr>
      </w:pPr>
      <w:r>
        <w:rPr>
          <w:rFonts w:hint="eastAsia" w:ascii="仿宋_GB2312" w:eastAsia="仿宋_GB2312" w:hAnsiTheme="minorHAnsi" w:cstheme="minorBidi"/>
          <w:sz w:val="24"/>
          <w:szCs w:val="22"/>
        </w:rPr>
        <w:t>合同执行期限为自一年</w:t>
      </w:r>
      <w:r>
        <w:rPr>
          <w:rFonts w:hint="eastAsia" w:ascii="仿宋" w:hAnsi="仿宋" w:eastAsia="仿宋"/>
          <w:sz w:val="24"/>
        </w:rPr>
        <w:t>。</w:t>
      </w:r>
    </w:p>
    <w:p w14:paraId="6A71CF69">
      <w:pPr>
        <w:pStyle w:val="2"/>
      </w:pPr>
    </w:p>
    <w:p w14:paraId="5B893C94">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14:paraId="02D886DD">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（一）基本要求</w:t>
      </w:r>
    </w:p>
    <w:p w14:paraId="5CE5088A">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1、采购标的需实现的功能或者目标</w:t>
      </w:r>
    </w:p>
    <w:p w14:paraId="71C68872">
      <w:pPr>
        <w:snapToGrid w:val="0"/>
        <w:spacing w:line="360" w:lineRule="auto"/>
        <w:ind w:firstLine="480" w:firstLineChars="200"/>
        <w:rPr>
          <w:rFonts w:ascii="仿宋" w:hAnsi="仿宋" w:eastAsia="仿宋"/>
          <w:sz w:val="24"/>
        </w:rPr>
      </w:pPr>
      <w:r>
        <w:rPr>
          <w:rFonts w:hint="eastAsia" w:ascii="仿宋" w:hAnsi="仿宋" w:eastAsia="仿宋"/>
          <w:sz w:val="24"/>
        </w:rPr>
        <w:t>本次招标采购是为北京市红十字血液中心购置核酸检测试剂、核酸质控品，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78571F7D">
      <w:pPr>
        <w:pStyle w:val="2"/>
      </w:pPr>
    </w:p>
    <w:p w14:paraId="35F6B83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2、需执行的国家相关标准、行业标准、地方标准或者其他标准、规范</w:t>
      </w:r>
    </w:p>
    <w:p w14:paraId="5AA25001">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w:t>
      </w:r>
      <w:r>
        <w:rPr>
          <w:rFonts w:hint="eastAsia" w:ascii="仿宋" w:hAnsi="仿宋" w:eastAsia="仿宋" w:cs="仿宋"/>
          <w:b/>
          <w:bCs/>
          <w:sz w:val="24"/>
        </w:rPr>
        <w:t>2.1、投标产品属于药品的，应按国家药品监督管理总局颁发的《药品注册管理办法》，办理药品注册证书（含药品注册批件/再注册批件），投标人须提供药品注册证书复印件。</w:t>
      </w:r>
    </w:p>
    <w:p w14:paraId="15BD99E6">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2.2、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hAnsi="仿宋" w:eastAsia="仿宋" w:cs="仿宋"/>
          <w:b/>
          <w:bCs/>
          <w:sz w:val="24"/>
        </w:rPr>
        <w:t>相关证明文件的复印件</w:t>
      </w:r>
      <w:r>
        <w:rPr>
          <w:rFonts w:hint="eastAsia" w:ascii="仿宋" w:hAnsi="仿宋" w:eastAsia="仿宋" w:cs="仿宋"/>
          <w:b/>
          <w:bCs/>
          <w:sz w:val="24"/>
        </w:rPr>
        <w:t>。</w:t>
      </w:r>
    </w:p>
    <w:p w14:paraId="6F69429C">
      <w:pPr>
        <w:pStyle w:val="2"/>
        <w:rPr>
          <w:rFonts w:ascii="仿宋" w:hAnsi="仿宋" w:eastAsia="仿宋"/>
          <w:b/>
        </w:rPr>
      </w:pPr>
    </w:p>
    <w:p w14:paraId="451D9786">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14:paraId="596A27DE">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1、采购标的需满足的性能、材料、结构、外观、质量、安全、技术规格、物理特性等要求：</w:t>
      </w:r>
    </w:p>
    <w:p w14:paraId="56718D00">
      <w:pPr>
        <w:snapToGrid w:val="0"/>
        <w:spacing w:line="360" w:lineRule="auto"/>
        <w:ind w:firstLine="482" w:firstLineChars="200"/>
        <w:jc w:val="center"/>
        <w:rPr>
          <w:rFonts w:ascii="仿宋" w:hAnsi="仿宋" w:eastAsia="仿宋" w:cs="仿宋"/>
          <w:b/>
          <w:bCs/>
          <w:sz w:val="24"/>
        </w:rPr>
      </w:pPr>
      <w:r>
        <w:rPr>
          <w:rFonts w:ascii="仿宋" w:hAnsi="仿宋" w:eastAsia="仿宋" w:cs="仿宋"/>
          <w:b/>
          <w:bCs/>
          <w:sz w:val="24"/>
        </w:rPr>
        <w:t>第</w:t>
      </w:r>
      <w:r>
        <w:rPr>
          <w:rFonts w:hint="eastAsia" w:ascii="仿宋" w:hAnsi="仿宋" w:eastAsia="仿宋" w:cs="仿宋"/>
          <w:b/>
          <w:bCs/>
          <w:sz w:val="24"/>
        </w:rPr>
        <w:t xml:space="preserve">1包 </w:t>
      </w:r>
      <w:r>
        <w:rPr>
          <w:rFonts w:ascii="仿宋" w:hAnsi="仿宋" w:eastAsia="仿宋" w:cs="仿宋"/>
          <w:b/>
          <w:bCs/>
          <w:sz w:val="24"/>
        </w:rPr>
        <w:t>品目</w:t>
      </w:r>
      <w:r>
        <w:rPr>
          <w:rFonts w:hint="eastAsia" w:ascii="仿宋" w:hAnsi="仿宋" w:eastAsia="仿宋" w:cs="仿宋"/>
          <w:b/>
          <w:bCs/>
          <w:sz w:val="24"/>
        </w:rPr>
        <w:t>1-1核酸检测试剂</w:t>
      </w:r>
    </w:p>
    <w:p w14:paraId="6D7B7A30">
      <w:pPr>
        <w:snapToGrid w:val="0"/>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数量：</w:t>
      </w:r>
      <w:r>
        <w:rPr>
          <w:rFonts w:ascii="仿宋" w:hAnsi="仿宋" w:eastAsia="仿宋" w:cs="仿宋"/>
          <w:b/>
          <w:bCs/>
          <w:sz w:val="24"/>
        </w:rPr>
        <w:t>111402</w:t>
      </w:r>
      <w:r>
        <w:rPr>
          <w:rFonts w:hint="eastAsia" w:ascii="仿宋" w:hAnsi="仿宋" w:eastAsia="仿宋" w:cs="仿宋"/>
          <w:b/>
          <w:bCs/>
          <w:sz w:val="24"/>
        </w:rPr>
        <w:t>人份</w:t>
      </w:r>
    </w:p>
    <w:p w14:paraId="765E7D2B">
      <w:pPr>
        <w:spacing w:line="360" w:lineRule="auto"/>
        <w:ind w:firstLine="424" w:firstLineChars="177"/>
        <w:rPr>
          <w:rFonts w:ascii="仿宋" w:hAnsi="仿宋" w:eastAsia="仿宋"/>
          <w:sz w:val="24"/>
        </w:rPr>
      </w:pPr>
      <w:r>
        <w:rPr>
          <w:rFonts w:ascii="仿宋" w:hAnsi="仿宋" w:eastAsia="仿宋"/>
          <w:sz w:val="24"/>
        </w:rPr>
        <w:t>1. 基本要求（需提供药监局审批的试剂说明书以证明相应内容）</w:t>
      </w:r>
    </w:p>
    <w:p w14:paraId="5A5E907D">
      <w:pPr>
        <w:adjustRightInd w:val="0"/>
        <w:snapToGrid w:val="0"/>
        <w:spacing w:line="360" w:lineRule="auto"/>
        <w:ind w:firstLine="283" w:firstLineChars="118"/>
        <w:rPr>
          <w:rFonts w:ascii="仿宋" w:hAnsi="仿宋" w:eastAsia="仿宋"/>
          <w:kern w:val="0"/>
          <w:sz w:val="24"/>
        </w:rPr>
      </w:pPr>
      <w:r>
        <w:rPr>
          <w:rFonts w:ascii="仿宋" w:hAnsi="仿宋" w:eastAsia="仿宋"/>
          <w:kern w:val="0"/>
          <w:sz w:val="24"/>
        </w:rPr>
        <w:t>#1.1 试剂用途：用于人血浆样本乙型肝炎病毒（HBV）、丙型肝炎病毒（HCV）和人类免疫缺陷病毒（HIV）（1+2型）的核酸筛查。在同一反应管内同时定性检测并区别样本中的HBV DNA、HCV RNA及HIV RNA。</w:t>
      </w:r>
    </w:p>
    <w:p w14:paraId="5DF61B0F">
      <w:pPr>
        <w:adjustRightInd w:val="0"/>
        <w:snapToGrid w:val="0"/>
        <w:spacing w:line="360" w:lineRule="auto"/>
        <w:ind w:firstLine="240" w:firstLineChars="100"/>
        <w:rPr>
          <w:rFonts w:ascii="仿宋" w:hAnsi="仿宋" w:eastAsia="仿宋"/>
          <w:kern w:val="0"/>
          <w:sz w:val="24"/>
        </w:rPr>
      </w:pPr>
      <w:r>
        <w:rPr>
          <w:rFonts w:ascii="仿宋" w:hAnsi="仿宋" w:eastAsia="仿宋"/>
          <w:kern w:val="0"/>
          <w:sz w:val="24"/>
        </w:rPr>
        <w:t>#1.2 检测方式：单份样本检测，小于等于6人份混样检测。</w:t>
      </w:r>
    </w:p>
    <w:p w14:paraId="696B5AC0">
      <w:pPr>
        <w:adjustRightInd w:val="0"/>
        <w:snapToGrid w:val="0"/>
        <w:spacing w:line="360" w:lineRule="auto"/>
        <w:ind w:firstLine="240" w:firstLineChars="100"/>
        <w:rPr>
          <w:rFonts w:ascii="仿宋" w:hAnsi="仿宋" w:eastAsia="仿宋"/>
          <w:kern w:val="0"/>
          <w:sz w:val="24"/>
        </w:rPr>
      </w:pPr>
      <w:r>
        <w:rPr>
          <w:rFonts w:ascii="仿宋" w:hAnsi="仿宋" w:eastAsia="仿宋"/>
          <w:kern w:val="0"/>
          <w:sz w:val="24"/>
        </w:rPr>
        <w:t>#1.3 包装规格：96测试/套、192测试/套。</w:t>
      </w:r>
    </w:p>
    <w:p w14:paraId="33EBC02C">
      <w:pPr>
        <w:adjustRightInd w:val="0"/>
        <w:snapToGrid w:val="0"/>
        <w:spacing w:line="360" w:lineRule="auto"/>
        <w:ind w:firstLine="480" w:firstLineChars="200"/>
        <w:rPr>
          <w:rFonts w:hint="eastAsia" w:ascii="仿宋" w:hAnsi="仿宋" w:eastAsia="仿宋"/>
          <w:kern w:val="0"/>
          <w:sz w:val="24"/>
        </w:rPr>
      </w:pPr>
      <w:r>
        <w:rPr>
          <w:rFonts w:ascii="仿宋" w:hAnsi="仿宋" w:eastAsia="仿宋"/>
          <w:kern w:val="0"/>
          <w:sz w:val="24"/>
        </w:rPr>
        <w:t>2.技术性能</w:t>
      </w:r>
    </w:p>
    <w:p w14:paraId="262CB412">
      <w:pPr>
        <w:adjustRightInd w:val="0"/>
        <w:snapToGrid w:val="0"/>
        <w:spacing w:line="360" w:lineRule="auto"/>
        <w:ind w:firstLine="283" w:firstLineChars="118"/>
        <w:rPr>
          <w:rFonts w:ascii="仿宋" w:hAnsi="仿宋" w:eastAsia="仿宋"/>
          <w:kern w:val="0"/>
          <w:sz w:val="24"/>
        </w:rPr>
      </w:pPr>
      <w:r>
        <w:rPr>
          <w:rFonts w:ascii="仿宋" w:hAnsi="仿宋" w:eastAsia="仿宋" w:cs="Segoe UI Symbol"/>
          <w:kern w:val="0"/>
          <w:sz w:val="24"/>
        </w:rPr>
        <w:t>★</w:t>
      </w:r>
      <w:r>
        <w:rPr>
          <w:rFonts w:ascii="仿宋" w:hAnsi="仿宋" w:eastAsia="仿宋"/>
          <w:kern w:val="0"/>
          <w:sz w:val="24"/>
        </w:rPr>
        <w:t>2.1检测原理：PCR-荧光法</w:t>
      </w:r>
      <w:r>
        <w:rPr>
          <w:rFonts w:hint="eastAsia" w:ascii="仿宋" w:hAnsi="仿宋" w:eastAsia="仿宋"/>
          <w:kern w:val="0"/>
          <w:sz w:val="24"/>
        </w:rPr>
        <w:t>。</w:t>
      </w:r>
    </w:p>
    <w:p w14:paraId="61AE8742">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2.2检测基因型：可检测HBV A-E基因型；HCV 1-6基因型；HIV-1 A、B、C、BC、D、AE、F、G、AG-GH和N组、O组亚型；HIV-2基因型。须提供药监局审批的试剂说明书以证明相应内容。</w:t>
      </w:r>
    </w:p>
    <w:p w14:paraId="5CF97EDC">
      <w:pPr>
        <w:adjustRightInd w:val="0"/>
        <w:snapToGrid w:val="0"/>
        <w:spacing w:line="360" w:lineRule="auto"/>
        <w:ind w:firstLine="240" w:firstLineChars="100"/>
        <w:rPr>
          <w:rFonts w:ascii="仿宋" w:hAnsi="仿宋" w:eastAsia="仿宋"/>
          <w:kern w:val="0"/>
          <w:sz w:val="24"/>
        </w:rPr>
      </w:pPr>
      <w:r>
        <w:rPr>
          <w:rFonts w:ascii="仿宋" w:hAnsi="仿宋" w:eastAsia="仿宋"/>
          <w:kern w:val="0"/>
          <w:sz w:val="24"/>
        </w:rPr>
        <w:t>#</w:t>
      </w:r>
      <w:r>
        <w:rPr>
          <w:rFonts w:hint="eastAsia" w:ascii="仿宋" w:hAnsi="仿宋" w:eastAsia="仿宋"/>
          <w:kern w:val="0"/>
          <w:sz w:val="24"/>
        </w:rPr>
        <w:t xml:space="preserve"> </w:t>
      </w:r>
      <w:r>
        <w:rPr>
          <w:rFonts w:ascii="仿宋" w:hAnsi="仿宋" w:eastAsia="仿宋"/>
          <w:kern w:val="0"/>
          <w:sz w:val="24"/>
        </w:rPr>
        <w:t>2.3检测灵敏度：单份样本检测灵敏度要求HBV≤3IU/mL、HCV≤10IU/mL、HIV-1≤40IU/mL、HIV-2≤10IU/mL。须提供药监局审批的试剂说明书以证明相应内容。</w:t>
      </w:r>
    </w:p>
    <w:p w14:paraId="375DA3DA">
      <w:pPr>
        <w:adjustRightInd w:val="0"/>
        <w:snapToGrid w:val="0"/>
        <w:spacing w:line="360" w:lineRule="auto"/>
        <w:ind w:firstLine="240" w:firstLineChars="100"/>
        <w:rPr>
          <w:rFonts w:ascii="仿宋" w:hAnsi="仿宋" w:eastAsia="仿宋"/>
          <w:kern w:val="0"/>
          <w:sz w:val="24"/>
        </w:rPr>
      </w:pPr>
      <w:r>
        <w:rPr>
          <w:rFonts w:ascii="仿宋" w:hAnsi="仿宋" w:eastAsia="仿宋"/>
          <w:kern w:val="0"/>
          <w:sz w:val="24"/>
        </w:rPr>
        <w:t># 2.4检测精密度：试剂经第三方HBV、HCV、HIV标准品标定的样本进行精密度验证，Ct值变异系数≤5%。须提供药监局审批的试剂说明书以证明相应内容。</w:t>
      </w:r>
    </w:p>
    <w:p w14:paraId="73C582E4">
      <w:pPr>
        <w:adjustRightInd w:val="0"/>
        <w:snapToGrid w:val="0"/>
        <w:spacing w:line="360" w:lineRule="auto"/>
        <w:ind w:firstLine="240" w:firstLineChars="100"/>
        <w:rPr>
          <w:rFonts w:ascii="仿宋" w:hAnsi="仿宋" w:eastAsia="仿宋"/>
          <w:kern w:val="0"/>
          <w:sz w:val="24"/>
        </w:rPr>
      </w:pPr>
      <w:r>
        <w:rPr>
          <w:rFonts w:ascii="仿宋" w:hAnsi="仿宋" w:eastAsia="仿宋"/>
          <w:kern w:val="0"/>
          <w:sz w:val="24"/>
        </w:rPr>
        <w:t># 2.5适用性：试剂能够在核酸检测系统（单台机）上使用，单台设备在同一工作区域内（核酸纯化与扩增检测区域无需物理隔离）即可完成核酸检测工作的全部流程。须提供核酸检测系统操作说明书（加盖制造商公章）和检测系统可在同一工作区域运行的用户证明材料（加盖用户单位公章）。</w:t>
      </w:r>
    </w:p>
    <w:p w14:paraId="548D13CB">
      <w:pPr>
        <w:pStyle w:val="6"/>
        <w:numPr>
          <w:ilvl w:val="1"/>
          <w:numId w:val="1"/>
        </w:numPr>
        <w:adjustRightInd w:val="0"/>
        <w:snapToGrid w:val="0"/>
        <w:spacing w:line="360" w:lineRule="auto"/>
        <w:ind w:left="0" w:firstLine="424" w:firstLineChars="177"/>
        <w:rPr>
          <w:rFonts w:ascii="仿宋" w:hAnsi="仿宋" w:eastAsia="仿宋"/>
          <w:kern w:val="0"/>
          <w:sz w:val="24"/>
          <w:szCs w:val="24"/>
        </w:rPr>
      </w:pPr>
      <w:r>
        <w:rPr>
          <w:rFonts w:ascii="仿宋" w:hAnsi="仿宋" w:eastAsia="仿宋"/>
          <w:kern w:val="0"/>
          <w:sz w:val="24"/>
          <w:szCs w:val="24"/>
        </w:rPr>
        <w:t>操作便捷性</w:t>
      </w:r>
    </w:p>
    <w:p w14:paraId="04F1352C">
      <w:pPr>
        <w:adjustRightInd w:val="0"/>
        <w:snapToGrid w:val="0"/>
        <w:spacing w:line="360" w:lineRule="auto"/>
        <w:ind w:firstLine="480" w:firstLineChars="200"/>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试剂拆开后可直接上机使用，由仪器或自动化移液平台完成试剂的配置、转移，无需人员干预。须提供药监局审批的试剂说明书以证明相应内容。</w:t>
      </w:r>
    </w:p>
    <w:p w14:paraId="7A92E0F0">
      <w:pPr>
        <w:adjustRightInd w:val="0"/>
        <w:snapToGrid w:val="0"/>
        <w:spacing w:line="360" w:lineRule="auto"/>
        <w:ind w:firstLine="480" w:firstLineChars="200"/>
        <w:rPr>
          <w:rFonts w:ascii="仿宋" w:hAnsi="仿宋" w:eastAsia="仿宋"/>
          <w:kern w:val="0"/>
          <w:sz w:val="24"/>
        </w:rPr>
      </w:pPr>
      <w:r>
        <w:rPr>
          <w:rFonts w:hint="eastAsia" w:ascii="仿宋" w:hAnsi="仿宋" w:eastAsia="仿宋"/>
          <w:kern w:val="0"/>
          <w:sz w:val="24"/>
        </w:rPr>
        <w:t>（2）</w:t>
      </w:r>
      <w:r>
        <w:rPr>
          <w:rFonts w:ascii="仿宋" w:hAnsi="仿宋" w:eastAsia="仿宋"/>
          <w:kern w:val="0"/>
          <w:sz w:val="24"/>
        </w:rPr>
        <w:t>单套核酸检测系统样本位数量≥480个，满足大批量样本上样需求。须提供相应证明材料，加盖制造商公章。</w:t>
      </w:r>
    </w:p>
    <w:p w14:paraId="31AAA9D6">
      <w:pPr>
        <w:adjustRightInd w:val="0"/>
        <w:snapToGrid w:val="0"/>
        <w:spacing w:line="360" w:lineRule="auto"/>
        <w:ind w:firstLine="480" w:firstLineChars="200"/>
        <w:rPr>
          <w:rFonts w:ascii="仿宋" w:hAnsi="仿宋" w:eastAsia="仿宋"/>
          <w:kern w:val="0"/>
          <w:sz w:val="24"/>
        </w:rPr>
      </w:pPr>
      <w:r>
        <w:rPr>
          <w:rFonts w:hint="eastAsia" w:ascii="仿宋" w:hAnsi="仿宋" w:eastAsia="仿宋"/>
          <w:kern w:val="0"/>
          <w:sz w:val="24"/>
        </w:rPr>
        <w:t>（3）</w:t>
      </w:r>
      <w:r>
        <w:rPr>
          <w:rFonts w:ascii="仿宋" w:hAnsi="仿宋" w:eastAsia="仿宋"/>
          <w:kern w:val="0"/>
          <w:sz w:val="24"/>
        </w:rPr>
        <w:t>试验过程中无需手工转移反应扩增板、无需手工封膜。</w:t>
      </w:r>
    </w:p>
    <w:p w14:paraId="44B26D97">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7</w:t>
      </w:r>
      <w:r>
        <w:rPr>
          <w:rFonts w:ascii="仿宋" w:hAnsi="仿宋" w:eastAsia="仿宋"/>
          <w:kern w:val="0"/>
          <w:sz w:val="24"/>
        </w:rPr>
        <w:t>核酸提取方式：采用旋转式核酸提取技术，磁棒为永磁铁（非电磁），保证磁性均一、提取稳定；核酸提取过程中无需空气吹打，杜绝气溶胶溢出风险。提供相应证明材料，如试剂或设备操作说明书、产品宣传资料（加盖公章）。</w:t>
      </w:r>
    </w:p>
    <w:p w14:paraId="2DB98973">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2.8核酸扩增方式：PCR扩增反应体系中不含磁珠，避免磁珠对PCR扩增反应产生影响。提供相应证明材料。提供相应证明材料，如试剂或设备操作说明书、产品宣传资料（加盖公章）。</w:t>
      </w:r>
    </w:p>
    <w:p w14:paraId="333C1CEE">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#2.9抗干扰能力：明确待测样本中游离血红蛋白、甘油三酯、胆红素等常见干扰物质允许浓度范围。须提供药监局审批的试剂说明书以证明相应内容。</w:t>
      </w:r>
    </w:p>
    <w:p w14:paraId="4B806977">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#2.10交叉反应：明确梅毒螺旋体、EB病毒、人巨细胞病毒、戊型肝炎病毒等与厂家核酸血筛试剂均不存在交叉反应。须提供药监局审批的试剂说明书以证明相应内容。</w:t>
      </w:r>
    </w:p>
    <w:p w14:paraId="13F421B4">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#2.11质量保证</w:t>
      </w:r>
    </w:p>
    <w:p w14:paraId="0577C1B1">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（1）质量对照系统：检测试剂包括阳性对照、阴性对照。阳性对照应包括HBV、HCV和HIV，同时HIV</w:t>
      </w:r>
      <w:r>
        <w:rPr>
          <w:rFonts w:hint="eastAsia" w:ascii="仿宋" w:hAnsi="仿宋" w:eastAsia="仿宋"/>
          <w:kern w:val="0"/>
          <w:sz w:val="24"/>
        </w:rPr>
        <w:t>-</w:t>
      </w:r>
      <w:r>
        <w:rPr>
          <w:rFonts w:ascii="仿宋" w:hAnsi="仿宋" w:eastAsia="仿宋"/>
          <w:kern w:val="0"/>
          <w:sz w:val="24"/>
        </w:rPr>
        <w:t>1、HIV</w:t>
      </w:r>
      <w:r>
        <w:rPr>
          <w:rFonts w:hint="eastAsia" w:ascii="仿宋" w:hAnsi="仿宋" w:eastAsia="仿宋"/>
          <w:kern w:val="0"/>
          <w:sz w:val="24"/>
        </w:rPr>
        <w:t>-</w:t>
      </w:r>
      <w:r>
        <w:rPr>
          <w:rFonts w:ascii="仿宋" w:hAnsi="仿宋" w:eastAsia="仿宋"/>
          <w:kern w:val="0"/>
          <w:sz w:val="24"/>
        </w:rPr>
        <w:t>2处于不同对照管，便于明确区分HIV</w:t>
      </w:r>
      <w:r>
        <w:rPr>
          <w:rFonts w:hint="eastAsia" w:ascii="仿宋" w:hAnsi="仿宋" w:eastAsia="仿宋"/>
          <w:kern w:val="0"/>
          <w:sz w:val="24"/>
        </w:rPr>
        <w:t>-</w:t>
      </w:r>
      <w:r>
        <w:rPr>
          <w:rFonts w:ascii="仿宋" w:hAnsi="仿宋" w:eastAsia="仿宋"/>
          <w:kern w:val="0"/>
          <w:sz w:val="24"/>
        </w:rPr>
        <w:t>1、HIV</w:t>
      </w:r>
      <w:r>
        <w:rPr>
          <w:rFonts w:hint="eastAsia" w:ascii="仿宋" w:hAnsi="仿宋" w:eastAsia="仿宋"/>
          <w:kern w:val="0"/>
          <w:sz w:val="24"/>
        </w:rPr>
        <w:t>-</w:t>
      </w:r>
      <w:r>
        <w:rPr>
          <w:rFonts w:ascii="仿宋" w:hAnsi="仿宋" w:eastAsia="仿宋"/>
          <w:kern w:val="0"/>
          <w:sz w:val="24"/>
        </w:rPr>
        <w:t>2分别为检测反应性。须提供药监局审批的试剂说明书以证明相应内容。</w:t>
      </w:r>
    </w:p>
    <w:p w14:paraId="580663F2">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（2）核酸扩增试剂中包含竞争性内标，用于全程监控核酸提取、扩增检测全过程，确保检测结果准确性。须提供药监局审批的试剂说明书以证明相应内容。</w:t>
      </w:r>
    </w:p>
    <w:p w14:paraId="6649CF94">
      <w:pPr>
        <w:adjustRightInd w:val="0"/>
        <w:snapToGrid w:val="0"/>
        <w:spacing w:line="360" w:lineRule="auto"/>
        <w:ind w:firstLine="424" w:firstLineChars="177"/>
        <w:rPr>
          <w:rFonts w:ascii="仿宋" w:hAnsi="仿宋" w:eastAsia="仿宋"/>
          <w:kern w:val="0"/>
          <w:sz w:val="24"/>
        </w:rPr>
      </w:pPr>
      <w:r>
        <w:rPr>
          <w:rFonts w:hint="eastAsia" w:ascii="仿宋" w:hAnsi="仿宋" w:eastAsia="仿宋"/>
          <w:kern w:val="0"/>
          <w:sz w:val="24"/>
        </w:rPr>
        <w:t>3.</w:t>
      </w:r>
      <w:r>
        <w:rPr>
          <w:rFonts w:ascii="仿宋" w:hAnsi="仿宋" w:eastAsia="仿宋"/>
          <w:kern w:val="0"/>
          <w:sz w:val="24"/>
        </w:rPr>
        <w:t>其他要求</w:t>
      </w:r>
    </w:p>
    <w:p w14:paraId="71917336">
      <w:pPr>
        <w:adjustRightInd w:val="0"/>
        <w:snapToGrid w:val="0"/>
        <w:spacing w:line="360" w:lineRule="auto"/>
        <w:ind w:firstLine="424" w:firstLineChars="177"/>
        <w:rPr>
          <w:rFonts w:ascii="仿宋" w:hAnsi="仿宋" w:eastAsia="仿宋"/>
          <w:kern w:val="0"/>
          <w:sz w:val="24"/>
        </w:rPr>
      </w:pPr>
      <w:r>
        <w:rPr>
          <w:rFonts w:ascii="仿宋" w:hAnsi="仿宋" w:eastAsia="仿宋"/>
          <w:kern w:val="0"/>
          <w:sz w:val="24"/>
        </w:rPr>
        <w:t>3.1匹配要求：</w:t>
      </w:r>
      <w:r>
        <w:rPr>
          <w:rFonts w:ascii="仿宋" w:hAnsi="仿宋" w:eastAsia="仿宋"/>
          <w:sz w:val="24"/>
        </w:rPr>
        <w:t>在采购周期内提供用户所需的、与检测量相匹配的检测设备、应急设备及其辅助耗材以供使用。</w:t>
      </w:r>
    </w:p>
    <w:p w14:paraId="2898EBD8">
      <w:pPr>
        <w:adjustRightInd w:val="0"/>
        <w:snapToGrid w:val="0"/>
        <w:spacing w:line="360" w:lineRule="auto"/>
        <w:ind w:firstLine="424" w:firstLineChars="177"/>
        <w:rPr>
          <w:rFonts w:ascii="仿宋" w:hAnsi="仿宋" w:eastAsia="仿宋"/>
          <w:kern w:val="0"/>
          <w:sz w:val="24"/>
        </w:rPr>
      </w:pPr>
      <w:r>
        <w:rPr>
          <w:rFonts w:hint="eastAsia" w:ascii="仿宋" w:hAnsi="仿宋" w:eastAsia="仿宋"/>
          <w:kern w:val="0"/>
          <w:sz w:val="24"/>
        </w:rPr>
        <w:t>3.2</w:t>
      </w:r>
      <w:r>
        <w:rPr>
          <w:rFonts w:ascii="仿宋" w:hAnsi="仿宋" w:eastAsia="仿宋"/>
          <w:kern w:val="0"/>
          <w:sz w:val="24"/>
        </w:rPr>
        <w:t>售后服务</w:t>
      </w:r>
    </w:p>
    <w:p w14:paraId="714CD9B7">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（1）工程师提供24小时全天候的维修和技术支持，响应时间≤4小时。应用支持人员承担检测设备月以上级别 (含月级别)的维护、保养、校准。</w:t>
      </w:r>
    </w:p>
    <w:p w14:paraId="0377C7D8">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（2）供应方承担设备维修、维护、保养相应的所有费用；在合同有效期内，核酸试剂相关配套设备的使用权归用户所有。</w:t>
      </w:r>
    </w:p>
    <w:p w14:paraId="6DDC3D1B">
      <w:pPr>
        <w:adjustRightInd w:val="0"/>
        <w:snapToGrid w:val="0"/>
        <w:spacing w:line="360" w:lineRule="auto"/>
        <w:ind w:firstLine="424" w:firstLineChars="177"/>
        <w:rPr>
          <w:rFonts w:ascii="仿宋" w:hAnsi="仿宋" w:eastAsia="仿宋"/>
          <w:kern w:val="0"/>
          <w:sz w:val="24"/>
        </w:rPr>
      </w:pPr>
      <w:r>
        <w:rPr>
          <w:rFonts w:ascii="仿宋" w:hAnsi="仿宋" w:eastAsia="仿宋"/>
          <w:kern w:val="0"/>
          <w:sz w:val="24"/>
        </w:rPr>
        <w:t>3.3 拓展服务：同时可开展HBV DNA、HCV RNA、HIV RNA单项定量检测，该项目需要与核酸血筛试剂为同一生产企业。须提供药监局审批的试剂说明书以证明相应内容。</w:t>
      </w:r>
    </w:p>
    <w:p w14:paraId="4B0CAF94">
      <w:pPr>
        <w:adjustRightInd w:val="0"/>
        <w:snapToGrid w:val="0"/>
        <w:spacing w:line="360" w:lineRule="auto"/>
        <w:ind w:firstLine="424" w:firstLineChars="177"/>
        <w:rPr>
          <w:rFonts w:ascii="仿宋" w:hAnsi="仿宋" w:eastAsia="仿宋"/>
          <w:kern w:val="0"/>
          <w:sz w:val="24"/>
        </w:rPr>
      </w:pPr>
      <w:r>
        <w:rPr>
          <w:rFonts w:ascii="仿宋" w:hAnsi="仿宋" w:eastAsia="仿宋"/>
          <w:kern w:val="0"/>
          <w:sz w:val="24"/>
        </w:rPr>
        <w:t>#3.4供货能力：提供生产工厂地址并加盖公章。如在采购人所在地无生产工厂，投标人必须有常规使用的库房，须提供库房详细地址，该地址的产权证明复印件或租赁合同复印件并加盖投标人公章。</w:t>
      </w:r>
    </w:p>
    <w:p w14:paraId="7900A2C8">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#3.5应急能力</w:t>
      </w:r>
    </w:p>
    <w:p w14:paraId="336004B4">
      <w:pPr>
        <w:adjustRightInd w:val="0"/>
        <w:snapToGrid w:val="0"/>
        <w:spacing w:line="360" w:lineRule="auto"/>
        <w:ind w:firstLine="480" w:firstLineChars="200"/>
        <w:rPr>
          <w:rFonts w:ascii="仿宋" w:hAnsi="仿宋" w:eastAsia="仿宋"/>
          <w:kern w:val="0"/>
          <w:sz w:val="24"/>
        </w:rPr>
      </w:pPr>
      <w:r>
        <w:rPr>
          <w:rFonts w:ascii="仿宋" w:hAnsi="仿宋" w:eastAsia="仿宋"/>
          <w:kern w:val="0"/>
          <w:sz w:val="24"/>
        </w:rPr>
        <w:t>（1）供应方所在地备有与使用批号相同或另一批号的产品（至少为实验室1个月用量，4万人份）满足应急需求。提供相关证明材料。</w:t>
      </w:r>
    </w:p>
    <w:p w14:paraId="1FC93DA8">
      <w:pPr>
        <w:snapToGrid w:val="0"/>
        <w:spacing w:line="360" w:lineRule="auto"/>
        <w:ind w:firstLine="480" w:firstLineChars="200"/>
        <w:jc w:val="left"/>
        <w:rPr>
          <w:rFonts w:ascii="仿宋" w:hAnsi="仿宋" w:eastAsia="仿宋" w:cs="仿宋"/>
          <w:b/>
          <w:bCs/>
          <w:sz w:val="24"/>
        </w:rPr>
      </w:pPr>
      <w:r>
        <w:rPr>
          <w:rFonts w:ascii="仿宋" w:hAnsi="仿宋" w:eastAsia="仿宋"/>
          <w:kern w:val="0"/>
          <w:sz w:val="24"/>
        </w:rPr>
        <w:t>（2）提交应急保障工作方案，应包括但不限于应急供货，试剂发生质量问题时，供应商应急处置措施。</w:t>
      </w:r>
    </w:p>
    <w:p w14:paraId="0B19869C">
      <w:pPr>
        <w:snapToGrid w:val="0"/>
        <w:spacing w:line="360" w:lineRule="auto"/>
        <w:ind w:firstLine="482" w:firstLineChars="200"/>
        <w:jc w:val="center"/>
        <w:rPr>
          <w:rFonts w:ascii="仿宋" w:hAnsi="仿宋" w:eastAsia="仿宋" w:cs="仿宋"/>
          <w:b/>
          <w:bCs/>
          <w:sz w:val="24"/>
        </w:rPr>
      </w:pPr>
    </w:p>
    <w:p w14:paraId="1BDB151B">
      <w:pPr>
        <w:snapToGrid w:val="0"/>
        <w:spacing w:line="360" w:lineRule="auto"/>
        <w:ind w:firstLine="482" w:firstLineChars="200"/>
        <w:jc w:val="center"/>
        <w:rPr>
          <w:rFonts w:ascii="仿宋" w:hAnsi="仿宋" w:eastAsia="仿宋" w:cs="仿宋"/>
          <w:b/>
          <w:bCs/>
          <w:sz w:val="24"/>
        </w:rPr>
      </w:pPr>
      <w:r>
        <w:rPr>
          <w:rFonts w:ascii="仿宋" w:hAnsi="仿宋" w:eastAsia="仿宋" w:cs="仿宋"/>
          <w:b/>
          <w:bCs/>
          <w:sz w:val="24"/>
        </w:rPr>
        <w:t>第</w:t>
      </w:r>
      <w:r>
        <w:rPr>
          <w:rFonts w:hint="eastAsia" w:ascii="仿宋" w:hAnsi="仿宋" w:eastAsia="仿宋" w:cs="仿宋"/>
          <w:b/>
          <w:bCs/>
          <w:sz w:val="24"/>
        </w:rPr>
        <w:t xml:space="preserve">1包 </w:t>
      </w:r>
      <w:r>
        <w:rPr>
          <w:rFonts w:ascii="仿宋" w:hAnsi="仿宋" w:eastAsia="仿宋" w:cs="仿宋"/>
          <w:b/>
          <w:bCs/>
          <w:sz w:val="24"/>
        </w:rPr>
        <w:t>品目</w:t>
      </w:r>
      <w:r>
        <w:rPr>
          <w:rFonts w:hint="eastAsia" w:ascii="仿宋" w:hAnsi="仿宋" w:eastAsia="仿宋" w:cs="仿宋"/>
          <w:b/>
          <w:bCs/>
          <w:sz w:val="24"/>
        </w:rPr>
        <w:t>1-2 核酸质控品</w:t>
      </w:r>
    </w:p>
    <w:p w14:paraId="2DABB2D5">
      <w:pPr>
        <w:snapToGrid w:val="0"/>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数量：</w:t>
      </w:r>
      <w:r>
        <w:rPr>
          <w:rFonts w:ascii="仿宋" w:hAnsi="仿宋" w:eastAsia="仿宋" w:cs="仿宋"/>
          <w:b/>
          <w:bCs/>
          <w:sz w:val="24"/>
        </w:rPr>
        <w:t>7775</w:t>
      </w:r>
      <w:r>
        <w:rPr>
          <w:rFonts w:hint="eastAsia" w:ascii="仿宋" w:hAnsi="仿宋" w:eastAsia="仿宋" w:cs="仿宋"/>
          <w:b/>
          <w:bCs/>
          <w:sz w:val="24"/>
        </w:rPr>
        <w:t>支</w:t>
      </w:r>
    </w:p>
    <w:p w14:paraId="4F1634A4">
      <w:pPr>
        <w:widowControl/>
        <w:adjustRightInd w:val="0"/>
        <w:snapToGrid w:val="0"/>
        <w:spacing w:line="360" w:lineRule="auto"/>
        <w:ind w:firstLine="480" w:firstLineChars="200"/>
        <w:jc w:val="left"/>
        <w:rPr>
          <w:rFonts w:ascii="仿宋" w:hAnsi="仿宋" w:eastAsia="仿宋"/>
          <w:bCs/>
          <w:sz w:val="24"/>
        </w:rPr>
      </w:pPr>
      <w:r>
        <w:rPr>
          <w:rFonts w:ascii="仿宋" w:hAnsi="仿宋" w:eastAsia="仿宋"/>
          <w:bCs/>
          <w:sz w:val="24"/>
        </w:rPr>
        <w:t>1.产品用途：血液筛查实验室核酸检测室内质量控制及核酸检测系统性能验证</w:t>
      </w:r>
    </w:p>
    <w:p w14:paraId="0E732E1F">
      <w:pPr>
        <w:widowControl/>
        <w:adjustRightInd w:val="0"/>
        <w:snapToGrid w:val="0"/>
        <w:spacing w:line="360" w:lineRule="auto"/>
        <w:ind w:firstLine="480" w:firstLineChars="200"/>
        <w:jc w:val="left"/>
        <w:rPr>
          <w:rFonts w:ascii="仿宋" w:hAnsi="仿宋" w:eastAsia="仿宋"/>
          <w:bCs/>
          <w:sz w:val="24"/>
        </w:rPr>
      </w:pPr>
      <w:r>
        <w:rPr>
          <w:rFonts w:ascii="仿宋" w:hAnsi="仿宋" w:eastAsia="仿宋"/>
          <w:bCs/>
          <w:sz w:val="24"/>
        </w:rPr>
        <w:t>2.技术规格</w:t>
      </w:r>
    </w:p>
    <w:p w14:paraId="0ED06083">
      <w:pPr>
        <w:widowControl/>
        <w:adjustRightInd w:val="0"/>
        <w:snapToGrid w:val="0"/>
        <w:spacing w:line="360" w:lineRule="auto"/>
        <w:ind w:firstLine="480" w:firstLineChars="200"/>
        <w:jc w:val="left"/>
        <w:rPr>
          <w:rFonts w:ascii="仿宋" w:hAnsi="仿宋" w:eastAsia="仿宋"/>
          <w:bCs/>
          <w:sz w:val="24"/>
        </w:rPr>
      </w:pPr>
      <w:r>
        <w:rPr>
          <w:rFonts w:ascii="仿宋" w:hAnsi="仿宋" w:eastAsia="仿宋"/>
          <w:bCs/>
          <w:sz w:val="24"/>
        </w:rPr>
        <w:t>2.1适用范围：产品适用于血筛病毒核酸检测室内质控及性能验证。应涵盖丙型肝炎RNA、乙型肝炎DNA、人类免疫缺陷病毒I型RNA。</w:t>
      </w:r>
    </w:p>
    <w:p w14:paraId="161C93CF">
      <w:pPr>
        <w:widowControl/>
        <w:adjustRightInd w:val="0"/>
        <w:snapToGrid w:val="0"/>
        <w:spacing w:line="360" w:lineRule="auto"/>
        <w:ind w:firstLine="240" w:firstLineChars="100"/>
        <w:jc w:val="left"/>
        <w:rPr>
          <w:rFonts w:ascii="仿宋" w:hAnsi="仿宋" w:eastAsia="仿宋"/>
          <w:bCs/>
          <w:sz w:val="24"/>
        </w:rPr>
      </w:pPr>
      <w:r>
        <w:rPr>
          <w:rFonts w:ascii="仿宋" w:hAnsi="仿宋" w:eastAsia="仿宋" w:cs="Segoe UI Symbol"/>
          <w:bCs/>
          <w:sz w:val="24"/>
        </w:rPr>
        <w:t>★</w:t>
      </w:r>
      <w:r>
        <w:rPr>
          <w:rFonts w:ascii="仿宋" w:hAnsi="仿宋" w:eastAsia="仿宋"/>
          <w:bCs/>
          <w:sz w:val="24"/>
        </w:rPr>
        <w:t>2.2产品必须涵盖以下浓度规格：</w:t>
      </w:r>
    </w:p>
    <w:p w14:paraId="636B54E4">
      <w:pPr>
        <w:adjustRightInd w:val="0"/>
        <w:snapToGrid w:val="0"/>
        <w:spacing w:line="360" w:lineRule="auto"/>
        <w:ind w:firstLine="480" w:firstLineChars="200"/>
        <w:rPr>
          <w:rFonts w:ascii="仿宋" w:hAnsi="仿宋" w:eastAsia="仿宋"/>
          <w:bCs/>
          <w:sz w:val="24"/>
        </w:rPr>
      </w:pPr>
      <w:r>
        <w:rPr>
          <w:rFonts w:ascii="仿宋" w:hAnsi="仿宋" w:eastAsia="仿宋"/>
          <w:bCs/>
          <w:sz w:val="24"/>
        </w:rPr>
        <w:t>（1）单项核酸检测质控品</w:t>
      </w:r>
    </w:p>
    <w:p w14:paraId="45592051">
      <w:pPr>
        <w:pStyle w:val="6"/>
        <w:widowControl/>
        <w:numPr>
          <w:ilvl w:val="0"/>
          <w:numId w:val="2"/>
        </w:numPr>
        <w:adjustRightInd w:val="0"/>
        <w:snapToGrid w:val="0"/>
        <w:spacing w:line="360" w:lineRule="auto"/>
        <w:ind w:firstLine="480"/>
        <w:jc w:val="left"/>
        <w:rPr>
          <w:rFonts w:ascii="仿宋" w:hAnsi="仿宋" w:eastAsia="仿宋"/>
          <w:bCs/>
          <w:sz w:val="24"/>
          <w:szCs w:val="24"/>
        </w:rPr>
      </w:pPr>
      <w:r>
        <w:rPr>
          <w:rFonts w:ascii="仿宋" w:hAnsi="仿宋" w:eastAsia="仿宋"/>
          <w:bCs/>
          <w:sz w:val="24"/>
          <w:szCs w:val="24"/>
        </w:rPr>
        <w:t>乙型肝炎病毒核酸（HBV DNA）系列血清（液体）标准物质浓度至少包含50IU/ml、200IU/ml、500IU/ml、2000IU/ml。</w:t>
      </w:r>
    </w:p>
    <w:p w14:paraId="107924C2">
      <w:pPr>
        <w:pStyle w:val="6"/>
        <w:widowControl/>
        <w:numPr>
          <w:ilvl w:val="0"/>
          <w:numId w:val="2"/>
        </w:numPr>
        <w:adjustRightInd w:val="0"/>
        <w:snapToGrid w:val="0"/>
        <w:spacing w:line="360" w:lineRule="auto"/>
        <w:ind w:firstLine="480"/>
        <w:jc w:val="left"/>
        <w:rPr>
          <w:rFonts w:ascii="仿宋" w:hAnsi="仿宋" w:eastAsia="仿宋"/>
          <w:bCs/>
          <w:sz w:val="24"/>
          <w:szCs w:val="24"/>
        </w:rPr>
      </w:pPr>
      <w:r>
        <w:rPr>
          <w:rFonts w:ascii="仿宋" w:hAnsi="仿宋" w:eastAsia="仿宋"/>
          <w:bCs/>
          <w:sz w:val="24"/>
          <w:szCs w:val="24"/>
        </w:rPr>
        <w:t>丙型肝炎病毒核酸（HCV RNA）系列血清（液体）标准物质浓度至少包含50IU/ml、200IU/ml、1000IU/ml、2000IU/ml。</w:t>
      </w:r>
    </w:p>
    <w:p w14:paraId="05238CBB">
      <w:pPr>
        <w:pStyle w:val="6"/>
        <w:widowControl/>
        <w:numPr>
          <w:ilvl w:val="0"/>
          <w:numId w:val="2"/>
        </w:numPr>
        <w:adjustRightInd w:val="0"/>
        <w:snapToGrid w:val="0"/>
        <w:spacing w:line="360" w:lineRule="auto"/>
        <w:ind w:firstLine="480"/>
        <w:jc w:val="left"/>
        <w:rPr>
          <w:rFonts w:ascii="仿宋" w:hAnsi="仿宋" w:eastAsia="仿宋"/>
          <w:bCs/>
          <w:sz w:val="24"/>
          <w:szCs w:val="24"/>
        </w:rPr>
      </w:pPr>
      <w:r>
        <w:rPr>
          <w:rFonts w:ascii="仿宋" w:hAnsi="仿宋" w:eastAsia="仿宋"/>
          <w:bCs/>
          <w:sz w:val="24"/>
          <w:szCs w:val="24"/>
        </w:rPr>
        <w:t>人类免疫缺陷病毒-1（HIV-1 RNA）系列血清（液体）标准物质浓度至少包含200IU/ml、1000IU/ml、2000IU/ml、230000IU/ml。</w:t>
      </w:r>
    </w:p>
    <w:p w14:paraId="2575F3FB">
      <w:pPr>
        <w:adjustRightInd w:val="0"/>
        <w:snapToGrid w:val="0"/>
        <w:spacing w:line="360" w:lineRule="auto"/>
        <w:ind w:firstLine="480" w:firstLineChars="200"/>
        <w:rPr>
          <w:rFonts w:ascii="仿宋" w:hAnsi="仿宋" w:eastAsia="仿宋"/>
          <w:bCs/>
          <w:sz w:val="24"/>
        </w:rPr>
      </w:pPr>
      <w:r>
        <w:rPr>
          <w:rFonts w:ascii="仿宋" w:hAnsi="仿宋" w:eastAsia="仿宋"/>
          <w:bCs/>
          <w:sz w:val="24"/>
        </w:rPr>
        <w:t>（2）HBV DNA/HCV RNA/HIV RNA混合核酸检测质控品：适用于血筛病毒核酸检测HBV DNA、HCV RNA、HIV-1 RNA混合质控品。</w:t>
      </w:r>
    </w:p>
    <w:p w14:paraId="478F9230">
      <w:pPr>
        <w:adjustRightInd w:val="0"/>
        <w:snapToGrid w:val="0"/>
        <w:spacing w:line="360" w:lineRule="auto"/>
        <w:ind w:firstLine="480" w:firstLineChars="200"/>
        <w:rPr>
          <w:rFonts w:ascii="仿宋" w:hAnsi="仿宋" w:eastAsia="仿宋"/>
          <w:bCs/>
          <w:sz w:val="24"/>
        </w:rPr>
      </w:pPr>
      <w:r>
        <w:rPr>
          <w:rFonts w:hint="eastAsia" w:ascii="仿宋" w:hAnsi="仿宋" w:eastAsia="仿宋"/>
          <w:bCs/>
          <w:sz w:val="24"/>
        </w:rPr>
        <w:t>（3）</w:t>
      </w:r>
      <w:r>
        <w:rPr>
          <w:rFonts w:ascii="仿宋" w:hAnsi="仿宋" w:eastAsia="仿宋"/>
          <w:bCs/>
          <w:sz w:val="24"/>
        </w:rPr>
        <w:t>阴性质控品：</w:t>
      </w:r>
      <w:r>
        <w:rPr>
          <w:rFonts w:ascii="仿宋" w:hAnsi="仿宋" w:eastAsia="仿宋"/>
          <w:sz w:val="24"/>
        </w:rPr>
        <w:t>不包含HBV DNA、HCV RNA、HIV RNA的人源血清。</w:t>
      </w:r>
    </w:p>
    <w:p w14:paraId="7A4E93E2">
      <w:pPr>
        <w:adjustRightInd w:val="0"/>
        <w:snapToGrid w:val="0"/>
        <w:spacing w:line="360" w:lineRule="auto"/>
        <w:ind w:firstLine="480" w:firstLineChars="200"/>
        <w:rPr>
          <w:rFonts w:ascii="仿宋" w:hAnsi="仿宋" w:eastAsia="仿宋"/>
          <w:bCs/>
          <w:sz w:val="24"/>
        </w:rPr>
      </w:pPr>
      <w:bookmarkStart w:id="2" w:name="OLE_LINK1"/>
      <w:r>
        <w:rPr>
          <w:rFonts w:ascii="仿宋" w:hAnsi="仿宋" w:eastAsia="仿宋"/>
          <w:bCs/>
          <w:sz w:val="24"/>
        </w:rPr>
        <w:t>（4）血筛病毒核酸检测性能验证血清盘</w:t>
      </w:r>
    </w:p>
    <w:bookmarkEnd w:id="2"/>
    <w:p w14:paraId="1EF072E6">
      <w:pPr>
        <w:pStyle w:val="6"/>
        <w:widowControl/>
        <w:numPr>
          <w:ilvl w:val="0"/>
          <w:numId w:val="3"/>
        </w:numPr>
        <w:adjustRightInd w:val="0"/>
        <w:snapToGrid w:val="0"/>
        <w:spacing w:line="360" w:lineRule="auto"/>
        <w:ind w:firstLine="480"/>
        <w:jc w:val="left"/>
        <w:rPr>
          <w:rFonts w:ascii="仿宋" w:hAnsi="仿宋" w:eastAsia="仿宋"/>
          <w:bCs/>
          <w:sz w:val="24"/>
          <w:szCs w:val="24"/>
        </w:rPr>
      </w:pPr>
      <w:r>
        <w:rPr>
          <w:rFonts w:ascii="仿宋" w:hAnsi="仿宋" w:eastAsia="仿宋"/>
          <w:bCs/>
          <w:sz w:val="24"/>
          <w:szCs w:val="24"/>
        </w:rPr>
        <w:t>适用于血筛病毒核酸检测设备性能比对血清盘要求：HBV阳性浓度范围为30-200000IU/ml，HCV阳性浓度范围为30-30000IU/ml，HIV-1阳性浓度范围为30-230000IU/ml,多项混合阳性标本（浓度随机）及NHP阴性标本。</w:t>
      </w:r>
    </w:p>
    <w:p w14:paraId="267F2FE5">
      <w:pPr>
        <w:pStyle w:val="6"/>
        <w:widowControl/>
        <w:numPr>
          <w:ilvl w:val="0"/>
          <w:numId w:val="3"/>
        </w:numPr>
        <w:adjustRightInd w:val="0"/>
        <w:snapToGrid w:val="0"/>
        <w:spacing w:line="360" w:lineRule="auto"/>
        <w:ind w:firstLine="480"/>
        <w:jc w:val="left"/>
        <w:rPr>
          <w:rFonts w:ascii="仿宋" w:hAnsi="仿宋" w:eastAsia="仿宋"/>
          <w:bCs/>
          <w:sz w:val="24"/>
          <w:szCs w:val="24"/>
        </w:rPr>
      </w:pPr>
      <w:r>
        <w:rPr>
          <w:rFonts w:ascii="仿宋" w:hAnsi="仿宋" w:eastAsia="仿宋"/>
          <w:bCs/>
          <w:sz w:val="24"/>
          <w:szCs w:val="24"/>
        </w:rPr>
        <w:t>适用于血筛病毒核酸检测系统分析灵敏度验证血清盘要求：采用WHO标准株制备。需涵盖HBV DNA浓度范围为1-12IU/ml、HCV RNA浓度范围为1.5-25IU/ml、HIV-1 RNA浓度范围为5-75IU/ml三个项目。</w:t>
      </w:r>
    </w:p>
    <w:p w14:paraId="73E600BC">
      <w:pPr>
        <w:widowControl/>
        <w:adjustRightInd w:val="0"/>
        <w:snapToGrid w:val="0"/>
        <w:spacing w:line="360" w:lineRule="auto"/>
        <w:ind w:firstLine="480" w:firstLineChars="200"/>
        <w:jc w:val="left"/>
        <w:rPr>
          <w:rFonts w:ascii="仿宋" w:hAnsi="仿宋" w:eastAsia="仿宋"/>
          <w:bCs/>
          <w:sz w:val="24"/>
        </w:rPr>
      </w:pPr>
      <w:r>
        <w:rPr>
          <w:rFonts w:hint="eastAsia" w:ascii="仿宋" w:hAnsi="仿宋" w:eastAsia="仿宋"/>
          <w:bCs/>
          <w:sz w:val="24"/>
        </w:rPr>
        <w:t>2.3</w:t>
      </w:r>
      <w:r>
        <w:rPr>
          <w:rFonts w:ascii="仿宋" w:hAnsi="仿宋" w:eastAsia="仿宋"/>
          <w:bCs/>
          <w:sz w:val="24"/>
        </w:rPr>
        <w:t>装量规格：</w:t>
      </w:r>
    </w:p>
    <w:p w14:paraId="6A8213F0">
      <w:pPr>
        <w:spacing w:line="360" w:lineRule="auto"/>
        <w:ind w:firstLine="480" w:firstLineChars="200"/>
        <w:rPr>
          <w:rFonts w:ascii="仿宋" w:hAnsi="仿宋" w:eastAsia="仿宋"/>
          <w:sz w:val="24"/>
        </w:rPr>
      </w:pPr>
      <w:r>
        <w:rPr>
          <w:rFonts w:ascii="仿宋" w:hAnsi="仿宋" w:eastAsia="仿宋"/>
          <w:sz w:val="24"/>
        </w:rPr>
        <w:t>（1）单项核酸检测质控品每支装量不应少于1ml/支。</w:t>
      </w:r>
    </w:p>
    <w:p w14:paraId="6BF3A6F3">
      <w:pPr>
        <w:spacing w:line="360" w:lineRule="auto"/>
        <w:ind w:firstLine="480" w:firstLineChars="200"/>
        <w:rPr>
          <w:rFonts w:ascii="仿宋" w:hAnsi="仿宋" w:eastAsia="仿宋"/>
          <w:sz w:val="24"/>
        </w:rPr>
      </w:pPr>
      <w:r>
        <w:rPr>
          <w:rFonts w:ascii="仿宋" w:hAnsi="仿宋" w:eastAsia="仿宋"/>
          <w:sz w:val="24"/>
        </w:rPr>
        <w:t>（2）混合核酸检测质控品每支装量不应少于1.5ml/支。</w:t>
      </w:r>
    </w:p>
    <w:p w14:paraId="73882AA1">
      <w:pPr>
        <w:spacing w:line="360" w:lineRule="auto"/>
        <w:ind w:firstLine="480" w:firstLineChars="200"/>
        <w:rPr>
          <w:rFonts w:ascii="仿宋" w:hAnsi="仿宋" w:eastAsia="仿宋"/>
          <w:sz w:val="24"/>
        </w:rPr>
      </w:pPr>
      <w:r>
        <w:rPr>
          <w:rFonts w:ascii="仿宋" w:hAnsi="仿宋" w:eastAsia="仿宋"/>
          <w:sz w:val="24"/>
        </w:rPr>
        <w:t>（3）阴性质控品每支装量不应少于1.5ml/支。</w:t>
      </w:r>
    </w:p>
    <w:p w14:paraId="5F7C8F6C">
      <w:pPr>
        <w:spacing w:line="360" w:lineRule="auto"/>
        <w:ind w:firstLine="480" w:firstLineChars="200"/>
        <w:rPr>
          <w:rFonts w:ascii="仿宋" w:hAnsi="仿宋" w:eastAsia="仿宋"/>
          <w:sz w:val="24"/>
        </w:rPr>
      </w:pPr>
      <w:r>
        <w:rPr>
          <w:rFonts w:ascii="仿宋" w:hAnsi="仿宋" w:eastAsia="仿宋"/>
          <w:sz w:val="24"/>
        </w:rPr>
        <w:t>（4）血筛病毒核酸检测性能验证血清盘每支装量不应少于1ml/支。</w:t>
      </w:r>
    </w:p>
    <w:p w14:paraId="0ACD481F">
      <w:pPr>
        <w:widowControl/>
        <w:adjustRightInd w:val="0"/>
        <w:snapToGrid w:val="0"/>
        <w:spacing w:line="360" w:lineRule="auto"/>
        <w:ind w:firstLine="480" w:firstLineChars="200"/>
        <w:jc w:val="left"/>
        <w:rPr>
          <w:rFonts w:ascii="仿宋" w:hAnsi="仿宋" w:eastAsia="仿宋"/>
          <w:bCs/>
          <w:sz w:val="24"/>
        </w:rPr>
      </w:pPr>
      <w:r>
        <w:rPr>
          <w:rFonts w:ascii="仿宋" w:hAnsi="仿宋" w:eastAsia="仿宋"/>
          <w:bCs/>
          <w:sz w:val="24"/>
        </w:rPr>
        <w:t>2.4 储存条件及有效期：室温复溶后稳定8小时以上（包括8小时）。</w:t>
      </w:r>
    </w:p>
    <w:p w14:paraId="2815C6ED">
      <w:pPr>
        <w:widowControl/>
        <w:adjustRightInd w:val="0"/>
        <w:snapToGrid w:val="0"/>
        <w:spacing w:line="360" w:lineRule="auto"/>
        <w:ind w:firstLine="240" w:firstLineChars="100"/>
        <w:jc w:val="left"/>
        <w:rPr>
          <w:rFonts w:ascii="仿宋" w:hAnsi="仿宋" w:eastAsia="仿宋"/>
          <w:bCs/>
          <w:sz w:val="24"/>
        </w:rPr>
      </w:pPr>
      <w:r>
        <w:rPr>
          <w:rFonts w:ascii="仿宋" w:hAnsi="仿宋" w:eastAsia="仿宋" w:cs="Segoe UI Symbol"/>
          <w:bCs/>
          <w:sz w:val="24"/>
        </w:rPr>
        <w:t>★</w:t>
      </w:r>
      <w:r>
        <w:rPr>
          <w:rFonts w:ascii="仿宋" w:hAnsi="仿宋" w:eastAsia="仿宋"/>
          <w:bCs/>
          <w:sz w:val="24"/>
        </w:rPr>
        <w:t>2.5产品适用性</w:t>
      </w:r>
    </w:p>
    <w:p w14:paraId="17B2B42B">
      <w:pPr>
        <w:widowControl/>
        <w:adjustRightInd w:val="0"/>
        <w:snapToGrid w:val="0"/>
        <w:spacing w:line="360" w:lineRule="auto"/>
        <w:ind w:firstLine="480" w:firstLineChars="200"/>
        <w:jc w:val="left"/>
        <w:rPr>
          <w:rFonts w:ascii="仿宋" w:hAnsi="仿宋" w:eastAsia="仿宋"/>
          <w:bCs/>
          <w:sz w:val="24"/>
        </w:rPr>
      </w:pPr>
      <w:r>
        <w:rPr>
          <w:rFonts w:ascii="仿宋" w:hAnsi="仿宋" w:eastAsia="仿宋"/>
          <w:bCs/>
          <w:sz w:val="24"/>
        </w:rPr>
        <w:t>（1）血筛病毒核酸检测室内质控品应适合在用核酸检测系统（具体为 Panther核酸检测系统、cobas Synergy 5800核酸检测系统、WanTag核酸检测系统），以及实验室室内质量控制模式和要求。</w:t>
      </w:r>
    </w:p>
    <w:p w14:paraId="2E3B8F1D">
      <w:pPr>
        <w:widowControl/>
        <w:adjustRightInd w:val="0"/>
        <w:snapToGrid w:val="0"/>
        <w:spacing w:line="360" w:lineRule="auto"/>
        <w:ind w:firstLine="480" w:firstLineChars="200"/>
        <w:jc w:val="left"/>
        <w:rPr>
          <w:rFonts w:ascii="仿宋" w:hAnsi="仿宋" w:eastAsia="仿宋"/>
          <w:bCs/>
          <w:sz w:val="24"/>
        </w:rPr>
      </w:pPr>
      <w:r>
        <w:rPr>
          <w:rFonts w:ascii="仿宋" w:hAnsi="仿宋" w:eastAsia="仿宋"/>
          <w:bCs/>
          <w:sz w:val="24"/>
        </w:rPr>
        <w:t>（2）血筛病毒核酸检测性能验证血清盘应适合在用核酸检测系统（具体为 Panther核酸检测系统、Cobas s201核酸检测系统、WanTag核酸检测系统）的性能验证工作。</w:t>
      </w:r>
    </w:p>
    <w:p w14:paraId="6C246108">
      <w:pPr>
        <w:widowControl/>
        <w:adjustRightInd w:val="0"/>
        <w:snapToGrid w:val="0"/>
        <w:spacing w:line="360" w:lineRule="auto"/>
        <w:ind w:firstLine="480" w:firstLineChars="200"/>
        <w:jc w:val="left"/>
        <w:rPr>
          <w:rFonts w:ascii="仿宋" w:hAnsi="仿宋" w:eastAsia="仿宋"/>
          <w:bCs/>
          <w:sz w:val="24"/>
        </w:rPr>
      </w:pPr>
      <w:r>
        <w:rPr>
          <w:rFonts w:ascii="仿宋" w:hAnsi="仿宋" w:eastAsia="仿宋"/>
          <w:bCs/>
          <w:sz w:val="24"/>
        </w:rPr>
        <w:t>3.产品资质</w:t>
      </w:r>
    </w:p>
    <w:p w14:paraId="3AC4F0B8">
      <w:pPr>
        <w:widowControl/>
        <w:adjustRightInd w:val="0"/>
        <w:snapToGrid w:val="0"/>
        <w:spacing w:line="360" w:lineRule="auto"/>
        <w:ind w:firstLine="283" w:firstLineChars="118"/>
        <w:jc w:val="left"/>
        <w:rPr>
          <w:rFonts w:ascii="仿宋" w:hAnsi="仿宋" w:eastAsia="仿宋"/>
          <w:bCs/>
          <w:sz w:val="24"/>
        </w:rPr>
      </w:pPr>
      <w:r>
        <w:rPr>
          <w:rFonts w:ascii="仿宋" w:hAnsi="仿宋" w:eastAsia="仿宋"/>
          <w:bCs/>
          <w:sz w:val="24"/>
        </w:rPr>
        <w:t># 3.</w:t>
      </w:r>
      <w:r>
        <w:rPr>
          <w:rFonts w:hint="eastAsia" w:ascii="仿宋" w:hAnsi="仿宋" w:eastAsia="仿宋"/>
          <w:bCs/>
          <w:sz w:val="24"/>
        </w:rPr>
        <w:t>1</w:t>
      </w:r>
      <w:r>
        <w:rPr>
          <w:rFonts w:ascii="仿宋" w:hAnsi="仿宋" w:eastAsia="仿宋"/>
          <w:bCs/>
          <w:sz w:val="24"/>
        </w:rPr>
        <w:t>单项核酸检测质控品为标准物质类，可溯源至国际标准或国家标准（需提供标准物质证书和有关证明材料，加盖单位公章）。</w:t>
      </w:r>
    </w:p>
    <w:p w14:paraId="76CE4A7F">
      <w:pPr>
        <w:widowControl/>
        <w:adjustRightInd w:val="0"/>
        <w:snapToGrid w:val="0"/>
        <w:spacing w:line="360" w:lineRule="auto"/>
        <w:ind w:firstLine="283" w:firstLineChars="118"/>
        <w:jc w:val="left"/>
        <w:rPr>
          <w:rFonts w:ascii="仿宋" w:hAnsi="仿宋" w:eastAsia="仿宋"/>
          <w:bCs/>
          <w:sz w:val="24"/>
        </w:rPr>
      </w:pPr>
      <w:r>
        <w:rPr>
          <w:rFonts w:ascii="仿宋" w:hAnsi="仿宋" w:eastAsia="仿宋"/>
          <w:bCs/>
          <w:sz w:val="24"/>
        </w:rPr>
        <w:t>#3.2阴性质控品和血清盘无需提供。</w:t>
      </w:r>
    </w:p>
    <w:p w14:paraId="1FFC5575">
      <w:pPr>
        <w:widowControl/>
        <w:adjustRightInd w:val="0"/>
        <w:snapToGrid w:val="0"/>
        <w:spacing w:line="360" w:lineRule="auto"/>
        <w:ind w:firstLine="283" w:firstLineChars="118"/>
        <w:jc w:val="left"/>
        <w:rPr>
          <w:rFonts w:ascii="仿宋" w:hAnsi="仿宋" w:eastAsia="仿宋"/>
          <w:bCs/>
          <w:sz w:val="24"/>
        </w:rPr>
      </w:pPr>
      <w:r>
        <w:rPr>
          <w:rFonts w:hint="eastAsia" w:ascii="仿宋" w:hAnsi="仿宋" w:eastAsia="仿宋" w:cs="Segoe UI Symbol"/>
          <w:bCs/>
          <w:sz w:val="24"/>
        </w:rPr>
        <w:t>#</w:t>
      </w:r>
      <w:r>
        <w:rPr>
          <w:rFonts w:ascii="仿宋" w:hAnsi="仿宋" w:eastAsia="仿宋"/>
          <w:bCs/>
          <w:sz w:val="24"/>
        </w:rPr>
        <w:t>4.市场成熟度：产品应在各个领域省级单位得到广泛应用。用户至少包括8家及以上省级血液检测实验室（提供正式合同或使用证明复印件）。</w:t>
      </w:r>
    </w:p>
    <w:p w14:paraId="6788D21A">
      <w:pPr>
        <w:widowControl/>
        <w:adjustRightInd w:val="0"/>
        <w:snapToGrid w:val="0"/>
        <w:spacing w:line="360" w:lineRule="auto"/>
        <w:ind w:firstLine="424" w:firstLineChars="177"/>
        <w:jc w:val="left"/>
        <w:rPr>
          <w:rFonts w:ascii="仿宋" w:hAnsi="仿宋" w:eastAsia="仿宋"/>
          <w:bCs/>
          <w:sz w:val="24"/>
        </w:rPr>
      </w:pPr>
      <w:r>
        <w:rPr>
          <w:rFonts w:ascii="仿宋" w:hAnsi="仿宋" w:eastAsia="仿宋"/>
          <w:bCs/>
          <w:sz w:val="24"/>
        </w:rPr>
        <w:t>5.拓展服务：依据客户需求提供核酸室内质控品和性能验证血清盘的制备设计方案。</w:t>
      </w:r>
    </w:p>
    <w:p w14:paraId="3288635C">
      <w:pPr>
        <w:widowControl/>
        <w:adjustRightInd w:val="0"/>
        <w:snapToGrid w:val="0"/>
        <w:spacing w:line="360" w:lineRule="auto"/>
        <w:ind w:firstLine="424" w:firstLineChars="177"/>
        <w:jc w:val="left"/>
        <w:rPr>
          <w:rFonts w:ascii="仿宋" w:hAnsi="仿宋" w:eastAsia="仿宋"/>
          <w:bCs/>
          <w:sz w:val="24"/>
        </w:rPr>
      </w:pPr>
      <w:r>
        <w:rPr>
          <w:rFonts w:ascii="仿宋" w:hAnsi="仿宋" w:eastAsia="仿宋"/>
          <w:bCs/>
          <w:sz w:val="24"/>
        </w:rPr>
        <w:t>6.售后服务</w:t>
      </w:r>
    </w:p>
    <w:p w14:paraId="25A855C0">
      <w:pPr>
        <w:widowControl/>
        <w:adjustRightInd w:val="0"/>
        <w:snapToGrid w:val="0"/>
        <w:spacing w:line="360" w:lineRule="auto"/>
        <w:ind w:firstLine="480" w:firstLineChars="200"/>
        <w:jc w:val="left"/>
        <w:rPr>
          <w:rFonts w:ascii="仿宋" w:hAnsi="仿宋" w:eastAsia="仿宋"/>
          <w:bCs/>
          <w:sz w:val="24"/>
        </w:rPr>
      </w:pPr>
      <w:r>
        <w:rPr>
          <w:rFonts w:ascii="仿宋" w:hAnsi="仿宋" w:eastAsia="仿宋"/>
          <w:bCs/>
          <w:sz w:val="24"/>
        </w:rPr>
        <w:t>6.1投标人必须具有良好的口碑，具有履行合同所必须的技术、服务支持能力，拥有完善的服务体系，并能按项目技术要求供货、培训、使用、管理及相关服务；提供实验技术的专业培训和跟踪指导。</w:t>
      </w:r>
    </w:p>
    <w:p w14:paraId="63D82B9C">
      <w:pPr>
        <w:snapToGrid w:val="0"/>
        <w:spacing w:line="360" w:lineRule="auto"/>
        <w:ind w:firstLine="480" w:firstLineChars="200"/>
        <w:jc w:val="left"/>
        <w:rPr>
          <w:rFonts w:ascii="仿宋" w:hAnsi="仿宋" w:eastAsia="仿宋" w:cs="仿宋"/>
          <w:b/>
          <w:bCs/>
          <w:sz w:val="24"/>
        </w:rPr>
      </w:pPr>
      <w:r>
        <w:rPr>
          <w:rFonts w:ascii="仿宋" w:hAnsi="仿宋" w:eastAsia="仿宋"/>
          <w:bCs/>
          <w:sz w:val="24"/>
        </w:rPr>
        <w:t>6.2要求具备本地客户服务工程师2名以上。提供其他与本产品使用相关的服务。</w:t>
      </w:r>
    </w:p>
    <w:p w14:paraId="4037AA3D"/>
    <w:p w14:paraId="77BCBCF7">
      <w:pPr>
        <w:snapToGrid w:val="0"/>
        <w:spacing w:line="360" w:lineRule="auto"/>
        <w:ind w:firstLine="482" w:firstLineChars="200"/>
        <w:jc w:val="center"/>
        <w:rPr>
          <w:rFonts w:ascii="仿宋" w:hAnsi="仿宋" w:eastAsia="仿宋" w:cs="仿宋"/>
          <w:b/>
          <w:bCs/>
          <w:sz w:val="24"/>
        </w:rPr>
      </w:pPr>
      <w:r>
        <w:rPr>
          <w:rFonts w:ascii="仿宋" w:hAnsi="仿宋" w:eastAsia="仿宋" w:cs="仿宋"/>
          <w:b/>
          <w:bCs/>
          <w:sz w:val="24"/>
        </w:rPr>
        <w:t>第</w:t>
      </w:r>
      <w:r>
        <w:rPr>
          <w:rFonts w:hint="eastAsia" w:ascii="仿宋" w:hAnsi="仿宋" w:eastAsia="仿宋" w:cs="仿宋"/>
          <w:b/>
          <w:bCs/>
          <w:sz w:val="24"/>
        </w:rPr>
        <w:t xml:space="preserve">2包 </w:t>
      </w:r>
      <w:r>
        <w:rPr>
          <w:rFonts w:ascii="仿宋" w:hAnsi="仿宋" w:eastAsia="仿宋" w:cs="仿宋"/>
          <w:b/>
          <w:bCs/>
          <w:sz w:val="24"/>
        </w:rPr>
        <w:t>品目</w:t>
      </w:r>
      <w:r>
        <w:rPr>
          <w:rFonts w:hint="eastAsia" w:ascii="仿宋" w:hAnsi="仿宋" w:eastAsia="仿宋" w:cs="仿宋"/>
          <w:b/>
          <w:bCs/>
          <w:sz w:val="24"/>
        </w:rPr>
        <w:t>2-1核酸检测试剂</w:t>
      </w:r>
    </w:p>
    <w:p w14:paraId="0457AEFE">
      <w:pPr>
        <w:snapToGrid w:val="0"/>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数量：</w:t>
      </w:r>
      <w:r>
        <w:rPr>
          <w:rFonts w:ascii="仿宋" w:hAnsi="仿宋" w:eastAsia="仿宋" w:cs="仿宋"/>
          <w:b/>
          <w:bCs/>
          <w:sz w:val="24"/>
        </w:rPr>
        <w:t>25000</w:t>
      </w:r>
      <w:r>
        <w:rPr>
          <w:rFonts w:hint="eastAsia" w:ascii="仿宋" w:hAnsi="仿宋" w:eastAsia="仿宋" w:cs="仿宋"/>
          <w:b/>
          <w:bCs/>
          <w:sz w:val="24"/>
        </w:rPr>
        <w:t>人份</w:t>
      </w:r>
    </w:p>
    <w:p w14:paraId="494B67D9">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1.基本要求（需提供药监局审批的试剂说明书以证明相应内容）</w:t>
      </w:r>
    </w:p>
    <w:p w14:paraId="158E9070">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1.1试剂用途：用于人血浆样本乙型肝炎病毒（HBV）、丙型肝炎病毒（HCV）和人类免疫缺陷病毒（HIV）（1+2型）的核酸筛查。在同一反应管内同时定性检测并区别样本中的HBV DNA、HCV RNA及HIV RNA。</w:t>
      </w:r>
    </w:p>
    <w:p w14:paraId="044A3A46">
      <w:pPr>
        <w:widowControl/>
        <w:adjustRightInd w:val="0"/>
        <w:snapToGrid w:val="0"/>
        <w:spacing w:line="360" w:lineRule="auto"/>
        <w:ind w:firstLine="283" w:firstLineChars="118"/>
        <w:jc w:val="left"/>
        <w:rPr>
          <w:rFonts w:hint="eastAsia" w:ascii="仿宋" w:hAnsi="仿宋" w:eastAsia="仿宋"/>
          <w:color w:val="000000"/>
          <w:kern w:val="0"/>
          <w:sz w:val="24"/>
        </w:rPr>
      </w:pPr>
      <w:r>
        <w:rPr>
          <w:rFonts w:ascii="仿宋" w:hAnsi="仿宋" w:eastAsia="仿宋"/>
          <w:color w:val="000000"/>
          <w:kern w:val="0"/>
          <w:sz w:val="24"/>
        </w:rPr>
        <w:t>#1.2检测方式：单人份样本检测、≤6份样本混合检测。</w:t>
      </w:r>
    </w:p>
    <w:p w14:paraId="2E074F02">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1.3包装规格：48测试/套、96测试/套</w:t>
      </w:r>
    </w:p>
    <w:p w14:paraId="56E9FD50">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2.技术性能</w:t>
      </w:r>
    </w:p>
    <w:p w14:paraId="2F45CFDD">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2.1检测原理：PCR-荧光法。</w:t>
      </w:r>
    </w:p>
    <w:p w14:paraId="5949416E">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2.2检测基因型：HBV病毒基因型覆盖范围包含：A、B、C、D、E、F、G、H；HCV病毒基因型覆盖范围包含：1～6亚型；HIV病毒检测覆盖HIV-1型和HIV-2型，HIV-1 病毒基因型覆盖范围包含：M组、N组、O组。</w:t>
      </w:r>
    </w:p>
    <w:p w14:paraId="434931C3">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 2.3检测灵敏度：单份样本检测灵敏度要求HBV≤3 IU/mL、 HCV≤10 IU/mL、 HIV-1≤45 IU/mL、 HIV-2≤45 IU/mL。须提供药监局审批的试剂说明书以证明相应内容。</w:t>
      </w:r>
    </w:p>
    <w:p w14:paraId="0008F9DD">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2.4样本加样量：单人份样本体积≥960ul，混合检测样本体积≥160ul/人份。</w:t>
      </w:r>
    </w:p>
    <w:p w14:paraId="49684045">
      <w:pPr>
        <w:widowControl/>
        <w:adjustRightInd w:val="0"/>
        <w:snapToGrid w:val="0"/>
        <w:spacing w:line="360" w:lineRule="auto"/>
        <w:ind w:firstLine="424" w:firstLineChars="177"/>
        <w:jc w:val="left"/>
        <w:rPr>
          <w:rFonts w:hint="eastAsia" w:ascii="仿宋" w:hAnsi="仿宋" w:eastAsia="仿宋"/>
          <w:color w:val="000000"/>
          <w:kern w:val="0"/>
          <w:sz w:val="24"/>
        </w:rPr>
      </w:pPr>
      <w:r>
        <w:rPr>
          <w:rFonts w:ascii="仿宋" w:hAnsi="仿宋" w:eastAsia="仿宋"/>
          <w:color w:val="000000"/>
          <w:kern w:val="0"/>
          <w:sz w:val="24"/>
        </w:rPr>
        <w:t>2.5适用性：试剂能够在核酸检测系统（单台机）上使用，单台设备在同一工作区域内（核酸纯化与扩增检测区域无需物理隔离）即可完成核酸检测工作的全部流程。提供产品宣传资料（加盖公章）</w:t>
      </w:r>
    </w:p>
    <w:p w14:paraId="6EA0A081">
      <w:pPr>
        <w:widowControl/>
        <w:adjustRightInd w:val="0"/>
        <w:snapToGrid w:val="0"/>
        <w:spacing w:line="360" w:lineRule="auto"/>
        <w:ind w:firstLine="424" w:firstLineChars="177"/>
        <w:jc w:val="left"/>
        <w:rPr>
          <w:rFonts w:ascii="仿宋" w:hAnsi="仿宋" w:eastAsia="仿宋"/>
          <w:color w:val="000000"/>
          <w:kern w:val="0"/>
          <w:sz w:val="24"/>
        </w:rPr>
      </w:pPr>
      <w:r>
        <w:rPr>
          <w:rFonts w:hint="eastAsia" w:ascii="仿宋" w:hAnsi="仿宋" w:eastAsia="仿宋"/>
          <w:color w:val="000000"/>
          <w:kern w:val="0"/>
          <w:sz w:val="24"/>
        </w:rPr>
        <w:t>2.6</w:t>
      </w:r>
      <w:r>
        <w:rPr>
          <w:rFonts w:ascii="仿宋" w:hAnsi="仿宋" w:eastAsia="仿宋"/>
          <w:color w:val="000000"/>
          <w:kern w:val="0"/>
          <w:sz w:val="24"/>
        </w:rPr>
        <w:t>操作便捷性</w:t>
      </w:r>
    </w:p>
    <w:p w14:paraId="3C3B31BC">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（1）试剂拆开后可直接上机使用，由仪器或自动化移液平台完成试剂的配置、转移，无需人员干预。</w:t>
      </w:r>
    </w:p>
    <w:p w14:paraId="1B7B11E1">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（2）试验过程中无需手工转移反应扩增板、无需手工封膜。</w:t>
      </w:r>
    </w:p>
    <w:p w14:paraId="0D5B3B2D">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#2.7核酸提取1：核酸提取过程中磁珠始终在反应容器内。提供相应证明材料，如试剂或设备操作说明书、产品宣传资料（加盖公章）。</w:t>
      </w:r>
    </w:p>
    <w:p w14:paraId="0DDF3D83">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#2.8核酸提取2：核酸提取后无需磁珠去除（洗脱）步骤，避免此过程中因加热洗脱造成的污染风险。提供相应证明材料，如试剂或设备操作说明书、产品宣传资料（加盖公章）。</w:t>
      </w:r>
    </w:p>
    <w:p w14:paraId="0CDBCE34">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#2.9磁珠性能：磁珠与裂解液预先混合分装，使用时无需额外添加磁珠，保证各孔均一性。提供相应证明材料，如试剂或设备操作说明书、产品宣传资料（加盖公章）。</w:t>
      </w:r>
    </w:p>
    <w:p w14:paraId="47A5D15B">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#2.10扩增过程：使用带磁珠扩增的技术。提供相应证明材料，如试剂或设备操作说明书、产品宣传资料（加盖公章）。</w:t>
      </w:r>
    </w:p>
    <w:p w14:paraId="4865C3A6">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s="Segoe UI Symbol"/>
          <w:kern w:val="0"/>
          <w:sz w:val="24"/>
        </w:rPr>
        <w:t>★</w:t>
      </w:r>
      <w:r>
        <w:rPr>
          <w:rFonts w:ascii="仿宋" w:hAnsi="仿宋" w:eastAsia="仿宋"/>
          <w:color w:val="000000"/>
          <w:kern w:val="0"/>
          <w:sz w:val="24"/>
        </w:rPr>
        <w:t>2.11扩增时间：每批次扩增实验，扩增时间≤</w:t>
      </w:r>
      <w:r>
        <w:rPr>
          <w:rFonts w:hint="eastAsia" w:ascii="仿宋" w:hAnsi="仿宋" w:eastAsia="仿宋"/>
          <w:color w:val="000000"/>
          <w:kern w:val="0"/>
          <w:sz w:val="24"/>
        </w:rPr>
        <w:t>100</w:t>
      </w:r>
      <w:r>
        <w:rPr>
          <w:rFonts w:ascii="仿宋" w:hAnsi="仿宋" w:eastAsia="仿宋"/>
          <w:color w:val="000000"/>
          <w:kern w:val="0"/>
          <w:sz w:val="24"/>
        </w:rPr>
        <w:t>分钟。须提供药监局审批的试剂说明书</w:t>
      </w:r>
      <w:r>
        <w:rPr>
          <w:rFonts w:hint="eastAsia" w:ascii="仿宋" w:hAnsi="仿宋" w:eastAsia="仿宋"/>
          <w:color w:val="000000"/>
          <w:kern w:val="0"/>
          <w:sz w:val="24"/>
        </w:rPr>
        <w:t>，按其中“循环参数设定”相关内容测算</w:t>
      </w:r>
      <w:r>
        <w:rPr>
          <w:rFonts w:ascii="仿宋" w:hAnsi="仿宋" w:eastAsia="仿宋"/>
          <w:color w:val="000000"/>
          <w:kern w:val="0"/>
          <w:sz w:val="24"/>
        </w:rPr>
        <w:t>。</w:t>
      </w:r>
    </w:p>
    <w:p w14:paraId="330BAF80">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2.12质量保证：试剂内含内对照，参与整个核酸提取及扩增过程，能监控每个反应孔的有效性，避免假阴性。</w:t>
      </w:r>
    </w:p>
    <w:p w14:paraId="60C01ED6">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#2.13结果判定：检测结果分为阴性、阳性和灰区，并均有明确的判定标准。须提供药监局审批的试剂说明书以证明相应内容。</w:t>
      </w:r>
    </w:p>
    <w:p w14:paraId="2F1D5CC2">
      <w:pPr>
        <w:widowControl/>
        <w:adjustRightInd w:val="0"/>
        <w:snapToGrid w:val="0"/>
        <w:spacing w:line="360" w:lineRule="auto"/>
        <w:ind w:firstLine="283" w:firstLineChars="118"/>
        <w:jc w:val="left"/>
        <w:rPr>
          <w:rFonts w:ascii="仿宋" w:hAnsi="仿宋" w:eastAsia="仿宋"/>
          <w:color w:val="000000"/>
          <w:kern w:val="0"/>
          <w:sz w:val="24"/>
        </w:rPr>
      </w:pPr>
      <w:r>
        <w:rPr>
          <w:rFonts w:ascii="仿宋" w:hAnsi="仿宋" w:eastAsia="仿宋"/>
          <w:color w:val="000000"/>
          <w:kern w:val="0"/>
          <w:sz w:val="24"/>
        </w:rPr>
        <w:t>#2.14系统检测速度：单台设备单检速度≥380个测试/8小时、混合检测速度≥1000个测试/8小时。提供检测通量测算方案，至少包括实验全流程及各步骤所需时间、处理样本量等（加盖公章）。</w:t>
      </w:r>
    </w:p>
    <w:p w14:paraId="5F5BE26E">
      <w:pPr>
        <w:widowControl/>
        <w:adjustRightInd w:val="0"/>
        <w:snapToGrid w:val="0"/>
        <w:spacing w:line="360" w:lineRule="auto"/>
        <w:ind w:firstLine="283" w:firstLineChars="118"/>
        <w:jc w:val="left"/>
        <w:rPr>
          <w:rFonts w:ascii="仿宋" w:hAnsi="仿宋" w:eastAsia="仿宋"/>
          <w:color w:val="000000"/>
          <w:kern w:val="0"/>
          <w:sz w:val="24"/>
        </w:rPr>
      </w:pPr>
      <w:r>
        <w:rPr>
          <w:rFonts w:ascii="仿宋" w:hAnsi="仿宋" w:eastAsia="仿宋"/>
          <w:color w:val="000000"/>
          <w:kern w:val="0"/>
          <w:sz w:val="24"/>
        </w:rPr>
        <w:t>#2.15试剂开瓶稳定性：扩增试剂反复冻融≥5次。须提供药监局审批的试剂说明书以证明相应内容。</w:t>
      </w:r>
    </w:p>
    <w:p w14:paraId="4A50123B">
      <w:pPr>
        <w:widowControl/>
        <w:adjustRightInd w:val="0"/>
        <w:snapToGrid w:val="0"/>
        <w:spacing w:line="360" w:lineRule="auto"/>
        <w:ind w:firstLine="424" w:firstLineChars="177"/>
        <w:jc w:val="left"/>
        <w:rPr>
          <w:rFonts w:ascii="仿宋" w:hAnsi="仿宋" w:eastAsia="仿宋"/>
          <w:color w:val="000000"/>
          <w:kern w:val="0"/>
          <w:sz w:val="24"/>
        </w:rPr>
      </w:pPr>
      <w:r>
        <w:rPr>
          <w:rFonts w:ascii="仿宋" w:hAnsi="仿宋" w:eastAsia="仿宋"/>
          <w:color w:val="000000"/>
          <w:kern w:val="0"/>
          <w:sz w:val="24"/>
        </w:rPr>
        <w:t>2.16消毒要求：明确试验相关的消毒剂种类和消毒方法。须提供药监局审批的试剂说明书以证明相应内容。</w:t>
      </w:r>
    </w:p>
    <w:p w14:paraId="27A17B69">
      <w:pPr>
        <w:widowControl/>
        <w:adjustRightInd w:val="0"/>
        <w:snapToGrid w:val="0"/>
        <w:spacing w:line="360" w:lineRule="auto"/>
        <w:ind w:firstLine="480" w:firstLineChars="200"/>
        <w:jc w:val="left"/>
        <w:rPr>
          <w:rFonts w:ascii="仿宋" w:hAnsi="仿宋" w:eastAsia="仿宋"/>
          <w:color w:val="000000"/>
          <w:kern w:val="0"/>
          <w:sz w:val="24"/>
        </w:rPr>
      </w:pPr>
      <w:r>
        <w:rPr>
          <w:rFonts w:ascii="仿宋" w:hAnsi="仿宋" w:eastAsia="仿宋"/>
          <w:color w:val="000000"/>
          <w:kern w:val="0"/>
          <w:sz w:val="24"/>
        </w:rPr>
        <w:t>3其他要求</w:t>
      </w:r>
    </w:p>
    <w:p w14:paraId="778363D2">
      <w:pPr>
        <w:widowControl/>
        <w:adjustRightInd w:val="0"/>
        <w:snapToGrid w:val="0"/>
        <w:spacing w:line="360" w:lineRule="auto"/>
        <w:ind w:firstLine="480" w:firstLineChars="200"/>
        <w:jc w:val="left"/>
        <w:rPr>
          <w:rFonts w:ascii="仿宋" w:hAnsi="仿宋" w:eastAsia="仿宋"/>
          <w:color w:val="000000"/>
          <w:kern w:val="0"/>
          <w:sz w:val="24"/>
        </w:rPr>
      </w:pPr>
      <w:r>
        <w:rPr>
          <w:rFonts w:ascii="仿宋" w:hAnsi="仿宋" w:eastAsia="仿宋"/>
          <w:color w:val="000000"/>
          <w:kern w:val="0"/>
          <w:sz w:val="24"/>
        </w:rPr>
        <w:t>3.1匹配要求：在采购周期内提供用户所需的、与检测量相匹配的检测设备、应急设备及其辅助耗材以供使用。</w:t>
      </w:r>
    </w:p>
    <w:p w14:paraId="106477AA">
      <w:pPr>
        <w:pStyle w:val="6"/>
        <w:widowControl/>
        <w:adjustRightInd w:val="0"/>
        <w:snapToGrid w:val="0"/>
        <w:spacing w:line="360" w:lineRule="auto"/>
        <w:ind w:firstLine="480"/>
        <w:jc w:val="left"/>
        <w:rPr>
          <w:rFonts w:ascii="仿宋" w:hAnsi="仿宋" w:eastAsia="仿宋"/>
          <w:color w:val="000000"/>
          <w:kern w:val="0"/>
          <w:sz w:val="24"/>
          <w:szCs w:val="24"/>
        </w:rPr>
      </w:pPr>
      <w:r>
        <w:rPr>
          <w:rFonts w:hint="eastAsia" w:ascii="仿宋" w:hAnsi="仿宋" w:eastAsia="仿宋"/>
          <w:color w:val="000000"/>
          <w:kern w:val="0"/>
          <w:sz w:val="24"/>
          <w:szCs w:val="24"/>
        </w:rPr>
        <w:t>3.2</w:t>
      </w:r>
      <w:r>
        <w:rPr>
          <w:rFonts w:ascii="仿宋" w:hAnsi="仿宋" w:eastAsia="仿宋"/>
          <w:color w:val="000000"/>
          <w:kern w:val="0"/>
          <w:sz w:val="24"/>
          <w:szCs w:val="24"/>
        </w:rPr>
        <w:t>售后服务</w:t>
      </w:r>
    </w:p>
    <w:p w14:paraId="1F358D25">
      <w:pPr>
        <w:widowControl/>
        <w:adjustRightInd w:val="0"/>
        <w:snapToGrid w:val="0"/>
        <w:spacing w:line="360" w:lineRule="auto"/>
        <w:ind w:firstLine="480" w:firstLineChars="200"/>
        <w:jc w:val="left"/>
        <w:rPr>
          <w:rFonts w:ascii="仿宋" w:hAnsi="仿宋" w:eastAsia="仿宋"/>
          <w:color w:val="000000"/>
          <w:kern w:val="0"/>
          <w:sz w:val="24"/>
        </w:rPr>
      </w:pPr>
      <w:r>
        <w:rPr>
          <w:rFonts w:ascii="仿宋" w:hAnsi="仿宋" w:eastAsia="仿宋"/>
          <w:color w:val="000000"/>
          <w:kern w:val="0"/>
          <w:sz w:val="24"/>
        </w:rPr>
        <w:t>（1）工程师提供24小时全天候的维修和技术支持，响应时间≤4小时。应用支持人员承担检测设备月以上级别 (含月级别)的维护、保养、校准。</w:t>
      </w:r>
    </w:p>
    <w:p w14:paraId="72C82ADC">
      <w:pPr>
        <w:widowControl/>
        <w:adjustRightInd w:val="0"/>
        <w:snapToGrid w:val="0"/>
        <w:spacing w:line="360" w:lineRule="auto"/>
        <w:ind w:firstLine="480" w:firstLineChars="200"/>
        <w:jc w:val="left"/>
        <w:rPr>
          <w:rFonts w:ascii="仿宋" w:hAnsi="仿宋" w:eastAsia="仿宋"/>
          <w:color w:val="000000"/>
          <w:kern w:val="0"/>
          <w:sz w:val="24"/>
        </w:rPr>
      </w:pPr>
      <w:r>
        <w:rPr>
          <w:rFonts w:ascii="仿宋" w:hAnsi="仿宋" w:eastAsia="仿宋"/>
          <w:color w:val="000000"/>
          <w:kern w:val="0"/>
          <w:sz w:val="24"/>
        </w:rPr>
        <w:t>（2）供应方承担设备维修、维护、保养相应的所有费用；在合同有效期内，核酸试剂相关配套设备的使用权归用户所有。</w:t>
      </w:r>
    </w:p>
    <w:p w14:paraId="3096B9F2">
      <w:pPr>
        <w:widowControl/>
        <w:adjustRightInd w:val="0"/>
        <w:snapToGrid w:val="0"/>
        <w:spacing w:line="360" w:lineRule="auto"/>
        <w:ind w:firstLine="424" w:firstLineChars="177"/>
        <w:jc w:val="left"/>
        <w:rPr>
          <w:rFonts w:ascii="仿宋" w:hAnsi="仿宋" w:eastAsia="仿宋"/>
          <w:color w:val="000000"/>
          <w:kern w:val="0"/>
          <w:sz w:val="24"/>
        </w:rPr>
      </w:pPr>
      <w:r>
        <w:rPr>
          <w:rFonts w:hint="eastAsia" w:ascii="仿宋" w:hAnsi="仿宋" w:eastAsia="仿宋"/>
          <w:color w:val="000000"/>
          <w:kern w:val="0"/>
          <w:sz w:val="24"/>
        </w:rPr>
        <w:t>#</w:t>
      </w:r>
      <w:r>
        <w:rPr>
          <w:rFonts w:ascii="仿宋" w:hAnsi="仿宋" w:eastAsia="仿宋"/>
          <w:color w:val="000000"/>
          <w:kern w:val="0"/>
          <w:sz w:val="24"/>
        </w:rPr>
        <w:t>3.3供货能力：提供生产工厂地址并加盖公章。如在采购人所在地无生产工厂，投标人必须有常规使用的库房，须提供库房详细地址，该地址的产权证明复印件或租赁合同复印件并加盖投标人公章。</w:t>
      </w:r>
    </w:p>
    <w:p w14:paraId="12205DDF">
      <w:pPr>
        <w:pStyle w:val="6"/>
        <w:widowControl/>
        <w:adjustRightInd w:val="0"/>
        <w:snapToGrid w:val="0"/>
        <w:spacing w:line="360" w:lineRule="auto"/>
        <w:ind w:firstLine="424" w:firstLineChars="177"/>
        <w:jc w:val="left"/>
        <w:rPr>
          <w:rFonts w:ascii="仿宋" w:hAnsi="仿宋" w:eastAsia="仿宋"/>
          <w:color w:val="000000"/>
          <w:kern w:val="0"/>
          <w:sz w:val="24"/>
          <w:szCs w:val="24"/>
        </w:rPr>
      </w:pPr>
      <w:r>
        <w:rPr>
          <w:rFonts w:hint="eastAsia" w:ascii="仿宋" w:hAnsi="仿宋" w:eastAsia="仿宋"/>
          <w:color w:val="000000"/>
          <w:kern w:val="0"/>
          <w:sz w:val="24"/>
          <w:szCs w:val="24"/>
        </w:rPr>
        <w:t>#3.4</w:t>
      </w:r>
      <w:r>
        <w:rPr>
          <w:rFonts w:ascii="仿宋" w:hAnsi="仿宋" w:eastAsia="仿宋"/>
          <w:color w:val="000000"/>
          <w:kern w:val="0"/>
          <w:sz w:val="24"/>
          <w:szCs w:val="24"/>
        </w:rPr>
        <w:t>应急能力</w:t>
      </w:r>
    </w:p>
    <w:p w14:paraId="769D66C9">
      <w:pPr>
        <w:widowControl/>
        <w:adjustRightInd w:val="0"/>
        <w:snapToGrid w:val="0"/>
        <w:spacing w:line="360" w:lineRule="auto"/>
        <w:ind w:firstLine="480" w:firstLineChars="200"/>
        <w:jc w:val="left"/>
        <w:rPr>
          <w:rFonts w:ascii="仿宋" w:hAnsi="仿宋" w:eastAsia="仿宋"/>
          <w:color w:val="000000"/>
          <w:kern w:val="0"/>
          <w:sz w:val="24"/>
        </w:rPr>
      </w:pPr>
      <w:r>
        <w:rPr>
          <w:rFonts w:ascii="仿宋" w:hAnsi="仿宋" w:eastAsia="仿宋"/>
          <w:color w:val="000000"/>
          <w:kern w:val="0"/>
          <w:sz w:val="24"/>
        </w:rPr>
        <w:t>（1）供应方所在地备有与使用批号相同或另一批号的产品（2万人份）满足应急需求。提供相关证明材料。</w:t>
      </w:r>
    </w:p>
    <w:p w14:paraId="7B165649">
      <w:pPr>
        <w:widowControl/>
        <w:adjustRightInd w:val="0"/>
        <w:snapToGrid w:val="0"/>
        <w:spacing w:line="360" w:lineRule="auto"/>
        <w:ind w:firstLine="480" w:firstLineChars="200"/>
        <w:jc w:val="left"/>
        <w:rPr>
          <w:rFonts w:ascii="仿宋" w:hAnsi="仿宋" w:eastAsia="仿宋"/>
          <w:color w:val="000000"/>
          <w:kern w:val="0"/>
          <w:sz w:val="24"/>
        </w:rPr>
      </w:pPr>
      <w:r>
        <w:rPr>
          <w:rFonts w:ascii="仿宋" w:hAnsi="仿宋" w:eastAsia="仿宋"/>
          <w:color w:val="000000"/>
          <w:kern w:val="0"/>
          <w:sz w:val="24"/>
        </w:rPr>
        <w:t>（2）提交应急保障工作方案，应包括但不限于应急供货，试剂发生质量问题时，供应商应急处置措施。</w:t>
      </w:r>
    </w:p>
    <w:p w14:paraId="4FE5D818">
      <w:pPr>
        <w:snapToGrid w:val="0"/>
        <w:spacing w:line="360" w:lineRule="auto"/>
        <w:ind w:firstLine="424" w:firstLineChars="177"/>
        <w:jc w:val="left"/>
        <w:rPr>
          <w:rFonts w:ascii="仿宋" w:hAnsi="仿宋" w:eastAsia="仿宋" w:cs="仿宋"/>
          <w:b/>
          <w:bCs/>
          <w:sz w:val="24"/>
        </w:rPr>
      </w:pPr>
      <w:r>
        <w:rPr>
          <w:rFonts w:ascii="仿宋" w:hAnsi="仿宋" w:eastAsia="仿宋"/>
          <w:color w:val="000000"/>
          <w:kern w:val="0"/>
          <w:sz w:val="24"/>
        </w:rPr>
        <w:t>3.</w:t>
      </w:r>
      <w:r>
        <w:rPr>
          <w:rFonts w:hint="eastAsia" w:ascii="仿宋" w:hAnsi="仿宋" w:eastAsia="仿宋"/>
          <w:color w:val="000000"/>
          <w:kern w:val="0"/>
          <w:sz w:val="24"/>
        </w:rPr>
        <w:t>5</w:t>
      </w:r>
      <w:r>
        <w:rPr>
          <w:rFonts w:ascii="仿宋" w:hAnsi="仿宋" w:eastAsia="仿宋"/>
          <w:kern w:val="0"/>
          <w:sz w:val="24"/>
        </w:rPr>
        <w:t>拓展服务</w:t>
      </w:r>
      <w:r>
        <w:rPr>
          <w:rFonts w:ascii="仿宋" w:hAnsi="仿宋" w:eastAsia="仿宋"/>
          <w:color w:val="000000"/>
          <w:kern w:val="0"/>
          <w:sz w:val="24"/>
        </w:rPr>
        <w:t>：可提供与配套核酸血筛试剂同一品牌的 HBV DNA、HCV RNA、HIV RNA 定量试剂，便于使用单位对筛查出的阳性标本进行进一步的研究。提供相关证明材料。</w:t>
      </w:r>
    </w:p>
    <w:p w14:paraId="0DBAE424">
      <w:pPr>
        <w:rPr>
          <w:rFonts w:ascii="仿宋" w:hAnsi="仿宋" w:eastAsia="仿宋" w:cs="仿宋"/>
          <w:b/>
          <w:bCs/>
          <w:sz w:val="24"/>
        </w:rPr>
      </w:pPr>
      <w:r>
        <w:rPr>
          <w:rFonts w:ascii="仿宋" w:hAnsi="仿宋" w:eastAsia="仿宋" w:cs="仿宋"/>
          <w:b/>
          <w:bCs/>
          <w:sz w:val="24"/>
        </w:rPr>
        <w:br w:type="page"/>
      </w:r>
    </w:p>
    <w:p w14:paraId="1D7BA431">
      <w:pPr>
        <w:snapToGrid w:val="0"/>
        <w:spacing w:line="360" w:lineRule="auto"/>
        <w:ind w:firstLine="482" w:firstLineChars="200"/>
        <w:jc w:val="center"/>
        <w:rPr>
          <w:rFonts w:ascii="仿宋" w:hAnsi="仿宋" w:eastAsia="仿宋" w:cs="仿宋"/>
          <w:b/>
          <w:bCs/>
          <w:sz w:val="24"/>
        </w:rPr>
      </w:pPr>
    </w:p>
    <w:p w14:paraId="26D51AFA">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2、采购标的需满足的服务标准、期限、效率等要求</w:t>
      </w:r>
    </w:p>
    <w:p w14:paraId="18F6165C">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 xml:space="preserve">2.1投标人须保证产品完全符合强制性的国家技术质量规范和合同规定的质量、规格、性能和技术规范等的要求。 </w:t>
      </w:r>
    </w:p>
    <w:p w14:paraId="7E1D6494">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2.2投标人应向采购人提供必要的培训，使采购人人员可正确使用产品。投标人有完善的服务体系，有能力提供持续的、本地化售后服务。投标人负责系统安装和调试以及操作人员培训，并执行详细的培训计划，使采购人操作人员能独立进行管理、操作、维护和故障处理等工作，投标人做好相关记录及技术文档收集整理并及时移交甲方。在货物投入使用后，投标人应能满足采购人提出的培训要求。</w:t>
      </w:r>
    </w:p>
    <w:p w14:paraId="1C19A520">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2.3根据采购人</w:t>
      </w:r>
      <w:bookmarkStart w:id="3" w:name="OLE_LINK15"/>
      <w:bookmarkStart w:id="4" w:name="OLE_LINK16"/>
      <w:r>
        <w:rPr>
          <w:rFonts w:hint="eastAsia" w:ascii="仿宋" w:hAnsi="仿宋" w:eastAsia="仿宋"/>
          <w:sz w:val="24"/>
        </w:rPr>
        <w:t>按检验标准自行检验结果</w:t>
      </w:r>
      <w:bookmarkEnd w:id="3"/>
      <w:bookmarkEnd w:id="4"/>
      <w:r>
        <w:rPr>
          <w:rFonts w:hint="eastAsia" w:ascii="仿宋" w:hAnsi="仿宋" w:eastAsia="仿宋"/>
          <w:sz w:val="24"/>
        </w:rPr>
        <w:t>或委托有资质的相关质检机构的检验结果，发现系统的数量、质量、规格与合同不符；或者在质量保证期内，证实产品存在缺陷，包括潜在的缺陷或使用不符合要求的部分等，采购人应尽快通知投标人。投标人在收到通知后 72 小时内应答并解决问题。</w:t>
      </w:r>
    </w:p>
    <w:p w14:paraId="0E0789AE">
      <w:pPr>
        <w:tabs>
          <w:tab w:val="left" w:pos="900"/>
        </w:tabs>
        <w:spacing w:line="360" w:lineRule="auto"/>
        <w:ind w:firstLine="480" w:firstLineChars="200"/>
        <w:rPr>
          <w:rFonts w:ascii="仿宋" w:hAnsi="仿宋" w:eastAsia="仿宋"/>
          <w:sz w:val="24"/>
        </w:rPr>
      </w:pPr>
      <w:r>
        <w:rPr>
          <w:rFonts w:hint="eastAsia" w:ascii="仿宋" w:hAnsi="仿宋" w:eastAsia="仿宋"/>
          <w:sz w:val="24"/>
        </w:rPr>
        <w:t>2.4如果投标人在收到通知后 24 小时内未应答或72小时内未解决问题，采购人可采取必要的补救措施，但由此引发的风险和费用将由投标人承担。</w:t>
      </w:r>
    </w:p>
    <w:p w14:paraId="36C5CFDA">
      <w:pPr>
        <w:snapToGrid w:val="0"/>
        <w:spacing w:line="360" w:lineRule="auto"/>
        <w:ind w:firstLine="480" w:firstLineChars="200"/>
        <w:rPr>
          <w:rFonts w:ascii="仿宋" w:hAnsi="仿宋" w:eastAsia="仿宋" w:cs="仿宋"/>
          <w:bCs/>
          <w:sz w:val="24"/>
        </w:rPr>
      </w:pPr>
      <w:r>
        <w:rPr>
          <w:rFonts w:hint="eastAsia" w:ascii="仿宋" w:hAnsi="仿宋" w:eastAsia="仿宋"/>
          <w:sz w:val="24"/>
        </w:rPr>
        <w:t>2.5投标人365×24小时响应质量问题通知；投标人接到通知后，必须在24小时内到达现场，一般问题24小时内给予解决、严重问题72小时内给予解决。</w:t>
      </w:r>
    </w:p>
    <w:p w14:paraId="7E989025">
      <w:pPr>
        <w:pStyle w:val="2"/>
        <w:spacing w:line="360" w:lineRule="auto"/>
        <w:ind w:firstLine="480" w:firstLineChars="200"/>
      </w:pPr>
    </w:p>
    <w:p w14:paraId="51AA4C2A">
      <w:pPr>
        <w:pStyle w:val="2"/>
        <w:rPr>
          <w:b/>
        </w:rPr>
      </w:pPr>
    </w:p>
    <w:p w14:paraId="56AE58C5">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3、为落实政府采购政策需满足的要求</w:t>
      </w:r>
    </w:p>
    <w:p w14:paraId="25B30F83">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062D782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14230E0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354D11C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3EA6177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0B8DD7B8">
      <w:pPr>
        <w:snapToGrid w:val="0"/>
        <w:spacing w:line="360" w:lineRule="auto"/>
        <w:ind w:firstLine="480" w:firstLineChars="200"/>
        <w:rPr>
          <w:rFonts w:ascii="仿宋" w:hAnsi="仿宋" w:eastAsia="仿宋" w:cs="仿宋"/>
          <w:bCs/>
          <w:sz w:val="24"/>
        </w:rPr>
      </w:pPr>
      <w:bookmarkStart w:id="5"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6" w:name="OLE_LINK55"/>
      <w:bookmarkStart w:id="7" w:name="OLE_LINK56"/>
      <w:r>
        <w:rPr>
          <w:rFonts w:hint="eastAsia" w:ascii="仿宋" w:hAnsi="仿宋" w:eastAsia="仿宋" w:cs="仿宋"/>
          <w:b/>
          <w:bCs/>
          <w:sz w:val="24"/>
        </w:rPr>
        <w:t>投标人</w:t>
      </w:r>
      <w:bookmarkEnd w:id="6"/>
      <w:bookmarkEnd w:id="7"/>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5"/>
    </w:p>
    <w:p w14:paraId="38636ACE">
      <w:pPr>
        <w:pStyle w:val="2"/>
      </w:pPr>
    </w:p>
    <w:p w14:paraId="6B41EBD7">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4、采购标的的其他技术、服务等要求</w:t>
      </w:r>
    </w:p>
    <w:p w14:paraId="1D5E3051">
      <w:pPr>
        <w:spacing w:line="360" w:lineRule="auto"/>
        <w:ind w:firstLine="482" w:firstLineChars="200"/>
        <w:rPr>
          <w:rFonts w:ascii="仿宋" w:hAnsi="仿宋" w:eastAsia="仿宋"/>
          <w:b/>
          <w:sz w:val="24"/>
        </w:rPr>
      </w:pPr>
      <w:r>
        <w:rPr>
          <w:rFonts w:hint="eastAsia" w:ascii="仿宋" w:hAnsi="仿宋" w:eastAsia="仿宋"/>
          <w:b/>
          <w:sz w:val="24"/>
        </w:rPr>
        <w:t>4.1 投标人需要提供投标产品技术支持资料（或证明材料），并需要同时加盖投标人公章。对于技术规格中标注“#”号的技术参数，投标人须在投标文件中按照招标文件技术规格的要求提供技术应答的证明材料。对于投标人提供的投标文件技术应答未按本条款要求提供投标产品技术支持资料（或证明材料）的，或提供的投标产品技术支持资料（或证明材料）未按本条款要求加盖投标人公章的，评标委员会可不予承认，并可认为该技术应答不符合招标文件要求。由此产生的评标风险，由投标人承担。</w:t>
      </w:r>
    </w:p>
    <w:p w14:paraId="6876415D">
      <w:pPr>
        <w:spacing w:line="360" w:lineRule="auto"/>
        <w:ind w:firstLine="482" w:firstLineChars="200"/>
        <w:rPr>
          <w:rFonts w:ascii="仿宋" w:hAnsi="仿宋" w:eastAsia="仿宋"/>
          <w:b/>
          <w:sz w:val="24"/>
        </w:rPr>
      </w:pPr>
      <w:r>
        <w:rPr>
          <w:rFonts w:hint="eastAsia" w:ascii="仿宋" w:hAnsi="仿宋" w:eastAsia="仿宋"/>
          <w:b/>
          <w:sz w:val="24"/>
        </w:rPr>
        <w:t>4.2</w:t>
      </w:r>
      <w:r>
        <w:rPr>
          <w:rFonts w:ascii="仿宋" w:hAnsi="仿宋" w:eastAsia="仿宋"/>
          <w:b/>
          <w:sz w:val="24"/>
        </w:rPr>
        <w:t>投标人须提供配送方案、</w:t>
      </w:r>
      <w:r>
        <w:rPr>
          <w:rFonts w:hint="eastAsia" w:ascii="仿宋" w:hAnsi="仿宋" w:eastAsia="仿宋"/>
          <w:b/>
          <w:sz w:val="24"/>
        </w:rPr>
        <w:t>售后服务方案、服务质量保证及应急保障方案。</w:t>
      </w:r>
    </w:p>
    <w:p w14:paraId="310B957F">
      <w:pPr>
        <w:spacing w:line="360" w:lineRule="auto"/>
        <w:ind w:firstLine="480" w:firstLineChars="200"/>
        <w:rPr>
          <w:rFonts w:ascii="仿宋_GB2312" w:eastAsia="仿宋_GB2312"/>
          <w:sz w:val="24"/>
        </w:rPr>
      </w:pPr>
      <w:r>
        <w:rPr>
          <w:rFonts w:hint="eastAsia" w:ascii="仿宋" w:hAnsi="仿宋" w:eastAsia="仿宋"/>
          <w:sz w:val="24"/>
        </w:rPr>
        <w:t>4.3</w:t>
      </w:r>
      <w:r>
        <w:rPr>
          <w:rFonts w:hint="eastAsia" w:ascii="仿宋_GB2312" w:eastAsia="仿宋_GB2312"/>
          <w:sz w:val="24"/>
        </w:rPr>
        <w:t>投标人提供产品的设计、制作、工艺等，应不侵犯任何第三方的知识产权，代理销售的产品应具有合法有效的销售权，投标人不得擅自使用采购人的标志、技术、信息及其他资料，如因知识产权、代理销售权等纠纷引发的任何责任由投标人自行承担，采购人不承担任何责任。如因此给采购人造成损失的，投标人负责全额赔偿。保密方因签署或履行本合同而了解或接触到对方的商业秘密及其他保密资料或信息均应保守秘密，非经对方书面同意，任何一方不得向任何第三方泄露、给予或转让该保密信息。保密期限不以本合同期限为限，合同到期仍然要履行保密义务。</w:t>
      </w:r>
    </w:p>
    <w:p w14:paraId="3F8918AF">
      <w:pPr>
        <w:spacing w:line="360" w:lineRule="auto"/>
        <w:ind w:firstLine="480" w:firstLineChars="200"/>
        <w:rPr>
          <w:rFonts w:ascii="仿宋_GB2312" w:eastAsia="仿宋_GB2312"/>
          <w:sz w:val="24"/>
        </w:rPr>
      </w:pPr>
      <w:r>
        <w:rPr>
          <w:rFonts w:hint="eastAsia" w:ascii="仿宋" w:hAnsi="仿宋" w:eastAsia="仿宋"/>
          <w:sz w:val="24"/>
        </w:rPr>
        <w:t>4.4</w:t>
      </w:r>
      <w:r>
        <w:rPr>
          <w:rFonts w:hint="eastAsia" w:ascii="仿宋_GB2312" w:eastAsia="仿宋_GB2312"/>
          <w:sz w:val="24"/>
        </w:rPr>
        <w:t>投标人库房应保证拥有满足本产品采购人1个月的库存量。</w:t>
      </w:r>
    </w:p>
    <w:p w14:paraId="4704A950">
      <w:pPr>
        <w:snapToGrid w:val="0"/>
        <w:spacing w:line="360" w:lineRule="auto"/>
        <w:ind w:firstLine="480" w:firstLineChars="200"/>
        <w:rPr>
          <w:rFonts w:ascii="仿宋" w:hAnsi="仿宋" w:eastAsia="仿宋" w:cs="仿宋"/>
          <w:bCs/>
          <w:sz w:val="24"/>
        </w:rPr>
      </w:pPr>
    </w:p>
    <w:p w14:paraId="4C0EE9A2">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5、需由投标人提供设计方案、解决方案或者组织方案的采购项目，应当说明采购标的的功能、应用场景、目标等基本要求</w:t>
      </w:r>
    </w:p>
    <w:p w14:paraId="4D5023C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14:paraId="75302B8C">
      <w:pPr>
        <w:pStyle w:val="2"/>
        <w:rPr>
          <w:rFonts w:ascii="仿宋" w:hAnsi="仿宋" w:eastAsia="仿宋"/>
        </w:rPr>
      </w:pPr>
    </w:p>
    <w:p w14:paraId="5289BD41">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14:paraId="66A8AC11">
      <w:pPr>
        <w:spacing w:before="120" w:line="360" w:lineRule="auto"/>
        <w:ind w:firstLine="480" w:firstLineChars="200"/>
        <w:rPr>
          <w:rFonts w:ascii="仿宋_GB2312" w:eastAsia="仿宋_GB2312"/>
          <w:sz w:val="24"/>
        </w:rPr>
      </w:pPr>
      <w:r>
        <w:rPr>
          <w:rFonts w:hint="eastAsia" w:ascii="仿宋_GB2312" w:eastAsia="仿宋_GB2312"/>
          <w:sz w:val="24"/>
        </w:rPr>
        <w:t>采购人按照合同约定对产品的外观、数量、规格、批号、包装</w:t>
      </w:r>
      <w:r>
        <w:rPr>
          <w:rFonts w:hint="eastAsia" w:ascii="仿宋_GB2312" w:eastAsia="仿宋_GB2312"/>
          <w:sz w:val="24"/>
          <w:lang w:eastAsia="zh-CN"/>
        </w:rPr>
        <w:t>、</w:t>
      </w:r>
      <w:r>
        <w:rPr>
          <w:rFonts w:hint="eastAsia" w:ascii="仿宋_GB2312" w:eastAsia="仿宋_GB2312"/>
          <w:sz w:val="24"/>
          <w:lang w:val="en-US" w:eastAsia="zh-CN"/>
        </w:rPr>
        <w:t>冷链记录</w:t>
      </w:r>
      <w:r>
        <w:rPr>
          <w:rFonts w:hint="eastAsia" w:ascii="仿宋_GB2312" w:eastAsia="仿宋_GB2312"/>
          <w:sz w:val="24"/>
        </w:rPr>
        <w:t>等进行验收，不符合合同约定标准的产品，投标人负责在</w:t>
      </w:r>
      <w:r>
        <w:rPr>
          <w:rFonts w:hint="eastAsia" w:ascii="仿宋_GB2312" w:eastAsia="仿宋_GB2312"/>
          <w:sz w:val="24"/>
          <w:u w:val="single"/>
        </w:rPr>
        <w:t xml:space="preserve"> 10 </w:t>
      </w:r>
      <w:r>
        <w:rPr>
          <w:rFonts w:hint="eastAsia" w:ascii="仿宋_GB2312" w:eastAsia="仿宋_GB2312"/>
          <w:color w:val="000000" w:themeColor="text1"/>
          <w:sz w:val="24"/>
          <w14:textFill>
            <w14:solidFill>
              <w14:schemeClr w14:val="tx1"/>
            </w14:solidFill>
          </w14:textFill>
        </w:rPr>
        <w:t>个工作</w:t>
      </w:r>
      <w:r>
        <w:rPr>
          <w:rFonts w:hint="eastAsia" w:ascii="仿宋_GB2312" w:eastAsia="仿宋_GB2312"/>
          <w:sz w:val="24"/>
        </w:rPr>
        <w:t>日内更换、补齐。如更换的产品仍不符合要求，采购人有权退货。</w:t>
      </w:r>
    </w:p>
    <w:p w14:paraId="328CE258">
      <w:pPr>
        <w:widowControl/>
        <w:spacing w:line="5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sz w:val="24"/>
        </w:rPr>
        <w:t>到货验收时，投标人出具盖章的送货单据、检测报告等交货单据，验收合格后双方在交货单据上签字留存。在交货后，采购人进行详细而全面的验收，并填写验收记录。</w:t>
      </w:r>
      <w:r>
        <w:rPr>
          <w:rFonts w:hint="eastAsia" w:ascii="仿宋_GB2312" w:eastAsia="仿宋_GB2312"/>
          <w:color w:val="000000" w:themeColor="text1"/>
          <w:sz w:val="24"/>
          <w14:textFill>
            <w14:solidFill>
              <w14:schemeClr w14:val="tx1"/>
            </w14:solidFill>
          </w14:textFill>
        </w:rPr>
        <w:t>但有关功能、性能等重要指标检验不应视为最终检验。</w:t>
      </w:r>
    </w:p>
    <w:p w14:paraId="579E49C2">
      <w:pPr>
        <w:tabs>
          <w:tab w:val="left" w:pos="900"/>
        </w:tabs>
        <w:spacing w:before="156" w:beforeLines="50" w:line="360" w:lineRule="auto"/>
        <w:ind w:firstLine="480" w:firstLineChars="200"/>
        <w:rPr>
          <w:rFonts w:ascii="仿宋" w:hAnsi="仿宋" w:eastAsia="仿宋"/>
          <w:sz w:val="24"/>
        </w:rPr>
      </w:pPr>
      <w:r>
        <w:rPr>
          <w:rFonts w:hint="eastAsia" w:ascii="仿宋_GB2312" w:eastAsia="仿宋_GB2312"/>
          <w:sz w:val="24"/>
        </w:rPr>
        <w:t>交货验收后，采购人在任何时间发现货物存在假冒伪劣、以次充好或者质量不符合国家标准、合同要求等情况的，均有权要求投标人更换货物或者退货，并有权要求投标人赔偿所有的经济损失。</w:t>
      </w:r>
    </w:p>
    <w:p w14:paraId="22E690E1">
      <w:pPr>
        <w:numPr>
          <w:ilvl w:val="255"/>
          <w:numId w:val="0"/>
        </w:numPr>
        <w:snapToGrid w:val="0"/>
        <w:spacing w:line="360" w:lineRule="auto"/>
        <w:ind w:firstLine="480" w:firstLineChars="200"/>
        <w:rPr>
          <w:rFonts w:ascii="仿宋" w:hAnsi="仿宋" w:eastAsia="仿宋" w:cs="仿宋"/>
          <w:bCs/>
          <w:sz w:val="24"/>
        </w:rPr>
      </w:pPr>
    </w:p>
    <w:p w14:paraId="44FF3738">
      <w:pPr>
        <w:pStyle w:val="2"/>
      </w:pPr>
    </w:p>
    <w:p w14:paraId="0C8B3E83">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14:paraId="7998B1A8">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14:paraId="4A3BF9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015E0"/>
    <w:multiLevelType w:val="multilevel"/>
    <w:tmpl w:val="113015E0"/>
    <w:lvl w:ilvl="0" w:tentative="0">
      <w:start w:val="2"/>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E41323C"/>
    <w:multiLevelType w:val="multilevel"/>
    <w:tmpl w:val="2E41323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98D5BCB"/>
    <w:multiLevelType w:val="multilevel"/>
    <w:tmpl w:val="798D5BCB"/>
    <w:lvl w:ilvl="0" w:tentative="0">
      <w:start w:val="1"/>
      <w:numFmt w:val="decimal"/>
      <w:lvlText w:val="%1)"/>
      <w:lvlJc w:val="left"/>
      <w:pPr>
        <w:ind w:left="440" w:hanging="440"/>
      </w:p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B0DFD"/>
    <w:rsid w:val="13B21AD2"/>
    <w:rsid w:val="652F7039"/>
    <w:rsid w:val="7DB5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customStyle="1" w:styleId="5">
    <w:name w:val="pf0"/>
    <w:basedOn w:val="1"/>
    <w:qFormat/>
    <w:uiPriority w:val="0"/>
    <w:pPr>
      <w:widowControl/>
      <w:spacing w:before="100" w:beforeAutospacing="1" w:after="100" w:afterAutospacing="1"/>
      <w:jc w:val="left"/>
    </w:pPr>
    <w:rPr>
      <w:rFonts w:ascii="宋体" w:hAnsi="宋体" w:cs="宋体"/>
      <w:kern w:val="0"/>
      <w:sz w:val="24"/>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2026-06-16T03:52:35Z</dcterms:created>
  <dc:creator>Lenovo</dc:creator>
  <cp:lastModifiedBy>侯…</cp:lastModifiedBy>
  <dcterms:modified xsi:type="dcterms:W3CDTF">2026-06-16T03:53:24Z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eyJoZGlkIjoiMDliYTE1YWVlODRmM2EyYTZkZDM1M2IzMWRlMzJjMzciLCJ1c2VySWQiOiI0Nzk1NTExODAifQ==</vt:lpwstr>
  </property>
  <property fmtid="{D5CDD505-2E9C-101B-9397-08002B2CF9AE}" pid="4" name="ICV">
    <vt:lpwstr>7B8B4E242EFC47D288153EE271CE976A_12</vt:lpwstr>
  </property>
</Properties>
</file>