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BD19">
      <w:pPr>
        <w:spacing w:line="360" w:lineRule="auto"/>
        <w:jc w:val="center"/>
        <w:outlineLvl w:val="0"/>
        <w:rPr>
          <w:b/>
          <w:sz w:val="36"/>
          <w:szCs w:val="36"/>
        </w:rPr>
      </w:pPr>
      <w:bookmarkStart w:id="0" w:name="_Toc99301424"/>
      <w:r>
        <w:rPr>
          <w:b/>
          <w:sz w:val="36"/>
          <w:szCs w:val="36"/>
        </w:rPr>
        <w:t>第五章   采购需求</w:t>
      </w:r>
      <w:bookmarkEnd w:id="0"/>
    </w:p>
    <w:p w14:paraId="47604D7D">
      <w:pPr>
        <w:spacing w:line="360" w:lineRule="auto"/>
        <w:ind w:left="480"/>
        <w:jc w:val="center"/>
        <w:outlineLvl w:val="1"/>
        <w:rPr>
          <w:rFonts w:ascii="宋体" w:hAnsi="宋体"/>
          <w:sz w:val="24"/>
        </w:rPr>
      </w:pPr>
      <w:bookmarkStart w:id="1" w:name="OLE_LINK10"/>
      <w:r>
        <w:rPr>
          <w:rFonts w:hint="eastAsia" w:ascii="宋体" w:hAnsi="宋体"/>
          <w:sz w:val="24"/>
        </w:rPr>
        <w:t>第1包：</w:t>
      </w:r>
      <w:bookmarkEnd w:id="1"/>
      <w:r>
        <w:rPr>
          <w:rFonts w:hint="eastAsia" w:ascii="宋体" w:hAnsi="宋体"/>
          <w:sz w:val="24"/>
        </w:rPr>
        <w:t>校园网网络出口接入服务</w:t>
      </w:r>
      <w:r>
        <w:rPr>
          <w:rFonts w:ascii="宋体" w:hAnsi="宋体"/>
          <w:sz w:val="24"/>
        </w:rPr>
        <w:t>1</w:t>
      </w:r>
    </w:p>
    <w:p w14:paraId="78BCAFE5">
      <w:pPr>
        <w:pStyle w:val="2"/>
        <w:ind w:left="0" w:right="0" w:firstLine="480" w:firstLineChars="200"/>
        <w:rPr>
          <w:rFonts w:ascii="宋体" w:hAnsi="宋体" w:cs="宋体"/>
          <w:szCs w:val="24"/>
        </w:rPr>
      </w:pPr>
      <w:r>
        <w:rPr>
          <w:rFonts w:hint="eastAsia" w:ascii="宋体" w:hAnsi="宋体" w:cs="宋体"/>
          <w:szCs w:val="24"/>
        </w:rPr>
        <w:t>一、采购标的</w:t>
      </w:r>
    </w:p>
    <w:p w14:paraId="05A9C920">
      <w:pPr>
        <w:pStyle w:val="2"/>
        <w:ind w:left="0" w:right="0" w:firstLine="480" w:firstLineChars="200"/>
        <w:rPr>
          <w:rFonts w:ascii="宋体" w:hAnsi="宋体" w:cs="宋体"/>
          <w:szCs w:val="24"/>
        </w:rPr>
      </w:pPr>
      <w:r>
        <w:rPr>
          <w:rFonts w:hint="eastAsia" w:ascii="宋体" w:hAnsi="宋体" w:cs="宋体"/>
          <w:szCs w:val="24"/>
        </w:rPr>
        <w:t>1.</w:t>
      </w:r>
      <w:r>
        <w:rPr>
          <w:rFonts w:ascii="宋体" w:hAnsi="宋体" w:cs="宋体"/>
          <w:szCs w:val="24"/>
        </w:rPr>
        <w:t xml:space="preserve"> </w:t>
      </w:r>
      <w:r>
        <w:rPr>
          <w:rFonts w:hint="eastAsia" w:ascii="宋体" w:hAnsi="宋体" w:cs="宋体"/>
          <w:szCs w:val="24"/>
        </w:rPr>
        <w:t>采购标的</w:t>
      </w:r>
    </w:p>
    <w:p w14:paraId="4588EEFC">
      <w:pPr>
        <w:pStyle w:val="2"/>
        <w:ind w:left="0" w:right="0" w:firstLine="480" w:firstLineChars="200"/>
        <w:jc w:val="center"/>
        <w:rPr>
          <w:rFonts w:hint="eastAsia" w:ascii="宋体" w:hAnsi="宋体" w:cs="宋体"/>
          <w:szCs w:val="24"/>
        </w:rPr>
      </w:pPr>
      <w:r>
        <w:rPr>
          <w:rFonts w:hint="eastAsia" w:ascii="宋体" w:hAnsi="宋体" w:cs="宋体"/>
          <w:szCs w:val="24"/>
        </w:rPr>
        <w:t>需求一览表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1259"/>
        <w:gridCol w:w="3118"/>
        <w:gridCol w:w="1352"/>
      </w:tblGrid>
      <w:tr w14:paraId="761A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jc w:val="center"/>
        </w:trPr>
        <w:tc>
          <w:tcPr>
            <w:tcW w:w="535" w:type="dxa"/>
            <w:noWrap w:val="0"/>
            <w:tcMar>
              <w:top w:w="0" w:type="dxa"/>
              <w:left w:w="108" w:type="dxa"/>
              <w:bottom w:w="0" w:type="dxa"/>
              <w:right w:w="108" w:type="dxa"/>
            </w:tcMar>
            <w:vAlign w:val="center"/>
          </w:tcPr>
          <w:p w14:paraId="71C97628">
            <w:pPr>
              <w:widowControl/>
              <w:spacing w:line="360" w:lineRule="auto"/>
              <w:jc w:val="center"/>
              <w:rPr>
                <w:rFonts w:ascii="宋体" w:hAnsi="宋体" w:cs="黑体"/>
                <w:kern w:val="0"/>
                <w:sz w:val="24"/>
              </w:rPr>
            </w:pPr>
            <w:r>
              <w:rPr>
                <w:rFonts w:hint="eastAsia" w:ascii="宋体" w:hAnsi="宋体" w:cs="黑体"/>
                <w:kern w:val="0"/>
                <w:sz w:val="24"/>
              </w:rPr>
              <w:t>包号</w:t>
            </w:r>
          </w:p>
        </w:tc>
        <w:tc>
          <w:tcPr>
            <w:tcW w:w="1259" w:type="dxa"/>
            <w:noWrap w:val="0"/>
            <w:tcMar>
              <w:top w:w="0" w:type="dxa"/>
              <w:left w:w="108" w:type="dxa"/>
              <w:bottom w:w="0" w:type="dxa"/>
              <w:right w:w="108" w:type="dxa"/>
            </w:tcMar>
            <w:vAlign w:val="center"/>
          </w:tcPr>
          <w:p w14:paraId="0292B5FB">
            <w:pPr>
              <w:widowControl/>
              <w:spacing w:line="360" w:lineRule="auto"/>
              <w:jc w:val="center"/>
              <w:rPr>
                <w:rFonts w:ascii="宋体" w:hAnsi="宋体" w:cs="黑体"/>
                <w:kern w:val="0"/>
                <w:sz w:val="24"/>
              </w:rPr>
            </w:pPr>
            <w:r>
              <w:rPr>
                <w:rFonts w:hint="eastAsia" w:ascii="宋体" w:hAnsi="宋体" w:cs="黑体"/>
                <w:kern w:val="0"/>
                <w:sz w:val="24"/>
              </w:rPr>
              <w:t>分包预算</w:t>
            </w:r>
          </w:p>
          <w:p w14:paraId="3E34F803">
            <w:pPr>
              <w:widowControl/>
              <w:spacing w:line="360" w:lineRule="auto"/>
              <w:jc w:val="center"/>
              <w:rPr>
                <w:rFonts w:ascii="宋体" w:hAnsi="宋体" w:cs="黑体"/>
                <w:kern w:val="0"/>
                <w:sz w:val="24"/>
              </w:rPr>
            </w:pPr>
            <w:r>
              <w:rPr>
                <w:rFonts w:hint="eastAsia" w:ascii="宋体" w:hAnsi="宋体" w:cs="黑体"/>
                <w:kern w:val="0"/>
                <w:sz w:val="24"/>
              </w:rPr>
              <w:t>（万元）</w:t>
            </w:r>
          </w:p>
        </w:tc>
        <w:tc>
          <w:tcPr>
            <w:tcW w:w="3118" w:type="dxa"/>
            <w:noWrap w:val="0"/>
            <w:tcMar>
              <w:top w:w="0" w:type="dxa"/>
              <w:left w:w="108" w:type="dxa"/>
              <w:bottom w:w="0" w:type="dxa"/>
              <w:right w:w="108" w:type="dxa"/>
            </w:tcMar>
            <w:vAlign w:val="center"/>
          </w:tcPr>
          <w:p w14:paraId="46C17F48">
            <w:pPr>
              <w:widowControl/>
              <w:spacing w:line="360" w:lineRule="auto"/>
              <w:jc w:val="center"/>
              <w:rPr>
                <w:rFonts w:ascii="宋体" w:hAnsi="宋体" w:cs="黑体"/>
                <w:kern w:val="0"/>
                <w:sz w:val="24"/>
              </w:rPr>
            </w:pPr>
            <w:r>
              <w:rPr>
                <w:rFonts w:hint="eastAsia" w:ascii="宋体" w:hAnsi="宋体" w:cs="黑体"/>
                <w:kern w:val="0"/>
                <w:sz w:val="24"/>
              </w:rPr>
              <w:t>服务事项名称</w:t>
            </w:r>
          </w:p>
        </w:tc>
        <w:tc>
          <w:tcPr>
            <w:tcW w:w="1352" w:type="dxa"/>
            <w:noWrap w:val="0"/>
            <w:tcMar>
              <w:top w:w="0" w:type="dxa"/>
              <w:left w:w="108" w:type="dxa"/>
              <w:bottom w:w="0" w:type="dxa"/>
              <w:right w:w="108" w:type="dxa"/>
            </w:tcMar>
            <w:vAlign w:val="center"/>
          </w:tcPr>
          <w:p w14:paraId="318CFD20">
            <w:pPr>
              <w:widowControl/>
              <w:spacing w:line="360" w:lineRule="auto"/>
              <w:jc w:val="center"/>
              <w:rPr>
                <w:rFonts w:ascii="宋体" w:hAnsi="宋体" w:cs="黑体"/>
                <w:kern w:val="0"/>
                <w:sz w:val="24"/>
              </w:rPr>
            </w:pPr>
            <w:r>
              <w:rPr>
                <w:rFonts w:hint="eastAsia" w:ascii="宋体" w:hAnsi="宋体" w:cs="黑体"/>
                <w:kern w:val="0"/>
                <w:sz w:val="24"/>
              </w:rPr>
              <w:t>服务期限</w:t>
            </w:r>
          </w:p>
        </w:tc>
      </w:tr>
      <w:tr w14:paraId="6A27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535" w:type="dxa"/>
            <w:noWrap w:val="0"/>
            <w:tcMar>
              <w:top w:w="0" w:type="dxa"/>
              <w:left w:w="108" w:type="dxa"/>
              <w:bottom w:w="0" w:type="dxa"/>
              <w:right w:w="108" w:type="dxa"/>
            </w:tcMar>
            <w:vAlign w:val="center"/>
          </w:tcPr>
          <w:p w14:paraId="35F5CFAB">
            <w:pPr>
              <w:widowControl/>
              <w:spacing w:line="360" w:lineRule="auto"/>
              <w:jc w:val="center"/>
              <w:rPr>
                <w:rFonts w:ascii="宋体" w:hAnsi="宋体" w:cs="宋体"/>
                <w:kern w:val="0"/>
                <w:sz w:val="24"/>
              </w:rPr>
            </w:pPr>
            <w:r>
              <w:rPr>
                <w:rFonts w:hint="eastAsia" w:ascii="宋体" w:hAnsi="宋体" w:cs="宋体"/>
                <w:kern w:val="0"/>
                <w:sz w:val="24"/>
              </w:rPr>
              <w:t>1</w:t>
            </w:r>
          </w:p>
        </w:tc>
        <w:tc>
          <w:tcPr>
            <w:tcW w:w="1259" w:type="dxa"/>
            <w:noWrap w:val="0"/>
            <w:tcMar>
              <w:top w:w="0" w:type="dxa"/>
              <w:left w:w="108" w:type="dxa"/>
              <w:bottom w:w="0" w:type="dxa"/>
              <w:right w:w="108" w:type="dxa"/>
            </w:tcMar>
            <w:vAlign w:val="center"/>
          </w:tcPr>
          <w:p w14:paraId="52E2574F">
            <w:pPr>
              <w:widowControl/>
              <w:spacing w:line="360" w:lineRule="auto"/>
              <w:jc w:val="center"/>
              <w:rPr>
                <w:rFonts w:ascii="宋体" w:hAnsi="宋体" w:cs="宋体"/>
                <w:kern w:val="0"/>
                <w:sz w:val="24"/>
              </w:rPr>
            </w:pPr>
            <w:r>
              <w:rPr>
                <w:rFonts w:ascii="宋体" w:hAnsi="宋体" w:cs="宋体"/>
                <w:kern w:val="0"/>
                <w:sz w:val="24"/>
              </w:rPr>
              <w:t>78</w:t>
            </w:r>
          </w:p>
        </w:tc>
        <w:tc>
          <w:tcPr>
            <w:tcW w:w="3118" w:type="dxa"/>
            <w:noWrap w:val="0"/>
            <w:tcMar>
              <w:top w:w="0" w:type="dxa"/>
              <w:left w:w="108" w:type="dxa"/>
              <w:bottom w:w="0" w:type="dxa"/>
              <w:right w:w="108" w:type="dxa"/>
            </w:tcMar>
            <w:vAlign w:val="center"/>
          </w:tcPr>
          <w:p w14:paraId="2F2B6A6A">
            <w:pPr>
              <w:widowControl/>
              <w:spacing w:line="360" w:lineRule="auto"/>
              <w:jc w:val="center"/>
              <w:rPr>
                <w:rFonts w:ascii="宋体" w:hAnsi="宋体" w:cs="宋体"/>
                <w:kern w:val="0"/>
                <w:sz w:val="24"/>
              </w:rPr>
            </w:pPr>
            <w:r>
              <w:rPr>
                <w:rFonts w:hint="eastAsia" w:ascii="宋体" w:hAnsi="宋体" w:cs="宋体"/>
                <w:kern w:val="0"/>
                <w:sz w:val="24"/>
              </w:rPr>
              <w:t>校园网网络出口接入服务1</w:t>
            </w:r>
          </w:p>
        </w:tc>
        <w:tc>
          <w:tcPr>
            <w:tcW w:w="1352" w:type="dxa"/>
            <w:noWrap w:val="0"/>
            <w:tcMar>
              <w:top w:w="0" w:type="dxa"/>
              <w:left w:w="108" w:type="dxa"/>
              <w:bottom w:w="0" w:type="dxa"/>
              <w:right w:w="108" w:type="dxa"/>
            </w:tcMar>
            <w:vAlign w:val="center"/>
          </w:tcPr>
          <w:p w14:paraId="3F3C3B9C">
            <w:pPr>
              <w:widowControl/>
              <w:spacing w:line="360" w:lineRule="auto"/>
              <w:jc w:val="center"/>
              <w:rPr>
                <w:rFonts w:ascii="宋体" w:hAnsi="宋体" w:cs="宋体"/>
                <w:kern w:val="0"/>
                <w:sz w:val="24"/>
              </w:rPr>
            </w:pPr>
            <w:r>
              <w:rPr>
                <w:rFonts w:hint="eastAsia" w:ascii="宋体" w:hAnsi="宋体" w:cs="宋体"/>
                <w:kern w:val="0"/>
                <w:sz w:val="24"/>
              </w:rPr>
              <w:t>1年</w:t>
            </w:r>
          </w:p>
        </w:tc>
      </w:tr>
    </w:tbl>
    <w:p w14:paraId="4AF79CB6">
      <w:pPr>
        <w:widowControl/>
        <w:spacing w:line="360" w:lineRule="auto"/>
        <w:ind w:firstLine="640"/>
        <w:rPr>
          <w:rFonts w:ascii="宋体" w:hAnsi="宋体" w:cs="宋体"/>
          <w:iCs/>
          <w:kern w:val="0"/>
          <w:sz w:val="24"/>
          <w:u w:val="single"/>
        </w:rPr>
      </w:pPr>
    </w:p>
    <w:p w14:paraId="45210BBB">
      <w:pPr>
        <w:widowControl/>
        <w:spacing w:line="360" w:lineRule="auto"/>
        <w:ind w:left="480"/>
        <w:rPr>
          <w:rFonts w:ascii="宋体" w:hAnsi="宋体" w:cs="宋体"/>
          <w:kern w:val="0"/>
          <w:sz w:val="24"/>
        </w:rPr>
      </w:pPr>
      <w:r>
        <w:rPr>
          <w:rFonts w:hint="eastAsia" w:ascii="宋体" w:hAnsi="宋体" w:cs="宋体"/>
          <w:kern w:val="0"/>
          <w:sz w:val="24"/>
        </w:rPr>
        <w:t>2.</w:t>
      </w:r>
      <w:r>
        <w:rPr>
          <w:rFonts w:ascii="宋体" w:hAnsi="宋体" w:cs="宋体"/>
          <w:kern w:val="0"/>
          <w:sz w:val="24"/>
        </w:rPr>
        <w:t xml:space="preserve"> </w:t>
      </w:r>
      <w:r>
        <w:rPr>
          <w:rFonts w:hint="eastAsia" w:ascii="宋体" w:hAnsi="宋体" w:cs="宋体"/>
          <w:kern w:val="0"/>
          <w:sz w:val="24"/>
        </w:rPr>
        <w:t>项目概述</w:t>
      </w:r>
    </w:p>
    <w:p w14:paraId="12689CA6">
      <w:pPr>
        <w:spacing w:line="360" w:lineRule="auto"/>
        <w:ind w:firstLine="480" w:firstLineChars="200"/>
      </w:pPr>
      <w:r>
        <w:rPr>
          <w:rFonts w:hint="eastAsia" w:ascii="宋体" w:hAnsi="宋体"/>
          <w:sz w:val="24"/>
        </w:rPr>
        <w:t>采购阜成路校区互联网出口带宽5Gbps及网站安全预警服务。实现两校区多运营商出口链路互备，网站互联网接入及网站安全预警服务。</w:t>
      </w:r>
    </w:p>
    <w:p w14:paraId="208BE1C3">
      <w:pPr>
        <w:widowControl/>
        <w:spacing w:line="360" w:lineRule="auto"/>
        <w:ind w:left="480"/>
        <w:rPr>
          <w:sz w:val="24"/>
        </w:rPr>
      </w:pPr>
      <w:r>
        <w:rPr>
          <w:rFonts w:hint="eastAsia"/>
          <w:sz w:val="24"/>
        </w:rPr>
        <w:t>二、商务要求</w:t>
      </w:r>
    </w:p>
    <w:p w14:paraId="02F5815E">
      <w:pPr>
        <w:spacing w:line="360" w:lineRule="auto"/>
        <w:ind w:firstLine="480" w:firstLineChars="200"/>
        <w:rPr>
          <w:rFonts w:hint="eastAsia" w:ascii="宋体" w:hAnsi="宋体"/>
          <w:sz w:val="24"/>
        </w:rPr>
      </w:pPr>
      <w:r>
        <w:rPr>
          <w:rFonts w:hint="eastAsia" w:ascii="宋体" w:hAnsi="宋体"/>
          <w:sz w:val="24"/>
        </w:rPr>
        <w:t>1. 交付（实施）的时间（期限）和地点（范围）</w:t>
      </w:r>
    </w:p>
    <w:p w14:paraId="7FF9E1BA">
      <w:pPr>
        <w:spacing w:line="360" w:lineRule="auto"/>
        <w:ind w:firstLine="480" w:firstLineChars="200"/>
        <w:rPr>
          <w:rFonts w:ascii="宋体" w:hAnsi="宋体"/>
          <w:sz w:val="24"/>
        </w:rPr>
      </w:pPr>
      <w:r>
        <w:rPr>
          <w:rFonts w:hint="eastAsia" w:ascii="宋体" w:hAnsi="宋体"/>
          <w:sz w:val="24"/>
        </w:rPr>
        <w:t>交付（实施）时间（期限）：自合同签订后5日内完成互联网出口带宽链路实施工作，并开通承诺服务。</w:t>
      </w:r>
    </w:p>
    <w:p w14:paraId="391D0C19">
      <w:pPr>
        <w:spacing w:line="360" w:lineRule="auto"/>
        <w:ind w:firstLine="480" w:firstLineChars="200"/>
        <w:rPr>
          <w:rFonts w:hint="eastAsia" w:ascii="宋体" w:hAnsi="宋体"/>
          <w:sz w:val="24"/>
        </w:rPr>
      </w:pPr>
      <w:r>
        <w:rPr>
          <w:rFonts w:hint="eastAsia" w:ascii="宋体" w:hAnsi="宋体"/>
          <w:sz w:val="24"/>
        </w:rPr>
        <w:t>交付（实施）地点（范围）：北京工商大学阜成路校区机房。</w:t>
      </w:r>
    </w:p>
    <w:p w14:paraId="3207437A">
      <w:pPr>
        <w:spacing w:line="360" w:lineRule="auto"/>
        <w:ind w:firstLine="480" w:firstLineChars="200"/>
        <w:rPr>
          <w:rFonts w:hint="eastAsia" w:ascii="宋体" w:hAnsi="宋体"/>
          <w:sz w:val="24"/>
        </w:rPr>
      </w:pPr>
      <w:r>
        <w:rPr>
          <w:rFonts w:hint="eastAsia" w:ascii="宋体" w:hAnsi="宋体"/>
          <w:sz w:val="24"/>
        </w:rPr>
        <w:t>2. 付款条件（进度和方式）</w:t>
      </w:r>
    </w:p>
    <w:p w14:paraId="574B28F5">
      <w:pPr>
        <w:spacing w:line="360" w:lineRule="auto"/>
        <w:ind w:firstLine="480" w:firstLineChars="200"/>
        <w:rPr>
          <w:rFonts w:ascii="宋体" w:hAnsi="宋体"/>
          <w:sz w:val="24"/>
        </w:rPr>
      </w:pPr>
      <w:r>
        <w:rPr>
          <w:rFonts w:hint="eastAsia" w:ascii="宋体" w:hAnsi="宋体"/>
          <w:sz w:val="24"/>
        </w:rPr>
        <w:t>合同签订生效后，采购人向中标人支付合同金额60%的价款，2026年9月30日前支付合同金额40%的价款(中标人应向采购人先行提交与支付金额等额的发票)。</w:t>
      </w:r>
    </w:p>
    <w:p w14:paraId="31857503">
      <w:pPr>
        <w:spacing w:line="360" w:lineRule="auto"/>
        <w:ind w:firstLine="480" w:firstLineChars="200"/>
        <w:rPr>
          <w:rFonts w:ascii="宋体" w:hAnsi="宋体"/>
          <w:sz w:val="24"/>
        </w:rPr>
      </w:pPr>
      <w:r>
        <w:rPr>
          <w:rFonts w:hint="eastAsia" w:ascii="宋体" w:hAnsi="宋体"/>
          <w:sz w:val="24"/>
        </w:rPr>
        <w:t>3. 包装和运输</w:t>
      </w:r>
    </w:p>
    <w:p w14:paraId="0AB77293">
      <w:pPr>
        <w:spacing w:line="360" w:lineRule="auto"/>
        <w:ind w:firstLine="480" w:firstLineChars="200"/>
        <w:rPr>
          <w:rFonts w:hint="eastAsia" w:ascii="宋体" w:hAnsi="宋体"/>
          <w:sz w:val="24"/>
        </w:rPr>
      </w:pPr>
      <w:r>
        <w:rPr>
          <w:rFonts w:hint="eastAsia" w:ascii="宋体" w:hAnsi="宋体"/>
          <w:sz w:val="24"/>
        </w:rPr>
        <w:t>本项目不涉及。</w:t>
      </w:r>
    </w:p>
    <w:p w14:paraId="3CFB235F">
      <w:pPr>
        <w:spacing w:line="360" w:lineRule="auto"/>
        <w:ind w:firstLine="480" w:firstLineChars="200"/>
        <w:rPr>
          <w:rFonts w:ascii="宋体" w:hAnsi="宋体"/>
          <w:sz w:val="24"/>
        </w:rPr>
      </w:pPr>
      <w:r>
        <w:rPr>
          <w:rFonts w:hint="eastAsia" w:ascii="宋体" w:hAnsi="宋体"/>
          <w:sz w:val="24"/>
        </w:rPr>
        <w:t>4. 售后服务（质保期）（如适用）</w:t>
      </w:r>
    </w:p>
    <w:p w14:paraId="3ACC3F61">
      <w:pPr>
        <w:spacing w:line="360" w:lineRule="auto"/>
        <w:ind w:firstLine="480" w:firstLineChars="200"/>
        <w:rPr>
          <w:rFonts w:ascii="宋体" w:hAnsi="宋体"/>
          <w:sz w:val="24"/>
        </w:rPr>
      </w:pPr>
      <w:r>
        <w:rPr>
          <w:rFonts w:hint="eastAsia" w:ascii="宋体" w:hAnsi="宋体"/>
          <w:sz w:val="24"/>
        </w:rPr>
        <w:t>质保期及服务要求：自签订合同之日起1年。</w:t>
      </w:r>
    </w:p>
    <w:p w14:paraId="7CC30D2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其他要求</w:t>
      </w:r>
    </w:p>
    <w:p w14:paraId="4D9423B3">
      <w:pPr>
        <w:spacing w:line="360" w:lineRule="auto"/>
        <w:ind w:firstLine="480" w:firstLineChars="200"/>
        <w:rPr>
          <w:rFonts w:ascii="宋体" w:hAnsi="宋体"/>
          <w:sz w:val="24"/>
        </w:rPr>
      </w:pPr>
      <w:r>
        <w:rPr>
          <w:rFonts w:hint="eastAsia" w:ascii="宋体" w:hAnsi="宋体"/>
          <w:sz w:val="24"/>
        </w:rPr>
        <w:t>项目管理责任：本项目的主体，关键性工作不允许分包。</w:t>
      </w:r>
      <w:r>
        <w:rPr>
          <w:rFonts w:ascii="宋体" w:hAnsi="宋体"/>
          <w:sz w:val="24"/>
        </w:rPr>
        <w:tab/>
      </w:r>
    </w:p>
    <w:p w14:paraId="2A43F6DC">
      <w:pPr>
        <w:spacing w:line="360" w:lineRule="auto"/>
        <w:ind w:firstLine="480" w:firstLineChars="200"/>
        <w:rPr>
          <w:rFonts w:hint="eastAsia" w:ascii="宋体" w:hAnsi="宋体"/>
          <w:sz w:val="24"/>
        </w:rPr>
      </w:pPr>
      <w:r>
        <w:rPr>
          <w:rFonts w:hint="eastAsia" w:ascii="宋体" w:hAnsi="宋体"/>
          <w:sz w:val="24"/>
        </w:rPr>
        <w:t>培训要求：对服务所涉及的技术部分对采购人进行不少于2次/年的培训。</w:t>
      </w:r>
    </w:p>
    <w:p w14:paraId="5E97994E">
      <w:pPr>
        <w:spacing w:line="360" w:lineRule="auto"/>
        <w:ind w:firstLine="480" w:firstLineChars="200"/>
        <w:rPr>
          <w:rFonts w:hint="eastAsia"/>
        </w:rPr>
      </w:pPr>
      <w:r>
        <w:rPr>
          <w:rFonts w:hint="eastAsia" w:ascii="宋体" w:hAnsi="宋体"/>
          <w:sz w:val="24"/>
        </w:rPr>
        <w:t>验收要求：带宽达到采购服务技术要求及交付时效要求。</w:t>
      </w:r>
    </w:p>
    <w:p w14:paraId="09B1F299">
      <w:pPr>
        <w:widowControl/>
        <w:spacing w:line="360" w:lineRule="auto"/>
        <w:ind w:left="480"/>
        <w:rPr>
          <w:rFonts w:ascii="宋体" w:hAnsi="宋体" w:cs="宋体"/>
          <w:kern w:val="0"/>
          <w:sz w:val="24"/>
        </w:rPr>
      </w:pPr>
      <w:r>
        <w:rPr>
          <w:rFonts w:hint="eastAsia" w:ascii="宋体" w:hAnsi="宋体" w:cs="宋体"/>
          <w:kern w:val="0"/>
          <w:sz w:val="24"/>
        </w:rPr>
        <w:t>三、技术要求</w:t>
      </w:r>
    </w:p>
    <w:p w14:paraId="56E30B6E">
      <w:pPr>
        <w:widowControl/>
        <w:spacing w:line="360" w:lineRule="auto"/>
        <w:ind w:firstLine="480" w:firstLineChars="200"/>
        <w:jc w:val="left"/>
        <w:rPr>
          <w:rFonts w:ascii="宋体" w:hAnsi="宋体" w:cs="仿宋"/>
          <w:iCs/>
          <w:kern w:val="0"/>
          <w:sz w:val="24"/>
        </w:rPr>
      </w:pPr>
      <w:r>
        <w:rPr>
          <w:rFonts w:hint="eastAsia" w:ascii="宋体" w:hAnsi="宋体" w:cs="仿宋"/>
          <w:iCs/>
          <w:kern w:val="0"/>
          <w:sz w:val="24"/>
        </w:rPr>
        <w:t>技术要求中指标按重要性分为“</w:t>
      </w:r>
      <w:r>
        <w:rPr>
          <w:rFonts w:ascii="Segoe UI Symbol" w:hAnsi="Segoe UI Symbol" w:cs="Segoe UI Symbol"/>
          <w:color w:val="000000"/>
          <w:kern w:val="0"/>
          <w:sz w:val="24"/>
        </w:rPr>
        <w:t>★</w:t>
      </w:r>
      <w:r>
        <w:rPr>
          <w:rFonts w:hint="eastAsia" w:ascii="宋体" w:hAnsi="宋体" w:cs="仿宋"/>
          <w:iCs/>
          <w:kern w:val="0"/>
          <w:sz w:val="24"/>
        </w:rPr>
        <w:t>”、“#”。</w:t>
      </w:r>
      <w:r>
        <w:rPr>
          <w:rFonts w:ascii="Segoe UI Symbol" w:hAnsi="Segoe UI Symbol" w:cs="Segoe UI Symbol"/>
          <w:color w:val="000000"/>
          <w:kern w:val="0"/>
          <w:sz w:val="24"/>
        </w:rPr>
        <w:t>★</w:t>
      </w:r>
      <w:r>
        <w:rPr>
          <w:rFonts w:hint="eastAsia" w:ascii="宋体" w:hAnsi="宋体" w:cs="仿宋"/>
          <w:iCs/>
          <w:kern w:val="0"/>
          <w:sz w:val="24"/>
        </w:rPr>
        <w:t>代表实质性指标，不满足该指标项将导致投标被拒绝；#代表重要指标，不满足该项指标将被扣分。</w:t>
      </w:r>
    </w:p>
    <w:tbl>
      <w:tblPr>
        <w:tblStyle w:val="3"/>
        <w:tblW w:w="0" w:type="auto"/>
        <w:jc w:val="center"/>
        <w:tblLayout w:type="fixed"/>
        <w:tblCellMar>
          <w:top w:w="0" w:type="dxa"/>
          <w:left w:w="0" w:type="dxa"/>
          <w:bottom w:w="0" w:type="dxa"/>
          <w:right w:w="0" w:type="dxa"/>
        </w:tblCellMar>
      </w:tblPr>
      <w:tblGrid>
        <w:gridCol w:w="562"/>
        <w:gridCol w:w="1418"/>
        <w:gridCol w:w="6406"/>
      </w:tblGrid>
      <w:tr w14:paraId="660F98DA">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2C77A54E">
            <w:pPr>
              <w:jc w:val="center"/>
              <w:rPr>
                <w:rFonts w:ascii="宋体" w:hAnsi="宋体" w:cs="宋体"/>
                <w:szCs w:val="21"/>
              </w:rPr>
            </w:pPr>
            <w:r>
              <w:rPr>
                <w:rFonts w:hint="eastAsia" w:ascii="宋体" w:hAnsi="宋体" w:cs="宋体"/>
                <w:szCs w:val="21"/>
              </w:rPr>
              <w:t>序号</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1CBC513">
            <w:pPr>
              <w:jc w:val="center"/>
              <w:rPr>
                <w:rFonts w:ascii="宋体" w:hAnsi="宋体" w:cs="宋体"/>
                <w:szCs w:val="21"/>
              </w:rPr>
            </w:pPr>
            <w:r>
              <w:rPr>
                <w:rFonts w:hint="eastAsia" w:ascii="宋体" w:hAnsi="宋体" w:cs="宋体"/>
                <w:szCs w:val="21"/>
              </w:rPr>
              <w:t>服务事项名称</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4214736E">
            <w:pPr>
              <w:spacing w:before="74"/>
              <w:ind w:left="1993" w:right="1973"/>
              <w:jc w:val="center"/>
              <w:rPr>
                <w:rFonts w:ascii="宋体" w:hAnsi="宋体" w:cs="宋体"/>
                <w:szCs w:val="21"/>
              </w:rPr>
            </w:pPr>
            <w:r>
              <w:rPr>
                <w:rFonts w:hint="eastAsia" w:ascii="宋体" w:hAnsi="宋体" w:cs="宋体"/>
                <w:szCs w:val="21"/>
              </w:rPr>
              <w:t>服务要求</w:t>
            </w:r>
          </w:p>
        </w:tc>
      </w:tr>
      <w:tr w14:paraId="469E44BA">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05F19481">
            <w:pPr>
              <w:jc w:val="center"/>
              <w:rPr>
                <w:rFonts w:ascii="宋体" w:hAnsi="宋体" w:cs="宋体"/>
                <w:szCs w:val="21"/>
              </w:rPr>
            </w:pPr>
            <w:r>
              <w:rPr>
                <w:rFonts w:ascii="Segoe UI Symbol" w:hAnsi="Segoe UI Symbol" w:cs="Segoe UI Symbol"/>
                <w:color w:val="000000"/>
                <w:kern w:val="0"/>
                <w:sz w:val="24"/>
              </w:rPr>
              <w:t>★</w:t>
            </w:r>
            <w:r>
              <w:rPr>
                <w:rFonts w:hint="eastAsia" w:ascii="宋体" w:hAnsi="宋体" w:cs="宋体"/>
                <w:w w:val="105"/>
                <w:szCs w:val="21"/>
              </w:rPr>
              <w:t>1</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61D911C">
            <w:pPr>
              <w:widowControl/>
              <w:spacing w:line="360" w:lineRule="auto"/>
              <w:jc w:val="center"/>
              <w:rPr>
                <w:rFonts w:ascii="宋体" w:hAnsi="宋体" w:cs="宋体"/>
                <w:szCs w:val="21"/>
              </w:rPr>
            </w:pPr>
            <w:r>
              <w:rPr>
                <w:rFonts w:hint="eastAsia" w:ascii="宋体" w:hAnsi="宋体" w:cs="宋体"/>
                <w:szCs w:val="21"/>
              </w:rPr>
              <w:t>互联网光纤专线接入</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27A009BD">
            <w:pPr>
              <w:widowControl/>
              <w:spacing w:line="360" w:lineRule="auto"/>
              <w:jc w:val="left"/>
              <w:rPr>
                <w:rFonts w:ascii="宋体" w:hAnsi="宋体" w:cs="宋体"/>
                <w:szCs w:val="21"/>
              </w:rPr>
            </w:pPr>
            <w:r>
              <w:rPr>
                <w:rFonts w:hint="eastAsia" w:ascii="宋体" w:hAnsi="宋体" w:cs="宋体"/>
                <w:szCs w:val="21"/>
              </w:rPr>
              <w:t>光纤直接接入采购人机房（北京工商大学阜成路校区机房），进入校园后须全部入地（提供承诺函并加盖投标人公章）。</w:t>
            </w:r>
          </w:p>
        </w:tc>
      </w:tr>
      <w:tr w14:paraId="0F455E47">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47F76776">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2</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B43E431">
            <w:pPr>
              <w:widowControl/>
              <w:spacing w:line="360" w:lineRule="auto"/>
              <w:jc w:val="center"/>
              <w:rPr>
                <w:rFonts w:ascii="宋体" w:hAnsi="宋体" w:cs="宋体"/>
                <w:szCs w:val="21"/>
              </w:rPr>
            </w:pPr>
            <w:r>
              <w:rPr>
                <w:rFonts w:hint="eastAsia" w:ascii="宋体" w:hAnsi="宋体" w:cs="宋体"/>
                <w:szCs w:val="21"/>
              </w:rPr>
              <w:t>相关设备</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3C3FCF49">
            <w:pPr>
              <w:widowControl/>
              <w:spacing w:line="360" w:lineRule="auto"/>
              <w:jc w:val="left"/>
              <w:rPr>
                <w:rFonts w:ascii="宋体" w:hAnsi="宋体" w:cs="宋体"/>
                <w:szCs w:val="21"/>
              </w:rPr>
            </w:pPr>
            <w:r>
              <w:rPr>
                <w:rFonts w:hint="eastAsia" w:ascii="宋体" w:hAnsi="宋体" w:cs="宋体"/>
                <w:szCs w:val="21"/>
              </w:rPr>
              <w:t>提供相关的接入及路由器之间的转换设备及相关模块（包括</w:t>
            </w:r>
            <w:r>
              <w:rPr>
                <w:rFonts w:hint="eastAsia" w:ascii="宋体" w:hAnsi="宋体" w:cs="宋体"/>
                <w:color w:val="000000"/>
                <w:szCs w:val="21"/>
              </w:rPr>
              <w:t>光模块、传输设备、光纤等</w:t>
            </w:r>
            <w:r>
              <w:rPr>
                <w:rFonts w:hint="eastAsia" w:ascii="宋体" w:hAnsi="宋体" w:cs="宋体"/>
                <w:szCs w:val="21"/>
              </w:rPr>
              <w:t>），接入设备将安装在采购人指定的场地（提供承诺函并加盖投标人公章）。</w:t>
            </w:r>
          </w:p>
        </w:tc>
      </w:tr>
      <w:tr w14:paraId="0999FD8D">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1ADE3AC5">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3</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0011F3C">
            <w:pPr>
              <w:widowControl/>
              <w:spacing w:line="360" w:lineRule="auto"/>
              <w:jc w:val="center"/>
              <w:rPr>
                <w:rFonts w:ascii="宋体" w:hAnsi="宋体" w:cs="宋体"/>
                <w:szCs w:val="21"/>
              </w:rPr>
            </w:pPr>
            <w:r>
              <w:rPr>
                <w:rFonts w:hint="eastAsia" w:ascii="宋体" w:hAnsi="宋体" w:cs="宋体"/>
                <w:szCs w:val="21"/>
              </w:rPr>
              <w:t>网络峰值带宽</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1B66C1D4">
            <w:pPr>
              <w:widowControl/>
              <w:spacing w:line="360" w:lineRule="auto"/>
              <w:jc w:val="left"/>
              <w:rPr>
                <w:rFonts w:ascii="宋体" w:hAnsi="宋体" w:cs="宋体"/>
                <w:szCs w:val="21"/>
              </w:rPr>
            </w:pPr>
            <w:r>
              <w:rPr>
                <w:rFonts w:hint="eastAsia" w:ascii="宋体" w:hAnsi="宋体" w:cs="宋体"/>
                <w:szCs w:val="21"/>
              </w:rPr>
              <w:t>为独享至基础电信业务许可证单位的带宽，且网络峰值带宽大于所报带宽110%（提供承诺函并加盖投标人公章）。</w:t>
            </w:r>
          </w:p>
        </w:tc>
      </w:tr>
      <w:tr w14:paraId="2F90A426">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44B4E1AD">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0C195DE">
            <w:pPr>
              <w:widowControl/>
              <w:spacing w:line="360" w:lineRule="auto"/>
              <w:jc w:val="center"/>
              <w:rPr>
                <w:rFonts w:ascii="宋体" w:hAnsi="宋体" w:cs="宋体"/>
                <w:szCs w:val="21"/>
              </w:rPr>
            </w:pPr>
            <w:r>
              <w:rPr>
                <w:rFonts w:hint="eastAsia" w:ascii="宋体" w:hAnsi="宋体" w:cs="宋体"/>
                <w:szCs w:val="21"/>
              </w:rPr>
              <w:t>独享要求</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7AF4C31E">
            <w:pPr>
              <w:widowControl/>
              <w:spacing w:line="360" w:lineRule="auto"/>
              <w:jc w:val="left"/>
              <w:rPr>
                <w:rFonts w:ascii="宋体" w:hAnsi="宋体" w:cs="宋体"/>
                <w:szCs w:val="21"/>
              </w:rPr>
            </w:pPr>
            <w:r>
              <w:rPr>
                <w:rFonts w:hint="eastAsia" w:ascii="宋体" w:hAnsi="宋体" w:cs="宋体"/>
                <w:szCs w:val="21"/>
              </w:rPr>
              <w:t>互联网接入线路必须独享、不再复用、不得通过接入商缓存、cache等类似设备，线路可用率为99.9%以上（提供承诺函并加盖投标人公章）。</w:t>
            </w:r>
          </w:p>
        </w:tc>
      </w:tr>
      <w:tr w14:paraId="4C610D25">
        <w:tblPrEx>
          <w:tblCellMar>
            <w:top w:w="0" w:type="dxa"/>
            <w:left w:w="0" w:type="dxa"/>
            <w:bottom w:w="0" w:type="dxa"/>
            <w:right w:w="0" w:type="dxa"/>
          </w:tblCellMar>
        </w:tblPrEx>
        <w:trPr>
          <w:jc w:val="center"/>
        </w:trPr>
        <w:tc>
          <w:tcPr>
            <w:tcW w:w="562" w:type="dxa"/>
            <w:tcBorders>
              <w:top w:val="single" w:color="000000" w:sz="4" w:space="0"/>
              <w:left w:val="single" w:color="000000" w:sz="4" w:space="0"/>
              <w:right w:val="single" w:color="000000" w:sz="4" w:space="0"/>
            </w:tcBorders>
            <w:noWrap w:val="0"/>
            <w:vAlign w:val="center"/>
          </w:tcPr>
          <w:p w14:paraId="2C37CACA">
            <w:pPr>
              <w:jc w:val="center"/>
              <w:rPr>
                <w:rFonts w:ascii="宋体" w:hAnsi="宋体" w:cs="宋体"/>
                <w:szCs w:val="21"/>
              </w:rPr>
            </w:pPr>
            <w:r>
              <w:rPr>
                <w:rFonts w:hint="eastAsia" w:ascii="宋体" w:hAnsi="宋体" w:cs="宋体"/>
              </w:rPr>
              <w:t>★</w:t>
            </w:r>
            <w:r>
              <w:rPr>
                <w:rFonts w:hint="eastAsia" w:ascii="宋体" w:hAnsi="宋体" w:cs="宋体"/>
                <w:szCs w:val="21"/>
              </w:rPr>
              <w:t>5</w:t>
            </w:r>
          </w:p>
        </w:tc>
        <w:tc>
          <w:tcPr>
            <w:tcW w:w="1418" w:type="dxa"/>
            <w:tcBorders>
              <w:top w:val="single" w:color="000000" w:sz="4" w:space="0"/>
              <w:left w:val="single" w:color="000000" w:sz="4" w:space="0"/>
              <w:right w:val="single" w:color="000000" w:sz="4" w:space="0"/>
            </w:tcBorders>
            <w:noWrap w:val="0"/>
            <w:vAlign w:val="center"/>
          </w:tcPr>
          <w:p w14:paraId="1B463F85">
            <w:pPr>
              <w:widowControl/>
              <w:spacing w:line="360" w:lineRule="auto"/>
              <w:jc w:val="center"/>
              <w:rPr>
                <w:rFonts w:ascii="宋体" w:hAnsi="宋体" w:cs="宋体"/>
                <w:szCs w:val="21"/>
              </w:rPr>
            </w:pPr>
            <w:r>
              <w:rPr>
                <w:rFonts w:hint="eastAsia" w:ascii="宋体" w:hAnsi="宋体" w:cs="宋体"/>
                <w:szCs w:val="21"/>
              </w:rPr>
              <w:t>IP地址</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2AD5AEA0">
            <w:pPr>
              <w:widowControl/>
              <w:spacing w:line="360" w:lineRule="auto"/>
              <w:jc w:val="left"/>
              <w:rPr>
                <w:rFonts w:ascii="宋体" w:hAnsi="宋体" w:cs="宋体"/>
                <w:szCs w:val="21"/>
              </w:rPr>
            </w:pPr>
            <w:r>
              <w:rPr>
                <w:rFonts w:hint="eastAsia" w:ascii="宋体" w:hAnsi="宋体" w:cs="宋体"/>
                <w:szCs w:val="21"/>
              </w:rPr>
              <w:t>合同期内提供不低于2个C类的稳定的静态公网IP</w:t>
            </w:r>
            <w:r>
              <w:rPr>
                <w:rFonts w:ascii="宋体" w:hAnsi="宋体" w:cs="宋体"/>
                <w:szCs w:val="21"/>
              </w:rPr>
              <w:t>v4</w:t>
            </w:r>
            <w:r>
              <w:rPr>
                <w:rFonts w:hint="eastAsia" w:ascii="宋体" w:hAnsi="宋体" w:cs="宋体"/>
                <w:szCs w:val="21"/>
              </w:rPr>
              <w:t>地址及</w:t>
            </w:r>
            <w:r>
              <w:rPr>
                <w:rFonts w:ascii="宋体" w:hAnsi="宋体" w:cs="宋体"/>
                <w:szCs w:val="21"/>
              </w:rPr>
              <w:t>48</w:t>
            </w:r>
            <w:r>
              <w:rPr>
                <w:rFonts w:hint="eastAsia" w:ascii="宋体" w:hAnsi="宋体" w:cs="宋体"/>
                <w:szCs w:val="21"/>
              </w:rPr>
              <w:t>位的IPv</w:t>
            </w:r>
            <w:r>
              <w:rPr>
                <w:rFonts w:ascii="宋体" w:hAnsi="宋体" w:cs="宋体"/>
                <w:szCs w:val="21"/>
              </w:rPr>
              <w:t>6</w:t>
            </w:r>
            <w:r>
              <w:rPr>
                <w:rFonts w:hint="eastAsia" w:ascii="宋体" w:hAnsi="宋体" w:cs="宋体"/>
                <w:szCs w:val="21"/>
              </w:rPr>
              <w:t>地址。所提供IP地址须为北京本地电信级运营所提供的地址（所需费用包含在投标报价中）。其</w:t>
            </w:r>
            <w:r>
              <w:rPr>
                <w:rFonts w:ascii="宋体" w:hAnsi="宋体" w:cs="宋体"/>
                <w:szCs w:val="21"/>
              </w:rPr>
              <w:t>IP地址不得做二次转换</w:t>
            </w:r>
            <w:r>
              <w:rPr>
                <w:rFonts w:hint="eastAsia" w:ascii="宋体" w:hAnsi="宋体" w:cs="宋体"/>
                <w:szCs w:val="21"/>
              </w:rPr>
              <w:t>。</w:t>
            </w:r>
          </w:p>
        </w:tc>
      </w:tr>
      <w:tr w14:paraId="00227595">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7B254195">
            <w:pPr>
              <w:jc w:val="center"/>
              <w:rPr>
                <w:rFonts w:ascii="宋体" w:hAnsi="宋体" w:cs="宋体"/>
                <w:szCs w:val="21"/>
              </w:rPr>
            </w:pPr>
            <w:r>
              <w:rPr>
                <w:rFonts w:hint="eastAsia" w:ascii="宋体" w:hAnsi="宋体" w:cs="宋体"/>
                <w:b/>
                <w:w w:val="89"/>
                <w:szCs w:val="21"/>
              </w:rPr>
              <w:t>#</w:t>
            </w:r>
            <w:r>
              <w:rPr>
                <w:rFonts w:hint="eastAsia" w:ascii="宋体" w:hAnsi="宋体" w:cs="宋体"/>
                <w:w w:val="89"/>
                <w:szCs w:val="21"/>
              </w:rPr>
              <w:t>6</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FA3F151">
            <w:pPr>
              <w:widowControl/>
              <w:spacing w:line="360" w:lineRule="auto"/>
              <w:jc w:val="center"/>
              <w:rPr>
                <w:rFonts w:ascii="宋体" w:hAnsi="宋体" w:cs="宋体"/>
                <w:szCs w:val="21"/>
              </w:rPr>
            </w:pPr>
            <w:r>
              <w:rPr>
                <w:rFonts w:hint="eastAsia" w:ascii="宋体" w:hAnsi="宋体" w:cs="宋体"/>
                <w:szCs w:val="21"/>
              </w:rPr>
              <w:t>端到端测试</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48D37942">
            <w:pPr>
              <w:widowControl/>
              <w:spacing w:line="360" w:lineRule="auto"/>
              <w:jc w:val="left"/>
              <w:rPr>
                <w:rFonts w:ascii="宋体" w:hAnsi="宋体" w:cs="宋体"/>
                <w:szCs w:val="21"/>
              </w:rPr>
            </w:pPr>
            <w:r>
              <w:rPr>
                <w:rFonts w:hint="eastAsia" w:ascii="宋体" w:hAnsi="宋体" w:cs="宋体"/>
                <w:szCs w:val="21"/>
              </w:rPr>
              <w:t>提供端到端带宽的技术保障，跳接点少于20跳；到达常用国内网站的路由跳数≤10跳；延迟≤20ms，常用国外网站延迟≤150ms。提供国内常用网站30家、国外常用网站20家网络时延、丢包率测试数据。提供测试结果，及加盖投标人公章的承诺函。</w:t>
            </w:r>
          </w:p>
        </w:tc>
      </w:tr>
      <w:tr w14:paraId="3323E3DE">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66CEBEFB">
            <w:pPr>
              <w:jc w:val="center"/>
              <w:rPr>
                <w:rFonts w:ascii="宋体" w:hAnsi="宋体" w:cs="宋体"/>
                <w:szCs w:val="21"/>
              </w:rPr>
            </w:pPr>
            <w:r>
              <w:rPr>
                <w:rFonts w:hint="eastAsia" w:ascii="宋体" w:hAnsi="宋体" w:cs="宋体"/>
                <w:w w:val="89"/>
                <w:szCs w:val="21"/>
              </w:rPr>
              <w:t>7</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338DC5D">
            <w:pPr>
              <w:widowControl/>
              <w:spacing w:line="360" w:lineRule="auto"/>
              <w:jc w:val="center"/>
              <w:rPr>
                <w:rFonts w:ascii="宋体" w:hAnsi="宋体" w:cs="宋体"/>
                <w:szCs w:val="21"/>
              </w:rPr>
            </w:pPr>
            <w:r>
              <w:rPr>
                <w:rFonts w:hint="eastAsia" w:ascii="宋体" w:hAnsi="宋体" w:cs="宋体"/>
                <w:szCs w:val="21"/>
              </w:rPr>
              <w:t>路由跳数</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2622DCB9">
            <w:pPr>
              <w:widowControl/>
              <w:spacing w:line="360" w:lineRule="auto"/>
              <w:jc w:val="left"/>
              <w:rPr>
                <w:rFonts w:ascii="宋体" w:hAnsi="宋体" w:cs="宋体"/>
                <w:szCs w:val="21"/>
              </w:rPr>
            </w:pPr>
            <w:r>
              <w:rPr>
                <w:rFonts w:hint="eastAsia" w:ascii="宋体" w:hAnsi="宋体" w:cs="宋体"/>
                <w:szCs w:val="21"/>
              </w:rPr>
              <w:t>任何时刻，从采购人路由设备到投标人骨干设备，不得大于2跳。自投标人核心接入路由设备至国际出口不得大于4跳，平均丢包率不得大于0.1%，并满足今后带宽容量升级的需求。</w:t>
            </w:r>
          </w:p>
        </w:tc>
      </w:tr>
      <w:tr w14:paraId="72590C22">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00B02A04">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8</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32A6BD6">
            <w:pPr>
              <w:widowControl/>
              <w:spacing w:line="360" w:lineRule="auto"/>
              <w:jc w:val="center"/>
              <w:rPr>
                <w:rFonts w:ascii="宋体" w:hAnsi="宋体" w:cs="宋体"/>
                <w:szCs w:val="21"/>
              </w:rPr>
            </w:pPr>
            <w:r>
              <w:rPr>
                <w:rFonts w:hint="eastAsia" w:ascii="宋体" w:hAnsi="宋体" w:cs="宋体"/>
                <w:szCs w:val="21"/>
              </w:rPr>
              <w:t>网络时延</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27E41765">
            <w:pPr>
              <w:widowControl/>
              <w:spacing w:line="360" w:lineRule="auto"/>
              <w:jc w:val="left"/>
              <w:rPr>
                <w:rFonts w:ascii="宋体" w:hAnsi="宋体" w:cs="宋体"/>
                <w:szCs w:val="21"/>
              </w:rPr>
            </w:pPr>
            <w:r>
              <w:rPr>
                <w:rFonts w:hint="eastAsia" w:ascii="宋体" w:hAnsi="宋体" w:cs="宋体"/>
                <w:szCs w:val="21"/>
              </w:rPr>
              <w:t>任何时刻从采购人网络设备端口到服务提投标人骨干节点路由器网络时延≤10ms。提供加盖投标人公章的承诺函。</w:t>
            </w:r>
          </w:p>
        </w:tc>
      </w:tr>
      <w:tr w14:paraId="67D0712B">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0ED569F5">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9</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18AC4FC">
            <w:pPr>
              <w:widowControl/>
              <w:spacing w:line="360" w:lineRule="auto"/>
              <w:jc w:val="center"/>
              <w:rPr>
                <w:rFonts w:ascii="宋体" w:hAnsi="宋体" w:cs="宋体"/>
                <w:szCs w:val="21"/>
              </w:rPr>
            </w:pPr>
            <w:r>
              <w:rPr>
                <w:rFonts w:hint="eastAsia" w:ascii="宋体" w:hAnsi="宋体" w:cs="宋体"/>
                <w:szCs w:val="21"/>
              </w:rPr>
              <w:t>网络丢包率</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4BD7ED26">
            <w:pPr>
              <w:widowControl/>
              <w:spacing w:line="360" w:lineRule="auto"/>
              <w:jc w:val="left"/>
              <w:rPr>
                <w:rFonts w:ascii="宋体" w:hAnsi="宋体" w:cs="宋体"/>
                <w:szCs w:val="21"/>
              </w:rPr>
            </w:pPr>
            <w:r>
              <w:rPr>
                <w:rFonts w:hint="eastAsia" w:ascii="宋体" w:hAnsi="宋体" w:cs="宋体"/>
                <w:szCs w:val="21"/>
              </w:rPr>
              <w:t>从采购人网络设备端口到服务提投标人骨干节点路由器网络丢包率≤0.01%。提供加盖投标人公章的承诺函。</w:t>
            </w:r>
          </w:p>
        </w:tc>
      </w:tr>
      <w:tr w14:paraId="51642E9F">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5007EAE4">
            <w:pPr>
              <w:jc w:val="center"/>
              <w:rPr>
                <w:rFonts w:ascii="宋体" w:hAnsi="宋体" w:cs="宋体"/>
                <w:szCs w:val="21"/>
              </w:rPr>
            </w:pPr>
            <w:r>
              <w:rPr>
                <w:rFonts w:hint="eastAsia" w:ascii="宋体" w:hAnsi="宋体" w:cs="宋体"/>
                <w:b/>
                <w:szCs w:val="21"/>
              </w:rPr>
              <w:t>#</w:t>
            </w:r>
            <w:r>
              <w:rPr>
                <w:rFonts w:hint="eastAsia" w:ascii="宋体" w:hAnsi="宋体" w:cs="宋体"/>
                <w:szCs w:val="21"/>
              </w:rPr>
              <w:t>10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DFBCE08">
            <w:pPr>
              <w:widowControl/>
              <w:spacing w:line="360" w:lineRule="auto"/>
              <w:jc w:val="center"/>
              <w:rPr>
                <w:rFonts w:ascii="宋体" w:hAnsi="宋体" w:cs="宋体"/>
                <w:szCs w:val="21"/>
              </w:rPr>
            </w:pPr>
            <w:r>
              <w:rPr>
                <w:rFonts w:hint="eastAsia" w:ascii="宋体" w:hAnsi="宋体" w:cs="宋体"/>
                <w:szCs w:val="21"/>
              </w:rPr>
              <w:t>拓扑要求</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0F695280">
            <w:pPr>
              <w:widowControl/>
              <w:spacing w:line="360" w:lineRule="auto"/>
              <w:jc w:val="left"/>
              <w:rPr>
                <w:rFonts w:ascii="宋体" w:hAnsi="宋体" w:cs="宋体"/>
                <w:szCs w:val="21"/>
              </w:rPr>
            </w:pPr>
            <w:r>
              <w:rPr>
                <w:rFonts w:hint="eastAsia" w:ascii="宋体" w:hAnsi="宋体" w:cs="宋体"/>
                <w:szCs w:val="21"/>
              </w:rPr>
              <w:t>提供从采购人到互联网接入逻辑拓扑和物理拓扑。</w:t>
            </w:r>
          </w:p>
        </w:tc>
      </w:tr>
      <w:tr w14:paraId="051568E5">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121A7CA8">
            <w:pPr>
              <w:jc w:val="center"/>
              <w:rPr>
                <w:rFonts w:ascii="宋体" w:hAnsi="宋体" w:cs="宋体"/>
                <w:szCs w:val="21"/>
              </w:rPr>
            </w:pPr>
            <w:r>
              <w:rPr>
                <w:rFonts w:hint="eastAsia" w:ascii="宋体" w:hAnsi="宋体" w:cs="宋体"/>
                <w:b/>
                <w:szCs w:val="21"/>
              </w:rPr>
              <w:t>#</w:t>
            </w:r>
            <w:r>
              <w:rPr>
                <w:rFonts w:hint="eastAsia" w:ascii="宋体" w:hAnsi="宋体" w:cs="宋体"/>
                <w:szCs w:val="21"/>
              </w:rPr>
              <w:t>11</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BD6273C">
            <w:pPr>
              <w:widowControl/>
              <w:spacing w:line="360" w:lineRule="auto"/>
              <w:jc w:val="center"/>
              <w:rPr>
                <w:rFonts w:ascii="宋体" w:hAnsi="宋体" w:cs="宋体"/>
                <w:szCs w:val="21"/>
              </w:rPr>
            </w:pPr>
            <w:r>
              <w:rPr>
                <w:rFonts w:hint="eastAsia" w:ascii="宋体" w:hAnsi="宋体" w:cs="宋体"/>
                <w:szCs w:val="21"/>
              </w:rPr>
              <w:t>质量要求</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4C17467D">
            <w:pPr>
              <w:widowControl/>
              <w:spacing w:line="360" w:lineRule="auto"/>
              <w:jc w:val="left"/>
              <w:rPr>
                <w:rFonts w:ascii="宋体" w:hAnsi="宋体" w:cs="宋体"/>
                <w:szCs w:val="21"/>
              </w:rPr>
            </w:pPr>
            <w:r>
              <w:rPr>
                <w:rFonts w:hint="eastAsia" w:ascii="宋体" w:hAnsi="宋体" w:cs="宋体"/>
                <w:szCs w:val="21"/>
              </w:rPr>
              <w:t>提供电路质量符合电信服务规范要求的通信电路，并提供全部的电信接入设备和施工服务，所产生的相关费用，包括初装、割接、调试等均包含在投标报价中。提供加盖投标人公章的承诺函。</w:t>
            </w:r>
          </w:p>
        </w:tc>
      </w:tr>
      <w:tr w14:paraId="7B685B24">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6F8BABBA">
            <w:pPr>
              <w:jc w:val="center"/>
              <w:rPr>
                <w:rFonts w:ascii="宋体" w:hAnsi="宋体" w:cs="宋体"/>
                <w:szCs w:val="21"/>
              </w:rPr>
            </w:pPr>
            <w:r>
              <w:rPr>
                <w:rFonts w:hint="eastAsia" w:ascii="宋体" w:hAnsi="宋体" w:cs="宋体"/>
                <w:b/>
                <w:szCs w:val="21"/>
              </w:rPr>
              <w:t>#</w:t>
            </w:r>
            <w:r>
              <w:rPr>
                <w:rFonts w:hint="eastAsia" w:ascii="宋体" w:hAnsi="宋体" w:cs="宋体"/>
                <w:szCs w:val="21"/>
              </w:rPr>
              <w:t>12</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A7977CA">
            <w:pPr>
              <w:widowControl/>
              <w:spacing w:line="360" w:lineRule="auto"/>
              <w:jc w:val="center"/>
              <w:rPr>
                <w:rFonts w:ascii="宋体" w:hAnsi="宋体" w:cs="宋体"/>
                <w:szCs w:val="21"/>
              </w:rPr>
            </w:pPr>
            <w:r>
              <w:rPr>
                <w:rFonts w:hint="eastAsia" w:ascii="宋体" w:hAnsi="宋体" w:cs="宋体"/>
                <w:szCs w:val="21"/>
              </w:rPr>
              <w:t>平均损耗</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14A58F1F">
            <w:pPr>
              <w:widowControl/>
              <w:spacing w:line="360" w:lineRule="auto"/>
              <w:jc w:val="left"/>
              <w:rPr>
                <w:rFonts w:ascii="宋体" w:hAnsi="宋体" w:cs="宋体"/>
                <w:szCs w:val="21"/>
              </w:rPr>
            </w:pPr>
            <w:r>
              <w:rPr>
                <w:rFonts w:hint="eastAsia" w:ascii="宋体" w:hAnsi="宋体" w:cs="宋体"/>
                <w:szCs w:val="21"/>
              </w:rPr>
              <w:t>光源为1310nm波长时光缆平均损耗应不大于0.35dB/KM；光源为1550nm波长时光缆平均损耗应不大于0.3dB/KM。</w:t>
            </w:r>
          </w:p>
        </w:tc>
      </w:tr>
      <w:tr w14:paraId="24DB4204">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76508CCE">
            <w:pPr>
              <w:jc w:val="center"/>
              <w:rPr>
                <w:rFonts w:ascii="宋体" w:hAnsi="宋体" w:cs="宋体"/>
                <w:szCs w:val="21"/>
              </w:rPr>
            </w:pPr>
            <w:r>
              <w:rPr>
                <w:rFonts w:hint="eastAsia" w:ascii="宋体" w:hAnsi="宋体" w:cs="宋体"/>
                <w:w w:val="89"/>
                <w:szCs w:val="21"/>
              </w:rPr>
              <w:t>13</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22400AF">
            <w:pPr>
              <w:widowControl/>
              <w:spacing w:line="360" w:lineRule="auto"/>
              <w:jc w:val="center"/>
              <w:rPr>
                <w:rFonts w:ascii="宋体" w:hAnsi="宋体" w:cs="宋体"/>
                <w:szCs w:val="21"/>
              </w:rPr>
            </w:pPr>
            <w:r>
              <w:rPr>
                <w:rFonts w:hint="eastAsia" w:ascii="宋体" w:hAnsi="宋体" w:cs="宋体"/>
                <w:szCs w:val="21"/>
              </w:rPr>
              <w:t>光纤标准</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3BC26427">
            <w:pPr>
              <w:widowControl/>
              <w:spacing w:line="360" w:lineRule="auto"/>
              <w:jc w:val="left"/>
              <w:rPr>
                <w:rFonts w:ascii="宋体" w:hAnsi="宋体" w:cs="宋体"/>
                <w:szCs w:val="21"/>
              </w:rPr>
            </w:pPr>
            <w:r>
              <w:rPr>
                <w:rFonts w:hint="eastAsia" w:ascii="宋体" w:hAnsi="宋体" w:cs="宋体"/>
                <w:szCs w:val="21"/>
              </w:rPr>
              <w:t>ITU-TG.652标准光缆，光缆色散、衰耗等指标均能够达到和超过工信部的相关规定。</w:t>
            </w:r>
          </w:p>
        </w:tc>
      </w:tr>
      <w:tr w14:paraId="20A48511">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640EFEF4">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14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DAAF642">
            <w:pPr>
              <w:widowControl/>
              <w:spacing w:line="360" w:lineRule="auto"/>
              <w:jc w:val="center"/>
              <w:rPr>
                <w:rFonts w:ascii="宋体" w:hAnsi="宋体" w:cs="宋体"/>
                <w:szCs w:val="21"/>
              </w:rPr>
            </w:pPr>
            <w:r>
              <w:rPr>
                <w:rFonts w:hint="eastAsia" w:ascii="宋体" w:hAnsi="宋体" w:cs="宋体"/>
                <w:szCs w:val="21"/>
              </w:rPr>
              <w:t>跳接点数量</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2C5D6164">
            <w:pPr>
              <w:widowControl/>
              <w:spacing w:line="360" w:lineRule="auto"/>
              <w:jc w:val="left"/>
              <w:rPr>
                <w:rFonts w:ascii="宋体" w:hAnsi="宋体" w:cs="宋体"/>
                <w:szCs w:val="21"/>
              </w:rPr>
            </w:pPr>
            <w:r>
              <w:rPr>
                <w:rFonts w:hint="eastAsia" w:ascii="宋体" w:hAnsi="宋体" w:cs="宋体"/>
                <w:szCs w:val="21"/>
              </w:rPr>
              <w:t>应尽量减少跳接点数量，尽量控制端到端的跳接点(含机房内部)小于5个。</w:t>
            </w:r>
          </w:p>
        </w:tc>
      </w:tr>
      <w:tr w14:paraId="753E7F9D">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11D73A9F">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15</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2E817C6">
            <w:pPr>
              <w:widowControl/>
              <w:spacing w:line="360" w:lineRule="auto"/>
              <w:jc w:val="center"/>
              <w:rPr>
                <w:rFonts w:ascii="宋体" w:hAnsi="宋体" w:cs="宋体"/>
                <w:szCs w:val="21"/>
              </w:rPr>
            </w:pPr>
            <w:r>
              <w:rPr>
                <w:rFonts w:hint="eastAsia" w:ascii="宋体" w:hAnsi="宋体" w:cs="宋体"/>
                <w:szCs w:val="21"/>
              </w:rPr>
              <w:t>损耗</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08F1D2F2">
            <w:pPr>
              <w:widowControl/>
              <w:spacing w:line="360" w:lineRule="auto"/>
              <w:jc w:val="left"/>
              <w:rPr>
                <w:rFonts w:ascii="宋体" w:hAnsi="宋体" w:cs="宋体"/>
                <w:szCs w:val="21"/>
              </w:rPr>
            </w:pPr>
            <w:r>
              <w:rPr>
                <w:rFonts w:hint="eastAsia" w:ascii="宋体" w:hAnsi="宋体" w:cs="宋体"/>
                <w:szCs w:val="21"/>
              </w:rPr>
              <w:t>跳接点小于0.2db；熔接点损耗小于0.03db。</w:t>
            </w:r>
          </w:p>
        </w:tc>
      </w:tr>
      <w:tr w14:paraId="4C7587F8">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7D0F075D">
            <w:pPr>
              <w:jc w:val="center"/>
              <w:rPr>
                <w:rFonts w:ascii="宋体" w:hAnsi="宋体" w:cs="宋体"/>
                <w:szCs w:val="21"/>
              </w:rPr>
            </w:pPr>
            <w:r>
              <w:rPr>
                <w:rFonts w:hint="eastAsia" w:ascii="宋体" w:hAnsi="宋体" w:cs="宋体"/>
                <w:szCs w:val="21"/>
              </w:rPr>
              <w:t>16</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A932B44">
            <w:pPr>
              <w:widowControl/>
              <w:spacing w:line="360" w:lineRule="auto"/>
              <w:jc w:val="center"/>
              <w:rPr>
                <w:rFonts w:ascii="宋体" w:hAnsi="宋体" w:cs="宋体"/>
                <w:szCs w:val="21"/>
              </w:rPr>
            </w:pPr>
            <w:r>
              <w:rPr>
                <w:rFonts w:hint="eastAsia" w:ascii="宋体" w:hAnsi="宋体" w:cs="宋体"/>
                <w:szCs w:val="21"/>
              </w:rPr>
              <w:t>应急处理</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6CF3447E">
            <w:pPr>
              <w:widowControl/>
              <w:spacing w:line="360" w:lineRule="auto"/>
              <w:jc w:val="left"/>
              <w:rPr>
                <w:rFonts w:ascii="宋体" w:hAnsi="宋体" w:cs="宋体"/>
                <w:szCs w:val="21"/>
              </w:rPr>
            </w:pPr>
            <w:r>
              <w:rPr>
                <w:rFonts w:hint="eastAsia" w:ascii="宋体" w:hAnsi="宋体" w:cs="宋体"/>
                <w:szCs w:val="21"/>
              </w:rPr>
              <w:t>具有备用应急预案，并提供详细应急预案。</w:t>
            </w:r>
          </w:p>
        </w:tc>
      </w:tr>
      <w:tr w14:paraId="23B89508">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052EF547">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17</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3A2B05B">
            <w:pPr>
              <w:widowControl/>
              <w:spacing w:line="360" w:lineRule="auto"/>
              <w:jc w:val="center"/>
              <w:rPr>
                <w:rFonts w:ascii="宋体" w:hAnsi="宋体" w:cs="宋体"/>
                <w:szCs w:val="21"/>
              </w:rPr>
            </w:pPr>
            <w:r>
              <w:rPr>
                <w:rFonts w:hint="eastAsia" w:ascii="宋体" w:hAnsi="宋体" w:cs="宋体"/>
                <w:szCs w:val="21"/>
              </w:rPr>
              <w:t>敷设方式</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2E722887">
            <w:pPr>
              <w:widowControl/>
              <w:spacing w:line="360" w:lineRule="auto"/>
              <w:jc w:val="left"/>
              <w:rPr>
                <w:rFonts w:ascii="宋体" w:hAnsi="宋体" w:cs="宋体"/>
                <w:szCs w:val="21"/>
              </w:rPr>
            </w:pPr>
            <w:r>
              <w:rPr>
                <w:rFonts w:hint="eastAsia" w:ascii="宋体" w:hAnsi="宋体" w:cs="宋体"/>
                <w:szCs w:val="21"/>
              </w:rPr>
              <w:t>要求管井敷设，不允许架空光缆；红线内光缆要求挂牌，机房内ODF终端盒要求有明确标识。提供加盖投标人公章的承诺函。</w:t>
            </w:r>
          </w:p>
        </w:tc>
      </w:tr>
      <w:tr w14:paraId="6567BC40">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2921B686">
            <w:pPr>
              <w:jc w:val="center"/>
              <w:rPr>
                <w:rFonts w:ascii="宋体" w:hAnsi="宋体" w:cs="宋体"/>
                <w:szCs w:val="21"/>
              </w:rPr>
            </w:pPr>
            <w:r>
              <w:rPr>
                <w:rFonts w:hint="eastAsia" w:ascii="宋体" w:hAnsi="宋体" w:cs="宋体"/>
                <w:szCs w:val="21"/>
              </w:rPr>
              <w:t>18</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13CEFDA">
            <w:pPr>
              <w:widowControl/>
              <w:spacing w:line="360" w:lineRule="auto"/>
              <w:jc w:val="center"/>
              <w:rPr>
                <w:rFonts w:ascii="宋体" w:hAnsi="宋体" w:cs="宋体"/>
                <w:szCs w:val="21"/>
              </w:rPr>
            </w:pPr>
            <w:r>
              <w:rPr>
                <w:rFonts w:hint="eastAsia" w:ascii="宋体" w:hAnsi="宋体" w:cs="宋体"/>
                <w:szCs w:val="21"/>
              </w:rPr>
              <w:t>国际出口带宽能力</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32DEA1AB">
            <w:pPr>
              <w:widowControl/>
              <w:spacing w:line="360" w:lineRule="auto"/>
              <w:jc w:val="left"/>
              <w:rPr>
                <w:rFonts w:ascii="宋体" w:hAnsi="宋体" w:cs="宋体"/>
                <w:szCs w:val="21"/>
              </w:rPr>
            </w:pPr>
            <w:r>
              <w:rPr>
                <w:rFonts w:hint="eastAsia" w:ascii="宋体" w:hAnsi="宋体" w:cs="宋体"/>
                <w:szCs w:val="21"/>
              </w:rPr>
              <w:t>国际出口带宽≥2000G，国际出口带宽总量依据投标人加盖公章的承诺函。</w:t>
            </w:r>
          </w:p>
        </w:tc>
      </w:tr>
      <w:tr w14:paraId="3DD0AF2D">
        <w:tblPrEx>
          <w:tblCellMar>
            <w:top w:w="0" w:type="dxa"/>
            <w:left w:w="0" w:type="dxa"/>
            <w:bottom w:w="0" w:type="dxa"/>
            <w:right w:w="0" w:type="dxa"/>
          </w:tblCellMar>
        </w:tblPrEx>
        <w:trPr>
          <w:jc w:val="center"/>
        </w:trPr>
        <w:tc>
          <w:tcPr>
            <w:tcW w:w="562" w:type="dxa"/>
            <w:tcBorders>
              <w:top w:val="single" w:color="000000" w:sz="4" w:space="0"/>
              <w:left w:val="single" w:color="000000" w:sz="4" w:space="0"/>
              <w:right w:val="single" w:color="000000" w:sz="4" w:space="0"/>
            </w:tcBorders>
            <w:noWrap w:val="0"/>
            <w:vAlign w:val="center"/>
          </w:tcPr>
          <w:p w14:paraId="7A4D0112">
            <w:pPr>
              <w:jc w:val="center"/>
              <w:rPr>
                <w:rFonts w:ascii="宋体" w:hAnsi="宋体" w:cs="宋体"/>
                <w:szCs w:val="21"/>
              </w:rPr>
            </w:pPr>
            <w:r>
              <w:rPr>
                <w:rFonts w:hint="eastAsia" w:ascii="宋体" w:hAnsi="宋体" w:cs="宋体"/>
                <w:szCs w:val="21"/>
              </w:rPr>
              <w:t>19</w:t>
            </w:r>
          </w:p>
        </w:tc>
        <w:tc>
          <w:tcPr>
            <w:tcW w:w="1418" w:type="dxa"/>
            <w:tcBorders>
              <w:top w:val="single" w:color="000000" w:sz="4" w:space="0"/>
              <w:left w:val="single" w:color="000000" w:sz="4" w:space="0"/>
              <w:right w:val="single" w:color="000000" w:sz="4" w:space="0"/>
            </w:tcBorders>
            <w:noWrap w:val="0"/>
            <w:vAlign w:val="center"/>
          </w:tcPr>
          <w:p w14:paraId="4F9E6EE1">
            <w:pPr>
              <w:widowControl/>
              <w:spacing w:line="360" w:lineRule="auto"/>
              <w:jc w:val="center"/>
              <w:rPr>
                <w:rFonts w:ascii="宋体" w:hAnsi="宋体" w:cs="宋体"/>
                <w:szCs w:val="21"/>
              </w:rPr>
            </w:pPr>
            <w:r>
              <w:rPr>
                <w:rFonts w:hint="eastAsia" w:ascii="宋体" w:hAnsi="宋体" w:cs="宋体"/>
                <w:szCs w:val="21"/>
              </w:rPr>
              <w:t>售后服务</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64BEA3A3">
            <w:pPr>
              <w:widowControl/>
              <w:spacing w:line="360" w:lineRule="auto"/>
              <w:jc w:val="left"/>
              <w:rPr>
                <w:rFonts w:ascii="宋体" w:hAnsi="宋体" w:cs="宋体"/>
                <w:szCs w:val="21"/>
              </w:rPr>
            </w:pPr>
            <w:r>
              <w:rPr>
                <w:rFonts w:hint="eastAsia" w:ascii="宋体" w:hAnsi="宋体" w:cs="宋体"/>
                <w:szCs w:val="21"/>
              </w:rPr>
              <w:t>为用户提供专线接入售后服务，服务团队技术人员均具有5年及以上相关工作经验。承诺保证专门指定1名客户服务代表负责采购人的所有售后服务工作，提供互联网专线的直接运行维护人员的联系方式，一旦变更应及时通知采购人。并按季度提供纸质版或者电子版服务质量性能报告、维护巡检记录等服务文档。</w:t>
            </w:r>
          </w:p>
        </w:tc>
      </w:tr>
      <w:tr w14:paraId="1E9DE09C">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077DB6B9">
            <w:pPr>
              <w:jc w:val="center"/>
              <w:rPr>
                <w:rFonts w:ascii="宋体" w:hAnsi="宋体" w:cs="宋体"/>
                <w:szCs w:val="21"/>
              </w:rPr>
            </w:pPr>
            <w:r>
              <w:rPr>
                <w:rFonts w:hint="eastAsia" w:ascii="宋体" w:hAnsi="宋体" w:cs="宋体"/>
                <w:szCs w:val="21"/>
              </w:rPr>
              <w:t>20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77ECE0C">
            <w:pPr>
              <w:widowControl/>
              <w:spacing w:line="360" w:lineRule="auto"/>
              <w:jc w:val="center"/>
              <w:rPr>
                <w:rFonts w:ascii="宋体" w:hAnsi="宋体" w:cs="宋体"/>
                <w:szCs w:val="21"/>
              </w:rPr>
            </w:pPr>
            <w:r>
              <w:rPr>
                <w:rFonts w:hint="eastAsia" w:ascii="宋体" w:hAnsi="宋体" w:cs="宋体"/>
                <w:szCs w:val="21"/>
              </w:rPr>
              <w:t>链路中断修复时间</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30601307">
            <w:pPr>
              <w:widowControl/>
              <w:spacing w:line="360" w:lineRule="auto"/>
              <w:jc w:val="left"/>
              <w:rPr>
                <w:rFonts w:ascii="宋体" w:hAnsi="宋体" w:cs="宋体"/>
                <w:szCs w:val="21"/>
              </w:rPr>
            </w:pPr>
            <w:r>
              <w:rPr>
                <w:rFonts w:hint="eastAsia" w:ascii="宋体" w:hAnsi="宋体" w:cs="宋体"/>
                <w:szCs w:val="21"/>
              </w:rPr>
              <w:t>在服务期内，提供7×24小时的专业技术保障（包含在投标报价内，不再另行支付），有专业的技术服务团队和服务热线，确保在专线出现一般故障时30分钟内解决，严重故障和重大故障应在120分钟内解决，故障持续60分钟内必须到达现场处理，提供说明文件，并加盖投标人公章。</w:t>
            </w:r>
          </w:p>
        </w:tc>
      </w:tr>
      <w:tr w14:paraId="09190AA6">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26FE1536">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21</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8077206">
            <w:pPr>
              <w:widowControl/>
              <w:spacing w:line="360" w:lineRule="auto"/>
              <w:jc w:val="center"/>
              <w:rPr>
                <w:rFonts w:ascii="宋体" w:hAnsi="宋体" w:cs="宋体"/>
                <w:szCs w:val="21"/>
              </w:rPr>
            </w:pPr>
            <w:r>
              <w:rPr>
                <w:rFonts w:hint="eastAsia" w:ascii="宋体" w:hAnsi="宋体" w:cs="宋体"/>
                <w:szCs w:val="21"/>
              </w:rPr>
              <w:t>传输中断</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4FF95CBF">
            <w:pPr>
              <w:widowControl/>
              <w:spacing w:line="360" w:lineRule="auto"/>
              <w:jc w:val="left"/>
              <w:rPr>
                <w:rFonts w:ascii="宋体" w:hAnsi="宋体" w:cs="宋体"/>
                <w:szCs w:val="21"/>
              </w:rPr>
            </w:pPr>
            <w:r>
              <w:rPr>
                <w:rFonts w:hint="eastAsia" w:ascii="宋体" w:hAnsi="宋体" w:cs="宋体"/>
                <w:szCs w:val="21"/>
              </w:rPr>
              <w:t>在服务期内，因为中标人原因造成采购人传输中断，累计超过12小时（计划中断除外），则中标人提供一个月的线路使用（不另行支付费用），作为经济补偿。累计超过24小时（计划中断除外），则采购人有权做进一步追究或单方解除合同。</w:t>
            </w:r>
          </w:p>
        </w:tc>
      </w:tr>
      <w:tr w14:paraId="501C8D1E">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65376650">
            <w:pPr>
              <w:jc w:val="center"/>
              <w:rPr>
                <w:rFonts w:ascii="宋体" w:hAnsi="宋体" w:cs="宋体"/>
                <w:szCs w:val="21"/>
              </w:rPr>
            </w:pPr>
            <w:r>
              <w:rPr>
                <w:rFonts w:hint="eastAsia" w:ascii="宋体" w:hAnsi="宋体" w:cs="宋体"/>
              </w:rPr>
              <w:t>★</w:t>
            </w:r>
            <w:r>
              <w:rPr>
                <w:rFonts w:hint="eastAsia" w:ascii="宋体" w:hAnsi="宋体" w:cs="宋体"/>
                <w:szCs w:val="21"/>
              </w:rPr>
              <w:t>22</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D5B9D9E">
            <w:pPr>
              <w:widowControl/>
              <w:spacing w:line="360" w:lineRule="auto"/>
              <w:jc w:val="center"/>
              <w:rPr>
                <w:rFonts w:ascii="宋体" w:hAnsi="宋体" w:cs="宋体"/>
                <w:szCs w:val="21"/>
              </w:rPr>
            </w:pPr>
            <w:r>
              <w:rPr>
                <w:rFonts w:hint="eastAsia" w:ascii="宋体" w:hAnsi="宋体" w:cs="宋体"/>
                <w:szCs w:val="21"/>
              </w:rPr>
              <w:t>组网能力要求</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32495E8B">
            <w:pPr>
              <w:widowControl/>
              <w:spacing w:line="360" w:lineRule="auto"/>
              <w:jc w:val="left"/>
              <w:rPr>
                <w:rFonts w:ascii="宋体" w:hAnsi="宋体" w:cs="宋体"/>
                <w:szCs w:val="21"/>
              </w:rPr>
            </w:pPr>
            <w:r>
              <w:rPr>
                <w:rFonts w:hint="eastAsia" w:ascii="宋体" w:hAnsi="宋体" w:cs="宋体"/>
                <w:szCs w:val="21"/>
              </w:rPr>
              <w:t>所提供的带宽均可直连至“中国公用计算机互联网”、具有国际出口带宽、具有全国骨干网组网能力(提供承诺函并加盖投标人公章）。</w:t>
            </w:r>
          </w:p>
        </w:tc>
      </w:tr>
      <w:tr w14:paraId="4404E9BF">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18638A92">
            <w:pPr>
              <w:jc w:val="center"/>
              <w:rPr>
                <w:rFonts w:ascii="宋体" w:hAnsi="宋体" w:cs="宋体"/>
                <w:szCs w:val="21"/>
              </w:rPr>
            </w:pPr>
            <w:r>
              <w:rPr>
                <w:rFonts w:hint="eastAsia" w:ascii="宋体" w:hAnsi="宋体" w:cs="宋体"/>
              </w:rPr>
              <w:t>★</w:t>
            </w:r>
            <w:r>
              <w:rPr>
                <w:rFonts w:hint="eastAsia" w:ascii="宋体" w:hAnsi="宋体" w:cs="宋体"/>
                <w:szCs w:val="21"/>
              </w:rPr>
              <w:t>23</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5278FFF">
            <w:pPr>
              <w:widowControl/>
              <w:spacing w:line="360" w:lineRule="auto"/>
              <w:jc w:val="center"/>
              <w:rPr>
                <w:rFonts w:ascii="宋体" w:hAnsi="宋体" w:cs="宋体"/>
                <w:szCs w:val="21"/>
              </w:rPr>
            </w:pPr>
            <w:r>
              <w:rPr>
                <w:rFonts w:hint="eastAsia" w:ascii="宋体" w:hAnsi="宋体" w:cs="宋体"/>
                <w:szCs w:val="21"/>
              </w:rPr>
              <w:t>带宽要求</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09996681">
            <w:pPr>
              <w:widowControl/>
              <w:spacing w:line="360" w:lineRule="auto"/>
              <w:jc w:val="left"/>
              <w:rPr>
                <w:rFonts w:ascii="宋体" w:hAnsi="宋体" w:cs="宋体"/>
                <w:szCs w:val="21"/>
              </w:rPr>
            </w:pPr>
            <w:r>
              <w:rPr>
                <w:rFonts w:hint="eastAsia" w:ascii="宋体" w:hAnsi="宋体" w:cs="宋体"/>
                <w:szCs w:val="21"/>
              </w:rPr>
              <w:t>下行带宽不小于</w:t>
            </w:r>
            <w:r>
              <w:rPr>
                <w:rFonts w:ascii="宋体" w:hAnsi="宋体" w:cs="宋体"/>
                <w:szCs w:val="21"/>
              </w:rPr>
              <w:t>5G、上行带宽不小于2.5G</w:t>
            </w:r>
            <w:r>
              <w:rPr>
                <w:rFonts w:hint="eastAsia" w:ascii="宋体" w:hAnsi="宋体" w:cs="宋体"/>
                <w:szCs w:val="21"/>
              </w:rPr>
              <w:t>（提供承诺文件并加盖投标人公章）。</w:t>
            </w:r>
          </w:p>
        </w:tc>
      </w:tr>
      <w:tr w14:paraId="22B4E603">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292D456B">
            <w:pPr>
              <w:jc w:val="center"/>
              <w:rPr>
                <w:rFonts w:ascii="宋体" w:hAnsi="宋体" w:cs="宋体"/>
                <w:szCs w:val="21"/>
              </w:rPr>
            </w:pPr>
            <w:r>
              <w:rPr>
                <w:rFonts w:hint="eastAsia" w:ascii="宋体" w:hAnsi="宋体" w:cs="宋体"/>
              </w:rPr>
              <w:t>★</w:t>
            </w:r>
            <w:r>
              <w:rPr>
                <w:rFonts w:hint="eastAsia" w:ascii="宋体" w:hAnsi="宋体" w:cs="宋体"/>
                <w:szCs w:val="21"/>
              </w:rPr>
              <w:t>24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119FFD7">
            <w:pPr>
              <w:widowControl/>
              <w:spacing w:line="360" w:lineRule="auto"/>
              <w:jc w:val="center"/>
              <w:rPr>
                <w:rFonts w:ascii="宋体" w:hAnsi="宋体" w:cs="宋体"/>
                <w:szCs w:val="21"/>
              </w:rPr>
            </w:pPr>
            <w:r>
              <w:rPr>
                <w:rFonts w:hint="eastAsia" w:ascii="宋体" w:hAnsi="宋体" w:cs="宋体"/>
                <w:szCs w:val="21"/>
              </w:rPr>
              <w:t>域名解析</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6F336214">
            <w:pPr>
              <w:widowControl/>
              <w:spacing w:line="360" w:lineRule="auto"/>
              <w:jc w:val="left"/>
              <w:rPr>
                <w:rFonts w:ascii="宋体" w:hAnsi="宋体" w:cs="宋体"/>
                <w:szCs w:val="21"/>
              </w:rPr>
            </w:pPr>
            <w:r>
              <w:rPr>
                <w:rFonts w:hint="eastAsia" w:ascii="宋体" w:hAnsi="宋体" w:cs="宋体"/>
                <w:szCs w:val="21"/>
              </w:rPr>
              <w:t>按采购人要求，对采购人服务器的IP和域名提供正向和反向解析服务，在运营商的DNS系统中提供采购人服务器的域名解析（提供证明文件并加盖投标人公章）。</w:t>
            </w:r>
          </w:p>
        </w:tc>
      </w:tr>
      <w:tr w14:paraId="64A9FE16">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398E153F">
            <w:pPr>
              <w:jc w:val="center"/>
              <w:rPr>
                <w:rFonts w:ascii="宋体" w:hAnsi="宋体" w:cs="宋体"/>
                <w:szCs w:val="21"/>
              </w:rPr>
            </w:pPr>
            <w:r>
              <w:rPr>
                <w:rFonts w:hint="eastAsia" w:ascii="宋体" w:hAnsi="宋体" w:cs="宋体"/>
                <w:szCs w:val="21"/>
              </w:rPr>
              <w:t>25</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9CEF03D">
            <w:pPr>
              <w:widowControl/>
              <w:spacing w:line="360" w:lineRule="auto"/>
              <w:jc w:val="center"/>
              <w:rPr>
                <w:rFonts w:ascii="宋体" w:hAnsi="宋体" w:cs="宋体"/>
                <w:szCs w:val="21"/>
              </w:rPr>
            </w:pPr>
            <w:r>
              <w:rPr>
                <w:rFonts w:hint="eastAsia" w:ascii="宋体" w:hAnsi="宋体" w:cs="宋体"/>
                <w:szCs w:val="21"/>
              </w:rPr>
              <w:t>网络协议</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07D381D9">
            <w:pPr>
              <w:widowControl/>
              <w:spacing w:line="360" w:lineRule="auto"/>
              <w:jc w:val="left"/>
              <w:rPr>
                <w:rFonts w:ascii="宋体" w:hAnsi="宋体" w:cs="宋体"/>
                <w:szCs w:val="21"/>
              </w:rPr>
            </w:pPr>
            <w:r>
              <w:rPr>
                <w:rFonts w:hint="eastAsia" w:ascii="宋体" w:hAnsi="宋体" w:cs="宋体"/>
                <w:szCs w:val="21"/>
              </w:rPr>
              <w:t>除控制总带宽之外，不许再对网络协议做额外控制,且互联网接入无需对采购人现有网络配置进行重大修改。</w:t>
            </w:r>
          </w:p>
        </w:tc>
      </w:tr>
      <w:tr w14:paraId="59ACCF2F">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6A9BA9D0">
            <w:pPr>
              <w:jc w:val="center"/>
              <w:rPr>
                <w:rFonts w:ascii="宋体" w:hAnsi="宋体" w:cs="宋体"/>
                <w:szCs w:val="21"/>
              </w:rPr>
            </w:pPr>
            <w:r>
              <w:rPr>
                <w:rFonts w:hint="eastAsia" w:ascii="宋体" w:hAnsi="宋体" w:cs="宋体"/>
                <w:szCs w:val="21"/>
              </w:rPr>
              <w:t>2</w:t>
            </w:r>
            <w:r>
              <w:rPr>
                <w:rFonts w:ascii="宋体" w:hAnsi="宋体" w:cs="宋体"/>
                <w:szCs w:val="21"/>
              </w:rPr>
              <w:t>6</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C99CE5A">
            <w:pPr>
              <w:widowControl/>
              <w:spacing w:line="360" w:lineRule="auto"/>
              <w:jc w:val="center"/>
              <w:rPr>
                <w:rFonts w:ascii="宋体" w:hAnsi="宋体" w:cs="宋体"/>
                <w:szCs w:val="21"/>
              </w:rPr>
            </w:pPr>
            <w:r>
              <w:rPr>
                <w:rFonts w:hint="eastAsia" w:ascii="宋体" w:hAnsi="宋体" w:cs="宋体"/>
                <w:szCs w:val="21"/>
              </w:rPr>
              <w:t>验收条件</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05094131">
            <w:pPr>
              <w:widowControl/>
              <w:spacing w:line="360" w:lineRule="auto"/>
              <w:jc w:val="left"/>
              <w:rPr>
                <w:rFonts w:ascii="宋体" w:hAnsi="宋体" w:cs="宋体"/>
                <w:szCs w:val="21"/>
              </w:rPr>
            </w:pPr>
            <w:r>
              <w:rPr>
                <w:rFonts w:hint="eastAsia" w:ascii="宋体" w:hAnsi="宋体" w:cs="宋体"/>
                <w:szCs w:val="21"/>
              </w:rPr>
              <w:t>投标人在合同签订并完成采购人全部变更（设备配置服务配置）及事务沟通等备案手续，提供稳定出口接入，经双方联合测试符合采购需求后，方可签订验收单。</w:t>
            </w:r>
          </w:p>
        </w:tc>
      </w:tr>
      <w:tr w14:paraId="1CD77B0E">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6F931B88">
            <w:pPr>
              <w:jc w:val="center"/>
            </w:pPr>
            <w:r>
              <w:rPr>
                <w:rFonts w:ascii="宋体" w:hAnsi="宋体" w:cs="宋体"/>
                <w:b/>
                <w:szCs w:val="21"/>
              </w:rPr>
              <w:t>#</w:t>
            </w:r>
            <w:r>
              <w:rPr>
                <w:rFonts w:ascii="宋体" w:hAnsi="宋体" w:cs="宋体"/>
                <w:szCs w:val="21"/>
              </w:rPr>
              <w:t>27</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5147922">
            <w:pPr>
              <w:widowControl/>
              <w:spacing w:line="360" w:lineRule="auto"/>
              <w:jc w:val="center"/>
              <w:rPr>
                <w:rFonts w:ascii="宋体" w:hAnsi="宋体" w:cs="宋体"/>
                <w:szCs w:val="21"/>
              </w:rPr>
            </w:pPr>
            <w:r>
              <w:t>网络安全能力</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1AA1AC61">
            <w:pPr>
              <w:widowControl/>
              <w:spacing w:line="360" w:lineRule="auto"/>
              <w:jc w:val="left"/>
              <w:rPr>
                <w:rFonts w:ascii="宋体" w:hAnsi="宋体" w:cs="宋体"/>
                <w:szCs w:val="21"/>
              </w:rPr>
            </w:pPr>
            <w:r>
              <w:t>为保证学校网络安全，供应商需具备网络安全防护能力，需要具备流量清洗中心，清洗能力超</w:t>
            </w:r>
            <w:r>
              <w:rPr>
                <w:rFonts w:hint="eastAsia"/>
              </w:rPr>
              <w:t>1</w:t>
            </w:r>
            <w:r>
              <w:t>0T级。（提供证明材料并加盖投标人公章）</w:t>
            </w:r>
          </w:p>
        </w:tc>
      </w:tr>
      <w:tr w14:paraId="73C3132D">
        <w:tblPrEx>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47951412">
            <w:pPr>
              <w:jc w:val="center"/>
              <w:rPr>
                <w:rFonts w:ascii="宋体" w:hAnsi="宋体" w:cs="宋体"/>
                <w:szCs w:val="21"/>
              </w:rPr>
            </w:pPr>
            <w:r>
              <w:rPr>
                <w:rFonts w:hint="eastAsia" w:ascii="宋体" w:hAnsi="宋体" w:cs="宋体"/>
                <w:b/>
                <w:szCs w:val="21"/>
              </w:rPr>
              <w:t>#</w:t>
            </w:r>
            <w:r>
              <w:rPr>
                <w:rFonts w:hint="eastAsia" w:ascii="宋体" w:hAnsi="宋体" w:cs="宋体"/>
                <w:szCs w:val="21"/>
              </w:rPr>
              <w:t>2</w:t>
            </w:r>
            <w:r>
              <w:rPr>
                <w:rFonts w:ascii="宋体" w:hAnsi="宋体" w:cs="宋体"/>
                <w:szCs w:val="21"/>
              </w:rPr>
              <w:t>8</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4543CBF">
            <w:pPr>
              <w:widowControl/>
              <w:spacing w:line="360" w:lineRule="auto"/>
              <w:jc w:val="center"/>
            </w:pPr>
            <w:r>
              <w:rPr>
                <w:rFonts w:hint="eastAsia"/>
              </w:rPr>
              <w:t>网站安全</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30C235B8">
            <w:pPr>
              <w:widowControl/>
              <w:spacing w:line="360" w:lineRule="auto"/>
              <w:jc w:val="left"/>
            </w:pPr>
            <w:r>
              <w:rPr>
                <w:rFonts w:hint="eastAsia"/>
              </w:rPr>
              <w:t>对采购人指定域名站点提供安全监测、外链扫描等实时安全服务。</w:t>
            </w:r>
          </w:p>
        </w:tc>
      </w:tr>
    </w:tbl>
    <w:p w14:paraId="6D941976">
      <w:pPr>
        <w:widowControl/>
        <w:spacing w:line="360" w:lineRule="auto"/>
        <w:rPr>
          <w:rFonts w:ascii="宋体" w:hAnsi="宋体" w:cs="宋体"/>
          <w:kern w:val="0"/>
          <w:sz w:val="24"/>
        </w:rPr>
      </w:pPr>
    </w:p>
    <w:p w14:paraId="45C27C28">
      <w:pPr>
        <w:pStyle w:val="2"/>
        <w:ind w:left="0" w:firstLine="0"/>
        <w:rPr>
          <w:rFonts w:ascii="宋体" w:hAnsi="宋体" w:cs="宋体"/>
          <w:iCs/>
          <w:szCs w:val="24"/>
        </w:rPr>
      </w:pPr>
    </w:p>
    <w:p w14:paraId="5960D352">
      <w:pPr>
        <w:spacing w:line="360" w:lineRule="auto"/>
        <w:ind w:left="480"/>
        <w:jc w:val="center"/>
        <w:outlineLvl w:val="1"/>
        <w:rPr>
          <w:rFonts w:ascii="宋体" w:hAnsi="宋体"/>
          <w:sz w:val="24"/>
        </w:rPr>
      </w:pPr>
      <w:r>
        <w:rPr>
          <w:rFonts w:hint="eastAsia" w:ascii="宋体" w:hAnsi="宋体"/>
          <w:sz w:val="24"/>
        </w:rPr>
        <w:br w:type="page"/>
      </w:r>
      <w:r>
        <w:rPr>
          <w:rFonts w:hint="eastAsia" w:ascii="宋体" w:hAnsi="宋体"/>
          <w:sz w:val="24"/>
        </w:rPr>
        <w:t>第2包：校园网网络出口接入服务</w:t>
      </w:r>
      <w:r>
        <w:rPr>
          <w:rFonts w:ascii="宋体" w:hAnsi="宋体"/>
          <w:sz w:val="24"/>
        </w:rPr>
        <w:t>2</w:t>
      </w:r>
    </w:p>
    <w:p w14:paraId="6FD456B2">
      <w:pPr>
        <w:pStyle w:val="2"/>
        <w:spacing w:line="360" w:lineRule="auto"/>
        <w:ind w:left="0" w:right="0" w:firstLine="480" w:firstLineChars="200"/>
        <w:jc w:val="left"/>
      </w:pPr>
      <w:r>
        <w:rPr>
          <w:rFonts w:hint="eastAsia"/>
        </w:rPr>
        <w:t>一、采购标的</w:t>
      </w:r>
    </w:p>
    <w:p w14:paraId="534E764A">
      <w:pPr>
        <w:pStyle w:val="2"/>
        <w:rPr>
          <w:rFonts w:ascii="宋体" w:hAnsi="宋体" w:cs="宋体"/>
        </w:rPr>
      </w:pPr>
      <w:r>
        <w:rPr>
          <w:rFonts w:hint="eastAsia" w:ascii="宋体" w:hAnsi="宋体" w:cs="宋体"/>
        </w:rPr>
        <w:t>1. 采购标的</w:t>
      </w:r>
    </w:p>
    <w:p w14:paraId="0D177EF3">
      <w:pPr>
        <w:pStyle w:val="2"/>
        <w:ind w:left="0" w:right="-340" w:firstLine="0"/>
        <w:jc w:val="center"/>
        <w:rPr>
          <w:rFonts w:hint="eastAsia" w:ascii="宋体" w:hAnsi="宋体" w:cs="宋体"/>
        </w:rPr>
      </w:pPr>
      <w:r>
        <w:rPr>
          <w:rFonts w:hint="eastAsia" w:ascii="宋体" w:hAnsi="宋体" w:cs="宋体"/>
        </w:rPr>
        <w:t>需求一览表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2268"/>
        <w:gridCol w:w="3118"/>
        <w:gridCol w:w="1276"/>
      </w:tblGrid>
      <w:tr w14:paraId="1261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846" w:type="dxa"/>
            <w:noWrap w:val="0"/>
            <w:tcMar>
              <w:top w:w="0" w:type="dxa"/>
              <w:left w:w="108" w:type="dxa"/>
              <w:bottom w:w="0" w:type="dxa"/>
              <w:right w:w="108" w:type="dxa"/>
            </w:tcMar>
            <w:vAlign w:val="center"/>
          </w:tcPr>
          <w:p w14:paraId="40CC4CD0">
            <w:pPr>
              <w:widowControl/>
              <w:spacing w:line="360" w:lineRule="auto"/>
              <w:jc w:val="center"/>
              <w:rPr>
                <w:rFonts w:ascii="宋体" w:hAnsi="宋体" w:cs="黑体"/>
                <w:kern w:val="0"/>
                <w:sz w:val="24"/>
              </w:rPr>
            </w:pPr>
            <w:r>
              <w:rPr>
                <w:rFonts w:hint="eastAsia" w:ascii="宋体" w:hAnsi="宋体" w:cs="黑体"/>
                <w:kern w:val="0"/>
                <w:sz w:val="24"/>
              </w:rPr>
              <w:t>包号</w:t>
            </w:r>
          </w:p>
        </w:tc>
        <w:tc>
          <w:tcPr>
            <w:tcW w:w="2268" w:type="dxa"/>
            <w:noWrap w:val="0"/>
            <w:tcMar>
              <w:top w:w="0" w:type="dxa"/>
              <w:left w:w="108" w:type="dxa"/>
              <w:bottom w:w="0" w:type="dxa"/>
              <w:right w:w="108" w:type="dxa"/>
            </w:tcMar>
            <w:vAlign w:val="center"/>
          </w:tcPr>
          <w:p w14:paraId="14B0217E">
            <w:pPr>
              <w:widowControl/>
              <w:spacing w:line="360" w:lineRule="auto"/>
              <w:jc w:val="center"/>
              <w:rPr>
                <w:rFonts w:ascii="宋体" w:hAnsi="宋体" w:cs="黑体"/>
                <w:kern w:val="0"/>
                <w:sz w:val="24"/>
              </w:rPr>
            </w:pPr>
            <w:r>
              <w:rPr>
                <w:rFonts w:hint="eastAsia" w:ascii="宋体" w:hAnsi="宋体" w:cs="黑体"/>
                <w:kern w:val="0"/>
                <w:sz w:val="24"/>
              </w:rPr>
              <w:t>分包预算（万元）</w:t>
            </w:r>
          </w:p>
        </w:tc>
        <w:tc>
          <w:tcPr>
            <w:tcW w:w="3118" w:type="dxa"/>
            <w:noWrap w:val="0"/>
            <w:tcMar>
              <w:top w:w="0" w:type="dxa"/>
              <w:left w:w="108" w:type="dxa"/>
              <w:bottom w:w="0" w:type="dxa"/>
              <w:right w:w="108" w:type="dxa"/>
            </w:tcMar>
            <w:vAlign w:val="center"/>
          </w:tcPr>
          <w:p w14:paraId="6DFE0325">
            <w:pPr>
              <w:widowControl/>
              <w:spacing w:line="360" w:lineRule="auto"/>
              <w:jc w:val="center"/>
              <w:rPr>
                <w:rFonts w:ascii="宋体" w:hAnsi="宋体" w:cs="黑体"/>
                <w:kern w:val="0"/>
                <w:sz w:val="24"/>
              </w:rPr>
            </w:pPr>
            <w:r>
              <w:rPr>
                <w:rFonts w:hint="eastAsia" w:ascii="宋体" w:hAnsi="宋体" w:cs="黑体"/>
                <w:kern w:val="0"/>
                <w:sz w:val="24"/>
              </w:rPr>
              <w:t>服务事项名称</w:t>
            </w:r>
          </w:p>
        </w:tc>
        <w:tc>
          <w:tcPr>
            <w:tcW w:w="1276" w:type="dxa"/>
            <w:noWrap w:val="0"/>
            <w:tcMar>
              <w:top w:w="0" w:type="dxa"/>
              <w:left w:w="108" w:type="dxa"/>
              <w:bottom w:w="0" w:type="dxa"/>
              <w:right w:w="108" w:type="dxa"/>
            </w:tcMar>
            <w:vAlign w:val="center"/>
          </w:tcPr>
          <w:p w14:paraId="2A15BBF2">
            <w:pPr>
              <w:widowControl/>
              <w:spacing w:line="360" w:lineRule="auto"/>
              <w:jc w:val="center"/>
              <w:rPr>
                <w:rFonts w:ascii="宋体" w:hAnsi="宋体" w:cs="黑体"/>
                <w:kern w:val="0"/>
                <w:sz w:val="24"/>
              </w:rPr>
            </w:pPr>
            <w:r>
              <w:rPr>
                <w:rFonts w:hint="eastAsia" w:ascii="宋体" w:hAnsi="宋体" w:cs="黑体"/>
                <w:kern w:val="0"/>
                <w:sz w:val="24"/>
              </w:rPr>
              <w:t>服务期限</w:t>
            </w:r>
          </w:p>
        </w:tc>
      </w:tr>
      <w:tr w14:paraId="3610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846" w:type="dxa"/>
            <w:noWrap w:val="0"/>
            <w:tcMar>
              <w:top w:w="0" w:type="dxa"/>
              <w:left w:w="108" w:type="dxa"/>
              <w:bottom w:w="0" w:type="dxa"/>
              <w:right w:w="108" w:type="dxa"/>
            </w:tcMar>
            <w:vAlign w:val="center"/>
          </w:tcPr>
          <w:p w14:paraId="167966CC">
            <w:pPr>
              <w:widowControl/>
              <w:spacing w:line="360" w:lineRule="auto"/>
              <w:jc w:val="center"/>
              <w:rPr>
                <w:rFonts w:ascii="宋体" w:hAnsi="宋体" w:cs="宋体"/>
                <w:kern w:val="0"/>
                <w:sz w:val="24"/>
              </w:rPr>
            </w:pPr>
            <w:r>
              <w:rPr>
                <w:rFonts w:hint="eastAsia" w:ascii="宋体" w:hAnsi="宋体" w:cs="宋体"/>
                <w:kern w:val="0"/>
                <w:sz w:val="24"/>
              </w:rPr>
              <w:t>2</w:t>
            </w:r>
          </w:p>
        </w:tc>
        <w:tc>
          <w:tcPr>
            <w:tcW w:w="2268" w:type="dxa"/>
            <w:noWrap w:val="0"/>
            <w:tcMar>
              <w:top w:w="0" w:type="dxa"/>
              <w:left w:w="108" w:type="dxa"/>
              <w:bottom w:w="0" w:type="dxa"/>
              <w:right w:w="108" w:type="dxa"/>
            </w:tcMar>
            <w:vAlign w:val="center"/>
          </w:tcPr>
          <w:p w14:paraId="5F249B66">
            <w:pPr>
              <w:widowControl/>
              <w:spacing w:line="360" w:lineRule="auto"/>
              <w:jc w:val="center"/>
              <w:rPr>
                <w:rFonts w:ascii="宋体" w:hAnsi="宋体" w:cs="宋体"/>
                <w:kern w:val="0"/>
                <w:sz w:val="24"/>
              </w:rPr>
            </w:pPr>
            <w:r>
              <w:rPr>
                <w:rFonts w:ascii="宋体" w:hAnsi="宋体" w:cs="宋体"/>
                <w:kern w:val="0"/>
                <w:sz w:val="24"/>
              </w:rPr>
              <w:t>155</w:t>
            </w:r>
          </w:p>
        </w:tc>
        <w:tc>
          <w:tcPr>
            <w:tcW w:w="3118" w:type="dxa"/>
            <w:noWrap w:val="0"/>
            <w:tcMar>
              <w:top w:w="0" w:type="dxa"/>
              <w:left w:w="108" w:type="dxa"/>
              <w:bottom w:w="0" w:type="dxa"/>
              <w:right w:w="108" w:type="dxa"/>
            </w:tcMar>
            <w:vAlign w:val="center"/>
          </w:tcPr>
          <w:p w14:paraId="26CB0F25">
            <w:pPr>
              <w:widowControl/>
              <w:spacing w:line="360" w:lineRule="auto"/>
              <w:jc w:val="center"/>
              <w:rPr>
                <w:rFonts w:ascii="宋体" w:hAnsi="宋体" w:cs="宋体"/>
                <w:kern w:val="0"/>
                <w:sz w:val="24"/>
              </w:rPr>
            </w:pPr>
            <w:r>
              <w:rPr>
                <w:rFonts w:hint="eastAsia" w:ascii="宋体" w:hAnsi="宋体" w:cs="宋体"/>
                <w:kern w:val="0"/>
                <w:sz w:val="24"/>
              </w:rPr>
              <w:t>校园网网络出口接入服务</w:t>
            </w:r>
            <w:r>
              <w:rPr>
                <w:rFonts w:ascii="宋体" w:hAnsi="宋体" w:cs="宋体"/>
                <w:kern w:val="0"/>
                <w:sz w:val="24"/>
              </w:rPr>
              <w:t>2</w:t>
            </w:r>
          </w:p>
        </w:tc>
        <w:tc>
          <w:tcPr>
            <w:tcW w:w="1276" w:type="dxa"/>
            <w:noWrap w:val="0"/>
            <w:tcMar>
              <w:top w:w="0" w:type="dxa"/>
              <w:left w:w="108" w:type="dxa"/>
              <w:bottom w:w="0" w:type="dxa"/>
              <w:right w:w="108" w:type="dxa"/>
            </w:tcMar>
            <w:vAlign w:val="center"/>
          </w:tcPr>
          <w:p w14:paraId="747AED1F">
            <w:pPr>
              <w:widowControl/>
              <w:spacing w:line="360" w:lineRule="auto"/>
              <w:jc w:val="center"/>
              <w:rPr>
                <w:rFonts w:ascii="宋体" w:hAnsi="宋体" w:cs="宋体"/>
                <w:kern w:val="0"/>
                <w:sz w:val="24"/>
              </w:rPr>
            </w:pPr>
            <w:r>
              <w:rPr>
                <w:rFonts w:hint="eastAsia" w:ascii="宋体" w:hAnsi="宋体" w:cs="宋体"/>
                <w:kern w:val="0"/>
                <w:sz w:val="24"/>
              </w:rPr>
              <w:t>1年</w:t>
            </w:r>
          </w:p>
        </w:tc>
      </w:tr>
    </w:tbl>
    <w:p w14:paraId="615A4622">
      <w:pPr>
        <w:pStyle w:val="2"/>
        <w:rPr>
          <w:rFonts w:ascii="宋体" w:hAnsi="宋体" w:cs="宋体"/>
        </w:rPr>
      </w:pPr>
      <w:r>
        <w:rPr>
          <w:rFonts w:hint="eastAsia" w:ascii="宋体" w:hAnsi="宋体" w:cs="宋体"/>
        </w:rPr>
        <w:t>2. 项目概述</w:t>
      </w:r>
    </w:p>
    <w:p w14:paraId="30DB2BA3">
      <w:pPr>
        <w:pStyle w:val="2"/>
        <w:spacing w:line="360" w:lineRule="auto"/>
        <w:ind w:left="0" w:right="0" w:firstLine="480" w:firstLineChars="200"/>
        <w:jc w:val="left"/>
      </w:pPr>
      <w:r>
        <w:rPr>
          <w:rFonts w:hint="eastAsia"/>
        </w:rPr>
        <w:t>采购良乡校区互联网带宽接入服务，提供1条9Gbps带宽互联专线出口线路，及1对阜成路校区和良乡校区之间的裸光纤备份链路。</w:t>
      </w:r>
    </w:p>
    <w:p w14:paraId="506142BA">
      <w:pPr>
        <w:pStyle w:val="2"/>
        <w:spacing w:line="360" w:lineRule="auto"/>
        <w:ind w:left="0" w:right="0" w:firstLine="480" w:firstLineChars="200"/>
        <w:jc w:val="left"/>
      </w:pPr>
      <w:r>
        <w:rPr>
          <w:rFonts w:hint="eastAsia"/>
        </w:rPr>
        <w:t>二、商务要求</w:t>
      </w:r>
    </w:p>
    <w:p w14:paraId="19B4AE63">
      <w:pPr>
        <w:pStyle w:val="2"/>
        <w:spacing w:line="360" w:lineRule="auto"/>
        <w:ind w:left="0" w:right="0" w:firstLine="480" w:firstLineChars="200"/>
        <w:jc w:val="left"/>
        <w:rPr>
          <w:rFonts w:hint="eastAsia"/>
        </w:rPr>
      </w:pPr>
      <w:r>
        <w:rPr>
          <w:rFonts w:hint="eastAsia"/>
        </w:rPr>
        <w:t>1. 交付（实施）的时间（期限）和地点（范围）</w:t>
      </w:r>
    </w:p>
    <w:p w14:paraId="7DAF4549">
      <w:pPr>
        <w:pStyle w:val="2"/>
        <w:spacing w:line="360" w:lineRule="auto"/>
        <w:ind w:left="0" w:right="0" w:firstLine="480" w:firstLineChars="200"/>
        <w:jc w:val="left"/>
      </w:pPr>
      <w:r>
        <w:rPr>
          <w:rFonts w:hint="eastAsia"/>
        </w:rPr>
        <w:t>交付（实施）时间（期限）：自合同签订后5日内完成互联网出口带宽链路实施工作，并开通承诺服务。</w:t>
      </w:r>
    </w:p>
    <w:p w14:paraId="2D24F345">
      <w:pPr>
        <w:pStyle w:val="2"/>
        <w:spacing w:line="360" w:lineRule="auto"/>
        <w:ind w:left="0" w:right="0" w:firstLine="480" w:firstLineChars="200"/>
        <w:jc w:val="left"/>
        <w:rPr>
          <w:rFonts w:hint="eastAsia"/>
        </w:rPr>
      </w:pPr>
      <w:r>
        <w:rPr>
          <w:rFonts w:hint="eastAsia"/>
        </w:rPr>
        <w:t>交付（实施）地点（范围）：北京工商大学。</w:t>
      </w:r>
    </w:p>
    <w:p w14:paraId="32E41602">
      <w:pPr>
        <w:pStyle w:val="2"/>
        <w:spacing w:line="360" w:lineRule="auto"/>
        <w:ind w:left="0" w:right="0" w:firstLine="480" w:firstLineChars="200"/>
        <w:jc w:val="left"/>
        <w:rPr>
          <w:rFonts w:hint="eastAsia"/>
        </w:rPr>
      </w:pPr>
      <w:r>
        <w:rPr>
          <w:rFonts w:hint="eastAsia"/>
        </w:rPr>
        <w:t>2. 付款条件（进度和方式）</w:t>
      </w:r>
    </w:p>
    <w:p w14:paraId="4FF73452">
      <w:pPr>
        <w:pStyle w:val="2"/>
        <w:spacing w:line="360" w:lineRule="auto"/>
        <w:ind w:left="0" w:right="0" w:firstLine="480" w:firstLineChars="200"/>
        <w:jc w:val="left"/>
      </w:pPr>
      <w:r>
        <w:rPr>
          <w:rFonts w:hint="eastAsia"/>
        </w:rPr>
        <w:t>合同签订生效后，采购人向中标人支付合同金额60%的价款，2026年9月30日前支付合同金额40%的价款(中标人应向采购人先行提交与支付金额等额的发票)。</w:t>
      </w:r>
    </w:p>
    <w:p w14:paraId="598ACE5D">
      <w:pPr>
        <w:pStyle w:val="2"/>
        <w:spacing w:line="360" w:lineRule="auto"/>
        <w:ind w:left="0" w:right="0" w:firstLine="480" w:firstLineChars="200"/>
        <w:jc w:val="left"/>
      </w:pPr>
      <w:r>
        <w:rPr>
          <w:rFonts w:hint="eastAsia"/>
        </w:rPr>
        <w:t>3. 包装和运输</w:t>
      </w:r>
    </w:p>
    <w:p w14:paraId="7078432B">
      <w:pPr>
        <w:pStyle w:val="2"/>
        <w:spacing w:line="360" w:lineRule="auto"/>
        <w:ind w:left="0" w:right="0" w:firstLine="480" w:firstLineChars="200"/>
        <w:jc w:val="left"/>
        <w:rPr>
          <w:rFonts w:hint="eastAsia"/>
        </w:rPr>
      </w:pPr>
      <w:r>
        <w:rPr>
          <w:rFonts w:hint="eastAsia"/>
        </w:rPr>
        <w:t>本项目不涉及。</w:t>
      </w:r>
    </w:p>
    <w:p w14:paraId="1A9B5148">
      <w:pPr>
        <w:pStyle w:val="2"/>
        <w:spacing w:line="360" w:lineRule="auto"/>
        <w:ind w:left="0" w:right="0" w:firstLine="480" w:firstLineChars="200"/>
        <w:jc w:val="left"/>
        <w:rPr>
          <w:rFonts w:hint="eastAsia"/>
        </w:rPr>
      </w:pPr>
      <w:r>
        <w:rPr>
          <w:rFonts w:hint="eastAsia"/>
        </w:rPr>
        <w:t>4. 售后服务（质保期）（如适用）</w:t>
      </w:r>
    </w:p>
    <w:p w14:paraId="4C69F1D5">
      <w:pPr>
        <w:pStyle w:val="2"/>
        <w:spacing w:line="360" w:lineRule="auto"/>
        <w:ind w:left="0" w:right="0" w:firstLine="480" w:firstLineChars="200"/>
        <w:jc w:val="left"/>
      </w:pPr>
      <w:r>
        <w:rPr>
          <w:rFonts w:hint="eastAsia"/>
        </w:rPr>
        <w:t>质保期：自签订合同之日起1年。</w:t>
      </w:r>
    </w:p>
    <w:p w14:paraId="05F3B6D3">
      <w:pPr>
        <w:pStyle w:val="2"/>
        <w:spacing w:line="360" w:lineRule="auto"/>
        <w:ind w:left="0" w:right="0" w:firstLine="480" w:firstLineChars="200"/>
        <w:jc w:val="left"/>
      </w:pPr>
      <w:r>
        <w:rPr>
          <w:rFonts w:hint="eastAsia"/>
        </w:rPr>
        <w:t>5. 其他要求</w:t>
      </w:r>
    </w:p>
    <w:p w14:paraId="4ACD1A4B">
      <w:pPr>
        <w:pStyle w:val="2"/>
        <w:spacing w:line="360" w:lineRule="auto"/>
        <w:ind w:left="0" w:right="0" w:firstLine="480" w:firstLineChars="200"/>
        <w:jc w:val="left"/>
      </w:pPr>
      <w:r>
        <w:rPr>
          <w:rFonts w:hint="eastAsia"/>
        </w:rPr>
        <w:t>项目管理责任：本项目的主体，关键性工作不允许分包。</w:t>
      </w:r>
    </w:p>
    <w:p w14:paraId="5043FC9C">
      <w:pPr>
        <w:pStyle w:val="2"/>
        <w:spacing w:line="360" w:lineRule="auto"/>
        <w:ind w:left="0" w:right="0" w:firstLine="480" w:firstLineChars="200"/>
        <w:jc w:val="left"/>
      </w:pPr>
      <w:r>
        <w:rPr>
          <w:rFonts w:hint="eastAsia"/>
        </w:rPr>
        <w:t>验收要求：投标人在合同签订后的5个工作日内完成出口接入和集成任务。</w:t>
      </w:r>
    </w:p>
    <w:p w14:paraId="0E205C82">
      <w:pPr>
        <w:pStyle w:val="2"/>
        <w:spacing w:line="360" w:lineRule="auto"/>
        <w:ind w:left="0" w:right="0" w:firstLine="480" w:firstLineChars="200"/>
        <w:jc w:val="left"/>
      </w:pPr>
      <w:r>
        <w:rPr>
          <w:rFonts w:hint="eastAsia"/>
        </w:rPr>
        <w:t>三、技术要求</w:t>
      </w:r>
    </w:p>
    <w:p w14:paraId="71CA5F75">
      <w:pPr>
        <w:pStyle w:val="2"/>
        <w:spacing w:line="360" w:lineRule="auto"/>
        <w:ind w:left="0" w:right="0" w:firstLine="480" w:firstLineChars="200"/>
        <w:jc w:val="left"/>
      </w:pPr>
      <w:r>
        <w:rPr>
          <w:rFonts w:hint="eastAsia"/>
        </w:rPr>
        <w:t>技术要求中指标按重要性分为“★”、“</w:t>
      </w:r>
      <w:r>
        <w:t>#</w:t>
      </w:r>
      <w:r>
        <w:rPr>
          <w:rFonts w:hint="eastAsia"/>
        </w:rPr>
        <w:t>”。★代表实质性指标，不满足该指标项将导致投标被拒绝；#代表重要指标，不满足该项指标将被扣分。</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60"/>
        <w:gridCol w:w="7343"/>
      </w:tblGrid>
      <w:tr w14:paraId="70D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noWrap w:val="0"/>
            <w:vAlign w:val="center"/>
          </w:tcPr>
          <w:p w14:paraId="5797E34E">
            <w:pPr>
              <w:widowControl/>
              <w:spacing w:line="360" w:lineRule="auto"/>
              <w:jc w:val="center"/>
              <w:rPr>
                <w:rFonts w:ascii="宋体" w:hAnsi="宋体" w:cs="宋体"/>
                <w:kern w:val="0"/>
                <w:sz w:val="20"/>
                <w:szCs w:val="21"/>
              </w:rPr>
            </w:pPr>
            <w:r>
              <w:rPr>
                <w:rFonts w:hint="eastAsia" w:ascii="宋体" w:hAnsi="宋体" w:cs="宋体"/>
                <w:kern w:val="0"/>
                <w:sz w:val="20"/>
                <w:szCs w:val="21"/>
              </w:rPr>
              <w:t>序号</w:t>
            </w:r>
          </w:p>
        </w:tc>
        <w:tc>
          <w:tcPr>
            <w:tcW w:w="1060" w:type="dxa"/>
            <w:noWrap w:val="0"/>
            <w:vAlign w:val="center"/>
          </w:tcPr>
          <w:p w14:paraId="2FBD42CE">
            <w:pPr>
              <w:widowControl/>
              <w:spacing w:line="360" w:lineRule="auto"/>
              <w:jc w:val="center"/>
              <w:rPr>
                <w:rFonts w:ascii="宋体" w:hAnsi="宋体" w:cs="宋体"/>
                <w:kern w:val="0"/>
                <w:sz w:val="20"/>
                <w:szCs w:val="21"/>
              </w:rPr>
            </w:pPr>
            <w:r>
              <w:rPr>
                <w:rFonts w:hint="eastAsia" w:ascii="宋体" w:hAnsi="宋体" w:cs="宋体"/>
                <w:kern w:val="0"/>
                <w:sz w:val="20"/>
                <w:szCs w:val="21"/>
              </w:rPr>
              <w:t>服务事项名称</w:t>
            </w:r>
          </w:p>
        </w:tc>
        <w:tc>
          <w:tcPr>
            <w:tcW w:w="7343" w:type="dxa"/>
            <w:noWrap w:val="0"/>
            <w:vAlign w:val="center"/>
          </w:tcPr>
          <w:p w14:paraId="2C2EB5A2">
            <w:pPr>
              <w:widowControl/>
              <w:spacing w:line="360" w:lineRule="auto"/>
              <w:jc w:val="center"/>
              <w:rPr>
                <w:rFonts w:ascii="宋体" w:hAnsi="宋体" w:cs="宋体"/>
                <w:kern w:val="0"/>
                <w:sz w:val="20"/>
                <w:szCs w:val="21"/>
              </w:rPr>
            </w:pPr>
            <w:r>
              <w:rPr>
                <w:rFonts w:hint="eastAsia" w:ascii="宋体" w:hAnsi="宋体" w:cs="宋体"/>
                <w:kern w:val="0"/>
                <w:sz w:val="20"/>
                <w:szCs w:val="21"/>
              </w:rPr>
              <w:t>服务要求</w:t>
            </w:r>
          </w:p>
        </w:tc>
      </w:tr>
      <w:tr w14:paraId="14C5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6E1C0FCD">
            <w:pPr>
              <w:widowControl/>
              <w:spacing w:line="360" w:lineRule="auto"/>
              <w:jc w:val="center"/>
              <w:rPr>
                <w:rFonts w:ascii="宋体" w:hAnsi="宋体" w:cs="宋体"/>
                <w:kern w:val="0"/>
                <w:sz w:val="20"/>
                <w:szCs w:val="21"/>
              </w:rPr>
            </w:pPr>
            <w:r>
              <w:rPr>
                <w:rFonts w:ascii="Segoe UI Symbol" w:hAnsi="Segoe UI Symbol" w:cs="Segoe UI Symbol"/>
                <w:color w:val="000000"/>
                <w:kern w:val="0"/>
                <w:sz w:val="24"/>
              </w:rPr>
              <w:t>★</w:t>
            </w:r>
            <w:r>
              <w:rPr>
                <w:rFonts w:hint="eastAsia" w:ascii="宋体" w:hAnsi="宋体" w:cs="宋体"/>
                <w:kern w:val="0"/>
                <w:sz w:val="20"/>
                <w:szCs w:val="21"/>
              </w:rPr>
              <w:t>1</w:t>
            </w:r>
          </w:p>
        </w:tc>
        <w:tc>
          <w:tcPr>
            <w:tcW w:w="1060" w:type="dxa"/>
            <w:vMerge w:val="restart"/>
            <w:noWrap w:val="0"/>
            <w:vAlign w:val="center"/>
          </w:tcPr>
          <w:p w14:paraId="60DFE10C">
            <w:pPr>
              <w:widowControl/>
              <w:spacing w:line="360" w:lineRule="auto"/>
              <w:jc w:val="left"/>
              <w:rPr>
                <w:rFonts w:ascii="宋体" w:hAnsi="宋体" w:cs="宋体"/>
                <w:kern w:val="0"/>
                <w:sz w:val="20"/>
                <w:szCs w:val="21"/>
              </w:rPr>
            </w:pPr>
            <w:r>
              <w:rPr>
                <w:rFonts w:hint="eastAsia" w:ascii="宋体" w:hAnsi="宋体" w:cs="宋体"/>
                <w:kern w:val="0"/>
                <w:sz w:val="20"/>
                <w:szCs w:val="21"/>
              </w:rPr>
              <w:t>基本要求</w:t>
            </w:r>
          </w:p>
        </w:tc>
        <w:tc>
          <w:tcPr>
            <w:tcW w:w="7343" w:type="dxa"/>
            <w:noWrap w:val="0"/>
            <w:vAlign w:val="center"/>
          </w:tcPr>
          <w:p w14:paraId="17C6002E">
            <w:pPr>
              <w:tabs>
                <w:tab w:val="left" w:pos="315"/>
              </w:tabs>
              <w:spacing w:line="360" w:lineRule="auto"/>
              <w:ind w:left="1"/>
              <w:rPr>
                <w:rFonts w:ascii="宋体" w:hAnsi="宋体" w:cs="宋体"/>
                <w:kern w:val="0"/>
                <w:sz w:val="20"/>
                <w:szCs w:val="21"/>
                <w:lang w:val="zh-CN"/>
              </w:rPr>
            </w:pPr>
            <w:r>
              <w:rPr>
                <w:rFonts w:hint="eastAsia" w:ascii="宋体" w:hAnsi="宋体" w:cs="宋体"/>
                <w:kern w:val="0"/>
                <w:sz w:val="20"/>
                <w:szCs w:val="21"/>
                <w:lang w:val="zh-CN"/>
              </w:rPr>
              <w:t>互联网带宽接入服务，独享上下行对等的带宽光纤专线，提供</w:t>
            </w:r>
            <w:r>
              <w:rPr>
                <w:rFonts w:ascii="宋体" w:hAnsi="宋体" w:cs="宋体"/>
                <w:kern w:val="0"/>
                <w:sz w:val="20"/>
                <w:szCs w:val="21"/>
                <w:lang w:val="zh-CN"/>
              </w:rPr>
              <w:t>1条9Gbps带宽互联专线出口线路</w:t>
            </w:r>
            <w:r>
              <w:rPr>
                <w:rFonts w:hint="eastAsia" w:ascii="宋体" w:hAnsi="宋体" w:cs="宋体"/>
                <w:kern w:val="0"/>
                <w:sz w:val="20"/>
                <w:szCs w:val="21"/>
                <w:lang w:val="zh-CN"/>
              </w:rPr>
              <w:t>（良乡校区）</w:t>
            </w:r>
            <w:r>
              <w:rPr>
                <w:rFonts w:ascii="宋体" w:hAnsi="宋体" w:cs="宋体"/>
                <w:kern w:val="0"/>
                <w:sz w:val="20"/>
                <w:szCs w:val="21"/>
                <w:lang w:val="zh-CN"/>
              </w:rPr>
              <w:t>，1</w:t>
            </w:r>
            <w:r>
              <w:rPr>
                <w:rFonts w:hint="eastAsia" w:ascii="宋体" w:hAnsi="宋体" w:cs="宋体"/>
                <w:kern w:val="0"/>
                <w:sz w:val="20"/>
                <w:szCs w:val="21"/>
                <w:lang w:val="zh-CN"/>
              </w:rPr>
              <w:t>对</w:t>
            </w:r>
            <w:r>
              <w:rPr>
                <w:rFonts w:ascii="宋体" w:hAnsi="宋体" w:cs="宋体"/>
                <w:kern w:val="0"/>
                <w:sz w:val="20"/>
                <w:szCs w:val="21"/>
                <w:lang w:val="zh-CN"/>
              </w:rPr>
              <w:t>阜成路校区和良乡校区之间的光纤备份链路</w:t>
            </w:r>
            <w:r>
              <w:rPr>
                <w:rFonts w:hint="eastAsia" w:ascii="宋体" w:hAnsi="宋体" w:cs="宋体"/>
                <w:kern w:val="0"/>
                <w:sz w:val="20"/>
                <w:szCs w:val="21"/>
                <w:lang w:val="zh-CN"/>
              </w:rPr>
              <w:t>，及配套云网络优化服务（提供承诺函并加盖投标人公章）。</w:t>
            </w:r>
          </w:p>
        </w:tc>
      </w:tr>
      <w:tr w14:paraId="2450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34BECF31">
            <w:pPr>
              <w:widowControl/>
              <w:spacing w:line="360" w:lineRule="auto"/>
              <w:jc w:val="center"/>
              <w:rPr>
                <w:rFonts w:ascii="宋体" w:hAnsi="宋体" w:cs="宋体"/>
                <w:kern w:val="0"/>
                <w:sz w:val="20"/>
                <w:szCs w:val="21"/>
              </w:rPr>
            </w:pPr>
            <w:r>
              <w:rPr>
                <w:rFonts w:ascii="Segoe UI Symbol" w:hAnsi="Segoe UI Symbol" w:cs="Segoe UI Symbol"/>
                <w:color w:val="000000"/>
                <w:kern w:val="0"/>
                <w:sz w:val="24"/>
              </w:rPr>
              <w:t>★</w:t>
            </w:r>
            <w:r>
              <w:rPr>
                <w:rFonts w:hint="eastAsia" w:ascii="宋体" w:hAnsi="宋体" w:cs="宋体"/>
                <w:kern w:val="0"/>
                <w:sz w:val="20"/>
                <w:szCs w:val="21"/>
              </w:rPr>
              <w:t>2</w:t>
            </w:r>
          </w:p>
        </w:tc>
        <w:tc>
          <w:tcPr>
            <w:tcW w:w="1060" w:type="dxa"/>
            <w:vMerge w:val="continue"/>
            <w:noWrap w:val="0"/>
            <w:vAlign w:val="center"/>
          </w:tcPr>
          <w:p w14:paraId="1955AB3D">
            <w:pPr>
              <w:widowControl/>
              <w:spacing w:line="360" w:lineRule="auto"/>
              <w:jc w:val="left"/>
              <w:rPr>
                <w:rFonts w:ascii="宋体" w:hAnsi="宋体" w:cs="宋体"/>
                <w:kern w:val="0"/>
                <w:sz w:val="20"/>
                <w:szCs w:val="21"/>
              </w:rPr>
            </w:pPr>
          </w:p>
        </w:tc>
        <w:tc>
          <w:tcPr>
            <w:tcW w:w="7343" w:type="dxa"/>
            <w:noWrap w:val="0"/>
            <w:vAlign w:val="center"/>
          </w:tcPr>
          <w:p w14:paraId="2F40E90E">
            <w:pPr>
              <w:tabs>
                <w:tab w:val="left" w:pos="315"/>
              </w:tabs>
              <w:spacing w:line="360" w:lineRule="auto"/>
              <w:ind w:left="1"/>
              <w:rPr>
                <w:rFonts w:ascii="宋体" w:hAnsi="宋体" w:cs="宋体"/>
                <w:kern w:val="0"/>
                <w:sz w:val="20"/>
                <w:szCs w:val="21"/>
              </w:rPr>
            </w:pPr>
            <w:r>
              <w:rPr>
                <w:rFonts w:hint="eastAsia" w:ascii="宋体" w:hAnsi="宋体" w:cs="宋体"/>
                <w:kern w:val="0"/>
                <w:sz w:val="20"/>
                <w:szCs w:val="21"/>
                <w:lang w:val="zh-CN"/>
              </w:rPr>
              <w:t>光纤接入直连至校园网信中心机房，且进入校园后的光缆须全部入地</w:t>
            </w:r>
            <w:r>
              <w:rPr>
                <w:rFonts w:hint="eastAsia" w:ascii="宋体" w:hAnsi="宋体" w:cs="宋体"/>
                <w:kern w:val="0"/>
                <w:sz w:val="20"/>
                <w:szCs w:val="21"/>
              </w:rPr>
              <w:t>（提供承诺函并加盖投标人公章）</w:t>
            </w:r>
            <w:r>
              <w:rPr>
                <w:rFonts w:hint="eastAsia" w:ascii="宋体" w:hAnsi="宋体" w:cs="宋体"/>
                <w:kern w:val="0"/>
                <w:sz w:val="20"/>
                <w:szCs w:val="21"/>
                <w:lang w:val="zh-CN"/>
              </w:rPr>
              <w:t>。</w:t>
            </w:r>
          </w:p>
        </w:tc>
      </w:tr>
      <w:tr w14:paraId="67CD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4B9A073B">
            <w:pPr>
              <w:widowControl/>
              <w:spacing w:line="360" w:lineRule="auto"/>
              <w:jc w:val="center"/>
              <w:rPr>
                <w:rFonts w:ascii="宋体" w:hAnsi="宋体" w:cs="宋体"/>
                <w:kern w:val="0"/>
                <w:sz w:val="20"/>
                <w:szCs w:val="21"/>
              </w:rPr>
            </w:pPr>
            <w:r>
              <w:rPr>
                <w:rFonts w:hint="eastAsia" w:ascii="宋体" w:hAnsi="宋体" w:cs="宋体"/>
                <w:kern w:val="0"/>
                <w:sz w:val="20"/>
                <w:szCs w:val="21"/>
              </w:rPr>
              <w:t>3</w:t>
            </w:r>
          </w:p>
        </w:tc>
        <w:tc>
          <w:tcPr>
            <w:tcW w:w="1060" w:type="dxa"/>
            <w:vMerge w:val="continue"/>
            <w:noWrap w:val="0"/>
            <w:vAlign w:val="center"/>
          </w:tcPr>
          <w:p w14:paraId="3B2FD0A9">
            <w:pPr>
              <w:widowControl/>
              <w:spacing w:line="360" w:lineRule="auto"/>
              <w:jc w:val="left"/>
              <w:rPr>
                <w:rFonts w:ascii="宋体" w:hAnsi="宋体" w:cs="宋体"/>
                <w:kern w:val="0"/>
                <w:sz w:val="20"/>
                <w:szCs w:val="21"/>
              </w:rPr>
            </w:pPr>
          </w:p>
        </w:tc>
        <w:tc>
          <w:tcPr>
            <w:tcW w:w="7343" w:type="dxa"/>
            <w:noWrap w:val="0"/>
            <w:vAlign w:val="center"/>
          </w:tcPr>
          <w:p w14:paraId="3CF39713">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互联网专线从</w:t>
            </w:r>
            <w:r>
              <w:rPr>
                <w:rFonts w:hint="eastAsia" w:ascii="宋体" w:hAnsi="宋体" w:cs="宋体"/>
                <w:kern w:val="0"/>
                <w:sz w:val="20"/>
                <w:szCs w:val="21"/>
              </w:rPr>
              <w:t>投标人</w:t>
            </w:r>
            <w:r>
              <w:rPr>
                <w:rFonts w:hint="eastAsia" w:ascii="宋体" w:hAnsi="宋体" w:cs="宋体"/>
                <w:kern w:val="0"/>
                <w:sz w:val="20"/>
                <w:szCs w:val="21"/>
                <w:lang w:val="zh-CN"/>
              </w:rPr>
              <w:t>的数据机房到</w:t>
            </w:r>
            <w:r>
              <w:rPr>
                <w:rFonts w:hint="eastAsia" w:ascii="宋体" w:hAnsi="宋体" w:cs="宋体"/>
                <w:kern w:val="0"/>
                <w:sz w:val="20"/>
                <w:szCs w:val="21"/>
              </w:rPr>
              <w:t>良乡主</w:t>
            </w:r>
            <w:r>
              <w:rPr>
                <w:rFonts w:hint="eastAsia" w:ascii="宋体" w:hAnsi="宋体" w:cs="宋体"/>
                <w:kern w:val="0"/>
                <w:sz w:val="20"/>
                <w:szCs w:val="21"/>
                <w:lang w:val="zh-CN"/>
              </w:rPr>
              <w:t>校区核心机房提供万兆光口连接，并提供光接收设备及路由设备；单模光纤要求符合ITU-TG.652标准。</w:t>
            </w:r>
          </w:p>
        </w:tc>
      </w:tr>
      <w:tr w14:paraId="2E5C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18314928">
            <w:pPr>
              <w:widowControl/>
              <w:spacing w:line="360" w:lineRule="auto"/>
              <w:jc w:val="center"/>
              <w:rPr>
                <w:rFonts w:ascii="宋体" w:hAnsi="宋体" w:cs="宋体"/>
                <w:kern w:val="0"/>
                <w:sz w:val="20"/>
                <w:szCs w:val="21"/>
              </w:rPr>
            </w:pPr>
            <w:r>
              <w:rPr>
                <w:rFonts w:hint="eastAsia" w:ascii="宋体" w:hAnsi="宋体" w:cs="宋体"/>
                <w:kern w:val="0"/>
                <w:sz w:val="20"/>
                <w:szCs w:val="21"/>
              </w:rPr>
              <w:t>4</w:t>
            </w:r>
          </w:p>
        </w:tc>
        <w:tc>
          <w:tcPr>
            <w:tcW w:w="1060" w:type="dxa"/>
            <w:vMerge w:val="continue"/>
            <w:noWrap w:val="0"/>
            <w:vAlign w:val="center"/>
          </w:tcPr>
          <w:p w14:paraId="230EF95C">
            <w:pPr>
              <w:widowControl/>
              <w:spacing w:line="360" w:lineRule="auto"/>
              <w:jc w:val="left"/>
              <w:rPr>
                <w:rFonts w:ascii="宋体" w:hAnsi="宋体" w:cs="宋体"/>
                <w:kern w:val="0"/>
                <w:sz w:val="20"/>
                <w:szCs w:val="21"/>
              </w:rPr>
            </w:pPr>
          </w:p>
        </w:tc>
        <w:tc>
          <w:tcPr>
            <w:tcW w:w="7343" w:type="dxa"/>
            <w:noWrap w:val="0"/>
            <w:vAlign w:val="center"/>
          </w:tcPr>
          <w:p w14:paraId="6BD7BC94">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提供北京市城域网主干或北京市主干最高级别可接入链路入口，以不多于2跳数连接</w:t>
            </w:r>
            <w:r>
              <w:rPr>
                <w:rFonts w:hint="eastAsia" w:ascii="宋体" w:hAnsi="宋体" w:cs="宋体"/>
                <w:kern w:val="0"/>
                <w:sz w:val="20"/>
                <w:szCs w:val="21"/>
              </w:rPr>
              <w:t>一级</w:t>
            </w:r>
            <w:r>
              <w:rPr>
                <w:rFonts w:hint="eastAsia" w:ascii="宋体" w:hAnsi="宋体" w:cs="宋体"/>
                <w:kern w:val="0"/>
                <w:sz w:val="20"/>
                <w:szCs w:val="21"/>
                <w:lang w:val="zh-CN"/>
              </w:rPr>
              <w:t>运营商网络核心层（提供跳数说明，并加盖投标人公章）。</w:t>
            </w:r>
          </w:p>
        </w:tc>
      </w:tr>
      <w:tr w14:paraId="05DD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1935E017">
            <w:pPr>
              <w:widowControl/>
              <w:spacing w:line="360" w:lineRule="auto"/>
              <w:jc w:val="center"/>
              <w:rPr>
                <w:rFonts w:ascii="宋体" w:hAnsi="宋体" w:cs="宋体"/>
                <w:kern w:val="0"/>
                <w:sz w:val="20"/>
                <w:szCs w:val="21"/>
              </w:rPr>
            </w:pPr>
            <w:r>
              <w:rPr>
                <w:rFonts w:hint="eastAsia" w:ascii="宋体" w:hAnsi="宋体" w:cs="宋体"/>
                <w:kern w:val="0"/>
                <w:sz w:val="20"/>
                <w:szCs w:val="21"/>
              </w:rPr>
              <w:t>5</w:t>
            </w:r>
          </w:p>
        </w:tc>
        <w:tc>
          <w:tcPr>
            <w:tcW w:w="1060" w:type="dxa"/>
            <w:vMerge w:val="continue"/>
            <w:noWrap w:val="0"/>
            <w:vAlign w:val="center"/>
          </w:tcPr>
          <w:p w14:paraId="108E39F5">
            <w:pPr>
              <w:widowControl/>
              <w:spacing w:line="360" w:lineRule="auto"/>
              <w:jc w:val="left"/>
              <w:rPr>
                <w:rFonts w:ascii="宋体" w:hAnsi="宋体" w:cs="宋体"/>
                <w:kern w:val="0"/>
                <w:sz w:val="20"/>
                <w:szCs w:val="21"/>
              </w:rPr>
            </w:pPr>
          </w:p>
        </w:tc>
        <w:tc>
          <w:tcPr>
            <w:tcW w:w="7343" w:type="dxa"/>
            <w:noWrap w:val="0"/>
            <w:vAlign w:val="center"/>
          </w:tcPr>
          <w:p w14:paraId="4803AFB1">
            <w:pPr>
              <w:widowControl/>
              <w:spacing w:line="360" w:lineRule="auto"/>
              <w:jc w:val="left"/>
              <w:rPr>
                <w:rFonts w:ascii="宋体" w:hAnsi="宋体" w:cs="宋体"/>
                <w:kern w:val="0"/>
                <w:sz w:val="20"/>
                <w:szCs w:val="21"/>
                <w:lang w:val="zh-CN"/>
              </w:rPr>
            </w:pPr>
            <w:r>
              <w:rPr>
                <w:rFonts w:hint="eastAsia" w:ascii="宋体" w:hAnsi="宋体" w:cs="宋体"/>
                <w:kern w:val="0"/>
                <w:sz w:val="20"/>
                <w:szCs w:val="21"/>
              </w:rPr>
              <w:t>投标</w:t>
            </w:r>
            <w:r>
              <w:rPr>
                <w:rFonts w:hint="eastAsia" w:ascii="宋体" w:hAnsi="宋体" w:cs="宋体"/>
                <w:kern w:val="0"/>
                <w:sz w:val="20"/>
                <w:szCs w:val="21"/>
                <w:lang w:val="zh-CN"/>
              </w:rPr>
              <w:t>文件应提供相应的</w:t>
            </w:r>
            <w:r>
              <w:rPr>
                <w:rFonts w:hint="eastAsia" w:ascii="宋体" w:hAnsi="宋体" w:cs="宋体"/>
                <w:color w:val="000000"/>
                <w:kern w:val="0"/>
                <w:sz w:val="20"/>
                <w:szCs w:val="21"/>
              </w:rPr>
              <w:t>从采购人到互联网接入逻辑拓扑和物理</w:t>
            </w:r>
            <w:r>
              <w:rPr>
                <w:rFonts w:hint="eastAsia" w:ascii="宋体" w:hAnsi="宋体" w:cs="宋体"/>
                <w:kern w:val="0"/>
                <w:sz w:val="20"/>
                <w:szCs w:val="21"/>
                <w:lang w:val="zh-CN"/>
              </w:rPr>
              <w:t>拓扑示意图。</w:t>
            </w:r>
          </w:p>
        </w:tc>
      </w:tr>
      <w:tr w14:paraId="318F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5B528200">
            <w:pPr>
              <w:widowControl/>
              <w:spacing w:line="360" w:lineRule="auto"/>
              <w:jc w:val="center"/>
              <w:rPr>
                <w:rFonts w:ascii="宋体" w:hAnsi="宋体" w:cs="宋体"/>
                <w:kern w:val="0"/>
                <w:sz w:val="20"/>
                <w:szCs w:val="21"/>
              </w:rPr>
            </w:pPr>
            <w:r>
              <w:rPr>
                <w:rFonts w:ascii="Segoe UI Symbol" w:hAnsi="Segoe UI Symbol" w:cs="Segoe UI Symbol"/>
                <w:color w:val="000000"/>
                <w:kern w:val="0"/>
                <w:sz w:val="24"/>
              </w:rPr>
              <w:t>★</w:t>
            </w:r>
            <w:r>
              <w:rPr>
                <w:rFonts w:hint="eastAsia" w:ascii="宋体" w:hAnsi="宋体" w:cs="宋体"/>
                <w:kern w:val="0"/>
                <w:sz w:val="20"/>
                <w:szCs w:val="21"/>
              </w:rPr>
              <w:t>6</w:t>
            </w:r>
          </w:p>
        </w:tc>
        <w:tc>
          <w:tcPr>
            <w:tcW w:w="1060" w:type="dxa"/>
            <w:noWrap w:val="0"/>
            <w:vAlign w:val="center"/>
          </w:tcPr>
          <w:p w14:paraId="137D2115">
            <w:pPr>
              <w:widowControl/>
              <w:spacing w:line="360" w:lineRule="auto"/>
              <w:jc w:val="left"/>
              <w:rPr>
                <w:rFonts w:ascii="宋体" w:hAnsi="宋体" w:cs="宋体"/>
                <w:kern w:val="0"/>
                <w:sz w:val="20"/>
                <w:szCs w:val="21"/>
              </w:rPr>
            </w:pPr>
            <w:r>
              <w:rPr>
                <w:rFonts w:hint="eastAsia" w:ascii="宋体" w:hAnsi="宋体" w:cs="宋体"/>
                <w:kern w:val="0"/>
                <w:sz w:val="20"/>
                <w:szCs w:val="21"/>
              </w:rPr>
              <w:t>带宽要求</w:t>
            </w:r>
          </w:p>
        </w:tc>
        <w:tc>
          <w:tcPr>
            <w:tcW w:w="7343" w:type="dxa"/>
            <w:noWrap w:val="0"/>
            <w:vAlign w:val="center"/>
          </w:tcPr>
          <w:p w14:paraId="43766ABE">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最大限度保证采购人的链路稳定性。所投9Gbps带宽应全为互联网带宽，不能包含投标人的局域网网内带宽且网络峰值带宽大于所报带宽110%</w:t>
            </w:r>
            <w:r>
              <w:rPr>
                <w:rFonts w:hint="eastAsia" w:ascii="宋体" w:hAnsi="宋体" w:cs="宋体"/>
                <w:kern w:val="0"/>
                <w:sz w:val="20"/>
                <w:szCs w:val="21"/>
              </w:rPr>
              <w:t>（提供承诺函并加盖投标人公章）</w:t>
            </w:r>
            <w:r>
              <w:rPr>
                <w:rFonts w:hint="eastAsia" w:ascii="宋体" w:hAnsi="宋体" w:cs="宋体"/>
                <w:kern w:val="0"/>
                <w:sz w:val="20"/>
                <w:szCs w:val="21"/>
                <w:lang w:val="zh-CN"/>
              </w:rPr>
              <w:t>。</w:t>
            </w:r>
          </w:p>
        </w:tc>
      </w:tr>
      <w:tr w14:paraId="2465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2FAB0A70">
            <w:pPr>
              <w:widowControl/>
              <w:spacing w:line="360" w:lineRule="auto"/>
              <w:jc w:val="center"/>
              <w:rPr>
                <w:rFonts w:ascii="宋体" w:hAnsi="宋体" w:cs="宋体"/>
                <w:kern w:val="0"/>
                <w:sz w:val="20"/>
                <w:szCs w:val="21"/>
              </w:rPr>
            </w:pPr>
            <w:r>
              <w:rPr>
                <w:rFonts w:ascii="Segoe UI Symbol" w:hAnsi="Segoe UI Symbol" w:cs="Segoe UI Symbol"/>
                <w:color w:val="000000"/>
                <w:kern w:val="0"/>
                <w:sz w:val="24"/>
              </w:rPr>
              <w:t>★</w:t>
            </w:r>
            <w:r>
              <w:rPr>
                <w:rFonts w:hint="eastAsia" w:ascii="宋体" w:hAnsi="宋体" w:cs="宋体"/>
                <w:kern w:val="0"/>
                <w:sz w:val="20"/>
                <w:szCs w:val="21"/>
              </w:rPr>
              <w:t>7</w:t>
            </w:r>
          </w:p>
        </w:tc>
        <w:tc>
          <w:tcPr>
            <w:tcW w:w="1060" w:type="dxa"/>
            <w:noWrap w:val="0"/>
            <w:vAlign w:val="center"/>
          </w:tcPr>
          <w:p w14:paraId="4EF4917A">
            <w:pPr>
              <w:widowControl/>
              <w:spacing w:line="360" w:lineRule="auto"/>
              <w:jc w:val="left"/>
              <w:rPr>
                <w:rFonts w:ascii="宋体" w:hAnsi="宋体" w:cs="宋体"/>
                <w:kern w:val="0"/>
                <w:sz w:val="20"/>
                <w:szCs w:val="21"/>
              </w:rPr>
            </w:pPr>
            <w:r>
              <w:rPr>
                <w:rFonts w:hint="eastAsia" w:ascii="宋体" w:hAnsi="宋体" w:cs="宋体"/>
                <w:kern w:val="0"/>
                <w:sz w:val="20"/>
                <w:szCs w:val="21"/>
              </w:rPr>
              <w:t>资源能力</w:t>
            </w:r>
          </w:p>
        </w:tc>
        <w:tc>
          <w:tcPr>
            <w:tcW w:w="7343" w:type="dxa"/>
            <w:noWrap w:val="0"/>
            <w:vAlign w:val="center"/>
          </w:tcPr>
          <w:p w14:paraId="78AB47A9">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①具备IPV4、IPV6资源能力。</w:t>
            </w:r>
          </w:p>
          <w:p w14:paraId="72E4CB62">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②提供不少于1024个运营商的公网IPv4地址，一部分IP地址用于NAT地址转换，其余IP地址用于重要服务器。提供不少于一个/40位的IPv6地址和一个/56位的IPv6地址。所提供IP地址须为北京本地电信级运营所提供的地址（所需费用包含在投标报价中）。</w:t>
            </w:r>
          </w:p>
          <w:p w14:paraId="79F311A3">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③其IP地址不得做二次转换并在今后有需求时可作适当扩充（提供承诺函并加盖投标人公章）。</w:t>
            </w:r>
          </w:p>
        </w:tc>
      </w:tr>
      <w:tr w14:paraId="655B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2ADCF203">
            <w:pPr>
              <w:widowControl/>
              <w:spacing w:line="360" w:lineRule="auto"/>
              <w:jc w:val="center"/>
              <w:rPr>
                <w:rFonts w:ascii="Segoe UI Symbol" w:hAnsi="Segoe UI Symbol" w:cs="Segoe UI Symbol"/>
                <w:color w:val="000000"/>
                <w:kern w:val="0"/>
                <w:sz w:val="24"/>
              </w:rPr>
            </w:pPr>
            <w:r>
              <w:rPr>
                <w:rFonts w:hint="eastAsia" w:ascii="宋体" w:hAnsi="宋体" w:cs="宋体"/>
                <w:color w:val="000000"/>
                <w:kern w:val="0"/>
                <w:sz w:val="20"/>
                <w:szCs w:val="21"/>
              </w:rPr>
              <w:t>8</w:t>
            </w:r>
          </w:p>
        </w:tc>
        <w:tc>
          <w:tcPr>
            <w:tcW w:w="1060" w:type="dxa"/>
            <w:noWrap w:val="0"/>
            <w:vAlign w:val="center"/>
          </w:tcPr>
          <w:p w14:paraId="678F8E28">
            <w:pPr>
              <w:widowControl/>
              <w:spacing w:line="360" w:lineRule="auto"/>
              <w:jc w:val="left"/>
              <w:rPr>
                <w:rFonts w:ascii="宋体" w:hAnsi="宋体" w:cs="宋体"/>
                <w:kern w:val="0"/>
                <w:sz w:val="20"/>
                <w:szCs w:val="21"/>
              </w:rPr>
            </w:pPr>
            <w:r>
              <w:rPr>
                <w:rFonts w:hint="eastAsia" w:ascii="宋体" w:hAnsi="宋体" w:cs="宋体"/>
                <w:color w:val="000000"/>
                <w:kern w:val="0"/>
                <w:sz w:val="20"/>
                <w:szCs w:val="21"/>
              </w:rPr>
              <w:t>国际带宽资源能力</w:t>
            </w:r>
          </w:p>
        </w:tc>
        <w:tc>
          <w:tcPr>
            <w:tcW w:w="7343" w:type="dxa"/>
            <w:noWrap w:val="0"/>
            <w:vAlign w:val="center"/>
          </w:tcPr>
          <w:p w14:paraId="433897B9">
            <w:pPr>
              <w:widowControl/>
              <w:spacing w:line="360" w:lineRule="auto"/>
              <w:jc w:val="left"/>
              <w:rPr>
                <w:rFonts w:ascii="宋体" w:hAnsi="宋体" w:cs="宋体"/>
                <w:kern w:val="0"/>
                <w:sz w:val="20"/>
                <w:szCs w:val="21"/>
                <w:lang w:val="zh-CN"/>
              </w:rPr>
            </w:pPr>
            <w:r>
              <w:rPr>
                <w:rFonts w:hint="eastAsia" w:ascii="宋体" w:hAnsi="宋体" w:cs="宋体"/>
                <w:color w:val="000000"/>
                <w:kern w:val="0"/>
                <w:sz w:val="20"/>
                <w:szCs w:val="21"/>
              </w:rPr>
              <w:t>投标人国际出口带宽要求大于1000G（出具加盖投标人公章的承诺函）。</w:t>
            </w:r>
          </w:p>
        </w:tc>
      </w:tr>
      <w:tr w14:paraId="1998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18D7911D">
            <w:pPr>
              <w:widowControl/>
              <w:spacing w:line="360" w:lineRule="auto"/>
              <w:jc w:val="center"/>
              <w:rPr>
                <w:rFonts w:ascii="宋体" w:hAnsi="宋体" w:cs="宋体"/>
                <w:kern w:val="0"/>
                <w:sz w:val="20"/>
                <w:szCs w:val="21"/>
              </w:rPr>
            </w:pPr>
            <w:r>
              <w:rPr>
                <w:rFonts w:ascii="宋体" w:hAnsi="宋体" w:cs="宋体"/>
                <w:kern w:val="0"/>
                <w:sz w:val="20"/>
                <w:szCs w:val="21"/>
              </w:rPr>
              <w:t>9</w:t>
            </w:r>
          </w:p>
        </w:tc>
        <w:tc>
          <w:tcPr>
            <w:tcW w:w="1060" w:type="dxa"/>
            <w:noWrap w:val="0"/>
            <w:vAlign w:val="center"/>
          </w:tcPr>
          <w:p w14:paraId="09F1021C">
            <w:pPr>
              <w:widowControl/>
              <w:spacing w:line="360" w:lineRule="auto"/>
              <w:jc w:val="left"/>
              <w:rPr>
                <w:rFonts w:ascii="宋体" w:hAnsi="宋体" w:cs="宋体"/>
                <w:kern w:val="0"/>
                <w:sz w:val="20"/>
                <w:szCs w:val="21"/>
              </w:rPr>
            </w:pPr>
            <w:r>
              <w:rPr>
                <w:rFonts w:hint="eastAsia" w:ascii="宋体" w:hAnsi="宋体" w:cs="宋体"/>
                <w:kern w:val="0"/>
                <w:sz w:val="20"/>
                <w:szCs w:val="21"/>
              </w:rPr>
              <w:t>配置调优</w:t>
            </w:r>
          </w:p>
        </w:tc>
        <w:tc>
          <w:tcPr>
            <w:tcW w:w="7343" w:type="dxa"/>
            <w:noWrap w:val="0"/>
            <w:vAlign w:val="center"/>
          </w:tcPr>
          <w:p w14:paraId="47619C2E">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投标人负责校园网链路出口的配置和调优。</w:t>
            </w:r>
            <w:r>
              <w:rPr>
                <w:rFonts w:hint="eastAsia" w:ascii="宋体" w:hAnsi="宋体" w:cs="宋体"/>
                <w:kern w:val="0"/>
                <w:sz w:val="20"/>
                <w:szCs w:val="21"/>
              </w:rPr>
              <w:t>投标</w:t>
            </w:r>
            <w:r>
              <w:rPr>
                <w:rFonts w:hint="eastAsia" w:ascii="宋体" w:hAnsi="宋体" w:cs="宋体"/>
                <w:kern w:val="0"/>
                <w:sz w:val="20"/>
                <w:szCs w:val="21"/>
                <w:lang w:val="zh-CN"/>
              </w:rPr>
              <w:t>文件提供详尽的路由策略和调优方案。</w:t>
            </w:r>
          </w:p>
        </w:tc>
      </w:tr>
      <w:tr w14:paraId="549C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786DAD7D">
            <w:pPr>
              <w:widowControl/>
              <w:spacing w:line="360" w:lineRule="auto"/>
              <w:jc w:val="center"/>
              <w:rPr>
                <w:rFonts w:ascii="宋体" w:hAnsi="宋体" w:cs="宋体"/>
                <w:kern w:val="0"/>
                <w:sz w:val="20"/>
                <w:szCs w:val="21"/>
              </w:rPr>
            </w:pPr>
            <w:r>
              <w:rPr>
                <w:rFonts w:ascii="宋体" w:hAnsi="宋体" w:cs="宋体"/>
                <w:kern w:val="0"/>
                <w:sz w:val="20"/>
                <w:szCs w:val="21"/>
              </w:rPr>
              <w:t>10</w:t>
            </w:r>
          </w:p>
        </w:tc>
        <w:tc>
          <w:tcPr>
            <w:tcW w:w="1060" w:type="dxa"/>
            <w:noWrap w:val="0"/>
            <w:vAlign w:val="center"/>
          </w:tcPr>
          <w:p w14:paraId="0BA849CB">
            <w:pPr>
              <w:widowControl/>
              <w:spacing w:line="360" w:lineRule="auto"/>
              <w:jc w:val="left"/>
              <w:rPr>
                <w:rFonts w:ascii="宋体" w:hAnsi="宋体" w:cs="宋体"/>
                <w:kern w:val="0"/>
                <w:sz w:val="20"/>
                <w:szCs w:val="21"/>
              </w:rPr>
            </w:pPr>
            <w:r>
              <w:rPr>
                <w:rFonts w:hint="eastAsia" w:ascii="宋体" w:hAnsi="宋体" w:cs="宋体"/>
                <w:kern w:val="0"/>
                <w:sz w:val="20"/>
                <w:szCs w:val="21"/>
              </w:rPr>
              <w:t>管网资源</w:t>
            </w:r>
          </w:p>
        </w:tc>
        <w:tc>
          <w:tcPr>
            <w:tcW w:w="7343" w:type="dxa"/>
            <w:noWrap w:val="0"/>
            <w:vAlign w:val="center"/>
          </w:tcPr>
          <w:p w14:paraId="1A4A1657">
            <w:pPr>
              <w:widowControl/>
              <w:spacing w:line="360" w:lineRule="auto"/>
              <w:jc w:val="left"/>
              <w:rPr>
                <w:rFonts w:ascii="宋体" w:hAnsi="宋体" w:cs="宋体"/>
                <w:kern w:val="0"/>
                <w:sz w:val="20"/>
                <w:szCs w:val="21"/>
                <w:lang w:val="zh-CN"/>
              </w:rPr>
            </w:pPr>
            <w:bookmarkStart w:id="2" w:name="OLE_LINK4"/>
            <w:r>
              <w:rPr>
                <w:rFonts w:hint="eastAsia" w:ascii="宋体" w:hAnsi="宋体" w:cs="宋体"/>
                <w:kern w:val="0"/>
                <w:sz w:val="20"/>
                <w:szCs w:val="21"/>
                <w:lang w:val="zh-CN"/>
              </w:rPr>
              <w:t>有自有独立产权或租赁的通信线路管网资源。投标人</w:t>
            </w:r>
            <w:r>
              <w:rPr>
                <w:rFonts w:hint="eastAsia" w:ascii="宋体" w:hAnsi="宋体" w:cs="宋体"/>
                <w:kern w:val="0"/>
                <w:sz w:val="20"/>
                <w:szCs w:val="21"/>
              </w:rPr>
              <w:t>对此项目涉及区域</w:t>
            </w:r>
            <w:r>
              <w:rPr>
                <w:rFonts w:hint="eastAsia" w:ascii="宋体" w:hAnsi="宋体" w:cs="宋体"/>
                <w:kern w:val="0"/>
                <w:sz w:val="20"/>
                <w:szCs w:val="21"/>
                <w:lang w:val="zh-CN"/>
              </w:rPr>
              <w:t>通信线路管网资源覆盖</w:t>
            </w:r>
            <w:r>
              <w:rPr>
                <w:rFonts w:ascii="宋体" w:hAnsi="宋体" w:cs="宋体"/>
                <w:kern w:val="0"/>
                <w:sz w:val="20"/>
                <w:szCs w:val="21"/>
                <w:lang w:val="zh-CN"/>
              </w:rPr>
              <w:t>100%，</w:t>
            </w:r>
            <w:bookmarkEnd w:id="2"/>
            <w:r>
              <w:rPr>
                <w:rFonts w:hint="eastAsia" w:ascii="宋体" w:hAnsi="宋体" w:cs="宋体"/>
                <w:kern w:val="0"/>
                <w:sz w:val="20"/>
                <w:szCs w:val="21"/>
                <w:lang w:val="zh-CN"/>
              </w:rPr>
              <w:t>并提供光纤路由图及管线产权证明。</w:t>
            </w:r>
          </w:p>
        </w:tc>
      </w:tr>
      <w:tr w14:paraId="5229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4DBA31AD">
            <w:pPr>
              <w:widowControl/>
              <w:spacing w:line="360" w:lineRule="auto"/>
              <w:jc w:val="center"/>
              <w:rPr>
                <w:rFonts w:ascii="宋体" w:hAnsi="宋体" w:cs="宋体"/>
                <w:kern w:val="0"/>
                <w:sz w:val="20"/>
                <w:szCs w:val="21"/>
              </w:rPr>
            </w:pPr>
            <w:r>
              <w:rPr>
                <w:rFonts w:ascii="宋体" w:hAnsi="宋体" w:cs="宋体"/>
                <w:kern w:val="0"/>
                <w:sz w:val="20"/>
                <w:szCs w:val="21"/>
              </w:rPr>
              <w:t>11</w:t>
            </w:r>
          </w:p>
        </w:tc>
        <w:tc>
          <w:tcPr>
            <w:tcW w:w="1060" w:type="dxa"/>
            <w:noWrap w:val="0"/>
            <w:vAlign w:val="center"/>
          </w:tcPr>
          <w:p w14:paraId="775E83D8">
            <w:pPr>
              <w:widowControl/>
              <w:spacing w:line="360" w:lineRule="auto"/>
              <w:jc w:val="left"/>
              <w:rPr>
                <w:rFonts w:ascii="宋体" w:hAnsi="宋体" w:cs="宋体"/>
                <w:kern w:val="0"/>
                <w:sz w:val="20"/>
                <w:szCs w:val="21"/>
              </w:rPr>
            </w:pPr>
            <w:r>
              <w:rPr>
                <w:rFonts w:hint="eastAsia" w:ascii="宋体" w:hAnsi="宋体" w:cs="宋体"/>
                <w:kern w:val="0"/>
                <w:sz w:val="20"/>
                <w:szCs w:val="21"/>
              </w:rPr>
              <w:t>敷设方式</w:t>
            </w:r>
          </w:p>
        </w:tc>
        <w:tc>
          <w:tcPr>
            <w:tcW w:w="7343" w:type="dxa"/>
            <w:noWrap w:val="0"/>
            <w:vAlign w:val="center"/>
          </w:tcPr>
          <w:p w14:paraId="1771D606">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要求园区红线外管井敷设，不允许架空光缆，红线内光缆要求挂牌，机房内ODF终端盒要求有明确标识。光纤备用链路两芯入地，管线埋深不低于1.5米，提供全程路由图和应急预案。</w:t>
            </w:r>
          </w:p>
        </w:tc>
      </w:tr>
      <w:tr w14:paraId="1592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32306282">
            <w:pPr>
              <w:widowControl/>
              <w:spacing w:line="360" w:lineRule="auto"/>
              <w:jc w:val="center"/>
              <w:rPr>
                <w:rFonts w:ascii="宋体" w:hAnsi="宋体" w:cs="宋体"/>
                <w:kern w:val="0"/>
                <w:sz w:val="20"/>
                <w:szCs w:val="21"/>
              </w:rPr>
            </w:pPr>
            <w:r>
              <w:rPr>
                <w:rFonts w:hint="eastAsia" w:ascii="宋体" w:hAnsi="宋体" w:cs="宋体"/>
                <w:b/>
                <w:kern w:val="0"/>
                <w:sz w:val="20"/>
                <w:szCs w:val="21"/>
              </w:rPr>
              <w:t>#</w:t>
            </w:r>
            <w:r>
              <w:rPr>
                <w:rFonts w:hint="eastAsia" w:ascii="宋体" w:hAnsi="宋体" w:cs="宋体"/>
                <w:kern w:val="0"/>
                <w:sz w:val="20"/>
                <w:szCs w:val="21"/>
              </w:rPr>
              <w:t>1</w:t>
            </w:r>
            <w:r>
              <w:rPr>
                <w:rFonts w:ascii="宋体" w:hAnsi="宋体" w:cs="宋体"/>
                <w:kern w:val="0"/>
                <w:sz w:val="20"/>
                <w:szCs w:val="21"/>
              </w:rPr>
              <w:t>2</w:t>
            </w:r>
          </w:p>
        </w:tc>
        <w:tc>
          <w:tcPr>
            <w:tcW w:w="1060" w:type="dxa"/>
            <w:noWrap w:val="0"/>
            <w:vAlign w:val="center"/>
          </w:tcPr>
          <w:p w14:paraId="6F8E3AAA">
            <w:pPr>
              <w:widowControl/>
              <w:spacing w:line="360" w:lineRule="auto"/>
              <w:jc w:val="left"/>
              <w:rPr>
                <w:rFonts w:ascii="宋体" w:hAnsi="宋体" w:cs="宋体"/>
                <w:kern w:val="0"/>
                <w:sz w:val="20"/>
                <w:szCs w:val="21"/>
              </w:rPr>
            </w:pPr>
            <w:r>
              <w:rPr>
                <w:rFonts w:hint="eastAsia" w:ascii="宋体" w:hAnsi="宋体" w:cs="宋体"/>
                <w:kern w:val="0"/>
                <w:sz w:val="20"/>
                <w:szCs w:val="21"/>
              </w:rPr>
              <w:t>延时和丢包率</w:t>
            </w:r>
          </w:p>
        </w:tc>
        <w:tc>
          <w:tcPr>
            <w:tcW w:w="7343" w:type="dxa"/>
            <w:noWrap w:val="0"/>
            <w:vAlign w:val="center"/>
          </w:tcPr>
          <w:p w14:paraId="24B5540F">
            <w:pPr>
              <w:widowControl/>
              <w:spacing w:line="360" w:lineRule="auto"/>
              <w:jc w:val="left"/>
              <w:rPr>
                <w:rFonts w:ascii="宋体" w:hAnsi="宋体" w:cs="宋体"/>
                <w:kern w:val="0"/>
                <w:sz w:val="20"/>
                <w:szCs w:val="21"/>
                <w:lang w:val="zh-CN"/>
              </w:rPr>
            </w:pPr>
            <w:r>
              <w:rPr>
                <w:rFonts w:hint="eastAsia" w:ascii="宋体" w:hAnsi="宋体" w:cs="宋体"/>
                <w:kern w:val="0"/>
                <w:sz w:val="20"/>
                <w:szCs w:val="21"/>
              </w:rPr>
              <w:t>投标人</w:t>
            </w:r>
            <w:r>
              <w:rPr>
                <w:rFonts w:hint="eastAsia" w:ascii="宋体" w:hAnsi="宋体" w:cs="宋体"/>
                <w:kern w:val="0"/>
                <w:sz w:val="20"/>
                <w:szCs w:val="21"/>
                <w:lang w:val="zh-CN"/>
              </w:rPr>
              <w:t>提供在不同时间段，从链路入口到国内外各大知名网站的平均延时和丢包率，国内站点不少于</w:t>
            </w:r>
            <w:r>
              <w:rPr>
                <w:rFonts w:ascii="宋体" w:hAnsi="宋体" w:cs="宋体"/>
                <w:kern w:val="0"/>
                <w:sz w:val="20"/>
                <w:szCs w:val="21"/>
                <w:lang w:val="zh-CN"/>
              </w:rPr>
              <w:t>25</w:t>
            </w:r>
            <w:r>
              <w:rPr>
                <w:rFonts w:hint="eastAsia" w:ascii="宋体" w:hAnsi="宋体" w:cs="宋体"/>
                <w:kern w:val="0"/>
                <w:sz w:val="20"/>
                <w:szCs w:val="21"/>
                <w:lang w:val="zh-CN"/>
              </w:rPr>
              <w:t>个，国外网站不少于</w:t>
            </w:r>
            <w:r>
              <w:rPr>
                <w:rFonts w:ascii="宋体" w:hAnsi="宋体" w:cs="宋体"/>
                <w:kern w:val="0"/>
                <w:sz w:val="20"/>
                <w:szCs w:val="21"/>
                <w:lang w:val="zh-CN"/>
              </w:rPr>
              <w:t>5</w:t>
            </w:r>
            <w:r>
              <w:rPr>
                <w:rFonts w:hint="eastAsia" w:ascii="宋体" w:hAnsi="宋体" w:cs="宋体"/>
                <w:kern w:val="0"/>
                <w:sz w:val="20"/>
                <w:szCs w:val="21"/>
                <w:lang w:val="zh-CN"/>
              </w:rPr>
              <w:t>个。从采购人网络设备端口到投标人骨干节点路由器网络时延≤10ms；从采购人</w:t>
            </w:r>
            <w:r>
              <w:rPr>
                <w:rFonts w:hint="eastAsia" w:ascii="宋体" w:hAnsi="宋体" w:cs="宋体"/>
                <w:kern w:val="0"/>
                <w:sz w:val="20"/>
                <w:szCs w:val="21"/>
              </w:rPr>
              <w:t>良乡主校区互联网专线接入</w:t>
            </w:r>
            <w:r>
              <w:rPr>
                <w:rFonts w:hint="eastAsia" w:ascii="宋体" w:hAnsi="宋体" w:cs="宋体"/>
                <w:kern w:val="0"/>
                <w:sz w:val="20"/>
                <w:szCs w:val="21"/>
                <w:lang w:val="zh-CN"/>
              </w:rPr>
              <w:t>设备端口到投标人骨干节点路由器网络丢包率&lt;0.01%（提供</w:t>
            </w:r>
            <w:r>
              <w:rPr>
                <w:rFonts w:hint="eastAsia" w:ascii="宋体" w:hAnsi="宋体" w:cs="宋体"/>
                <w:kern w:val="0"/>
                <w:sz w:val="20"/>
                <w:szCs w:val="21"/>
              </w:rPr>
              <w:t>承诺函</w:t>
            </w:r>
            <w:r>
              <w:rPr>
                <w:rFonts w:hint="eastAsia" w:ascii="宋体" w:hAnsi="宋体" w:cs="宋体"/>
                <w:kern w:val="0"/>
                <w:sz w:val="20"/>
                <w:szCs w:val="21"/>
                <w:lang w:val="zh-CN"/>
              </w:rPr>
              <w:t>并加盖投标人公章）。</w:t>
            </w:r>
          </w:p>
        </w:tc>
      </w:tr>
      <w:tr w14:paraId="1B7B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77A390A9">
            <w:pPr>
              <w:widowControl/>
              <w:spacing w:line="360" w:lineRule="auto"/>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3</w:t>
            </w:r>
          </w:p>
        </w:tc>
        <w:tc>
          <w:tcPr>
            <w:tcW w:w="1060" w:type="dxa"/>
            <w:noWrap w:val="0"/>
            <w:vAlign w:val="center"/>
          </w:tcPr>
          <w:p w14:paraId="69411200">
            <w:pPr>
              <w:widowControl/>
              <w:spacing w:line="360" w:lineRule="auto"/>
              <w:jc w:val="left"/>
              <w:rPr>
                <w:rFonts w:ascii="宋体" w:hAnsi="宋体" w:cs="宋体"/>
                <w:kern w:val="0"/>
                <w:sz w:val="20"/>
                <w:szCs w:val="21"/>
              </w:rPr>
            </w:pPr>
            <w:r>
              <w:rPr>
                <w:rFonts w:hint="eastAsia" w:ascii="宋体" w:hAnsi="宋体" w:cs="宋体"/>
                <w:kern w:val="0"/>
                <w:sz w:val="20"/>
                <w:szCs w:val="21"/>
              </w:rPr>
              <w:t>平均损耗</w:t>
            </w:r>
          </w:p>
        </w:tc>
        <w:tc>
          <w:tcPr>
            <w:tcW w:w="7343" w:type="dxa"/>
            <w:noWrap w:val="0"/>
            <w:vAlign w:val="center"/>
          </w:tcPr>
          <w:p w14:paraId="1BB9480D">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光源为1310nm波长时光缆平均损耗应不大于0.35dB/KM；光源为1550nm波长时光缆平均损耗应不大于0.3dB/KM。</w:t>
            </w:r>
          </w:p>
        </w:tc>
      </w:tr>
      <w:tr w14:paraId="5918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58597B90">
            <w:pPr>
              <w:widowControl/>
              <w:spacing w:line="360" w:lineRule="auto"/>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4</w:t>
            </w:r>
          </w:p>
        </w:tc>
        <w:tc>
          <w:tcPr>
            <w:tcW w:w="1060" w:type="dxa"/>
            <w:noWrap w:val="0"/>
            <w:vAlign w:val="center"/>
          </w:tcPr>
          <w:p w14:paraId="2441FF2E">
            <w:pPr>
              <w:widowControl/>
              <w:spacing w:line="360" w:lineRule="auto"/>
              <w:jc w:val="left"/>
              <w:rPr>
                <w:rFonts w:ascii="宋体" w:hAnsi="宋体" w:cs="宋体"/>
                <w:kern w:val="0"/>
                <w:sz w:val="20"/>
                <w:szCs w:val="21"/>
              </w:rPr>
            </w:pPr>
            <w:r>
              <w:rPr>
                <w:rFonts w:hint="eastAsia" w:ascii="宋体" w:hAnsi="宋体" w:cs="宋体"/>
                <w:kern w:val="0"/>
                <w:sz w:val="20"/>
                <w:szCs w:val="21"/>
              </w:rPr>
              <w:t>跳接点数量</w:t>
            </w:r>
          </w:p>
        </w:tc>
        <w:tc>
          <w:tcPr>
            <w:tcW w:w="7343" w:type="dxa"/>
            <w:noWrap w:val="0"/>
            <w:vAlign w:val="center"/>
          </w:tcPr>
          <w:p w14:paraId="52945A1C">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应尽量减少跳接点数量，尽量控制端到端的跳接点(含机房内部)小于等于</w:t>
            </w:r>
            <w:r>
              <w:rPr>
                <w:rFonts w:hint="eastAsia" w:ascii="宋体" w:hAnsi="宋体" w:cs="宋体"/>
                <w:kern w:val="0"/>
                <w:sz w:val="20"/>
                <w:szCs w:val="21"/>
              </w:rPr>
              <w:t>7</w:t>
            </w:r>
            <w:r>
              <w:rPr>
                <w:rFonts w:hint="eastAsia" w:ascii="宋体" w:hAnsi="宋体" w:cs="宋体"/>
                <w:kern w:val="0"/>
                <w:sz w:val="20"/>
                <w:szCs w:val="21"/>
                <w:lang w:val="zh-CN"/>
              </w:rPr>
              <w:t>个。</w:t>
            </w:r>
          </w:p>
        </w:tc>
      </w:tr>
      <w:tr w14:paraId="1072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5A826596">
            <w:pPr>
              <w:widowControl/>
              <w:spacing w:line="360" w:lineRule="auto"/>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5</w:t>
            </w:r>
          </w:p>
        </w:tc>
        <w:tc>
          <w:tcPr>
            <w:tcW w:w="1060" w:type="dxa"/>
            <w:noWrap w:val="0"/>
            <w:vAlign w:val="center"/>
          </w:tcPr>
          <w:p w14:paraId="599F80C4">
            <w:pPr>
              <w:widowControl/>
              <w:spacing w:line="360" w:lineRule="auto"/>
              <w:jc w:val="left"/>
              <w:rPr>
                <w:rFonts w:ascii="宋体" w:hAnsi="宋体" w:cs="宋体"/>
                <w:kern w:val="0"/>
                <w:sz w:val="20"/>
                <w:szCs w:val="21"/>
              </w:rPr>
            </w:pPr>
            <w:r>
              <w:rPr>
                <w:rFonts w:hint="eastAsia" w:ascii="宋体" w:hAnsi="宋体" w:cs="宋体"/>
                <w:kern w:val="0"/>
                <w:sz w:val="20"/>
                <w:szCs w:val="21"/>
              </w:rPr>
              <w:t>接续损耗</w:t>
            </w:r>
          </w:p>
        </w:tc>
        <w:tc>
          <w:tcPr>
            <w:tcW w:w="7343" w:type="dxa"/>
            <w:noWrap w:val="0"/>
            <w:vAlign w:val="center"/>
          </w:tcPr>
          <w:p w14:paraId="795E552F">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跳接点小于0.2db；熔接点损耗小于0.03db。</w:t>
            </w:r>
          </w:p>
        </w:tc>
      </w:tr>
      <w:tr w14:paraId="5239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044C87C4">
            <w:pPr>
              <w:widowControl/>
              <w:spacing w:line="360" w:lineRule="auto"/>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6</w:t>
            </w:r>
          </w:p>
        </w:tc>
        <w:tc>
          <w:tcPr>
            <w:tcW w:w="1060" w:type="dxa"/>
            <w:noWrap w:val="0"/>
            <w:vAlign w:val="center"/>
          </w:tcPr>
          <w:p w14:paraId="144F61CE">
            <w:pPr>
              <w:widowControl/>
              <w:spacing w:line="360" w:lineRule="auto"/>
              <w:jc w:val="left"/>
              <w:rPr>
                <w:rFonts w:ascii="宋体" w:hAnsi="宋体" w:cs="宋体"/>
                <w:kern w:val="0"/>
                <w:sz w:val="20"/>
                <w:szCs w:val="21"/>
              </w:rPr>
            </w:pPr>
            <w:r>
              <w:rPr>
                <w:rFonts w:hint="eastAsia" w:ascii="宋体" w:hAnsi="宋体" w:cs="宋体"/>
                <w:kern w:val="0"/>
                <w:sz w:val="20"/>
                <w:szCs w:val="21"/>
              </w:rPr>
              <w:t>无故障运行时间</w:t>
            </w:r>
          </w:p>
        </w:tc>
        <w:tc>
          <w:tcPr>
            <w:tcW w:w="7343" w:type="dxa"/>
            <w:noWrap w:val="0"/>
            <w:vAlign w:val="center"/>
          </w:tcPr>
          <w:p w14:paraId="50696870">
            <w:pPr>
              <w:widowControl/>
              <w:spacing w:line="360" w:lineRule="auto"/>
              <w:jc w:val="left"/>
              <w:rPr>
                <w:rFonts w:ascii="宋体" w:hAnsi="宋体" w:cs="宋体"/>
                <w:kern w:val="0"/>
                <w:sz w:val="20"/>
                <w:szCs w:val="21"/>
                <w:lang w:val="zh-CN"/>
              </w:rPr>
            </w:pPr>
            <w:r>
              <w:rPr>
                <w:rFonts w:hint="eastAsia" w:ascii="宋体" w:hAnsi="宋体" w:cs="宋体"/>
                <w:kern w:val="0"/>
                <w:sz w:val="20"/>
                <w:szCs w:val="21"/>
              </w:rPr>
              <w:t>投标人</w:t>
            </w:r>
            <w:r>
              <w:rPr>
                <w:rFonts w:hint="eastAsia" w:ascii="宋体" w:hAnsi="宋体" w:cs="宋体"/>
                <w:kern w:val="0"/>
                <w:sz w:val="20"/>
                <w:szCs w:val="21"/>
                <w:lang w:val="zh-CN"/>
              </w:rPr>
              <w:t>承诺无故障运行时间≥99.9%，提供</w:t>
            </w:r>
            <w:r>
              <w:rPr>
                <w:rFonts w:hint="eastAsia" w:ascii="宋体" w:hAnsi="宋体" w:cs="宋体"/>
                <w:kern w:val="0"/>
                <w:sz w:val="20"/>
                <w:szCs w:val="21"/>
              </w:rPr>
              <w:t>承诺函</w:t>
            </w:r>
            <w:r>
              <w:rPr>
                <w:rFonts w:hint="eastAsia" w:ascii="宋体" w:hAnsi="宋体" w:cs="宋体"/>
                <w:kern w:val="0"/>
                <w:sz w:val="20"/>
                <w:szCs w:val="21"/>
                <w:lang w:val="zh-CN"/>
              </w:rPr>
              <w:t>，并加盖公章。</w:t>
            </w:r>
          </w:p>
        </w:tc>
      </w:tr>
      <w:tr w14:paraId="4D30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76EB9714">
            <w:pPr>
              <w:widowControl/>
              <w:spacing w:line="360" w:lineRule="auto"/>
              <w:jc w:val="center"/>
              <w:rPr>
                <w:rFonts w:ascii="宋体" w:hAnsi="宋体" w:cs="宋体"/>
                <w:kern w:val="0"/>
                <w:sz w:val="20"/>
                <w:szCs w:val="21"/>
              </w:rPr>
            </w:pPr>
            <w:r>
              <w:rPr>
                <w:rFonts w:ascii="宋体" w:hAnsi="宋体" w:cs="宋体"/>
                <w:kern w:val="0"/>
                <w:sz w:val="20"/>
                <w:szCs w:val="21"/>
              </w:rPr>
              <w:t>17</w:t>
            </w:r>
          </w:p>
        </w:tc>
        <w:tc>
          <w:tcPr>
            <w:tcW w:w="1060" w:type="dxa"/>
            <w:noWrap w:val="0"/>
            <w:vAlign w:val="center"/>
          </w:tcPr>
          <w:p w14:paraId="41F89C89">
            <w:pPr>
              <w:widowControl/>
              <w:spacing w:line="360" w:lineRule="auto"/>
              <w:jc w:val="left"/>
              <w:rPr>
                <w:rFonts w:ascii="宋体" w:hAnsi="宋体" w:cs="宋体"/>
                <w:kern w:val="0"/>
                <w:sz w:val="20"/>
                <w:szCs w:val="21"/>
              </w:rPr>
            </w:pPr>
            <w:r>
              <w:rPr>
                <w:rFonts w:hint="eastAsia" w:ascii="宋体" w:hAnsi="宋体" w:cs="宋体"/>
                <w:kern w:val="0"/>
                <w:sz w:val="20"/>
                <w:szCs w:val="21"/>
              </w:rPr>
              <w:t>故障排除机制</w:t>
            </w:r>
          </w:p>
        </w:tc>
        <w:tc>
          <w:tcPr>
            <w:tcW w:w="7343" w:type="dxa"/>
            <w:noWrap w:val="0"/>
            <w:vAlign w:val="center"/>
          </w:tcPr>
          <w:p w14:paraId="6EFEC238">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在专线出现故障时1小时内响应且在4小时内能够排除故障，具备全套工程抢险故障处理专用自有车辆、专用设备，要求故障报修1小时内运维人员必须到达现场处理。提供说明文件，并加盖公章。</w:t>
            </w:r>
          </w:p>
        </w:tc>
      </w:tr>
      <w:tr w14:paraId="6CE8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7BA9CF94">
            <w:pPr>
              <w:widowControl/>
              <w:spacing w:line="360" w:lineRule="auto"/>
              <w:jc w:val="center"/>
              <w:rPr>
                <w:rFonts w:ascii="宋体" w:hAnsi="宋体" w:cs="宋体"/>
                <w:kern w:val="0"/>
                <w:sz w:val="20"/>
                <w:szCs w:val="21"/>
              </w:rPr>
            </w:pPr>
            <w:r>
              <w:rPr>
                <w:rFonts w:hint="eastAsia" w:ascii="宋体" w:hAnsi="宋体" w:cs="宋体"/>
                <w:b/>
                <w:kern w:val="0"/>
                <w:sz w:val="20"/>
                <w:szCs w:val="21"/>
              </w:rPr>
              <w:t>#</w:t>
            </w:r>
            <w:r>
              <w:rPr>
                <w:rFonts w:ascii="宋体" w:hAnsi="宋体" w:cs="宋体"/>
                <w:kern w:val="0"/>
                <w:sz w:val="20"/>
                <w:szCs w:val="21"/>
              </w:rPr>
              <w:t>18</w:t>
            </w:r>
          </w:p>
        </w:tc>
        <w:tc>
          <w:tcPr>
            <w:tcW w:w="1060" w:type="dxa"/>
            <w:noWrap w:val="0"/>
            <w:vAlign w:val="center"/>
          </w:tcPr>
          <w:p w14:paraId="12CB7D3C">
            <w:pPr>
              <w:widowControl/>
              <w:spacing w:line="360" w:lineRule="auto"/>
              <w:jc w:val="left"/>
              <w:rPr>
                <w:rFonts w:ascii="宋体" w:hAnsi="宋体" w:cs="宋体"/>
                <w:kern w:val="0"/>
                <w:sz w:val="20"/>
                <w:szCs w:val="21"/>
              </w:rPr>
            </w:pPr>
            <w:r>
              <w:rPr>
                <w:rFonts w:hint="eastAsia" w:ascii="宋体" w:hAnsi="宋体" w:cs="宋体"/>
                <w:kern w:val="0"/>
                <w:sz w:val="20"/>
                <w:szCs w:val="21"/>
              </w:rPr>
              <w:t>实施进度</w:t>
            </w:r>
          </w:p>
        </w:tc>
        <w:tc>
          <w:tcPr>
            <w:tcW w:w="7343" w:type="dxa"/>
            <w:noWrap w:val="0"/>
            <w:vAlign w:val="center"/>
          </w:tcPr>
          <w:p w14:paraId="09E604F2">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投标人在</w:t>
            </w:r>
            <w:r>
              <w:rPr>
                <w:rFonts w:ascii="宋体" w:hAnsi="宋体"/>
                <w:kern w:val="0"/>
                <w:sz w:val="20"/>
                <w:szCs w:val="21"/>
              </w:rPr>
              <w:t>合同签订后</w:t>
            </w:r>
            <w:r>
              <w:rPr>
                <w:rFonts w:hint="eastAsia" w:ascii="宋体" w:hAnsi="宋体" w:cs="宋体"/>
                <w:kern w:val="0"/>
                <w:sz w:val="20"/>
                <w:szCs w:val="21"/>
                <w:lang w:val="zh-CN"/>
              </w:rPr>
              <w:t>的</w:t>
            </w:r>
            <w:r>
              <w:rPr>
                <w:rFonts w:ascii="宋体" w:hAnsi="宋体" w:cs="宋体"/>
                <w:kern w:val="0"/>
                <w:sz w:val="20"/>
                <w:szCs w:val="21"/>
              </w:rPr>
              <w:t>5</w:t>
            </w:r>
            <w:r>
              <w:rPr>
                <w:rFonts w:hint="eastAsia" w:ascii="宋体" w:hAnsi="宋体" w:cs="宋体"/>
                <w:kern w:val="0"/>
                <w:sz w:val="20"/>
                <w:szCs w:val="21"/>
                <w:lang w:val="zh-CN"/>
              </w:rPr>
              <w:t>个工作日内为采购人完成出口接入和集成任务。提供说明文件，并加盖公章。</w:t>
            </w:r>
          </w:p>
        </w:tc>
      </w:tr>
      <w:tr w14:paraId="3F41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1341CB56">
            <w:pPr>
              <w:widowControl/>
              <w:spacing w:line="360" w:lineRule="auto"/>
              <w:jc w:val="center"/>
              <w:rPr>
                <w:rFonts w:ascii="宋体" w:hAnsi="宋体" w:cs="宋体"/>
                <w:kern w:val="0"/>
                <w:sz w:val="20"/>
                <w:szCs w:val="21"/>
              </w:rPr>
            </w:pPr>
            <w:r>
              <w:rPr>
                <w:rFonts w:ascii="宋体" w:hAnsi="宋体" w:cs="宋体"/>
                <w:kern w:val="0"/>
                <w:sz w:val="20"/>
                <w:szCs w:val="21"/>
              </w:rPr>
              <w:t>19</w:t>
            </w:r>
          </w:p>
        </w:tc>
        <w:tc>
          <w:tcPr>
            <w:tcW w:w="1060" w:type="dxa"/>
            <w:noWrap w:val="0"/>
            <w:vAlign w:val="center"/>
          </w:tcPr>
          <w:p w14:paraId="6A979592">
            <w:pPr>
              <w:widowControl/>
              <w:spacing w:line="360" w:lineRule="auto"/>
              <w:jc w:val="left"/>
              <w:rPr>
                <w:rFonts w:ascii="宋体" w:hAnsi="宋体" w:cs="宋体"/>
                <w:kern w:val="0"/>
                <w:sz w:val="20"/>
                <w:szCs w:val="21"/>
              </w:rPr>
            </w:pPr>
            <w:r>
              <w:rPr>
                <w:rFonts w:hint="eastAsia" w:ascii="宋体" w:hAnsi="宋体" w:cs="宋体"/>
                <w:kern w:val="0"/>
                <w:sz w:val="20"/>
                <w:szCs w:val="21"/>
              </w:rPr>
              <w:t>服务要求</w:t>
            </w:r>
          </w:p>
        </w:tc>
        <w:tc>
          <w:tcPr>
            <w:tcW w:w="7343" w:type="dxa"/>
            <w:noWrap w:val="0"/>
            <w:vAlign w:val="center"/>
          </w:tcPr>
          <w:p w14:paraId="6AE1DCD0">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提供针对此项目7×24小时专业技术保障，有专业的技术服务团队和服务热线，提供互联网专线的直接运维人员的联系方式并且有1名专属对接客户的服务代表，负责采购人的所有售后服务工作；按季度提供纸质版或者电子版服务质量性能报告、维护巡检记录等服务文档。服务保障所需费用包含在投标报价中，提供说明文件，并加盖投标人公章。</w:t>
            </w:r>
          </w:p>
        </w:tc>
      </w:tr>
      <w:tr w14:paraId="47E0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3CDEE74B">
            <w:pPr>
              <w:widowControl/>
              <w:spacing w:line="360" w:lineRule="auto"/>
              <w:jc w:val="center"/>
              <w:rPr>
                <w:rFonts w:ascii="宋体" w:hAnsi="宋体" w:cs="宋体"/>
                <w:kern w:val="0"/>
                <w:sz w:val="20"/>
                <w:szCs w:val="21"/>
              </w:rPr>
            </w:pPr>
            <w:r>
              <w:rPr>
                <w:rFonts w:hint="eastAsia" w:ascii="宋体" w:hAnsi="宋体" w:cs="宋体"/>
                <w:b/>
                <w:kern w:val="0"/>
                <w:sz w:val="20"/>
                <w:szCs w:val="21"/>
              </w:rPr>
              <w:t>#</w:t>
            </w:r>
            <w:r>
              <w:rPr>
                <w:rFonts w:ascii="宋体" w:hAnsi="宋体" w:cs="宋体"/>
                <w:kern w:val="0"/>
                <w:sz w:val="20"/>
                <w:szCs w:val="21"/>
              </w:rPr>
              <w:t>20</w:t>
            </w:r>
          </w:p>
        </w:tc>
        <w:tc>
          <w:tcPr>
            <w:tcW w:w="1060" w:type="dxa"/>
            <w:noWrap w:val="0"/>
            <w:vAlign w:val="center"/>
          </w:tcPr>
          <w:p w14:paraId="098FC3F7">
            <w:pPr>
              <w:widowControl/>
              <w:spacing w:line="360" w:lineRule="auto"/>
              <w:jc w:val="left"/>
              <w:rPr>
                <w:rFonts w:ascii="宋体" w:hAnsi="宋体" w:cs="宋体"/>
                <w:kern w:val="0"/>
                <w:sz w:val="20"/>
                <w:szCs w:val="21"/>
              </w:rPr>
            </w:pPr>
            <w:r>
              <w:rPr>
                <w:rFonts w:hint="eastAsia" w:ascii="宋体" w:hAnsi="宋体" w:cs="宋体"/>
                <w:kern w:val="0"/>
                <w:sz w:val="20"/>
                <w:szCs w:val="21"/>
              </w:rPr>
              <w:t>事件通知机制</w:t>
            </w:r>
          </w:p>
        </w:tc>
        <w:tc>
          <w:tcPr>
            <w:tcW w:w="7343" w:type="dxa"/>
            <w:noWrap w:val="0"/>
            <w:vAlign w:val="center"/>
          </w:tcPr>
          <w:p w14:paraId="1C2550EC">
            <w:pPr>
              <w:widowControl/>
              <w:spacing w:line="360" w:lineRule="auto"/>
              <w:jc w:val="left"/>
              <w:rPr>
                <w:rFonts w:ascii="宋体" w:hAnsi="宋体" w:cs="宋体"/>
                <w:kern w:val="0"/>
                <w:sz w:val="20"/>
                <w:szCs w:val="21"/>
                <w:lang w:val="zh-CN"/>
              </w:rPr>
            </w:pPr>
            <w:r>
              <w:rPr>
                <w:rFonts w:hint="eastAsia" w:ascii="宋体" w:hAnsi="宋体" w:cs="宋体"/>
                <w:kern w:val="0"/>
                <w:sz w:val="20"/>
                <w:szCs w:val="21"/>
                <w:lang w:val="zh-CN"/>
              </w:rPr>
              <w:t>对于事先预知的中断提前24小时通知，在特殊时期对校区的电路提供重要通信保障服务、应急通信保障服、驻场保障等服务。提供说明文件，并加盖投标人公章。</w:t>
            </w:r>
          </w:p>
        </w:tc>
      </w:tr>
      <w:tr w14:paraId="4407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6A961B18">
            <w:pPr>
              <w:jc w:val="center"/>
              <w:rPr>
                <w:rFonts w:ascii="宋体" w:hAnsi="宋体" w:cs="宋体"/>
                <w:kern w:val="0"/>
                <w:sz w:val="20"/>
                <w:szCs w:val="21"/>
              </w:rPr>
            </w:pPr>
            <w:r>
              <w:rPr>
                <w:rFonts w:hint="eastAsia" w:ascii="宋体" w:hAnsi="宋体" w:cs="宋体"/>
                <w:kern w:val="0"/>
                <w:sz w:val="20"/>
                <w:szCs w:val="21"/>
              </w:rPr>
              <w:t>2</w:t>
            </w:r>
            <w:r>
              <w:rPr>
                <w:rFonts w:ascii="宋体" w:hAnsi="宋体" w:cs="宋体"/>
                <w:kern w:val="0"/>
                <w:sz w:val="20"/>
                <w:szCs w:val="21"/>
              </w:rPr>
              <w:t>1</w:t>
            </w:r>
          </w:p>
        </w:tc>
        <w:tc>
          <w:tcPr>
            <w:tcW w:w="1060" w:type="dxa"/>
            <w:noWrap w:val="0"/>
            <w:vAlign w:val="center"/>
          </w:tcPr>
          <w:p w14:paraId="30670FBF">
            <w:pPr>
              <w:widowControl/>
              <w:spacing w:line="360" w:lineRule="auto"/>
              <w:jc w:val="left"/>
              <w:rPr>
                <w:rFonts w:ascii="宋体" w:hAnsi="宋体" w:cs="宋体"/>
                <w:iCs/>
                <w:kern w:val="0"/>
                <w:sz w:val="20"/>
                <w:szCs w:val="21"/>
              </w:rPr>
            </w:pPr>
            <w:r>
              <w:rPr>
                <w:rFonts w:hint="eastAsia" w:ascii="宋体" w:hAnsi="宋体" w:cs="宋体"/>
                <w:iCs/>
                <w:kern w:val="0"/>
                <w:sz w:val="20"/>
                <w:szCs w:val="21"/>
              </w:rPr>
              <w:t>网络协议</w:t>
            </w:r>
          </w:p>
        </w:tc>
        <w:tc>
          <w:tcPr>
            <w:tcW w:w="7343" w:type="dxa"/>
            <w:noWrap w:val="0"/>
            <w:vAlign w:val="center"/>
          </w:tcPr>
          <w:p w14:paraId="07D5DA21">
            <w:pPr>
              <w:widowControl/>
              <w:spacing w:line="360" w:lineRule="auto"/>
              <w:jc w:val="left"/>
              <w:rPr>
                <w:rFonts w:ascii="宋体" w:hAnsi="宋体" w:cs="宋体"/>
                <w:kern w:val="0"/>
                <w:sz w:val="20"/>
                <w:szCs w:val="21"/>
                <w:lang w:val="zh-CN"/>
              </w:rPr>
            </w:pPr>
            <w:r>
              <w:rPr>
                <w:rFonts w:hint="eastAsia" w:ascii="宋体" w:hAnsi="宋体" w:cs="宋体"/>
                <w:kern w:val="0"/>
                <w:sz w:val="20"/>
                <w:szCs w:val="21"/>
              </w:rPr>
              <w:t>除控制总带宽之外，不许再对网络协议做额外控制，且互联网接入无需对采购人现有网络配置进行重大修改。</w:t>
            </w:r>
          </w:p>
        </w:tc>
      </w:tr>
      <w:tr w14:paraId="34E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28891F28">
            <w:pPr>
              <w:jc w:val="center"/>
              <w:rPr>
                <w:rFonts w:ascii="宋体" w:hAnsi="宋体" w:cs="宋体"/>
                <w:kern w:val="0"/>
                <w:sz w:val="20"/>
                <w:szCs w:val="21"/>
              </w:rPr>
            </w:pPr>
            <w:r>
              <w:rPr>
                <w:rFonts w:hint="eastAsia" w:ascii="宋体" w:hAnsi="宋体" w:cs="宋体"/>
                <w:kern w:val="0"/>
                <w:sz w:val="20"/>
                <w:szCs w:val="21"/>
              </w:rPr>
              <w:t>2</w:t>
            </w:r>
            <w:r>
              <w:rPr>
                <w:rFonts w:ascii="宋体" w:hAnsi="宋体" w:cs="宋体"/>
                <w:kern w:val="0"/>
                <w:sz w:val="20"/>
                <w:szCs w:val="21"/>
              </w:rPr>
              <w:t>2</w:t>
            </w:r>
          </w:p>
        </w:tc>
        <w:tc>
          <w:tcPr>
            <w:tcW w:w="1060" w:type="dxa"/>
            <w:noWrap w:val="0"/>
            <w:vAlign w:val="center"/>
          </w:tcPr>
          <w:p w14:paraId="26B99304">
            <w:pPr>
              <w:widowControl/>
              <w:spacing w:line="360" w:lineRule="auto"/>
              <w:jc w:val="left"/>
              <w:rPr>
                <w:rFonts w:ascii="宋体" w:hAnsi="宋体" w:cs="宋体"/>
                <w:kern w:val="0"/>
                <w:sz w:val="20"/>
                <w:szCs w:val="21"/>
              </w:rPr>
            </w:pPr>
            <w:r>
              <w:rPr>
                <w:rFonts w:hint="eastAsia" w:ascii="宋体" w:hAnsi="宋体" w:cs="宋体"/>
                <w:iCs/>
                <w:kern w:val="0"/>
                <w:sz w:val="20"/>
                <w:szCs w:val="21"/>
              </w:rPr>
              <w:t>业务中断</w:t>
            </w:r>
          </w:p>
        </w:tc>
        <w:tc>
          <w:tcPr>
            <w:tcW w:w="7343" w:type="dxa"/>
            <w:noWrap w:val="0"/>
            <w:vAlign w:val="center"/>
          </w:tcPr>
          <w:p w14:paraId="0F5CF30A">
            <w:pPr>
              <w:widowControl/>
              <w:spacing w:line="360" w:lineRule="auto"/>
              <w:jc w:val="left"/>
              <w:rPr>
                <w:rFonts w:ascii="宋体" w:hAnsi="宋体" w:cs="宋体"/>
                <w:kern w:val="0"/>
                <w:sz w:val="20"/>
                <w:szCs w:val="21"/>
              </w:rPr>
            </w:pPr>
            <w:r>
              <w:rPr>
                <w:rFonts w:hint="eastAsia" w:ascii="宋体" w:hAnsi="宋体" w:cs="宋体"/>
                <w:kern w:val="0"/>
                <w:sz w:val="20"/>
                <w:szCs w:val="21"/>
              </w:rPr>
              <w:t>在服务期内，因为中标人原因造成采购人传输中断，累计超过12小时(计划中断除外)，则中标人提供一个月的线路使用（不另行支付费用），作为经济补偿。累计超过24小时(计划中断除外)，则采购人有权做进一步追究或单方解除合同。</w:t>
            </w:r>
          </w:p>
        </w:tc>
      </w:tr>
      <w:tr w14:paraId="6BB9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2DB173BF">
            <w:pPr>
              <w:jc w:val="center"/>
              <w:rPr>
                <w:rFonts w:ascii="宋体" w:hAnsi="宋体" w:cs="宋体"/>
                <w:kern w:val="0"/>
                <w:sz w:val="20"/>
                <w:szCs w:val="21"/>
              </w:rPr>
            </w:pPr>
            <w:r>
              <w:rPr>
                <w:rFonts w:ascii="宋体" w:hAnsi="宋体" w:cs="宋体"/>
                <w:kern w:val="0"/>
                <w:sz w:val="20"/>
                <w:szCs w:val="21"/>
              </w:rPr>
              <w:t>23</w:t>
            </w:r>
          </w:p>
        </w:tc>
        <w:tc>
          <w:tcPr>
            <w:tcW w:w="1060" w:type="dxa"/>
            <w:noWrap w:val="0"/>
            <w:vAlign w:val="center"/>
          </w:tcPr>
          <w:p w14:paraId="3646AECB">
            <w:pPr>
              <w:widowControl/>
              <w:spacing w:line="360" w:lineRule="auto"/>
              <w:jc w:val="left"/>
              <w:rPr>
                <w:rFonts w:ascii="宋体" w:hAnsi="宋体" w:cs="宋体"/>
                <w:iCs/>
                <w:kern w:val="0"/>
                <w:sz w:val="20"/>
                <w:szCs w:val="21"/>
              </w:rPr>
            </w:pPr>
            <w:r>
              <w:rPr>
                <w:rFonts w:hint="eastAsia" w:ascii="宋体" w:hAnsi="宋体" w:cs="宋体"/>
                <w:iCs/>
                <w:kern w:val="0"/>
                <w:sz w:val="20"/>
                <w:szCs w:val="21"/>
              </w:rPr>
              <w:t>验收条件</w:t>
            </w:r>
          </w:p>
        </w:tc>
        <w:tc>
          <w:tcPr>
            <w:tcW w:w="7343" w:type="dxa"/>
            <w:noWrap w:val="0"/>
            <w:vAlign w:val="center"/>
          </w:tcPr>
          <w:p w14:paraId="2F19AC25">
            <w:pPr>
              <w:widowControl/>
              <w:spacing w:line="360" w:lineRule="auto"/>
              <w:jc w:val="left"/>
              <w:rPr>
                <w:rFonts w:ascii="宋体" w:hAnsi="宋体" w:cs="宋体"/>
                <w:kern w:val="0"/>
                <w:sz w:val="20"/>
                <w:szCs w:val="21"/>
              </w:rPr>
            </w:pPr>
            <w:r>
              <w:rPr>
                <w:rFonts w:hint="eastAsia" w:ascii="宋体" w:hAnsi="宋体" w:cs="宋体"/>
                <w:kern w:val="0"/>
                <w:sz w:val="20"/>
                <w:szCs w:val="21"/>
              </w:rPr>
              <w:t>投标人在合同签订并完成采购人成全部变更（设备配置服务配置）及事务沟通等备案手续，提供稳定出口接入，经双方联合测试符合采购需求后，方可签订验收单。</w:t>
            </w:r>
          </w:p>
        </w:tc>
      </w:tr>
    </w:tbl>
    <w:p w14:paraId="4AF16F26">
      <w:pPr>
        <w:pStyle w:val="2"/>
        <w:spacing w:line="360" w:lineRule="auto"/>
        <w:ind w:left="0" w:right="0" w:firstLine="480" w:firstLineChars="200"/>
        <w:jc w:val="left"/>
      </w:pPr>
      <w:r>
        <w:br w:type="page"/>
      </w:r>
    </w:p>
    <w:p w14:paraId="22D593F5">
      <w:pPr>
        <w:spacing w:line="360" w:lineRule="auto"/>
        <w:ind w:left="480"/>
        <w:jc w:val="center"/>
        <w:outlineLvl w:val="1"/>
        <w:rPr>
          <w:rFonts w:ascii="宋体" w:hAnsi="宋体"/>
          <w:sz w:val="24"/>
        </w:rPr>
      </w:pPr>
      <w:r>
        <w:rPr>
          <w:rFonts w:hint="eastAsia" w:ascii="宋体" w:hAnsi="宋体"/>
          <w:sz w:val="24"/>
        </w:rPr>
        <w:t>第3包：校园网网络出口接入服务</w:t>
      </w:r>
      <w:r>
        <w:rPr>
          <w:rFonts w:ascii="宋体" w:hAnsi="宋体"/>
          <w:sz w:val="24"/>
        </w:rPr>
        <w:t>3</w:t>
      </w:r>
    </w:p>
    <w:p w14:paraId="48786582">
      <w:pPr>
        <w:pStyle w:val="2"/>
        <w:spacing w:line="360" w:lineRule="auto"/>
        <w:ind w:left="0" w:right="0" w:firstLine="480" w:firstLineChars="200"/>
        <w:jc w:val="left"/>
      </w:pPr>
      <w:r>
        <w:rPr>
          <w:rFonts w:hint="eastAsia"/>
        </w:rPr>
        <w:t>一、采购标的</w:t>
      </w:r>
    </w:p>
    <w:p w14:paraId="663937BD">
      <w:pPr>
        <w:pStyle w:val="2"/>
        <w:spacing w:line="360" w:lineRule="auto"/>
        <w:ind w:left="0" w:right="0" w:firstLine="480" w:firstLineChars="200"/>
        <w:jc w:val="left"/>
      </w:pPr>
      <w:r>
        <w:rPr>
          <w:rFonts w:hint="eastAsia"/>
        </w:rPr>
        <w:t>1. 采购标的</w:t>
      </w:r>
    </w:p>
    <w:p w14:paraId="2D5739A3">
      <w:pPr>
        <w:pStyle w:val="2"/>
        <w:spacing w:line="360" w:lineRule="auto"/>
        <w:ind w:left="0" w:right="0" w:firstLine="480" w:firstLineChars="200"/>
        <w:jc w:val="center"/>
        <w:rPr>
          <w:rFonts w:hint="eastAsia"/>
        </w:rPr>
      </w:pPr>
      <w:r>
        <w:rPr>
          <w:rFonts w:hint="eastAsia" w:ascii="宋体" w:hAnsi="宋体" w:cs="宋体"/>
          <w:szCs w:val="24"/>
        </w:rPr>
        <w:t>需求一览表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2290"/>
        <w:gridCol w:w="3260"/>
        <w:gridCol w:w="1276"/>
      </w:tblGrid>
      <w:tr w14:paraId="2D2C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966" w:type="dxa"/>
            <w:noWrap w:val="0"/>
            <w:tcMar>
              <w:top w:w="0" w:type="dxa"/>
              <w:left w:w="108" w:type="dxa"/>
              <w:bottom w:w="0" w:type="dxa"/>
              <w:right w:w="108" w:type="dxa"/>
            </w:tcMar>
            <w:vAlign w:val="center"/>
          </w:tcPr>
          <w:p w14:paraId="29E7C8C1">
            <w:pPr>
              <w:widowControl/>
              <w:spacing w:line="360" w:lineRule="auto"/>
              <w:jc w:val="center"/>
              <w:rPr>
                <w:rFonts w:ascii="宋体" w:hAnsi="宋体" w:cs="黑体"/>
                <w:kern w:val="0"/>
                <w:sz w:val="24"/>
              </w:rPr>
            </w:pPr>
            <w:r>
              <w:rPr>
                <w:rFonts w:hint="eastAsia" w:ascii="宋体" w:hAnsi="宋体" w:cs="黑体"/>
                <w:kern w:val="0"/>
                <w:sz w:val="24"/>
              </w:rPr>
              <w:t>包号</w:t>
            </w:r>
          </w:p>
        </w:tc>
        <w:tc>
          <w:tcPr>
            <w:tcW w:w="2290" w:type="dxa"/>
            <w:noWrap w:val="0"/>
            <w:tcMar>
              <w:top w:w="0" w:type="dxa"/>
              <w:left w:w="108" w:type="dxa"/>
              <w:bottom w:w="0" w:type="dxa"/>
              <w:right w:w="108" w:type="dxa"/>
            </w:tcMar>
            <w:vAlign w:val="center"/>
          </w:tcPr>
          <w:p w14:paraId="2E3C25B1">
            <w:pPr>
              <w:widowControl/>
              <w:spacing w:line="360" w:lineRule="auto"/>
              <w:jc w:val="center"/>
              <w:rPr>
                <w:rFonts w:ascii="宋体" w:hAnsi="宋体" w:cs="黑体"/>
                <w:kern w:val="0"/>
                <w:sz w:val="24"/>
              </w:rPr>
            </w:pPr>
            <w:r>
              <w:rPr>
                <w:rFonts w:hint="eastAsia" w:ascii="宋体" w:hAnsi="宋体" w:cs="黑体"/>
                <w:kern w:val="0"/>
                <w:sz w:val="24"/>
              </w:rPr>
              <w:t>分包预算（万元）</w:t>
            </w:r>
          </w:p>
        </w:tc>
        <w:tc>
          <w:tcPr>
            <w:tcW w:w="3260" w:type="dxa"/>
            <w:noWrap w:val="0"/>
            <w:tcMar>
              <w:top w:w="0" w:type="dxa"/>
              <w:left w:w="108" w:type="dxa"/>
              <w:bottom w:w="0" w:type="dxa"/>
              <w:right w:w="108" w:type="dxa"/>
            </w:tcMar>
            <w:vAlign w:val="center"/>
          </w:tcPr>
          <w:p w14:paraId="1E61E4F5">
            <w:pPr>
              <w:widowControl/>
              <w:spacing w:line="360" w:lineRule="auto"/>
              <w:jc w:val="center"/>
              <w:rPr>
                <w:rFonts w:ascii="宋体" w:hAnsi="宋体" w:cs="黑体"/>
                <w:kern w:val="0"/>
                <w:sz w:val="24"/>
              </w:rPr>
            </w:pPr>
            <w:r>
              <w:rPr>
                <w:rFonts w:hint="eastAsia" w:ascii="宋体" w:hAnsi="宋体" w:cs="黑体"/>
                <w:kern w:val="0"/>
                <w:sz w:val="24"/>
              </w:rPr>
              <w:t>服务事项名称</w:t>
            </w:r>
          </w:p>
        </w:tc>
        <w:tc>
          <w:tcPr>
            <w:tcW w:w="1276" w:type="dxa"/>
            <w:noWrap w:val="0"/>
            <w:tcMar>
              <w:top w:w="0" w:type="dxa"/>
              <w:left w:w="108" w:type="dxa"/>
              <w:bottom w:w="0" w:type="dxa"/>
              <w:right w:w="108" w:type="dxa"/>
            </w:tcMar>
            <w:vAlign w:val="center"/>
          </w:tcPr>
          <w:p w14:paraId="121BFDA4">
            <w:pPr>
              <w:widowControl/>
              <w:spacing w:line="360" w:lineRule="auto"/>
              <w:jc w:val="center"/>
              <w:rPr>
                <w:rFonts w:ascii="宋体" w:hAnsi="宋体" w:cs="黑体"/>
                <w:kern w:val="0"/>
                <w:sz w:val="24"/>
              </w:rPr>
            </w:pPr>
            <w:r>
              <w:rPr>
                <w:rFonts w:hint="eastAsia" w:ascii="宋体" w:hAnsi="宋体" w:cs="黑体"/>
                <w:kern w:val="0"/>
                <w:sz w:val="24"/>
              </w:rPr>
              <w:t>服务期限</w:t>
            </w:r>
          </w:p>
        </w:tc>
      </w:tr>
      <w:tr w14:paraId="220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966" w:type="dxa"/>
            <w:noWrap w:val="0"/>
            <w:tcMar>
              <w:top w:w="0" w:type="dxa"/>
              <w:left w:w="108" w:type="dxa"/>
              <w:bottom w:w="0" w:type="dxa"/>
              <w:right w:w="108" w:type="dxa"/>
            </w:tcMar>
            <w:vAlign w:val="center"/>
          </w:tcPr>
          <w:p w14:paraId="383DB1C5">
            <w:pPr>
              <w:widowControl/>
              <w:spacing w:line="360" w:lineRule="auto"/>
              <w:jc w:val="center"/>
              <w:rPr>
                <w:rFonts w:ascii="宋体" w:hAnsi="宋体" w:cs="宋体"/>
                <w:kern w:val="0"/>
                <w:sz w:val="24"/>
              </w:rPr>
            </w:pPr>
            <w:r>
              <w:rPr>
                <w:rFonts w:hint="eastAsia" w:ascii="宋体" w:hAnsi="宋体" w:cs="宋体"/>
                <w:kern w:val="0"/>
                <w:sz w:val="24"/>
              </w:rPr>
              <w:t>3</w:t>
            </w:r>
          </w:p>
        </w:tc>
        <w:tc>
          <w:tcPr>
            <w:tcW w:w="2290" w:type="dxa"/>
            <w:noWrap w:val="0"/>
            <w:tcMar>
              <w:top w:w="0" w:type="dxa"/>
              <w:left w:w="108" w:type="dxa"/>
              <w:bottom w:w="0" w:type="dxa"/>
              <w:right w:w="108" w:type="dxa"/>
            </w:tcMar>
            <w:vAlign w:val="center"/>
          </w:tcPr>
          <w:p w14:paraId="43C2EB59">
            <w:pPr>
              <w:widowControl/>
              <w:spacing w:line="360" w:lineRule="auto"/>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25</w:t>
            </w:r>
          </w:p>
        </w:tc>
        <w:tc>
          <w:tcPr>
            <w:tcW w:w="3260" w:type="dxa"/>
            <w:noWrap w:val="0"/>
            <w:tcMar>
              <w:top w:w="0" w:type="dxa"/>
              <w:left w:w="108" w:type="dxa"/>
              <w:bottom w:w="0" w:type="dxa"/>
              <w:right w:w="108" w:type="dxa"/>
            </w:tcMar>
            <w:vAlign w:val="center"/>
          </w:tcPr>
          <w:p w14:paraId="5579EE17">
            <w:pPr>
              <w:widowControl/>
              <w:spacing w:line="360" w:lineRule="auto"/>
              <w:jc w:val="center"/>
              <w:rPr>
                <w:rFonts w:ascii="宋体" w:hAnsi="宋体" w:cs="宋体"/>
                <w:kern w:val="0"/>
                <w:sz w:val="24"/>
              </w:rPr>
            </w:pPr>
            <w:r>
              <w:rPr>
                <w:rFonts w:hint="eastAsia" w:ascii="宋体" w:hAnsi="宋体" w:cs="宋体"/>
                <w:kern w:val="0"/>
                <w:sz w:val="24"/>
              </w:rPr>
              <w:t>校园网网络出口接入服务</w:t>
            </w:r>
            <w:r>
              <w:rPr>
                <w:rFonts w:ascii="宋体" w:hAnsi="宋体" w:cs="宋体"/>
                <w:kern w:val="0"/>
                <w:sz w:val="24"/>
              </w:rPr>
              <w:t>3</w:t>
            </w:r>
          </w:p>
        </w:tc>
        <w:tc>
          <w:tcPr>
            <w:tcW w:w="1276" w:type="dxa"/>
            <w:noWrap w:val="0"/>
            <w:tcMar>
              <w:top w:w="0" w:type="dxa"/>
              <w:left w:w="108" w:type="dxa"/>
              <w:bottom w:w="0" w:type="dxa"/>
              <w:right w:w="108" w:type="dxa"/>
            </w:tcMar>
            <w:vAlign w:val="center"/>
          </w:tcPr>
          <w:p w14:paraId="109ECAD4">
            <w:pPr>
              <w:widowControl/>
              <w:spacing w:line="360" w:lineRule="auto"/>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年</w:t>
            </w:r>
          </w:p>
        </w:tc>
      </w:tr>
    </w:tbl>
    <w:p w14:paraId="5697A7FF">
      <w:pPr>
        <w:pStyle w:val="2"/>
        <w:spacing w:line="360" w:lineRule="auto"/>
        <w:ind w:left="0" w:right="0" w:firstLine="480" w:firstLineChars="200"/>
        <w:jc w:val="left"/>
      </w:pPr>
      <w:r>
        <w:rPr>
          <w:rFonts w:hint="eastAsia"/>
        </w:rPr>
        <w:t>2. 项目概述采购良乡主校区互联网出口带宽6Gbps专线线路，及园区间光纤链路、即出口骨干节点至北区（教学楼、宿舍楼）光纤传输链路。实现两校区多运营商出口链路互备，网站互联网接入及短信平台服务。</w:t>
      </w:r>
    </w:p>
    <w:p w14:paraId="0B41BB70">
      <w:pPr>
        <w:pStyle w:val="2"/>
        <w:spacing w:line="360" w:lineRule="auto"/>
        <w:ind w:left="0" w:right="0" w:firstLine="480" w:firstLineChars="200"/>
        <w:jc w:val="left"/>
      </w:pPr>
      <w:r>
        <w:rPr>
          <w:rFonts w:hint="eastAsia"/>
        </w:rPr>
        <w:t>二、商务要求</w:t>
      </w:r>
    </w:p>
    <w:p w14:paraId="2F8C2DB5">
      <w:pPr>
        <w:pStyle w:val="2"/>
        <w:spacing w:line="360" w:lineRule="auto"/>
        <w:ind w:left="0" w:right="0" w:firstLine="480" w:firstLineChars="200"/>
        <w:jc w:val="left"/>
        <w:rPr>
          <w:rFonts w:hint="eastAsia"/>
        </w:rPr>
      </w:pPr>
      <w:r>
        <w:rPr>
          <w:rFonts w:hint="eastAsia"/>
        </w:rPr>
        <w:t>1. 交付（实施）的时间（期限）和地点（范围）</w:t>
      </w:r>
    </w:p>
    <w:p w14:paraId="1B4787A2">
      <w:pPr>
        <w:pStyle w:val="2"/>
        <w:spacing w:line="360" w:lineRule="auto"/>
        <w:ind w:left="0" w:right="0" w:firstLine="480" w:firstLineChars="200"/>
        <w:jc w:val="left"/>
        <w:rPr>
          <w:rFonts w:hint="eastAsia"/>
        </w:rPr>
      </w:pPr>
      <w:r>
        <w:rPr>
          <w:rFonts w:hint="eastAsia"/>
        </w:rPr>
        <w:t>交付（实施）时间（期限）：自合同签订后5日内完成互联网出口带宽链路实施工作，相应的互联网出口网络割接时间应在当日00:00-次日6:00完成,期间应确保网络可以正常使用；并进行一年的互联网出口带宽网络维护工作。</w:t>
      </w:r>
    </w:p>
    <w:p w14:paraId="6123B4C2">
      <w:pPr>
        <w:pStyle w:val="2"/>
        <w:spacing w:line="360" w:lineRule="auto"/>
        <w:ind w:left="0" w:right="0" w:firstLine="480" w:firstLineChars="200"/>
        <w:jc w:val="left"/>
      </w:pPr>
      <w:r>
        <w:rPr>
          <w:rFonts w:hint="eastAsia"/>
        </w:rPr>
        <w:t>交付（实施）地点（范围）：北京工商大学良乡主校区及阜成路校区。</w:t>
      </w:r>
    </w:p>
    <w:p w14:paraId="1AB24D82">
      <w:pPr>
        <w:pStyle w:val="2"/>
        <w:spacing w:line="360" w:lineRule="auto"/>
        <w:ind w:left="0" w:right="0" w:firstLine="480" w:firstLineChars="200"/>
        <w:jc w:val="left"/>
        <w:rPr>
          <w:rFonts w:hint="eastAsia"/>
        </w:rPr>
      </w:pPr>
      <w:r>
        <w:rPr>
          <w:rFonts w:hint="eastAsia"/>
        </w:rPr>
        <w:t>2. 付款条件（进度和方式）</w:t>
      </w:r>
    </w:p>
    <w:p w14:paraId="0907B139">
      <w:pPr>
        <w:pStyle w:val="2"/>
        <w:spacing w:line="360" w:lineRule="auto"/>
        <w:ind w:left="0" w:right="0" w:firstLine="480" w:firstLineChars="200"/>
        <w:jc w:val="left"/>
      </w:pPr>
      <w:r>
        <w:rPr>
          <w:rFonts w:hint="eastAsia"/>
        </w:rPr>
        <w:t>合同签订生效后，采购人向中标人支付合同金额60%的价款，2026年9月30日前支付合同金额40%的价款(中标人应向采购人先行提交与支付金额等额的发票)。</w:t>
      </w:r>
    </w:p>
    <w:p w14:paraId="5FCD6881">
      <w:pPr>
        <w:pStyle w:val="2"/>
        <w:spacing w:line="360" w:lineRule="auto"/>
        <w:ind w:left="0" w:right="0" w:firstLine="480" w:firstLineChars="200"/>
        <w:jc w:val="left"/>
      </w:pPr>
      <w:r>
        <w:rPr>
          <w:rFonts w:hint="eastAsia"/>
        </w:rPr>
        <w:t>3. 包装和运输</w:t>
      </w:r>
    </w:p>
    <w:p w14:paraId="23D7D0A9">
      <w:pPr>
        <w:pStyle w:val="2"/>
        <w:spacing w:line="360" w:lineRule="auto"/>
        <w:ind w:left="0" w:right="0" w:firstLine="480" w:firstLineChars="200"/>
        <w:jc w:val="left"/>
        <w:rPr>
          <w:rFonts w:hint="eastAsia"/>
        </w:rPr>
      </w:pPr>
      <w:r>
        <w:rPr>
          <w:rFonts w:hint="eastAsia"/>
        </w:rPr>
        <w:t>本项目不涉及。</w:t>
      </w:r>
    </w:p>
    <w:p w14:paraId="027FD308">
      <w:pPr>
        <w:pStyle w:val="2"/>
        <w:spacing w:line="360" w:lineRule="auto"/>
        <w:ind w:left="0" w:right="0" w:firstLine="480" w:firstLineChars="200"/>
        <w:jc w:val="left"/>
      </w:pPr>
      <w:r>
        <w:rPr>
          <w:rFonts w:hint="eastAsia"/>
        </w:rPr>
        <w:t>4. 售后服务（质保期）</w:t>
      </w:r>
    </w:p>
    <w:p w14:paraId="3CDC953A">
      <w:pPr>
        <w:pStyle w:val="2"/>
        <w:spacing w:line="360" w:lineRule="auto"/>
        <w:ind w:left="0" w:right="0" w:firstLine="480" w:firstLineChars="200"/>
        <w:jc w:val="left"/>
      </w:pPr>
      <w:r>
        <w:rPr>
          <w:rFonts w:hint="eastAsia"/>
        </w:rPr>
        <w:t>自签订合同之日起1年。</w:t>
      </w:r>
    </w:p>
    <w:p w14:paraId="10DE7665">
      <w:pPr>
        <w:pStyle w:val="2"/>
        <w:spacing w:line="360" w:lineRule="auto"/>
        <w:ind w:left="0" w:right="0" w:firstLine="480" w:firstLineChars="200"/>
        <w:jc w:val="left"/>
      </w:pPr>
      <w:r>
        <w:rPr>
          <w:rFonts w:hint="eastAsia"/>
        </w:rPr>
        <w:t>5. 其他要求</w:t>
      </w:r>
    </w:p>
    <w:p w14:paraId="3193C2A7">
      <w:pPr>
        <w:pStyle w:val="2"/>
        <w:spacing w:line="360" w:lineRule="auto"/>
        <w:ind w:left="0" w:right="0" w:firstLine="480" w:firstLineChars="200"/>
        <w:jc w:val="left"/>
        <w:rPr>
          <w:rFonts w:hint="eastAsia"/>
        </w:rPr>
      </w:pPr>
      <w:r>
        <w:rPr>
          <w:rFonts w:hint="eastAsia"/>
        </w:rPr>
        <w:t>项目管理责任：本项目的主体，关键性工作不允许分包。</w:t>
      </w:r>
    </w:p>
    <w:p w14:paraId="40DBB90C">
      <w:pPr>
        <w:pStyle w:val="2"/>
        <w:spacing w:line="360" w:lineRule="auto"/>
        <w:ind w:left="0" w:right="0" w:firstLine="480" w:firstLineChars="200"/>
        <w:jc w:val="left"/>
      </w:pPr>
      <w:r>
        <w:rPr>
          <w:rFonts w:hint="eastAsia"/>
        </w:rPr>
        <w:t>三、技术要求</w:t>
      </w:r>
    </w:p>
    <w:p w14:paraId="2390186B">
      <w:pPr>
        <w:pStyle w:val="2"/>
        <w:spacing w:line="360" w:lineRule="auto"/>
        <w:ind w:left="0" w:right="0" w:firstLine="480" w:firstLineChars="200"/>
        <w:jc w:val="left"/>
      </w:pPr>
      <w:r>
        <w:rPr>
          <w:rFonts w:hint="eastAsia"/>
        </w:rPr>
        <w:t>技术要求中指标按重要性分为“★”、“#”。★代表实质性指标，不满足该指标项将导致投标被拒绝；#代表重要指标，不满足该项指标将被扣分。</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709"/>
        <w:gridCol w:w="6804"/>
      </w:tblGrid>
      <w:tr w14:paraId="208A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09" w:type="dxa"/>
            <w:noWrap w:val="0"/>
            <w:vAlign w:val="top"/>
          </w:tcPr>
          <w:p w14:paraId="7F892121">
            <w:pPr>
              <w:widowControl/>
              <w:spacing w:line="360" w:lineRule="auto"/>
              <w:jc w:val="center"/>
              <w:rPr>
                <w:rFonts w:ascii="宋体" w:hAnsi="宋体" w:cs="宋体"/>
                <w:kern w:val="0"/>
                <w:sz w:val="20"/>
                <w:szCs w:val="21"/>
              </w:rPr>
            </w:pPr>
            <w:r>
              <w:rPr>
                <w:rFonts w:hint="eastAsia" w:ascii="宋体" w:hAnsi="宋体" w:cs="宋体"/>
                <w:kern w:val="0"/>
                <w:sz w:val="20"/>
                <w:szCs w:val="21"/>
              </w:rPr>
              <w:t>服务事项名称</w:t>
            </w:r>
          </w:p>
        </w:tc>
        <w:tc>
          <w:tcPr>
            <w:tcW w:w="709" w:type="dxa"/>
            <w:noWrap w:val="0"/>
            <w:vAlign w:val="center"/>
          </w:tcPr>
          <w:p w14:paraId="6E242C8F">
            <w:pPr>
              <w:widowControl/>
              <w:spacing w:line="360" w:lineRule="auto"/>
              <w:jc w:val="center"/>
              <w:rPr>
                <w:rFonts w:ascii="宋体" w:hAnsi="宋体" w:cs="宋体"/>
                <w:kern w:val="0"/>
                <w:sz w:val="20"/>
                <w:szCs w:val="21"/>
              </w:rPr>
            </w:pPr>
            <w:bookmarkStart w:id="3" w:name="_Hlk188521020"/>
            <w:r>
              <w:rPr>
                <w:rFonts w:hint="eastAsia" w:ascii="宋体" w:hAnsi="宋体" w:cs="宋体"/>
                <w:kern w:val="0"/>
                <w:sz w:val="20"/>
                <w:szCs w:val="21"/>
              </w:rPr>
              <w:t>序号</w:t>
            </w:r>
          </w:p>
        </w:tc>
        <w:tc>
          <w:tcPr>
            <w:tcW w:w="6804" w:type="dxa"/>
            <w:noWrap w:val="0"/>
            <w:vAlign w:val="center"/>
          </w:tcPr>
          <w:p w14:paraId="2C241E78">
            <w:pPr>
              <w:widowControl/>
              <w:spacing w:line="360" w:lineRule="auto"/>
              <w:jc w:val="center"/>
              <w:rPr>
                <w:rFonts w:ascii="宋体" w:hAnsi="宋体" w:cs="宋体"/>
                <w:kern w:val="0"/>
                <w:sz w:val="20"/>
                <w:szCs w:val="21"/>
              </w:rPr>
            </w:pPr>
            <w:r>
              <w:rPr>
                <w:rFonts w:hint="eastAsia" w:ascii="宋体" w:hAnsi="宋体" w:cs="宋体"/>
                <w:kern w:val="0"/>
                <w:sz w:val="20"/>
                <w:szCs w:val="21"/>
              </w:rPr>
              <w:t>服务要求</w:t>
            </w:r>
          </w:p>
        </w:tc>
      </w:tr>
      <w:tr w14:paraId="6EE0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restart"/>
            <w:noWrap w:val="0"/>
            <w:vAlign w:val="center"/>
          </w:tcPr>
          <w:p w14:paraId="175E1657">
            <w:pPr>
              <w:widowControl/>
              <w:adjustRightInd w:val="0"/>
              <w:spacing w:line="360" w:lineRule="auto"/>
              <w:jc w:val="center"/>
              <w:rPr>
                <w:rFonts w:ascii="宋体" w:hAnsi="宋体" w:cs="宋体"/>
                <w:b/>
                <w:kern w:val="0"/>
                <w:sz w:val="20"/>
                <w:szCs w:val="21"/>
              </w:rPr>
            </w:pPr>
            <w:bookmarkStart w:id="4" w:name="_Hlk189664347"/>
            <w:r>
              <w:rPr>
                <w:rFonts w:hint="eastAsia" w:ascii="宋体" w:hAnsi="宋体" w:cs="宋体"/>
                <w:bCs/>
                <w:kern w:val="0"/>
                <w:sz w:val="20"/>
                <w:szCs w:val="21"/>
              </w:rPr>
              <w:t>互联网出口带宽服务要求</w:t>
            </w:r>
          </w:p>
        </w:tc>
        <w:tc>
          <w:tcPr>
            <w:tcW w:w="709" w:type="dxa"/>
            <w:noWrap w:val="0"/>
            <w:vAlign w:val="center"/>
          </w:tcPr>
          <w:p w14:paraId="48C2BC34">
            <w:pPr>
              <w:widowControl/>
              <w:adjustRightInd w:val="0"/>
              <w:spacing w:line="360" w:lineRule="auto"/>
              <w:jc w:val="center"/>
              <w:rPr>
                <w:rFonts w:ascii="宋体" w:hAnsi="宋体" w:cs="宋体"/>
                <w:kern w:val="0"/>
                <w:sz w:val="20"/>
                <w:szCs w:val="21"/>
              </w:rPr>
            </w:pPr>
            <w:r>
              <w:rPr>
                <w:rFonts w:hint="eastAsia" w:ascii="宋体" w:hAnsi="宋体" w:cs="宋体"/>
                <w:kern w:val="0"/>
                <w:sz w:val="20"/>
              </w:rPr>
              <w:t>★</w:t>
            </w:r>
            <w:r>
              <w:rPr>
                <w:rFonts w:ascii="宋体" w:hAnsi="宋体" w:cs="宋体"/>
                <w:kern w:val="0"/>
                <w:sz w:val="20"/>
                <w:szCs w:val="21"/>
              </w:rPr>
              <w:t>1</w:t>
            </w:r>
          </w:p>
        </w:tc>
        <w:tc>
          <w:tcPr>
            <w:tcW w:w="6804" w:type="dxa"/>
            <w:noWrap w:val="0"/>
            <w:vAlign w:val="center"/>
          </w:tcPr>
          <w:p w14:paraId="0A9CFBB1">
            <w:pPr>
              <w:widowControl/>
              <w:spacing w:line="360" w:lineRule="auto"/>
              <w:jc w:val="left"/>
              <w:rPr>
                <w:rFonts w:ascii="宋体" w:hAnsi="宋体" w:cs="宋体"/>
                <w:kern w:val="0"/>
                <w:sz w:val="20"/>
                <w:szCs w:val="21"/>
              </w:rPr>
            </w:pPr>
            <w:r>
              <w:rPr>
                <w:rFonts w:hint="eastAsia" w:ascii="宋体" w:hAnsi="宋体" w:cs="宋体"/>
                <w:kern w:val="0"/>
                <w:sz w:val="20"/>
                <w:szCs w:val="21"/>
              </w:rPr>
              <w:t>保证采购人教育网互联网出口带宽不低于</w:t>
            </w:r>
            <w:r>
              <w:rPr>
                <w:rFonts w:ascii="宋体" w:hAnsi="宋体" w:cs="宋体"/>
                <w:kern w:val="0"/>
                <w:sz w:val="20"/>
                <w:szCs w:val="21"/>
              </w:rPr>
              <w:t>6</w:t>
            </w:r>
            <w:r>
              <w:rPr>
                <w:rFonts w:hint="eastAsia" w:ascii="宋体" w:hAnsi="宋体" w:cs="宋体"/>
                <w:kern w:val="0"/>
                <w:sz w:val="20"/>
                <w:szCs w:val="21"/>
              </w:rPr>
              <w:t>Gbps，如有特殊需求时期，带宽可突发至20Gbps（须在</w:t>
            </w:r>
            <w:r>
              <w:rPr>
                <w:rFonts w:ascii="宋体" w:hAnsi="宋体" w:cs="宋体"/>
                <w:kern w:val="0"/>
                <w:sz w:val="20"/>
                <w:szCs w:val="21"/>
              </w:rPr>
              <w:t>30分钟内完成升速</w:t>
            </w:r>
            <w:r>
              <w:rPr>
                <w:rFonts w:hint="eastAsia" w:ascii="宋体" w:hAnsi="宋体" w:cs="宋体"/>
                <w:kern w:val="0"/>
                <w:sz w:val="20"/>
                <w:szCs w:val="21"/>
              </w:rPr>
              <w:t>）（提供承诺函并加盖投标人公章）。</w:t>
            </w:r>
          </w:p>
        </w:tc>
      </w:tr>
      <w:tr w14:paraId="599D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709" w:type="dxa"/>
            <w:vMerge w:val="continue"/>
            <w:noWrap w:val="0"/>
            <w:vAlign w:val="center"/>
          </w:tcPr>
          <w:p w14:paraId="39020715">
            <w:pPr>
              <w:widowControl/>
              <w:adjustRightInd w:val="0"/>
              <w:spacing w:line="360" w:lineRule="auto"/>
              <w:jc w:val="center"/>
              <w:rPr>
                <w:rFonts w:ascii="宋体" w:hAnsi="宋体" w:cs="宋体"/>
                <w:kern w:val="0"/>
                <w:sz w:val="20"/>
                <w:szCs w:val="21"/>
              </w:rPr>
            </w:pPr>
          </w:p>
        </w:tc>
        <w:tc>
          <w:tcPr>
            <w:tcW w:w="709" w:type="dxa"/>
            <w:noWrap w:val="0"/>
            <w:vAlign w:val="center"/>
          </w:tcPr>
          <w:p w14:paraId="4BBAD892">
            <w:pPr>
              <w:widowControl/>
              <w:adjustRightInd w:val="0"/>
              <w:spacing w:line="360" w:lineRule="auto"/>
              <w:jc w:val="center"/>
              <w:rPr>
                <w:rFonts w:ascii="宋体" w:hAnsi="宋体" w:cs="宋体"/>
                <w:kern w:val="0"/>
                <w:sz w:val="20"/>
                <w:szCs w:val="21"/>
              </w:rPr>
            </w:pPr>
            <w:r>
              <w:rPr>
                <w:rFonts w:hint="eastAsia" w:ascii="宋体" w:hAnsi="宋体" w:cs="宋体"/>
                <w:kern w:val="0"/>
                <w:sz w:val="20"/>
                <w:szCs w:val="21"/>
              </w:rPr>
              <w:t>2</w:t>
            </w:r>
          </w:p>
        </w:tc>
        <w:tc>
          <w:tcPr>
            <w:tcW w:w="6804" w:type="dxa"/>
            <w:noWrap w:val="0"/>
            <w:vAlign w:val="center"/>
          </w:tcPr>
          <w:p w14:paraId="624188C6">
            <w:pPr>
              <w:widowControl/>
              <w:spacing w:line="360" w:lineRule="auto"/>
              <w:jc w:val="left"/>
              <w:rPr>
                <w:rFonts w:ascii="宋体" w:hAnsi="宋体" w:cs="宋体"/>
                <w:kern w:val="0"/>
                <w:sz w:val="20"/>
                <w:szCs w:val="21"/>
              </w:rPr>
            </w:pPr>
            <w:r>
              <w:rPr>
                <w:rFonts w:hint="eastAsia" w:ascii="宋体" w:hAnsi="宋体" w:cs="宋体"/>
                <w:kern w:val="0"/>
                <w:sz w:val="20"/>
                <w:szCs w:val="21"/>
              </w:rPr>
              <w:t>保证互联网出口网络全年平均可用性不低于99.95%，延迟和抖动不高于20ms。</w:t>
            </w:r>
          </w:p>
        </w:tc>
      </w:tr>
      <w:tr w14:paraId="5636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73604A0D">
            <w:pPr>
              <w:widowControl/>
              <w:adjustRightInd w:val="0"/>
              <w:spacing w:line="360" w:lineRule="auto"/>
              <w:jc w:val="center"/>
              <w:rPr>
                <w:rFonts w:ascii="宋体" w:hAnsi="宋体" w:cs="宋体"/>
                <w:kern w:val="0"/>
                <w:sz w:val="20"/>
                <w:szCs w:val="21"/>
              </w:rPr>
            </w:pPr>
          </w:p>
        </w:tc>
        <w:tc>
          <w:tcPr>
            <w:tcW w:w="709" w:type="dxa"/>
            <w:noWrap w:val="0"/>
            <w:vAlign w:val="center"/>
          </w:tcPr>
          <w:p w14:paraId="6B55A3B5">
            <w:pPr>
              <w:widowControl/>
              <w:adjustRightInd w:val="0"/>
              <w:spacing w:line="360" w:lineRule="auto"/>
              <w:jc w:val="center"/>
              <w:rPr>
                <w:rFonts w:ascii="宋体" w:hAnsi="宋体" w:cs="宋体"/>
                <w:kern w:val="0"/>
                <w:sz w:val="20"/>
                <w:szCs w:val="21"/>
              </w:rPr>
            </w:pPr>
            <w:r>
              <w:rPr>
                <w:rFonts w:hint="eastAsia" w:ascii="宋体" w:hAnsi="宋体" w:cs="宋体"/>
                <w:kern w:val="0"/>
                <w:sz w:val="20"/>
                <w:szCs w:val="21"/>
              </w:rPr>
              <w:t>3</w:t>
            </w:r>
          </w:p>
        </w:tc>
        <w:tc>
          <w:tcPr>
            <w:tcW w:w="6804" w:type="dxa"/>
            <w:noWrap w:val="0"/>
            <w:vAlign w:val="center"/>
          </w:tcPr>
          <w:p w14:paraId="3FE46B1E">
            <w:pPr>
              <w:widowControl/>
              <w:spacing w:line="360" w:lineRule="auto"/>
              <w:jc w:val="left"/>
              <w:rPr>
                <w:rFonts w:ascii="宋体" w:hAnsi="宋体" w:cs="宋体"/>
                <w:kern w:val="0"/>
                <w:sz w:val="20"/>
                <w:szCs w:val="21"/>
              </w:rPr>
            </w:pPr>
            <w:r>
              <w:rPr>
                <w:rFonts w:hint="eastAsia" w:ascii="宋体" w:hAnsi="宋体" w:cs="宋体"/>
                <w:kern w:val="0"/>
                <w:sz w:val="20"/>
                <w:szCs w:val="21"/>
              </w:rPr>
              <w:t>保证出口骨干节点的丢包率不高于0.5%</w:t>
            </w:r>
          </w:p>
        </w:tc>
      </w:tr>
      <w:tr w14:paraId="76DCB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59D536C4">
            <w:pPr>
              <w:widowControl/>
              <w:adjustRightInd w:val="0"/>
              <w:spacing w:line="360" w:lineRule="auto"/>
              <w:jc w:val="center"/>
              <w:rPr>
                <w:rFonts w:ascii="宋体" w:hAnsi="宋体" w:cs="宋体"/>
                <w:b/>
                <w:kern w:val="0"/>
                <w:sz w:val="20"/>
                <w:szCs w:val="21"/>
              </w:rPr>
            </w:pPr>
          </w:p>
        </w:tc>
        <w:tc>
          <w:tcPr>
            <w:tcW w:w="709" w:type="dxa"/>
            <w:noWrap w:val="0"/>
            <w:vAlign w:val="center"/>
          </w:tcPr>
          <w:p w14:paraId="6535C1E4">
            <w:pPr>
              <w:widowControl/>
              <w:adjustRightInd w:val="0"/>
              <w:spacing w:line="360" w:lineRule="auto"/>
              <w:jc w:val="center"/>
              <w:rPr>
                <w:rFonts w:ascii="宋体" w:hAnsi="宋体" w:cs="宋体"/>
                <w:kern w:val="0"/>
                <w:sz w:val="20"/>
                <w:szCs w:val="21"/>
              </w:rPr>
            </w:pPr>
            <w:r>
              <w:rPr>
                <w:rFonts w:hint="eastAsia" w:ascii="宋体" w:hAnsi="宋体" w:cs="宋体"/>
                <w:b/>
                <w:kern w:val="0"/>
                <w:sz w:val="20"/>
                <w:szCs w:val="21"/>
              </w:rPr>
              <w:t>#</w:t>
            </w:r>
            <w:r>
              <w:rPr>
                <w:rFonts w:hint="eastAsia" w:ascii="宋体" w:hAnsi="宋体" w:cs="宋体"/>
                <w:kern w:val="0"/>
                <w:sz w:val="20"/>
                <w:szCs w:val="21"/>
              </w:rPr>
              <w:t>4</w:t>
            </w:r>
          </w:p>
        </w:tc>
        <w:tc>
          <w:tcPr>
            <w:tcW w:w="6804" w:type="dxa"/>
            <w:noWrap w:val="0"/>
            <w:vAlign w:val="center"/>
          </w:tcPr>
          <w:p w14:paraId="7C68EA81">
            <w:pPr>
              <w:widowControl/>
              <w:spacing w:line="360" w:lineRule="auto"/>
              <w:jc w:val="left"/>
              <w:rPr>
                <w:rFonts w:ascii="宋体" w:hAnsi="宋体" w:cs="宋体"/>
                <w:kern w:val="0"/>
                <w:sz w:val="20"/>
                <w:szCs w:val="21"/>
              </w:rPr>
            </w:pPr>
            <w:r>
              <w:rPr>
                <w:rFonts w:hint="eastAsia" w:ascii="宋体" w:hAnsi="宋体" w:cs="宋体"/>
                <w:kern w:val="0"/>
                <w:sz w:val="20"/>
                <w:szCs w:val="21"/>
              </w:rPr>
              <w:t>投标人需承诺提供的互联网物理接口带宽需要大于实际带宽最少</w:t>
            </w:r>
            <w:r>
              <w:rPr>
                <w:rFonts w:ascii="宋体" w:hAnsi="宋体" w:cs="宋体"/>
                <w:kern w:val="0"/>
                <w:sz w:val="20"/>
                <w:szCs w:val="21"/>
              </w:rPr>
              <w:t>3倍（20Gbps）（提供承诺函与证明材料并加盖投标人公章）</w:t>
            </w:r>
            <w:r>
              <w:rPr>
                <w:rFonts w:hint="eastAsia" w:ascii="宋体" w:hAnsi="宋体" w:cs="宋体"/>
                <w:kern w:val="0"/>
                <w:sz w:val="20"/>
                <w:szCs w:val="21"/>
              </w:rPr>
              <w:t>。</w:t>
            </w:r>
          </w:p>
        </w:tc>
      </w:tr>
      <w:tr w14:paraId="57BD1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3D2FC7ED">
            <w:pPr>
              <w:widowControl/>
              <w:adjustRightInd w:val="0"/>
              <w:spacing w:line="360" w:lineRule="auto"/>
              <w:jc w:val="center"/>
              <w:rPr>
                <w:rFonts w:ascii="宋体" w:hAnsi="宋体" w:cs="宋体"/>
                <w:kern w:val="0"/>
                <w:sz w:val="20"/>
                <w:szCs w:val="21"/>
              </w:rPr>
            </w:pPr>
          </w:p>
        </w:tc>
        <w:tc>
          <w:tcPr>
            <w:tcW w:w="709" w:type="dxa"/>
            <w:noWrap w:val="0"/>
            <w:vAlign w:val="center"/>
          </w:tcPr>
          <w:p w14:paraId="4CECF95E">
            <w:pPr>
              <w:widowControl/>
              <w:adjustRightInd w:val="0"/>
              <w:spacing w:line="360" w:lineRule="auto"/>
              <w:jc w:val="center"/>
              <w:rPr>
                <w:rFonts w:ascii="宋体" w:hAnsi="宋体" w:cs="宋体"/>
                <w:kern w:val="0"/>
                <w:sz w:val="20"/>
                <w:szCs w:val="21"/>
              </w:rPr>
            </w:pPr>
            <w:r>
              <w:rPr>
                <w:rFonts w:hint="eastAsia" w:ascii="宋体" w:hAnsi="宋体" w:cs="宋体"/>
                <w:kern w:val="0"/>
                <w:sz w:val="20"/>
              </w:rPr>
              <w:t>★</w:t>
            </w:r>
            <w:r>
              <w:rPr>
                <w:rFonts w:hint="eastAsia" w:ascii="宋体" w:hAnsi="宋体" w:cs="宋体"/>
                <w:kern w:val="0"/>
                <w:sz w:val="20"/>
                <w:szCs w:val="21"/>
              </w:rPr>
              <w:t>5</w:t>
            </w:r>
          </w:p>
        </w:tc>
        <w:tc>
          <w:tcPr>
            <w:tcW w:w="6804" w:type="dxa"/>
            <w:noWrap w:val="0"/>
            <w:vAlign w:val="center"/>
          </w:tcPr>
          <w:p w14:paraId="58BD3D69">
            <w:pPr>
              <w:widowControl/>
              <w:spacing w:line="360" w:lineRule="auto"/>
              <w:jc w:val="left"/>
              <w:rPr>
                <w:rFonts w:ascii="宋体" w:hAnsi="宋体" w:cs="宋体"/>
                <w:kern w:val="0"/>
                <w:sz w:val="20"/>
                <w:szCs w:val="21"/>
              </w:rPr>
            </w:pPr>
            <w:r>
              <w:rPr>
                <w:rFonts w:hint="eastAsia" w:ascii="宋体" w:hAnsi="宋体" w:cs="宋体"/>
                <w:kern w:val="0"/>
                <w:sz w:val="20"/>
                <w:szCs w:val="21"/>
              </w:rPr>
              <w:t>链路接入要求：（1）提供不同物理路由双链路接入良乡主校区；（2）提供单路由链路接入阜成路校区；（3）提供骨干节点至北区（教学楼及宿舍楼）光纤链路，每栋楼宇光纤数量不少于</w:t>
            </w:r>
            <w:r>
              <w:rPr>
                <w:rFonts w:ascii="宋体" w:hAnsi="宋体" w:cs="宋体"/>
                <w:kern w:val="0"/>
                <w:sz w:val="20"/>
                <w:szCs w:val="21"/>
              </w:rPr>
              <w:t>6</w:t>
            </w:r>
            <w:r>
              <w:rPr>
                <w:rFonts w:hint="eastAsia" w:ascii="宋体" w:hAnsi="宋体" w:cs="宋体"/>
                <w:kern w:val="0"/>
                <w:sz w:val="20"/>
                <w:szCs w:val="21"/>
              </w:rPr>
              <w:t>芯。提供光缆路由图等相关证明材料并加盖投标人公章。</w:t>
            </w:r>
          </w:p>
        </w:tc>
      </w:tr>
      <w:tr w14:paraId="2055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42676498">
            <w:pPr>
              <w:widowControl/>
              <w:adjustRightInd w:val="0"/>
              <w:spacing w:line="360" w:lineRule="auto"/>
              <w:jc w:val="center"/>
              <w:rPr>
                <w:rFonts w:ascii="宋体" w:hAnsi="宋体" w:cs="宋体"/>
                <w:b/>
                <w:kern w:val="0"/>
                <w:sz w:val="20"/>
                <w:szCs w:val="21"/>
              </w:rPr>
            </w:pPr>
          </w:p>
        </w:tc>
        <w:tc>
          <w:tcPr>
            <w:tcW w:w="709" w:type="dxa"/>
            <w:noWrap w:val="0"/>
            <w:vAlign w:val="center"/>
          </w:tcPr>
          <w:p w14:paraId="684D6753">
            <w:pPr>
              <w:widowControl/>
              <w:adjustRightInd w:val="0"/>
              <w:spacing w:line="360" w:lineRule="auto"/>
              <w:jc w:val="center"/>
              <w:rPr>
                <w:rFonts w:ascii="宋体" w:hAnsi="宋体" w:cs="宋体"/>
                <w:kern w:val="0"/>
                <w:sz w:val="20"/>
                <w:szCs w:val="21"/>
              </w:rPr>
            </w:pPr>
            <w:r>
              <w:rPr>
                <w:rFonts w:ascii="宋体" w:hAnsi="宋体" w:cs="宋体"/>
                <w:kern w:val="0"/>
                <w:sz w:val="20"/>
                <w:szCs w:val="21"/>
              </w:rPr>
              <w:t>6</w:t>
            </w:r>
          </w:p>
        </w:tc>
        <w:tc>
          <w:tcPr>
            <w:tcW w:w="6804" w:type="dxa"/>
            <w:noWrap w:val="0"/>
            <w:vAlign w:val="center"/>
          </w:tcPr>
          <w:p w14:paraId="38EDA1C7">
            <w:pPr>
              <w:widowControl/>
              <w:spacing w:line="360" w:lineRule="auto"/>
              <w:jc w:val="left"/>
              <w:rPr>
                <w:rFonts w:ascii="宋体" w:hAnsi="宋体" w:cs="宋体"/>
                <w:kern w:val="0"/>
                <w:sz w:val="20"/>
                <w:szCs w:val="21"/>
              </w:rPr>
            </w:pPr>
            <w:r>
              <w:rPr>
                <w:rFonts w:hint="eastAsia" w:ascii="宋体" w:hAnsi="宋体" w:cs="宋体"/>
                <w:kern w:val="0"/>
                <w:sz w:val="20"/>
                <w:szCs w:val="21"/>
              </w:rPr>
              <w:t>IP地址要求：提供</w:t>
            </w:r>
            <w:r>
              <w:rPr>
                <w:rFonts w:ascii="宋体" w:hAnsi="宋体" w:cs="宋体"/>
                <w:kern w:val="0"/>
                <w:sz w:val="20"/>
                <w:szCs w:val="21"/>
              </w:rPr>
              <w:t>4</w:t>
            </w:r>
            <w:r>
              <w:rPr>
                <w:rFonts w:hint="eastAsia" w:ascii="宋体" w:hAnsi="宋体" w:cs="宋体"/>
                <w:kern w:val="0"/>
                <w:sz w:val="20"/>
                <w:szCs w:val="21"/>
              </w:rPr>
              <w:t>C IP</w:t>
            </w:r>
            <w:r>
              <w:rPr>
                <w:rFonts w:ascii="宋体" w:hAnsi="宋体" w:cs="宋体"/>
                <w:kern w:val="0"/>
                <w:sz w:val="20"/>
                <w:szCs w:val="21"/>
              </w:rPr>
              <w:t>v</w:t>
            </w:r>
            <w:r>
              <w:rPr>
                <w:rFonts w:hint="eastAsia" w:ascii="宋体" w:hAnsi="宋体" w:cs="宋体"/>
                <w:kern w:val="0"/>
                <w:sz w:val="20"/>
                <w:szCs w:val="21"/>
              </w:rPr>
              <w:t>4合法地址及</w:t>
            </w:r>
            <w:r>
              <w:rPr>
                <w:rFonts w:ascii="宋体" w:hAnsi="宋体" w:cs="宋体"/>
                <w:kern w:val="0"/>
                <w:sz w:val="20"/>
                <w:szCs w:val="21"/>
              </w:rPr>
              <w:t>48</w:t>
            </w:r>
            <w:r>
              <w:rPr>
                <w:rFonts w:hint="eastAsia" w:ascii="宋体" w:hAnsi="宋体" w:cs="宋体"/>
                <w:kern w:val="0"/>
                <w:sz w:val="20"/>
                <w:szCs w:val="21"/>
              </w:rPr>
              <w:t>位的IPv</w:t>
            </w:r>
            <w:r>
              <w:rPr>
                <w:rFonts w:ascii="宋体" w:hAnsi="宋体" w:cs="宋体"/>
                <w:kern w:val="0"/>
                <w:sz w:val="20"/>
                <w:szCs w:val="21"/>
              </w:rPr>
              <w:t>6</w:t>
            </w:r>
            <w:r>
              <w:rPr>
                <w:rFonts w:hint="eastAsia" w:ascii="宋体" w:hAnsi="宋体" w:cs="宋体"/>
                <w:kern w:val="0"/>
                <w:sz w:val="20"/>
                <w:szCs w:val="21"/>
              </w:rPr>
              <w:t>合法地址作为终端设备及服务器的IP地址使用；如提供的</w:t>
            </w:r>
            <w:r>
              <w:rPr>
                <w:rFonts w:ascii="宋体" w:hAnsi="宋体" w:cs="宋体"/>
                <w:kern w:val="0"/>
                <w:sz w:val="20"/>
                <w:szCs w:val="21"/>
              </w:rPr>
              <w:t>IP地址不包含</w:t>
            </w:r>
            <w:r>
              <w:rPr>
                <w:rFonts w:hint="eastAsia" w:ascii="宋体" w:hAnsi="宋体" w:cs="宋体"/>
                <w:kern w:val="0"/>
                <w:sz w:val="20"/>
                <w:szCs w:val="21"/>
              </w:rPr>
              <w:t>采购人</w:t>
            </w:r>
            <w:r>
              <w:rPr>
                <w:rFonts w:ascii="宋体" w:hAnsi="宋体" w:cs="宋体"/>
                <w:kern w:val="0"/>
                <w:sz w:val="20"/>
                <w:szCs w:val="21"/>
              </w:rPr>
              <w:t>现有IP地址，需提供相应IP地址割接方案，并保证割接时间在6小时内完成；</w:t>
            </w:r>
            <w:r>
              <w:rPr>
                <w:rFonts w:hint="eastAsia" w:ascii="宋体" w:hAnsi="宋体" w:cs="宋体"/>
                <w:kern w:val="0"/>
                <w:sz w:val="20"/>
                <w:szCs w:val="21"/>
              </w:rPr>
              <w:t>拟投标</w:t>
            </w:r>
            <w:r>
              <w:rPr>
                <w:rFonts w:ascii="宋体" w:hAnsi="宋体" w:cs="宋体"/>
                <w:kern w:val="0"/>
                <w:sz w:val="20"/>
                <w:szCs w:val="21"/>
              </w:rPr>
              <w:t>IP地址需</w:t>
            </w:r>
            <w:r>
              <w:rPr>
                <w:rFonts w:hint="eastAsia" w:ascii="宋体" w:hAnsi="宋体" w:cs="宋体"/>
                <w:kern w:val="0"/>
                <w:sz w:val="20"/>
                <w:szCs w:val="21"/>
              </w:rPr>
              <w:t>提供中国互联网信息中心授权凭证</w:t>
            </w:r>
            <w:r>
              <w:rPr>
                <w:rFonts w:ascii="宋体" w:hAnsi="宋体" w:cs="宋体"/>
                <w:kern w:val="0"/>
                <w:sz w:val="20"/>
                <w:szCs w:val="21"/>
              </w:rPr>
              <w:t>并加盖投标人公章</w:t>
            </w:r>
            <w:r>
              <w:rPr>
                <w:rFonts w:hint="eastAsia" w:ascii="宋体" w:hAnsi="宋体" w:cs="宋体"/>
                <w:kern w:val="0"/>
                <w:sz w:val="20"/>
                <w:szCs w:val="21"/>
              </w:rPr>
              <w:t>。</w:t>
            </w:r>
          </w:p>
        </w:tc>
      </w:tr>
      <w:tr w14:paraId="18628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2C0E2FFC">
            <w:pPr>
              <w:widowControl/>
              <w:adjustRightInd w:val="0"/>
              <w:spacing w:line="360" w:lineRule="auto"/>
              <w:jc w:val="center"/>
              <w:rPr>
                <w:rFonts w:ascii="宋体" w:hAnsi="宋体" w:cs="宋体"/>
                <w:b/>
                <w:kern w:val="0"/>
                <w:sz w:val="20"/>
                <w:szCs w:val="21"/>
              </w:rPr>
            </w:pPr>
          </w:p>
        </w:tc>
        <w:tc>
          <w:tcPr>
            <w:tcW w:w="709" w:type="dxa"/>
            <w:noWrap w:val="0"/>
            <w:vAlign w:val="center"/>
          </w:tcPr>
          <w:p w14:paraId="4FD2348E">
            <w:pPr>
              <w:widowControl/>
              <w:adjustRightInd w:val="0"/>
              <w:spacing w:line="360" w:lineRule="auto"/>
              <w:jc w:val="center"/>
              <w:rPr>
                <w:rFonts w:ascii="宋体" w:hAnsi="宋体" w:cs="宋体"/>
                <w:kern w:val="0"/>
                <w:sz w:val="20"/>
                <w:szCs w:val="21"/>
              </w:rPr>
            </w:pPr>
            <w:r>
              <w:rPr>
                <w:rFonts w:hint="eastAsia" w:ascii="宋体" w:hAnsi="宋体" w:cs="宋体"/>
                <w:kern w:val="0"/>
                <w:sz w:val="20"/>
                <w:szCs w:val="21"/>
              </w:rPr>
              <w:t>7</w:t>
            </w:r>
          </w:p>
        </w:tc>
        <w:tc>
          <w:tcPr>
            <w:tcW w:w="6804" w:type="dxa"/>
            <w:noWrap w:val="0"/>
            <w:vAlign w:val="center"/>
          </w:tcPr>
          <w:p w14:paraId="5A617909">
            <w:pPr>
              <w:widowControl/>
              <w:spacing w:line="360" w:lineRule="auto"/>
              <w:jc w:val="left"/>
              <w:rPr>
                <w:rFonts w:ascii="宋体" w:hAnsi="宋体" w:cs="宋体"/>
                <w:kern w:val="0"/>
                <w:sz w:val="20"/>
                <w:szCs w:val="21"/>
              </w:rPr>
            </w:pPr>
            <w:r>
              <w:rPr>
                <w:rFonts w:hint="eastAsia" w:ascii="宋体" w:hAnsi="宋体" w:cs="宋体"/>
                <w:kern w:val="0"/>
                <w:sz w:val="20"/>
                <w:szCs w:val="21"/>
              </w:rPr>
              <w:t>针对采购人需求，需提供有效且可实施的IP地址割接方案。</w:t>
            </w:r>
          </w:p>
        </w:tc>
      </w:tr>
      <w:tr w14:paraId="3BD7A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5404D251">
            <w:pPr>
              <w:widowControl/>
              <w:adjustRightInd w:val="0"/>
              <w:spacing w:line="360" w:lineRule="auto"/>
              <w:jc w:val="center"/>
              <w:rPr>
                <w:rFonts w:ascii="宋体" w:hAnsi="宋体" w:cs="宋体"/>
                <w:b/>
                <w:kern w:val="0"/>
                <w:sz w:val="20"/>
                <w:szCs w:val="21"/>
              </w:rPr>
            </w:pPr>
          </w:p>
        </w:tc>
        <w:tc>
          <w:tcPr>
            <w:tcW w:w="709" w:type="dxa"/>
            <w:noWrap w:val="0"/>
            <w:vAlign w:val="center"/>
          </w:tcPr>
          <w:p w14:paraId="77333141">
            <w:pPr>
              <w:widowControl/>
              <w:adjustRightInd w:val="0"/>
              <w:spacing w:line="360" w:lineRule="auto"/>
              <w:jc w:val="center"/>
              <w:rPr>
                <w:rFonts w:ascii="宋体" w:hAnsi="宋体" w:cs="宋体"/>
                <w:kern w:val="0"/>
                <w:sz w:val="20"/>
                <w:szCs w:val="21"/>
              </w:rPr>
            </w:pPr>
            <w:r>
              <w:rPr>
                <w:rFonts w:hint="eastAsia" w:ascii="宋体" w:hAnsi="宋体" w:cs="宋体"/>
                <w:kern w:val="0"/>
                <w:sz w:val="20"/>
              </w:rPr>
              <w:t>★</w:t>
            </w:r>
            <w:r>
              <w:rPr>
                <w:rFonts w:hint="eastAsia" w:ascii="宋体" w:hAnsi="宋体" w:cs="宋体"/>
                <w:kern w:val="0"/>
                <w:sz w:val="20"/>
                <w:szCs w:val="21"/>
              </w:rPr>
              <w:t>8</w:t>
            </w:r>
          </w:p>
        </w:tc>
        <w:tc>
          <w:tcPr>
            <w:tcW w:w="6804" w:type="dxa"/>
            <w:noWrap w:val="0"/>
            <w:vAlign w:val="center"/>
          </w:tcPr>
          <w:p w14:paraId="62307486">
            <w:pPr>
              <w:widowControl/>
              <w:spacing w:line="360" w:lineRule="auto"/>
              <w:jc w:val="left"/>
              <w:rPr>
                <w:rFonts w:ascii="宋体" w:hAnsi="宋体" w:cs="宋体"/>
                <w:kern w:val="0"/>
                <w:sz w:val="20"/>
                <w:szCs w:val="21"/>
              </w:rPr>
            </w:pPr>
            <w:r>
              <w:rPr>
                <w:rFonts w:hint="eastAsia" w:ascii="宋体" w:hAnsi="宋体" w:cs="宋体"/>
                <w:kern w:val="0"/>
                <w:sz w:val="20"/>
                <w:szCs w:val="21"/>
              </w:rPr>
              <w:t>路由配置应实现BGP路由动态优化。证明材料为加盖投标人公章的承诺函。</w:t>
            </w:r>
          </w:p>
        </w:tc>
      </w:tr>
      <w:tr w14:paraId="2371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1F04C4FF">
            <w:pPr>
              <w:widowControl/>
              <w:adjustRightInd w:val="0"/>
              <w:spacing w:line="360" w:lineRule="auto"/>
              <w:jc w:val="center"/>
              <w:rPr>
                <w:rFonts w:ascii="宋体" w:hAnsi="宋体" w:cs="宋体"/>
                <w:kern w:val="0"/>
                <w:sz w:val="20"/>
                <w:szCs w:val="21"/>
              </w:rPr>
            </w:pPr>
          </w:p>
        </w:tc>
        <w:tc>
          <w:tcPr>
            <w:tcW w:w="709" w:type="dxa"/>
            <w:noWrap w:val="0"/>
            <w:vAlign w:val="center"/>
          </w:tcPr>
          <w:p w14:paraId="75B1EFB9">
            <w:pPr>
              <w:widowControl/>
              <w:adjustRightInd w:val="0"/>
              <w:spacing w:line="360" w:lineRule="auto"/>
              <w:jc w:val="center"/>
              <w:rPr>
                <w:rFonts w:ascii="宋体" w:hAnsi="宋体" w:cs="宋体"/>
                <w:kern w:val="0"/>
                <w:sz w:val="20"/>
                <w:szCs w:val="21"/>
              </w:rPr>
            </w:pPr>
            <w:r>
              <w:rPr>
                <w:rFonts w:ascii="宋体" w:hAnsi="宋体" w:cs="宋体"/>
                <w:kern w:val="0"/>
                <w:sz w:val="20"/>
                <w:szCs w:val="21"/>
              </w:rPr>
              <w:t>9</w:t>
            </w:r>
          </w:p>
        </w:tc>
        <w:tc>
          <w:tcPr>
            <w:tcW w:w="6804" w:type="dxa"/>
            <w:noWrap w:val="0"/>
            <w:vAlign w:val="center"/>
          </w:tcPr>
          <w:p w14:paraId="00DD2620">
            <w:pPr>
              <w:widowControl/>
              <w:spacing w:line="360" w:lineRule="auto"/>
              <w:jc w:val="left"/>
              <w:rPr>
                <w:rFonts w:ascii="宋体" w:hAnsi="宋体" w:cs="宋体"/>
                <w:kern w:val="0"/>
                <w:sz w:val="20"/>
                <w:szCs w:val="21"/>
              </w:rPr>
            </w:pPr>
            <w:r>
              <w:rPr>
                <w:rFonts w:hint="eastAsia" w:ascii="宋体" w:hAnsi="宋体" w:cs="宋体"/>
                <w:kern w:val="0"/>
                <w:sz w:val="20"/>
                <w:szCs w:val="21"/>
              </w:rPr>
              <w:t>技术服务支持要求：</w:t>
            </w:r>
          </w:p>
          <w:p w14:paraId="233CD5DD">
            <w:pPr>
              <w:widowControl/>
              <w:spacing w:line="360" w:lineRule="auto"/>
              <w:jc w:val="left"/>
              <w:rPr>
                <w:rFonts w:ascii="宋体" w:hAnsi="宋体" w:cs="宋体"/>
                <w:kern w:val="0"/>
                <w:sz w:val="20"/>
                <w:szCs w:val="21"/>
              </w:rPr>
            </w:pPr>
            <w:r>
              <w:rPr>
                <w:rFonts w:hint="eastAsia" w:ascii="宋体" w:hAnsi="宋体" w:cs="宋体"/>
                <w:kern w:val="0"/>
                <w:sz w:val="20"/>
                <w:szCs w:val="21"/>
              </w:rPr>
              <w:t>（1）电话服务支持：提供7×24小时技术支持服务热线，由专业技术支持人员提供技术支持服务。</w:t>
            </w:r>
          </w:p>
          <w:p w14:paraId="22C6F7BC">
            <w:pPr>
              <w:widowControl/>
              <w:spacing w:line="360" w:lineRule="auto"/>
              <w:jc w:val="left"/>
              <w:rPr>
                <w:rFonts w:ascii="宋体" w:hAnsi="宋体" w:cs="宋体"/>
                <w:kern w:val="0"/>
                <w:sz w:val="20"/>
                <w:szCs w:val="21"/>
              </w:rPr>
            </w:pPr>
            <w:r>
              <w:rPr>
                <w:rFonts w:hint="eastAsia" w:ascii="宋体" w:hAnsi="宋体" w:cs="宋体"/>
                <w:kern w:val="0"/>
                <w:sz w:val="20"/>
                <w:szCs w:val="21"/>
              </w:rPr>
              <w:t>（2）重大活动技术保障：对于重大重要活动（如国庆、高考、招生报名等），在活动前应进行设备、光缆等设备设施的全方面巡检。在活动期间，应配合采购人要求进行7×24小时现场值守保障。</w:t>
            </w:r>
          </w:p>
          <w:p w14:paraId="056DA6DC">
            <w:pPr>
              <w:widowControl/>
              <w:spacing w:line="360" w:lineRule="auto"/>
              <w:jc w:val="left"/>
              <w:rPr>
                <w:rFonts w:ascii="宋体" w:hAnsi="宋体" w:cs="宋体"/>
                <w:kern w:val="0"/>
                <w:sz w:val="20"/>
                <w:szCs w:val="21"/>
              </w:rPr>
            </w:pPr>
            <w:r>
              <w:rPr>
                <w:rFonts w:hint="eastAsia" w:ascii="宋体" w:hAnsi="宋体" w:cs="宋体"/>
                <w:kern w:val="0"/>
                <w:sz w:val="20"/>
                <w:szCs w:val="21"/>
              </w:rPr>
              <w:t>（3）故障处理保障：需要具有完整的故障处理标准体系，完整的故障处理流程，故障处理问责制度等相关管理要求；网络故障发生时，应在5分钟内通知采购人相关负责人，并在60分钟内给出故障判断报告；如需现场服务，应在4小时内到达现场，8小时内排除故障、恢复通讯，并及时向采购人相关负责人通告故障处理进展情况。</w:t>
            </w:r>
          </w:p>
          <w:p w14:paraId="788D853E">
            <w:pPr>
              <w:widowControl/>
              <w:spacing w:line="360" w:lineRule="auto"/>
              <w:jc w:val="left"/>
              <w:rPr>
                <w:rFonts w:ascii="宋体" w:hAnsi="宋体" w:cs="宋体"/>
                <w:kern w:val="0"/>
                <w:sz w:val="20"/>
                <w:szCs w:val="21"/>
              </w:rPr>
            </w:pPr>
            <w:r>
              <w:rPr>
                <w:rFonts w:hint="eastAsia" w:ascii="宋体" w:hAnsi="宋体" w:cs="宋体"/>
                <w:kern w:val="0"/>
                <w:sz w:val="20"/>
                <w:szCs w:val="21"/>
              </w:rPr>
              <w:t>（4）运维技术支持：需具有完备的运行维护服务保障制度，保证互联网出口带宽网络的正常运行，如采购人需要，应提供网络实时流量分析、通断报警监测等报表，网页方式提供天、周、月的流量图。</w:t>
            </w:r>
          </w:p>
        </w:tc>
      </w:tr>
      <w:tr w14:paraId="0D1D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3D8FFF74">
            <w:pPr>
              <w:widowControl/>
              <w:adjustRightInd w:val="0"/>
              <w:spacing w:line="360" w:lineRule="auto"/>
              <w:jc w:val="center"/>
              <w:rPr>
                <w:rFonts w:ascii="宋体" w:hAnsi="宋体" w:cs="宋体"/>
                <w:kern w:val="0"/>
                <w:sz w:val="20"/>
                <w:szCs w:val="21"/>
              </w:rPr>
            </w:pPr>
          </w:p>
        </w:tc>
        <w:tc>
          <w:tcPr>
            <w:tcW w:w="709" w:type="dxa"/>
            <w:noWrap w:val="0"/>
            <w:vAlign w:val="center"/>
          </w:tcPr>
          <w:p w14:paraId="4204E258">
            <w:pPr>
              <w:widowControl/>
              <w:adjustRightInd w:val="0"/>
              <w:spacing w:line="360" w:lineRule="auto"/>
              <w:jc w:val="center"/>
              <w:rPr>
                <w:rFonts w:ascii="宋体" w:hAnsi="宋体" w:cs="宋体"/>
                <w:kern w:val="0"/>
                <w:sz w:val="20"/>
                <w:szCs w:val="21"/>
              </w:rPr>
            </w:pPr>
            <w:r>
              <w:rPr>
                <w:rFonts w:ascii="宋体" w:hAnsi="宋体" w:cs="宋体"/>
                <w:kern w:val="0"/>
                <w:sz w:val="20"/>
                <w:szCs w:val="21"/>
              </w:rPr>
              <w:t>10</w:t>
            </w:r>
          </w:p>
        </w:tc>
        <w:tc>
          <w:tcPr>
            <w:tcW w:w="6804" w:type="dxa"/>
            <w:noWrap w:val="0"/>
            <w:vAlign w:val="center"/>
          </w:tcPr>
          <w:p w14:paraId="4D8AEA00">
            <w:pPr>
              <w:widowControl/>
              <w:spacing w:line="360" w:lineRule="auto"/>
              <w:jc w:val="left"/>
              <w:rPr>
                <w:rFonts w:ascii="宋体" w:hAnsi="宋体" w:cs="宋体"/>
                <w:kern w:val="0"/>
                <w:sz w:val="20"/>
                <w:szCs w:val="21"/>
              </w:rPr>
            </w:pPr>
            <w:r>
              <w:rPr>
                <w:rFonts w:hint="eastAsia" w:ascii="宋体" w:hAnsi="宋体" w:cs="宋体"/>
                <w:kern w:val="0"/>
                <w:sz w:val="20"/>
                <w:szCs w:val="21"/>
              </w:rPr>
              <w:t>优化网络平台资源访问需求：为能更好更快的访问北京市教委提供的相关教育平台资源网站，如北京市学籍管理平台、北京市教育公共管理平台、北京市学生卡管理与应用服务平台、北京市健康信息管理系统、北京教育系统卫生与健康管理平台、义务教育入学服务平台、社会大课堂管理监控平台系统、北京市学生综合素质平台系统等等相关教育应用平台系统，需投标人提供访问以上平台资源优化的方案。</w:t>
            </w:r>
          </w:p>
        </w:tc>
      </w:tr>
      <w:tr w14:paraId="34D4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09" w:type="dxa"/>
            <w:vMerge w:val="continue"/>
            <w:noWrap w:val="0"/>
            <w:vAlign w:val="center"/>
          </w:tcPr>
          <w:p w14:paraId="3F209D05">
            <w:pPr>
              <w:widowControl/>
              <w:adjustRightInd w:val="0"/>
              <w:spacing w:line="360" w:lineRule="auto"/>
              <w:jc w:val="center"/>
              <w:rPr>
                <w:rFonts w:ascii="宋体" w:hAnsi="宋体" w:cs="宋体"/>
                <w:b/>
                <w:kern w:val="0"/>
                <w:sz w:val="20"/>
                <w:szCs w:val="21"/>
              </w:rPr>
            </w:pPr>
          </w:p>
        </w:tc>
        <w:tc>
          <w:tcPr>
            <w:tcW w:w="709" w:type="dxa"/>
            <w:noWrap w:val="0"/>
            <w:vAlign w:val="center"/>
          </w:tcPr>
          <w:p w14:paraId="2FEAFC54">
            <w:pPr>
              <w:widowControl/>
              <w:adjustRightInd w:val="0"/>
              <w:spacing w:line="360" w:lineRule="auto"/>
              <w:jc w:val="center"/>
              <w:rPr>
                <w:rFonts w:ascii="宋体" w:hAnsi="宋体" w:cs="宋体"/>
                <w:kern w:val="0"/>
                <w:sz w:val="20"/>
                <w:szCs w:val="21"/>
              </w:rPr>
            </w:pPr>
            <w:r>
              <w:rPr>
                <w:rFonts w:hint="eastAsia" w:ascii="宋体" w:hAnsi="宋体" w:cs="宋体"/>
                <w:b/>
                <w:kern w:val="0"/>
                <w:sz w:val="20"/>
                <w:szCs w:val="21"/>
              </w:rPr>
              <w:t>#</w:t>
            </w:r>
            <w:r>
              <w:rPr>
                <w:rFonts w:ascii="宋体" w:hAnsi="宋体" w:cs="宋体"/>
                <w:kern w:val="0"/>
                <w:sz w:val="20"/>
                <w:szCs w:val="21"/>
              </w:rPr>
              <w:t>11</w:t>
            </w:r>
          </w:p>
        </w:tc>
        <w:tc>
          <w:tcPr>
            <w:tcW w:w="6804" w:type="dxa"/>
            <w:noWrap w:val="0"/>
            <w:vAlign w:val="center"/>
          </w:tcPr>
          <w:p w14:paraId="59BEBF71">
            <w:pPr>
              <w:widowControl/>
              <w:spacing w:line="360" w:lineRule="auto"/>
              <w:jc w:val="left"/>
              <w:rPr>
                <w:rFonts w:ascii="宋体" w:hAnsi="宋体" w:cs="宋体"/>
                <w:kern w:val="0"/>
                <w:sz w:val="20"/>
                <w:szCs w:val="21"/>
              </w:rPr>
            </w:pPr>
            <w:r>
              <w:rPr>
                <w:rFonts w:hint="eastAsia" w:ascii="宋体" w:hAnsi="宋体" w:cs="宋体"/>
                <w:kern w:val="0"/>
                <w:sz w:val="20"/>
                <w:szCs w:val="21"/>
              </w:rPr>
              <w:t>主备切换能力：可实现主线链路与备线链路之间的带宽动态调节，故障时自由切换时间不高于300</w:t>
            </w:r>
            <w:r>
              <w:rPr>
                <w:rFonts w:ascii="宋体" w:hAnsi="宋体" w:cs="宋体"/>
                <w:kern w:val="0"/>
                <w:sz w:val="20"/>
                <w:szCs w:val="21"/>
              </w:rPr>
              <w:t>s</w:t>
            </w:r>
            <w:r>
              <w:rPr>
                <w:rFonts w:hint="eastAsia" w:ascii="宋体" w:hAnsi="宋体" w:cs="宋体"/>
                <w:kern w:val="0"/>
                <w:sz w:val="20"/>
                <w:szCs w:val="21"/>
              </w:rPr>
              <w:t>（提供承诺函与证明材料并加盖投标人公章）。</w:t>
            </w:r>
          </w:p>
        </w:tc>
      </w:tr>
      <w:bookmarkEnd w:id="4"/>
      <w:tr w14:paraId="5C4F1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restart"/>
            <w:noWrap w:val="0"/>
            <w:vAlign w:val="center"/>
          </w:tcPr>
          <w:p w14:paraId="0505DBD5">
            <w:pPr>
              <w:widowControl/>
              <w:adjustRightInd w:val="0"/>
              <w:spacing w:line="360" w:lineRule="auto"/>
              <w:jc w:val="center"/>
              <w:rPr>
                <w:rFonts w:ascii="宋体" w:hAnsi="宋体" w:cs="宋体"/>
                <w:kern w:val="0"/>
                <w:sz w:val="20"/>
                <w:szCs w:val="21"/>
              </w:rPr>
            </w:pPr>
            <w:r>
              <w:rPr>
                <w:rFonts w:hint="eastAsia" w:ascii="宋体" w:hAnsi="宋体" w:cs="宋体"/>
                <w:kern w:val="0"/>
                <w:sz w:val="20"/>
                <w:szCs w:val="21"/>
              </w:rPr>
              <w:t>短信要求</w:t>
            </w:r>
          </w:p>
        </w:tc>
        <w:tc>
          <w:tcPr>
            <w:tcW w:w="709" w:type="dxa"/>
            <w:noWrap w:val="0"/>
            <w:vAlign w:val="center"/>
          </w:tcPr>
          <w:p w14:paraId="4B8F8D2C">
            <w:pPr>
              <w:widowControl/>
              <w:adjustRightInd w:val="0"/>
              <w:spacing w:line="360" w:lineRule="auto"/>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2</w:t>
            </w:r>
          </w:p>
        </w:tc>
        <w:tc>
          <w:tcPr>
            <w:tcW w:w="6804" w:type="dxa"/>
            <w:noWrap w:val="0"/>
            <w:vAlign w:val="center"/>
          </w:tcPr>
          <w:p w14:paraId="776DABCB">
            <w:pPr>
              <w:widowControl/>
              <w:spacing w:line="360" w:lineRule="auto"/>
              <w:jc w:val="left"/>
              <w:rPr>
                <w:rFonts w:ascii="宋体" w:hAnsi="宋体" w:cs="宋体"/>
                <w:kern w:val="0"/>
                <w:sz w:val="20"/>
                <w:szCs w:val="21"/>
              </w:rPr>
            </w:pPr>
            <w:r>
              <w:rPr>
                <w:rFonts w:hint="eastAsia" w:ascii="宋体" w:hAnsi="宋体" w:cs="宋体"/>
                <w:kern w:val="0"/>
                <w:sz w:val="20"/>
                <w:szCs w:val="21"/>
              </w:rPr>
              <w:t>基本要求：</w:t>
            </w:r>
          </w:p>
          <w:p w14:paraId="1811E5B3">
            <w:pPr>
              <w:widowControl/>
              <w:spacing w:line="360" w:lineRule="auto"/>
              <w:jc w:val="left"/>
              <w:rPr>
                <w:rFonts w:ascii="宋体" w:hAnsi="宋体" w:cs="宋体"/>
                <w:kern w:val="0"/>
                <w:sz w:val="20"/>
                <w:szCs w:val="21"/>
              </w:rPr>
            </w:pPr>
            <w:r>
              <w:rPr>
                <w:rFonts w:hint="eastAsia" w:ascii="宋体" w:hAnsi="宋体" w:cs="宋体"/>
                <w:kern w:val="0"/>
                <w:sz w:val="20"/>
                <w:szCs w:val="21"/>
              </w:rPr>
              <w:t>（1）</w:t>
            </w:r>
            <w:r>
              <w:rPr>
                <w:rFonts w:hint="eastAsia" w:ascii="宋体" w:hAnsi="宋体" w:cs="宋体"/>
                <w:b/>
                <w:kern w:val="0"/>
                <w:sz w:val="20"/>
                <w:szCs w:val="21"/>
              </w:rPr>
              <w:t>#</w:t>
            </w:r>
            <w:r>
              <w:rPr>
                <w:rFonts w:hint="eastAsia" w:ascii="宋体" w:hAnsi="宋体" w:cs="宋体"/>
                <w:kern w:val="0"/>
                <w:sz w:val="20"/>
                <w:szCs w:val="21"/>
              </w:rPr>
              <w:t>支持全国范围（不含港澳台）中国移动、中国联通、中国电信手机用户的信息送达能力；</w:t>
            </w:r>
          </w:p>
          <w:p w14:paraId="5390F609">
            <w:pPr>
              <w:widowControl/>
              <w:spacing w:line="360" w:lineRule="auto"/>
              <w:jc w:val="left"/>
              <w:rPr>
                <w:rFonts w:ascii="宋体" w:hAnsi="宋体" w:cs="宋体"/>
                <w:kern w:val="0"/>
                <w:sz w:val="20"/>
                <w:szCs w:val="21"/>
              </w:rPr>
            </w:pPr>
            <w:r>
              <w:rPr>
                <w:rFonts w:hint="eastAsia" w:ascii="宋体" w:hAnsi="宋体" w:cs="宋体"/>
                <w:kern w:val="0"/>
                <w:sz w:val="20"/>
                <w:szCs w:val="21"/>
              </w:rPr>
              <w:t>（2）</w:t>
            </w:r>
            <w:r>
              <w:rPr>
                <w:rFonts w:hint="eastAsia" w:ascii="宋体" w:hAnsi="宋体" w:cs="宋体"/>
                <w:b/>
                <w:kern w:val="0"/>
                <w:sz w:val="20"/>
                <w:szCs w:val="21"/>
              </w:rPr>
              <w:t>#</w:t>
            </w:r>
            <w:r>
              <w:rPr>
                <w:rFonts w:hint="eastAsia" w:ascii="宋体" w:hAnsi="宋体" w:cs="宋体"/>
                <w:kern w:val="0"/>
                <w:sz w:val="20"/>
                <w:szCs w:val="21"/>
              </w:rPr>
              <w:t>提供短信发送不少于50万条数；</w:t>
            </w:r>
          </w:p>
          <w:p w14:paraId="5C5094E9">
            <w:pPr>
              <w:widowControl/>
              <w:spacing w:line="360" w:lineRule="auto"/>
              <w:jc w:val="left"/>
              <w:rPr>
                <w:rFonts w:ascii="宋体" w:hAnsi="宋体" w:cs="宋体"/>
                <w:kern w:val="0"/>
                <w:sz w:val="20"/>
                <w:szCs w:val="21"/>
              </w:rPr>
            </w:pPr>
            <w:r>
              <w:rPr>
                <w:rFonts w:hint="eastAsia" w:ascii="宋体" w:hAnsi="宋体" w:cs="宋体"/>
                <w:kern w:val="0"/>
                <w:sz w:val="20"/>
                <w:szCs w:val="21"/>
              </w:rPr>
              <w:t>（3）</w:t>
            </w:r>
            <w:r>
              <w:rPr>
                <w:rFonts w:hint="eastAsia" w:ascii="宋体" w:hAnsi="宋体" w:cs="宋体"/>
                <w:b/>
                <w:kern w:val="0"/>
                <w:sz w:val="20"/>
                <w:szCs w:val="21"/>
              </w:rPr>
              <w:t>#</w:t>
            </w:r>
            <w:r>
              <w:rPr>
                <w:rFonts w:hint="eastAsia" w:ascii="宋体" w:hAnsi="宋体" w:cs="宋体"/>
                <w:kern w:val="0"/>
                <w:sz w:val="20"/>
                <w:szCs w:val="21"/>
              </w:rPr>
              <w:t>提供标准API调用接口，提供开发文档、示例程序；</w:t>
            </w:r>
          </w:p>
          <w:p w14:paraId="167BEC43">
            <w:pPr>
              <w:widowControl/>
              <w:spacing w:line="360" w:lineRule="auto"/>
              <w:jc w:val="left"/>
              <w:rPr>
                <w:rFonts w:ascii="宋体" w:hAnsi="宋体" w:cs="宋体"/>
                <w:kern w:val="0"/>
                <w:sz w:val="20"/>
                <w:szCs w:val="21"/>
              </w:rPr>
            </w:pPr>
            <w:r>
              <w:rPr>
                <w:rFonts w:hint="eastAsia" w:ascii="宋体" w:hAnsi="宋体" w:cs="宋体"/>
                <w:kern w:val="0"/>
                <w:sz w:val="20"/>
                <w:szCs w:val="21"/>
              </w:rPr>
              <w:t>（4）</w:t>
            </w:r>
            <w:r>
              <w:rPr>
                <w:rFonts w:hint="eastAsia" w:ascii="宋体" w:hAnsi="宋体" w:cs="宋体"/>
                <w:b/>
                <w:kern w:val="0"/>
                <w:sz w:val="20"/>
                <w:szCs w:val="21"/>
              </w:rPr>
              <w:t>#</w:t>
            </w:r>
            <w:r>
              <w:rPr>
                <w:rFonts w:hint="eastAsia" w:ascii="宋体" w:hAnsi="宋体" w:cs="宋体"/>
                <w:kern w:val="0"/>
                <w:sz w:val="20"/>
                <w:szCs w:val="21"/>
              </w:rPr>
              <w:t>提供短信网关与采购人业务系统的对接方案；提供短信服务接口说明及详细技术实现方案，支持多种类型编程语言如PHP、JAVA、C#、C++、PYTHON等编程语言API、SDK，并提供对应的示例程序；</w:t>
            </w:r>
          </w:p>
          <w:p w14:paraId="6AB09873">
            <w:pPr>
              <w:widowControl/>
              <w:spacing w:line="360" w:lineRule="auto"/>
              <w:jc w:val="left"/>
              <w:rPr>
                <w:rFonts w:ascii="宋体" w:hAnsi="宋体" w:cs="宋体"/>
                <w:kern w:val="0"/>
                <w:sz w:val="20"/>
                <w:szCs w:val="21"/>
              </w:rPr>
            </w:pPr>
            <w:r>
              <w:rPr>
                <w:rFonts w:hint="eastAsia" w:ascii="宋体" w:hAnsi="宋体" w:cs="宋体"/>
                <w:kern w:val="0"/>
                <w:sz w:val="20"/>
                <w:szCs w:val="21"/>
              </w:rPr>
              <w:t>（5）</w:t>
            </w:r>
            <w:r>
              <w:rPr>
                <w:rFonts w:hint="eastAsia" w:ascii="宋体" w:hAnsi="宋体" w:cs="宋体"/>
                <w:b/>
                <w:kern w:val="0"/>
                <w:sz w:val="20"/>
                <w:szCs w:val="21"/>
              </w:rPr>
              <w:t>#</w:t>
            </w:r>
            <w:r>
              <w:rPr>
                <w:rFonts w:hint="eastAsia" w:ascii="宋体" w:hAnsi="宋体" w:cs="宋体"/>
                <w:kern w:val="0"/>
                <w:sz w:val="20"/>
                <w:szCs w:val="21"/>
              </w:rPr>
              <w:t>提供管理应用，包括并不限于以下功能：</w:t>
            </w:r>
          </w:p>
          <w:p w14:paraId="0D2051B9">
            <w:pPr>
              <w:pStyle w:val="5"/>
              <w:widowControl/>
              <w:numPr>
                <w:ilvl w:val="0"/>
                <w:numId w:val="1"/>
              </w:numPr>
              <w:spacing w:line="360" w:lineRule="auto"/>
              <w:ind w:firstLineChars="0"/>
              <w:rPr>
                <w:rFonts w:ascii="宋体" w:hAnsi="宋体" w:cs="宋体"/>
                <w:kern w:val="0"/>
                <w:sz w:val="20"/>
                <w:szCs w:val="21"/>
              </w:rPr>
            </w:pPr>
            <w:r>
              <w:rPr>
                <w:rFonts w:hint="eastAsia" w:ascii="宋体" w:hAnsi="宋体" w:cs="宋体"/>
                <w:kern w:val="0"/>
                <w:sz w:val="20"/>
                <w:szCs w:val="21"/>
              </w:rPr>
              <w:t>手动输入接收号码；</w:t>
            </w:r>
          </w:p>
          <w:p w14:paraId="24175AC5">
            <w:pPr>
              <w:pStyle w:val="5"/>
              <w:widowControl/>
              <w:numPr>
                <w:ilvl w:val="0"/>
                <w:numId w:val="1"/>
              </w:numPr>
              <w:spacing w:line="360" w:lineRule="auto"/>
              <w:ind w:firstLineChars="0"/>
              <w:rPr>
                <w:rFonts w:ascii="宋体" w:hAnsi="宋体" w:cs="宋体"/>
                <w:kern w:val="0"/>
                <w:sz w:val="20"/>
                <w:szCs w:val="21"/>
              </w:rPr>
            </w:pPr>
            <w:r>
              <w:rPr>
                <w:rFonts w:hint="eastAsia" w:ascii="宋体" w:hAnsi="宋体" w:cs="宋体"/>
                <w:kern w:val="0"/>
                <w:sz w:val="20"/>
                <w:szCs w:val="21"/>
              </w:rPr>
              <w:t>接收号码文件等方式批量设置接收号码；</w:t>
            </w:r>
          </w:p>
          <w:p w14:paraId="161394A8">
            <w:pPr>
              <w:pStyle w:val="5"/>
              <w:widowControl/>
              <w:numPr>
                <w:ilvl w:val="0"/>
                <w:numId w:val="1"/>
              </w:numPr>
              <w:spacing w:line="360" w:lineRule="auto"/>
              <w:ind w:firstLineChars="0"/>
              <w:rPr>
                <w:rFonts w:ascii="宋体" w:hAnsi="宋体" w:cs="宋体"/>
                <w:kern w:val="0"/>
                <w:sz w:val="20"/>
                <w:szCs w:val="21"/>
              </w:rPr>
            </w:pPr>
            <w:r>
              <w:rPr>
                <w:rFonts w:hint="eastAsia" w:ascii="宋体" w:hAnsi="宋体" w:cs="宋体"/>
                <w:kern w:val="0"/>
                <w:sz w:val="20"/>
                <w:szCs w:val="21"/>
              </w:rPr>
              <w:t>联系人编辑、分组、导入、导出等管理功能；</w:t>
            </w:r>
          </w:p>
          <w:p w14:paraId="27CDF119">
            <w:pPr>
              <w:pStyle w:val="5"/>
              <w:widowControl/>
              <w:numPr>
                <w:ilvl w:val="0"/>
                <w:numId w:val="1"/>
              </w:numPr>
              <w:spacing w:line="360" w:lineRule="auto"/>
              <w:ind w:firstLineChars="0"/>
              <w:rPr>
                <w:rFonts w:ascii="宋体" w:hAnsi="宋体" w:cs="宋体"/>
                <w:kern w:val="0"/>
                <w:sz w:val="20"/>
                <w:szCs w:val="21"/>
              </w:rPr>
            </w:pPr>
            <w:r>
              <w:rPr>
                <w:rFonts w:hint="eastAsia" w:ascii="宋体" w:hAnsi="宋体" w:cs="宋体"/>
                <w:kern w:val="0"/>
                <w:sz w:val="20"/>
                <w:szCs w:val="21"/>
              </w:rPr>
              <w:t>定时发送功能；</w:t>
            </w:r>
          </w:p>
          <w:p w14:paraId="5AC2F7FA">
            <w:pPr>
              <w:pStyle w:val="5"/>
              <w:widowControl/>
              <w:numPr>
                <w:ilvl w:val="0"/>
                <w:numId w:val="1"/>
              </w:numPr>
              <w:spacing w:line="360" w:lineRule="auto"/>
              <w:ind w:firstLineChars="0"/>
              <w:rPr>
                <w:rFonts w:ascii="宋体" w:hAnsi="宋体" w:cs="宋体"/>
                <w:kern w:val="0"/>
                <w:sz w:val="20"/>
                <w:szCs w:val="21"/>
              </w:rPr>
            </w:pPr>
            <w:r>
              <w:rPr>
                <w:rFonts w:hint="eastAsia" w:ascii="宋体" w:hAnsi="宋体" w:cs="宋体"/>
                <w:kern w:val="0"/>
                <w:sz w:val="20"/>
                <w:szCs w:val="21"/>
              </w:rPr>
              <w:t>完善的数据查询系统。可根据时间、接收手机号等条件查询统计短信的发送量、发送时间、回执状态等信息。</w:t>
            </w:r>
          </w:p>
        </w:tc>
      </w:tr>
      <w:tr w14:paraId="5121C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continue"/>
            <w:noWrap w:val="0"/>
            <w:vAlign w:val="center"/>
          </w:tcPr>
          <w:p w14:paraId="7A9BD9F5">
            <w:pPr>
              <w:widowControl/>
              <w:adjustRightInd w:val="0"/>
              <w:spacing w:line="360" w:lineRule="auto"/>
              <w:jc w:val="center"/>
              <w:rPr>
                <w:rFonts w:ascii="宋体" w:hAnsi="宋体" w:cs="宋体"/>
                <w:b/>
                <w:kern w:val="0"/>
                <w:sz w:val="20"/>
                <w:szCs w:val="21"/>
              </w:rPr>
            </w:pPr>
          </w:p>
        </w:tc>
        <w:tc>
          <w:tcPr>
            <w:tcW w:w="709" w:type="dxa"/>
            <w:noWrap w:val="0"/>
            <w:vAlign w:val="center"/>
          </w:tcPr>
          <w:p w14:paraId="53DB9EF6">
            <w:pPr>
              <w:widowControl/>
              <w:adjustRightInd w:val="0"/>
              <w:spacing w:line="360" w:lineRule="auto"/>
              <w:jc w:val="center"/>
              <w:rPr>
                <w:rFonts w:ascii="宋体" w:hAnsi="宋体" w:cs="宋体"/>
                <w:kern w:val="0"/>
                <w:sz w:val="20"/>
                <w:szCs w:val="21"/>
              </w:rPr>
            </w:pPr>
            <w:r>
              <w:rPr>
                <w:rFonts w:hint="eastAsia" w:ascii="宋体" w:hAnsi="宋体" w:cs="宋体"/>
                <w:b/>
                <w:kern w:val="0"/>
                <w:sz w:val="20"/>
                <w:szCs w:val="21"/>
              </w:rPr>
              <w:t>#</w:t>
            </w:r>
            <w:r>
              <w:rPr>
                <w:rFonts w:ascii="宋体" w:hAnsi="宋体" w:cs="宋体"/>
                <w:kern w:val="0"/>
                <w:sz w:val="20"/>
                <w:szCs w:val="21"/>
              </w:rPr>
              <w:t>13</w:t>
            </w:r>
          </w:p>
        </w:tc>
        <w:tc>
          <w:tcPr>
            <w:tcW w:w="6804" w:type="dxa"/>
            <w:noWrap w:val="0"/>
            <w:vAlign w:val="center"/>
          </w:tcPr>
          <w:p w14:paraId="64FB836D">
            <w:pPr>
              <w:widowControl/>
              <w:spacing w:line="360" w:lineRule="auto"/>
              <w:jc w:val="left"/>
              <w:rPr>
                <w:rFonts w:ascii="宋体" w:hAnsi="宋体" w:cs="宋体"/>
                <w:kern w:val="0"/>
                <w:sz w:val="20"/>
                <w:szCs w:val="21"/>
              </w:rPr>
            </w:pPr>
            <w:r>
              <w:rPr>
                <w:rFonts w:hint="eastAsia" w:ascii="宋体" w:hAnsi="宋体" w:cs="宋体"/>
                <w:kern w:val="0"/>
                <w:sz w:val="20"/>
                <w:szCs w:val="21"/>
              </w:rPr>
              <w:t>技术和性能要求：</w:t>
            </w:r>
          </w:p>
          <w:p w14:paraId="5EFF8BE1">
            <w:pPr>
              <w:widowControl/>
              <w:spacing w:line="360" w:lineRule="auto"/>
              <w:jc w:val="left"/>
              <w:rPr>
                <w:rFonts w:ascii="宋体" w:hAnsi="宋体" w:cs="宋体"/>
                <w:kern w:val="0"/>
                <w:sz w:val="20"/>
                <w:szCs w:val="21"/>
              </w:rPr>
            </w:pPr>
            <w:r>
              <w:rPr>
                <w:rFonts w:hint="eastAsia" w:ascii="宋体" w:hAnsi="宋体" w:cs="宋体"/>
                <w:kern w:val="0"/>
                <w:sz w:val="20"/>
                <w:szCs w:val="21"/>
              </w:rPr>
              <w:t>（1）具有运营商106短信通道；</w:t>
            </w:r>
          </w:p>
          <w:p w14:paraId="275021A2">
            <w:pPr>
              <w:widowControl/>
              <w:spacing w:line="360" w:lineRule="auto"/>
              <w:jc w:val="left"/>
              <w:rPr>
                <w:rFonts w:ascii="宋体" w:hAnsi="宋体" w:cs="宋体"/>
                <w:kern w:val="0"/>
                <w:sz w:val="20"/>
                <w:szCs w:val="21"/>
              </w:rPr>
            </w:pPr>
            <w:r>
              <w:rPr>
                <w:rFonts w:hint="eastAsia" w:ascii="宋体" w:hAnsi="宋体" w:cs="宋体"/>
                <w:kern w:val="0"/>
                <w:sz w:val="20"/>
                <w:szCs w:val="21"/>
              </w:rPr>
              <w:t>（2）发送验证码类短信，如注册登录验证、支付确认、身份核实等；</w:t>
            </w:r>
          </w:p>
          <w:p w14:paraId="3C6B0A16">
            <w:pPr>
              <w:widowControl/>
              <w:spacing w:line="360" w:lineRule="auto"/>
              <w:jc w:val="left"/>
              <w:rPr>
                <w:rFonts w:ascii="宋体" w:hAnsi="宋体" w:cs="宋体"/>
                <w:kern w:val="0"/>
                <w:sz w:val="20"/>
                <w:szCs w:val="21"/>
              </w:rPr>
            </w:pPr>
            <w:r>
              <w:rPr>
                <w:rFonts w:hint="eastAsia" w:ascii="宋体" w:hAnsi="宋体" w:cs="宋体"/>
                <w:kern w:val="0"/>
                <w:sz w:val="20"/>
                <w:szCs w:val="21"/>
              </w:rPr>
              <w:t>（</w:t>
            </w:r>
            <w:r>
              <w:rPr>
                <w:rFonts w:ascii="宋体" w:hAnsi="宋体" w:cs="宋体"/>
                <w:kern w:val="0"/>
                <w:sz w:val="20"/>
                <w:szCs w:val="21"/>
              </w:rPr>
              <w:t>3</w:t>
            </w:r>
            <w:r>
              <w:rPr>
                <w:rFonts w:hint="eastAsia" w:ascii="宋体" w:hAnsi="宋体" w:cs="宋体"/>
                <w:kern w:val="0"/>
                <w:sz w:val="20"/>
                <w:szCs w:val="21"/>
              </w:rPr>
              <w:t>）支持带入变量；</w:t>
            </w:r>
          </w:p>
          <w:p w14:paraId="4A7B343A">
            <w:pPr>
              <w:widowControl/>
              <w:spacing w:line="360" w:lineRule="auto"/>
              <w:jc w:val="left"/>
              <w:rPr>
                <w:rFonts w:ascii="宋体" w:hAnsi="宋体" w:cs="宋体"/>
                <w:kern w:val="0"/>
                <w:sz w:val="20"/>
                <w:szCs w:val="21"/>
              </w:rPr>
            </w:pPr>
            <w:r>
              <w:rPr>
                <w:rFonts w:hint="eastAsia" w:ascii="宋体" w:hAnsi="宋体" w:cs="宋体"/>
                <w:kern w:val="0"/>
                <w:sz w:val="20"/>
                <w:szCs w:val="21"/>
              </w:rPr>
              <w:t>（</w:t>
            </w:r>
            <w:r>
              <w:rPr>
                <w:rFonts w:ascii="宋体" w:hAnsi="宋体" w:cs="宋体"/>
                <w:kern w:val="0"/>
                <w:sz w:val="20"/>
                <w:szCs w:val="21"/>
              </w:rPr>
              <w:t>4</w:t>
            </w:r>
            <w:r>
              <w:rPr>
                <w:rFonts w:hint="eastAsia" w:ascii="宋体" w:hAnsi="宋体" w:cs="宋体"/>
                <w:kern w:val="0"/>
                <w:sz w:val="20"/>
                <w:szCs w:val="21"/>
              </w:rPr>
              <w:t>）发送通知类文字短信，支持短信签名、短信模板、短信批量发送等功能；</w:t>
            </w:r>
          </w:p>
          <w:p w14:paraId="0F6CB90B">
            <w:pPr>
              <w:widowControl/>
              <w:spacing w:line="360" w:lineRule="auto"/>
              <w:jc w:val="left"/>
              <w:rPr>
                <w:rFonts w:ascii="宋体" w:hAnsi="宋体" w:cs="宋体"/>
                <w:kern w:val="0"/>
                <w:sz w:val="20"/>
                <w:szCs w:val="21"/>
              </w:rPr>
            </w:pPr>
            <w:r>
              <w:rPr>
                <w:rFonts w:hint="eastAsia" w:ascii="宋体" w:hAnsi="宋体" w:cs="宋体"/>
                <w:kern w:val="0"/>
                <w:sz w:val="20"/>
                <w:szCs w:val="21"/>
              </w:rPr>
              <w:t>（</w:t>
            </w:r>
            <w:r>
              <w:rPr>
                <w:rFonts w:ascii="宋体" w:hAnsi="宋体" w:cs="宋体"/>
                <w:kern w:val="0"/>
                <w:sz w:val="20"/>
                <w:szCs w:val="21"/>
              </w:rPr>
              <w:t>5</w:t>
            </w:r>
            <w:r>
              <w:rPr>
                <w:rFonts w:hint="eastAsia" w:ascii="宋体" w:hAnsi="宋体" w:cs="宋体"/>
                <w:kern w:val="0"/>
                <w:sz w:val="20"/>
                <w:szCs w:val="21"/>
              </w:rPr>
              <w:t>）支持获取短信发送状态报告、接收回复短信；</w:t>
            </w:r>
          </w:p>
          <w:p w14:paraId="69C544C6">
            <w:pPr>
              <w:widowControl/>
              <w:spacing w:line="360" w:lineRule="auto"/>
              <w:jc w:val="left"/>
              <w:rPr>
                <w:rFonts w:ascii="宋体" w:hAnsi="宋体" w:cs="宋体"/>
                <w:kern w:val="0"/>
                <w:sz w:val="20"/>
                <w:szCs w:val="21"/>
              </w:rPr>
            </w:pPr>
            <w:r>
              <w:rPr>
                <w:rFonts w:hint="eastAsia" w:ascii="宋体" w:hAnsi="宋体" w:cs="宋体"/>
                <w:kern w:val="0"/>
                <w:sz w:val="20"/>
                <w:szCs w:val="21"/>
              </w:rPr>
              <w:t>（</w:t>
            </w:r>
            <w:r>
              <w:rPr>
                <w:rFonts w:ascii="宋体" w:hAnsi="宋体" w:cs="宋体"/>
                <w:kern w:val="0"/>
                <w:sz w:val="20"/>
                <w:szCs w:val="21"/>
              </w:rPr>
              <w:t>6</w:t>
            </w:r>
            <w:r>
              <w:rPr>
                <w:rFonts w:hint="eastAsia" w:ascii="宋体" w:hAnsi="宋体" w:cs="宋体"/>
                <w:kern w:val="0"/>
                <w:sz w:val="20"/>
                <w:szCs w:val="21"/>
              </w:rPr>
              <w:t>）短信数据在传输过程中的加密传输，支持运营商的标准通讯协议加密传输；</w:t>
            </w:r>
          </w:p>
          <w:p w14:paraId="3CE22AA7">
            <w:pPr>
              <w:widowControl/>
              <w:spacing w:line="360" w:lineRule="auto"/>
              <w:jc w:val="left"/>
              <w:rPr>
                <w:rFonts w:ascii="宋体" w:hAnsi="宋体" w:cs="宋体"/>
                <w:kern w:val="0"/>
                <w:sz w:val="20"/>
                <w:szCs w:val="21"/>
              </w:rPr>
            </w:pPr>
            <w:r>
              <w:rPr>
                <w:rFonts w:hint="eastAsia" w:ascii="宋体" w:hAnsi="宋体" w:cs="宋体"/>
                <w:kern w:val="0"/>
                <w:sz w:val="20"/>
                <w:szCs w:val="21"/>
              </w:rPr>
              <w:t>（</w:t>
            </w:r>
            <w:r>
              <w:rPr>
                <w:rFonts w:ascii="宋体" w:hAnsi="宋体" w:cs="宋体"/>
                <w:kern w:val="0"/>
                <w:sz w:val="20"/>
                <w:szCs w:val="21"/>
              </w:rPr>
              <w:t>7</w:t>
            </w:r>
            <w:r>
              <w:rPr>
                <w:rFonts w:hint="eastAsia" w:ascii="宋体" w:hAnsi="宋体" w:cs="宋体"/>
                <w:kern w:val="0"/>
                <w:sz w:val="20"/>
                <w:szCs w:val="21"/>
              </w:rPr>
              <w:t>）短信发送带宽不低于400条/秒；</w:t>
            </w:r>
          </w:p>
          <w:p w14:paraId="4946D4A9">
            <w:pPr>
              <w:widowControl/>
              <w:spacing w:line="360" w:lineRule="auto"/>
              <w:jc w:val="left"/>
              <w:rPr>
                <w:rFonts w:ascii="宋体" w:hAnsi="宋体" w:cs="宋体"/>
                <w:kern w:val="0"/>
                <w:sz w:val="20"/>
                <w:szCs w:val="21"/>
              </w:rPr>
            </w:pPr>
            <w:r>
              <w:rPr>
                <w:rFonts w:hint="eastAsia" w:ascii="宋体" w:hAnsi="宋体" w:cs="宋体"/>
                <w:kern w:val="0"/>
                <w:sz w:val="20"/>
                <w:szCs w:val="21"/>
              </w:rPr>
              <w:t>（</w:t>
            </w:r>
            <w:r>
              <w:rPr>
                <w:rFonts w:ascii="宋体" w:hAnsi="宋体" w:cs="宋体"/>
                <w:kern w:val="0"/>
                <w:sz w:val="20"/>
                <w:szCs w:val="21"/>
              </w:rPr>
              <w:t>8</w:t>
            </w:r>
            <w:r>
              <w:rPr>
                <w:rFonts w:hint="eastAsia" w:ascii="宋体" w:hAnsi="宋体" w:cs="宋体"/>
                <w:kern w:val="0"/>
                <w:sz w:val="20"/>
                <w:szCs w:val="21"/>
              </w:rPr>
              <w:t>）非号码错误短信到达率不低于99%；</w:t>
            </w:r>
          </w:p>
          <w:p w14:paraId="054EC6B0">
            <w:pPr>
              <w:widowControl/>
              <w:spacing w:line="360" w:lineRule="auto"/>
              <w:jc w:val="left"/>
              <w:rPr>
                <w:rFonts w:ascii="宋体" w:hAnsi="宋体" w:cs="宋体"/>
                <w:kern w:val="0"/>
                <w:sz w:val="20"/>
                <w:szCs w:val="21"/>
              </w:rPr>
            </w:pPr>
            <w:r>
              <w:rPr>
                <w:rFonts w:hint="eastAsia" w:ascii="宋体" w:hAnsi="宋体" w:cs="宋体"/>
                <w:kern w:val="0"/>
                <w:sz w:val="20"/>
                <w:szCs w:val="21"/>
              </w:rPr>
              <w:t>（</w:t>
            </w:r>
            <w:r>
              <w:rPr>
                <w:rFonts w:ascii="宋体" w:hAnsi="宋体" w:cs="宋体"/>
                <w:kern w:val="0"/>
                <w:sz w:val="20"/>
                <w:szCs w:val="21"/>
              </w:rPr>
              <w:t>9</w:t>
            </w:r>
            <w:r>
              <w:rPr>
                <w:rFonts w:hint="eastAsia" w:ascii="宋体" w:hAnsi="宋体" w:cs="宋体"/>
                <w:kern w:val="0"/>
                <w:sz w:val="20"/>
                <w:szCs w:val="21"/>
              </w:rPr>
              <w:t>）短信服务全年可用性不低于99.9%；</w:t>
            </w:r>
          </w:p>
          <w:p w14:paraId="2036C7E0">
            <w:pPr>
              <w:widowControl/>
              <w:spacing w:line="360" w:lineRule="auto"/>
              <w:jc w:val="left"/>
              <w:rPr>
                <w:rFonts w:ascii="宋体" w:hAnsi="宋体" w:cs="宋体"/>
                <w:kern w:val="0"/>
                <w:sz w:val="20"/>
                <w:szCs w:val="21"/>
              </w:rPr>
            </w:pPr>
            <w:r>
              <w:rPr>
                <w:rFonts w:hint="eastAsia" w:ascii="宋体" w:hAnsi="宋体" w:cs="宋体"/>
                <w:kern w:val="0"/>
                <w:sz w:val="20"/>
                <w:szCs w:val="21"/>
              </w:rPr>
              <w:t>（</w:t>
            </w:r>
            <w:r>
              <w:rPr>
                <w:rFonts w:ascii="宋体" w:hAnsi="宋体" w:cs="宋体"/>
                <w:kern w:val="0"/>
                <w:sz w:val="20"/>
                <w:szCs w:val="21"/>
              </w:rPr>
              <w:t>10</w:t>
            </w:r>
            <w:r>
              <w:rPr>
                <w:rFonts w:hint="eastAsia" w:ascii="宋体" w:hAnsi="宋体" w:cs="宋体"/>
                <w:kern w:val="0"/>
                <w:sz w:val="20"/>
                <w:szCs w:val="21"/>
              </w:rPr>
              <w:t>）测试（含在投标报价内，无需另行支付）。</w:t>
            </w:r>
          </w:p>
        </w:tc>
      </w:tr>
      <w:tr w14:paraId="09509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continue"/>
            <w:noWrap w:val="0"/>
            <w:vAlign w:val="center"/>
          </w:tcPr>
          <w:p w14:paraId="5002873E">
            <w:pPr>
              <w:widowControl/>
              <w:adjustRightInd w:val="0"/>
              <w:spacing w:line="360" w:lineRule="auto"/>
              <w:jc w:val="center"/>
              <w:rPr>
                <w:rFonts w:ascii="宋体" w:hAnsi="宋体" w:cs="宋体"/>
                <w:b/>
                <w:kern w:val="0"/>
                <w:sz w:val="20"/>
                <w:szCs w:val="21"/>
              </w:rPr>
            </w:pPr>
            <w:bookmarkStart w:id="5" w:name="_Hlk189664249"/>
          </w:p>
        </w:tc>
        <w:tc>
          <w:tcPr>
            <w:tcW w:w="709" w:type="dxa"/>
            <w:noWrap w:val="0"/>
            <w:vAlign w:val="center"/>
          </w:tcPr>
          <w:p w14:paraId="0F3FD2BA">
            <w:pPr>
              <w:widowControl/>
              <w:adjustRightInd w:val="0"/>
              <w:spacing w:line="360" w:lineRule="auto"/>
              <w:jc w:val="center"/>
              <w:rPr>
                <w:rFonts w:ascii="宋体" w:hAnsi="宋体" w:cs="宋体"/>
                <w:kern w:val="0"/>
                <w:sz w:val="20"/>
                <w:szCs w:val="21"/>
              </w:rPr>
            </w:pPr>
            <w:r>
              <w:rPr>
                <w:rFonts w:hint="eastAsia" w:ascii="宋体" w:hAnsi="宋体" w:cs="宋体"/>
                <w:kern w:val="0"/>
                <w:sz w:val="20"/>
                <w:szCs w:val="21"/>
              </w:rPr>
              <w:t>1</w:t>
            </w:r>
            <w:r>
              <w:rPr>
                <w:rFonts w:ascii="宋体" w:hAnsi="宋体" w:cs="宋体"/>
                <w:kern w:val="0"/>
                <w:sz w:val="20"/>
                <w:szCs w:val="21"/>
              </w:rPr>
              <w:t>4</w:t>
            </w:r>
          </w:p>
        </w:tc>
        <w:tc>
          <w:tcPr>
            <w:tcW w:w="6804" w:type="dxa"/>
            <w:noWrap w:val="0"/>
            <w:vAlign w:val="center"/>
          </w:tcPr>
          <w:p w14:paraId="27E64AFC">
            <w:pPr>
              <w:widowControl/>
              <w:spacing w:line="360" w:lineRule="auto"/>
              <w:jc w:val="left"/>
              <w:rPr>
                <w:rFonts w:ascii="宋体" w:hAnsi="宋体" w:cs="宋体"/>
                <w:kern w:val="0"/>
                <w:sz w:val="20"/>
                <w:szCs w:val="21"/>
              </w:rPr>
            </w:pPr>
            <w:r>
              <w:rPr>
                <w:rFonts w:hint="eastAsia" w:ascii="宋体" w:hAnsi="宋体" w:cs="宋体"/>
                <w:kern w:val="0"/>
                <w:sz w:val="20"/>
                <w:szCs w:val="21"/>
              </w:rPr>
              <w:t>服务要求：</w:t>
            </w:r>
          </w:p>
          <w:p w14:paraId="4679C875">
            <w:pPr>
              <w:widowControl/>
              <w:spacing w:line="360" w:lineRule="auto"/>
              <w:jc w:val="left"/>
              <w:rPr>
                <w:rFonts w:ascii="宋体" w:hAnsi="宋体" w:cs="宋体"/>
                <w:kern w:val="0"/>
                <w:sz w:val="20"/>
                <w:szCs w:val="21"/>
              </w:rPr>
            </w:pPr>
            <w:r>
              <w:rPr>
                <w:rFonts w:hint="eastAsia" w:ascii="宋体" w:hAnsi="宋体" w:cs="宋体"/>
                <w:kern w:val="0"/>
                <w:sz w:val="20"/>
                <w:szCs w:val="21"/>
              </w:rPr>
              <w:t>（1）</w:t>
            </w:r>
            <w:r>
              <w:rPr>
                <w:rFonts w:hint="eastAsia" w:ascii="宋体" w:hAnsi="宋体" w:cs="宋体"/>
                <w:b/>
                <w:kern w:val="0"/>
                <w:sz w:val="20"/>
                <w:szCs w:val="21"/>
              </w:rPr>
              <w:t>#</w:t>
            </w:r>
            <w:r>
              <w:rPr>
                <w:rFonts w:hint="eastAsia" w:ascii="宋体" w:hAnsi="宋体" w:cs="宋体"/>
                <w:kern w:val="0"/>
                <w:sz w:val="20"/>
                <w:szCs w:val="21"/>
              </w:rPr>
              <w:t>在服务期内协助进行接口调测问题解决工作，配合采购人技术团队进行标准接口能力对接的问题解决。</w:t>
            </w:r>
          </w:p>
          <w:p w14:paraId="60C4B73F">
            <w:pPr>
              <w:widowControl/>
              <w:tabs>
                <w:tab w:val="left" w:pos="315"/>
              </w:tabs>
              <w:spacing w:line="360" w:lineRule="auto"/>
              <w:jc w:val="left"/>
              <w:rPr>
                <w:rFonts w:ascii="宋体" w:hAnsi="宋体" w:cs="宋体"/>
                <w:kern w:val="0"/>
                <w:sz w:val="20"/>
                <w:szCs w:val="21"/>
              </w:rPr>
            </w:pPr>
            <w:r>
              <w:rPr>
                <w:rFonts w:hint="eastAsia" w:ascii="宋体" w:hAnsi="宋体" w:cs="宋体"/>
                <w:kern w:val="0"/>
                <w:sz w:val="20"/>
                <w:szCs w:val="21"/>
              </w:rPr>
              <w:t>（2）</w:t>
            </w:r>
            <w:r>
              <w:rPr>
                <w:rFonts w:hint="eastAsia" w:ascii="宋体" w:hAnsi="宋体" w:cs="宋体"/>
                <w:b/>
                <w:kern w:val="0"/>
                <w:sz w:val="20"/>
                <w:szCs w:val="21"/>
              </w:rPr>
              <w:t>#</w:t>
            </w:r>
            <w:r>
              <w:rPr>
                <w:rFonts w:hint="eastAsia" w:ascii="宋体" w:hAnsi="宋体" w:cs="宋体"/>
                <w:kern w:val="0"/>
                <w:sz w:val="20"/>
                <w:szCs w:val="21"/>
              </w:rPr>
              <w:t>基于即时通信软件服务群，派驻专人在群中解决各类问题；支持 7</w:t>
            </w:r>
            <w:r>
              <w:rPr>
                <w:rFonts w:hint="eastAsia" w:ascii="宋体" w:hAnsi="宋体" w:cs="宋体"/>
                <w:kern w:val="0"/>
                <w:sz w:val="20"/>
                <w:szCs w:val="21"/>
              </w:rPr>
              <w:sym w:font="Wingdings 2" w:char="F0CD"/>
            </w:r>
            <w:r>
              <w:rPr>
                <w:rFonts w:hint="eastAsia" w:ascii="宋体" w:hAnsi="宋体" w:cs="宋体"/>
                <w:kern w:val="0"/>
                <w:sz w:val="20"/>
                <w:szCs w:val="21"/>
              </w:rPr>
              <w:t>24小时的电话技术支持，确保短信发送及接收问题在30分钟内解决。</w:t>
            </w:r>
          </w:p>
          <w:p w14:paraId="573DB11C">
            <w:pPr>
              <w:widowControl/>
              <w:tabs>
                <w:tab w:val="left" w:pos="315"/>
              </w:tabs>
              <w:spacing w:line="360" w:lineRule="auto"/>
              <w:jc w:val="left"/>
              <w:rPr>
                <w:rFonts w:ascii="宋体" w:hAnsi="宋体" w:cs="宋体"/>
                <w:kern w:val="0"/>
                <w:sz w:val="20"/>
                <w:szCs w:val="21"/>
              </w:rPr>
            </w:pPr>
            <w:r>
              <w:rPr>
                <w:rFonts w:hint="eastAsia" w:ascii="宋体" w:hAnsi="宋体" w:cs="宋体"/>
                <w:kern w:val="0"/>
                <w:sz w:val="20"/>
                <w:szCs w:val="21"/>
              </w:rPr>
              <w:t>（3）服务期内针对运维现状提出优化完善建议，指导优化提升，制定切实可行方案，以正式报告形式提交给采购人信息管理部门。</w:t>
            </w:r>
          </w:p>
          <w:p w14:paraId="093B1DCA">
            <w:pPr>
              <w:widowControl/>
              <w:tabs>
                <w:tab w:val="left" w:pos="315"/>
              </w:tabs>
              <w:spacing w:line="360" w:lineRule="auto"/>
              <w:jc w:val="left"/>
              <w:rPr>
                <w:rFonts w:ascii="宋体" w:hAnsi="宋体" w:cs="宋体"/>
                <w:kern w:val="0"/>
                <w:sz w:val="20"/>
                <w:szCs w:val="21"/>
              </w:rPr>
            </w:pPr>
            <w:r>
              <w:rPr>
                <w:rFonts w:hint="eastAsia" w:ascii="宋体" w:hAnsi="宋体" w:cs="宋体"/>
                <w:kern w:val="0"/>
                <w:sz w:val="20"/>
                <w:szCs w:val="21"/>
              </w:rPr>
              <w:t>（4）</w:t>
            </w:r>
            <w:r>
              <w:rPr>
                <w:rFonts w:hint="eastAsia" w:ascii="宋体" w:hAnsi="宋体" w:cs="宋体"/>
                <w:b/>
                <w:kern w:val="0"/>
                <w:sz w:val="20"/>
                <w:szCs w:val="21"/>
              </w:rPr>
              <w:t>#</w:t>
            </w:r>
            <w:r>
              <w:rPr>
                <w:rFonts w:hint="eastAsia" w:ascii="宋体" w:hAnsi="宋体" w:cs="宋体"/>
                <w:kern w:val="0"/>
                <w:sz w:val="20"/>
                <w:szCs w:val="21"/>
              </w:rPr>
              <w:t>投标人日常维护与运营、短信发送质量、技术支持、故障处理、投诉处理等符合要求，并按季度提供纸质版或者电子版服务质量性能报告、维护巡检记录等服务文档。证明材料为提供加盖投标人公章的承诺函。</w:t>
            </w:r>
          </w:p>
        </w:tc>
      </w:tr>
      <w:bookmarkEnd w:id="5"/>
      <w:tr w14:paraId="1E3F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09E59969">
            <w:pPr>
              <w:widowControl/>
              <w:adjustRightInd w:val="0"/>
              <w:spacing w:line="360" w:lineRule="auto"/>
              <w:jc w:val="center"/>
              <w:rPr>
                <w:rFonts w:ascii="宋体" w:hAnsi="宋体" w:cs="宋体"/>
                <w:kern w:val="0"/>
                <w:sz w:val="20"/>
                <w:szCs w:val="21"/>
              </w:rPr>
            </w:pPr>
            <w:r>
              <w:rPr>
                <w:rFonts w:hint="eastAsia" w:ascii="宋体" w:hAnsi="宋体" w:cs="宋体"/>
                <w:bCs/>
                <w:kern w:val="0"/>
                <w:sz w:val="20"/>
                <w:szCs w:val="21"/>
              </w:rPr>
              <w:t>链路服务要求</w:t>
            </w:r>
          </w:p>
        </w:tc>
        <w:tc>
          <w:tcPr>
            <w:tcW w:w="709" w:type="dxa"/>
            <w:noWrap w:val="0"/>
            <w:vAlign w:val="center"/>
          </w:tcPr>
          <w:p w14:paraId="7D6B5850">
            <w:pPr>
              <w:widowControl/>
              <w:adjustRightInd w:val="0"/>
              <w:spacing w:line="360" w:lineRule="auto"/>
              <w:jc w:val="center"/>
              <w:rPr>
                <w:rFonts w:ascii="宋体" w:hAnsi="宋体" w:cs="宋体"/>
                <w:kern w:val="0"/>
                <w:sz w:val="20"/>
                <w:szCs w:val="21"/>
              </w:rPr>
            </w:pPr>
            <w:r>
              <w:rPr>
                <w:rFonts w:hint="eastAsia" w:ascii="宋体" w:hAnsi="宋体" w:cs="宋体"/>
                <w:kern w:val="0"/>
                <w:sz w:val="20"/>
              </w:rPr>
              <w:t>★</w:t>
            </w:r>
            <w:r>
              <w:rPr>
                <w:rFonts w:hint="eastAsia" w:ascii="宋体" w:hAnsi="宋体" w:cs="宋体"/>
                <w:kern w:val="0"/>
                <w:sz w:val="20"/>
                <w:szCs w:val="21"/>
              </w:rPr>
              <w:t>1</w:t>
            </w:r>
            <w:r>
              <w:rPr>
                <w:rFonts w:ascii="宋体" w:hAnsi="宋体" w:cs="宋体"/>
                <w:kern w:val="0"/>
                <w:sz w:val="20"/>
                <w:szCs w:val="21"/>
              </w:rPr>
              <w:t>5</w:t>
            </w:r>
          </w:p>
        </w:tc>
        <w:tc>
          <w:tcPr>
            <w:tcW w:w="6804" w:type="dxa"/>
            <w:noWrap w:val="0"/>
            <w:vAlign w:val="center"/>
          </w:tcPr>
          <w:p w14:paraId="34D2889B">
            <w:pPr>
              <w:widowControl/>
              <w:spacing w:line="360" w:lineRule="auto"/>
              <w:jc w:val="left"/>
              <w:rPr>
                <w:rFonts w:ascii="宋体" w:hAnsi="宋体" w:cs="宋体"/>
                <w:kern w:val="0"/>
                <w:sz w:val="20"/>
                <w:szCs w:val="21"/>
              </w:rPr>
            </w:pPr>
            <w:r>
              <w:rPr>
                <w:rFonts w:hint="eastAsia" w:ascii="宋体" w:hAnsi="宋体" w:cs="宋体"/>
                <w:kern w:val="0"/>
                <w:sz w:val="20"/>
                <w:szCs w:val="21"/>
              </w:rPr>
              <w:t>提供良乡校区至阜成路校区之间光纤链路的波分设备服务，保障两校区互联网业务、专网业务、监控业务等传输。</w:t>
            </w:r>
          </w:p>
          <w:p w14:paraId="41BF9E30">
            <w:pPr>
              <w:spacing w:line="360" w:lineRule="auto"/>
              <w:jc w:val="left"/>
              <w:rPr>
                <w:kern w:val="0"/>
                <w:sz w:val="20"/>
              </w:rPr>
            </w:pPr>
            <w:r>
              <w:rPr>
                <w:rFonts w:hint="eastAsia" w:ascii="宋体" w:hAnsi="宋体" w:cs="宋体"/>
                <w:kern w:val="0"/>
                <w:sz w:val="20"/>
                <w:szCs w:val="21"/>
              </w:rPr>
              <w:t>提供波分业务最少支持： 1×40G+10×10G。</w:t>
            </w:r>
          </w:p>
        </w:tc>
      </w:tr>
      <w:tr w14:paraId="4777B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restart"/>
            <w:noWrap w:val="0"/>
            <w:vAlign w:val="center"/>
          </w:tcPr>
          <w:p w14:paraId="0A48031D">
            <w:pPr>
              <w:widowControl/>
              <w:adjustRightInd w:val="0"/>
              <w:spacing w:line="360" w:lineRule="auto"/>
              <w:jc w:val="center"/>
              <w:rPr>
                <w:rFonts w:hint="eastAsia" w:ascii="宋体" w:hAnsi="宋体" w:cs="宋体"/>
                <w:bCs/>
                <w:kern w:val="0"/>
                <w:sz w:val="20"/>
                <w:szCs w:val="21"/>
              </w:rPr>
            </w:pPr>
            <w:r>
              <w:rPr>
                <w:rFonts w:hint="eastAsia" w:ascii="宋体" w:hAnsi="宋体" w:cs="宋体"/>
                <w:bCs/>
                <w:kern w:val="0"/>
                <w:sz w:val="20"/>
                <w:szCs w:val="21"/>
              </w:rPr>
              <w:t>服务团队人员配置</w:t>
            </w:r>
          </w:p>
        </w:tc>
        <w:tc>
          <w:tcPr>
            <w:tcW w:w="709" w:type="dxa"/>
            <w:noWrap w:val="0"/>
            <w:vAlign w:val="center"/>
          </w:tcPr>
          <w:p w14:paraId="30E7CCDE">
            <w:pPr>
              <w:widowControl/>
              <w:adjustRightInd w:val="0"/>
              <w:spacing w:line="360" w:lineRule="auto"/>
              <w:jc w:val="center"/>
              <w:rPr>
                <w:rFonts w:hint="eastAsia" w:ascii="宋体" w:hAnsi="宋体" w:cs="宋体"/>
                <w:kern w:val="0"/>
                <w:sz w:val="20"/>
              </w:rPr>
            </w:pPr>
            <w:r>
              <w:rPr>
                <w:rFonts w:hint="eastAsia" w:ascii="宋体" w:hAnsi="宋体" w:cs="宋体"/>
                <w:kern w:val="0"/>
                <w:sz w:val="20"/>
              </w:rPr>
              <w:t>1</w:t>
            </w:r>
            <w:r>
              <w:rPr>
                <w:rFonts w:ascii="宋体" w:hAnsi="宋体" w:cs="宋体"/>
                <w:kern w:val="0"/>
                <w:sz w:val="20"/>
              </w:rPr>
              <w:t>6</w:t>
            </w:r>
          </w:p>
        </w:tc>
        <w:tc>
          <w:tcPr>
            <w:tcW w:w="6804" w:type="dxa"/>
            <w:noWrap w:val="0"/>
            <w:vAlign w:val="center"/>
          </w:tcPr>
          <w:p w14:paraId="1BFD4122">
            <w:pPr>
              <w:widowControl/>
              <w:spacing w:line="360" w:lineRule="auto"/>
              <w:jc w:val="left"/>
              <w:rPr>
                <w:rFonts w:hint="eastAsia" w:ascii="宋体" w:hAnsi="宋体" w:cs="宋体"/>
                <w:kern w:val="0"/>
                <w:sz w:val="20"/>
                <w:szCs w:val="21"/>
              </w:rPr>
            </w:pPr>
            <w:r>
              <w:rPr>
                <w:rFonts w:hint="eastAsia" w:ascii="宋体" w:hAnsi="宋体" w:cs="宋体"/>
                <w:kern w:val="0"/>
                <w:sz w:val="20"/>
                <w:szCs w:val="21"/>
              </w:rPr>
              <w:t xml:space="preserve">提供服务团队，包含项目经理以及专业技术工程师团队，应岗责明确、具备相关工作经验。 </w:t>
            </w:r>
          </w:p>
        </w:tc>
      </w:tr>
      <w:tr w14:paraId="4A11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continue"/>
            <w:noWrap w:val="0"/>
            <w:vAlign w:val="center"/>
          </w:tcPr>
          <w:p w14:paraId="3A32397E">
            <w:pPr>
              <w:widowControl/>
              <w:adjustRightInd w:val="0"/>
              <w:spacing w:line="360" w:lineRule="auto"/>
              <w:jc w:val="center"/>
              <w:rPr>
                <w:rFonts w:hint="eastAsia" w:ascii="宋体" w:hAnsi="宋体" w:cs="宋体"/>
                <w:bCs/>
                <w:kern w:val="0"/>
                <w:sz w:val="20"/>
                <w:szCs w:val="21"/>
              </w:rPr>
            </w:pPr>
          </w:p>
        </w:tc>
        <w:tc>
          <w:tcPr>
            <w:tcW w:w="709" w:type="dxa"/>
            <w:noWrap w:val="0"/>
            <w:vAlign w:val="center"/>
          </w:tcPr>
          <w:p w14:paraId="10CDF697">
            <w:pPr>
              <w:widowControl/>
              <w:adjustRightInd w:val="0"/>
              <w:spacing w:line="360" w:lineRule="auto"/>
              <w:jc w:val="center"/>
              <w:rPr>
                <w:rFonts w:hint="eastAsia" w:ascii="宋体" w:hAnsi="宋体" w:cs="宋体"/>
                <w:kern w:val="0"/>
                <w:sz w:val="20"/>
              </w:rPr>
            </w:pPr>
            <w:r>
              <w:rPr>
                <w:rFonts w:hint="eastAsia" w:ascii="宋体" w:hAnsi="宋体" w:cs="宋体"/>
                <w:kern w:val="0"/>
                <w:sz w:val="20"/>
              </w:rPr>
              <w:t>1</w:t>
            </w:r>
            <w:r>
              <w:rPr>
                <w:rFonts w:ascii="宋体" w:hAnsi="宋体" w:cs="宋体"/>
                <w:kern w:val="0"/>
                <w:sz w:val="20"/>
              </w:rPr>
              <w:t>7</w:t>
            </w:r>
          </w:p>
        </w:tc>
        <w:tc>
          <w:tcPr>
            <w:tcW w:w="6804" w:type="dxa"/>
            <w:noWrap w:val="0"/>
            <w:vAlign w:val="center"/>
          </w:tcPr>
          <w:p w14:paraId="3C0223FD">
            <w:pPr>
              <w:widowControl/>
              <w:spacing w:line="360" w:lineRule="auto"/>
              <w:jc w:val="left"/>
              <w:rPr>
                <w:rFonts w:hint="eastAsia" w:ascii="宋体" w:hAnsi="宋体" w:cs="宋体"/>
                <w:kern w:val="0"/>
                <w:sz w:val="20"/>
                <w:szCs w:val="21"/>
              </w:rPr>
            </w:pPr>
            <w:r>
              <w:rPr>
                <w:rFonts w:hint="eastAsia" w:ascii="宋体" w:hAnsi="宋体" w:cs="宋体"/>
                <w:kern w:val="0"/>
                <w:sz w:val="20"/>
                <w:szCs w:val="21"/>
              </w:rPr>
              <w:t>提供项目服务团队组织结构、团队配备清单，含人员职称或资格证书、工作证、从业年限等证明材料。</w:t>
            </w:r>
          </w:p>
        </w:tc>
      </w:tr>
      <w:tr w14:paraId="7B16C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5D96ED18">
            <w:pPr>
              <w:widowControl/>
              <w:adjustRightInd w:val="0"/>
              <w:spacing w:line="360" w:lineRule="auto"/>
              <w:jc w:val="center"/>
              <w:rPr>
                <w:rFonts w:ascii="宋体" w:hAnsi="宋体" w:cs="宋体"/>
                <w:kern w:val="0"/>
                <w:sz w:val="20"/>
                <w:szCs w:val="21"/>
              </w:rPr>
            </w:pPr>
            <w:r>
              <w:rPr>
                <w:rFonts w:hint="eastAsia" w:ascii="宋体" w:hAnsi="宋体" w:cs="宋体"/>
                <w:bCs/>
                <w:kern w:val="0"/>
                <w:sz w:val="20"/>
                <w:szCs w:val="21"/>
              </w:rPr>
              <w:t>验收标准</w:t>
            </w:r>
          </w:p>
        </w:tc>
        <w:tc>
          <w:tcPr>
            <w:tcW w:w="709" w:type="dxa"/>
            <w:noWrap w:val="0"/>
            <w:vAlign w:val="center"/>
          </w:tcPr>
          <w:p w14:paraId="371DCFB0">
            <w:pPr>
              <w:widowControl/>
              <w:adjustRightInd w:val="0"/>
              <w:spacing w:line="360" w:lineRule="auto"/>
              <w:jc w:val="center"/>
              <w:rPr>
                <w:rFonts w:ascii="宋体" w:hAnsi="宋体" w:cs="宋体"/>
                <w:kern w:val="0"/>
                <w:sz w:val="20"/>
                <w:szCs w:val="21"/>
              </w:rPr>
            </w:pPr>
            <w:r>
              <w:rPr>
                <w:rFonts w:ascii="宋体" w:hAnsi="宋体" w:cs="宋体"/>
                <w:kern w:val="0"/>
                <w:sz w:val="20"/>
                <w:szCs w:val="21"/>
              </w:rPr>
              <w:t>18</w:t>
            </w:r>
          </w:p>
        </w:tc>
        <w:tc>
          <w:tcPr>
            <w:tcW w:w="6804" w:type="dxa"/>
            <w:noWrap w:val="0"/>
            <w:vAlign w:val="center"/>
          </w:tcPr>
          <w:p w14:paraId="64726094">
            <w:pPr>
              <w:widowControl/>
              <w:spacing w:line="360" w:lineRule="auto"/>
              <w:jc w:val="left"/>
              <w:rPr>
                <w:rFonts w:ascii="宋体" w:hAnsi="宋体" w:cs="宋体"/>
                <w:kern w:val="0"/>
                <w:sz w:val="20"/>
                <w:szCs w:val="21"/>
              </w:rPr>
            </w:pPr>
            <w:r>
              <w:rPr>
                <w:rFonts w:hint="eastAsia" w:ascii="宋体" w:hAnsi="宋体" w:cs="宋体"/>
                <w:kern w:val="0"/>
                <w:sz w:val="20"/>
                <w:szCs w:val="21"/>
              </w:rPr>
              <w:t>现场验收：施工布线应满足机房上走线标准及线缆标记标准。</w:t>
            </w:r>
          </w:p>
          <w:p w14:paraId="468BCB7B">
            <w:pPr>
              <w:widowControl/>
              <w:spacing w:line="360" w:lineRule="auto"/>
              <w:jc w:val="left"/>
              <w:rPr>
                <w:rFonts w:ascii="宋体" w:hAnsi="宋体" w:cs="宋体"/>
                <w:kern w:val="0"/>
                <w:sz w:val="20"/>
                <w:szCs w:val="21"/>
              </w:rPr>
            </w:pPr>
            <w:r>
              <w:rPr>
                <w:rFonts w:hint="eastAsia" w:ascii="宋体" w:hAnsi="宋体" w:cs="宋体"/>
                <w:kern w:val="0"/>
                <w:sz w:val="20"/>
                <w:szCs w:val="21"/>
              </w:rPr>
              <w:t>技术验收：互联网线路上行及下行带宽应满足承诺函中投标保证值中带宽，其中可用率大于99.95%、丢包率≤0.5%、时延≤20ms。</w:t>
            </w:r>
          </w:p>
        </w:tc>
      </w:tr>
      <w:bookmarkEnd w:id="3"/>
    </w:tbl>
    <w:p w14:paraId="3329F08D">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803DF"/>
    <w:multiLevelType w:val="multilevel"/>
    <w:tmpl w:val="683803D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F1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2026-06-02T02:06:24Z</dcterms:created>
  <dc:creator>李政豪</dc:creator>
  <cp:lastModifiedBy>10674</cp:lastModifiedBy>
  <dcterms:modified xsi:type="dcterms:W3CDTF">2026-06-02T02:07:07Z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8206EBC46F3C494E848AAF07E597E509_12</vt:lpwstr>
  </property>
</Properties>
</file>