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C9E84">
      <w:pPr>
        <w:spacing w:line="360" w:lineRule="auto"/>
        <w:jc w:val="center"/>
        <w:outlineLvl w:val="0"/>
        <w:rPr>
          <w:b/>
          <w:sz w:val="36"/>
          <w:szCs w:val="36"/>
          <w:highlight w:val="none"/>
        </w:rPr>
      </w:pPr>
      <w:bookmarkStart w:id="1" w:name="_GoBack"/>
      <w:bookmarkEnd w:id="1"/>
      <w:bookmarkStart w:id="0" w:name="_Toc99301424"/>
      <w:r>
        <w:rPr>
          <w:b/>
          <w:sz w:val="36"/>
          <w:szCs w:val="36"/>
          <w:highlight w:val="none"/>
        </w:rPr>
        <w:t>采购需求</w:t>
      </w:r>
      <w:bookmarkEnd w:id="0"/>
    </w:p>
    <w:p w14:paraId="6CE41E36">
      <w:pPr>
        <w:ind w:firstLine="705" w:firstLineChars="195"/>
        <w:contextualSpacing/>
        <w:rPr>
          <w:rFonts w:hint="eastAsia" w:eastAsia="仿宋_GB2312"/>
          <w:b/>
          <w:bCs/>
          <w:kern w:val="0"/>
          <w:sz w:val="36"/>
          <w:szCs w:val="36"/>
          <w:highlight w:val="none"/>
        </w:rPr>
      </w:pPr>
      <w:r>
        <w:rPr>
          <w:rFonts w:hint="eastAsia" w:eastAsia="仿宋_GB2312"/>
          <w:b/>
          <w:bCs/>
          <w:kern w:val="0"/>
          <w:sz w:val="36"/>
          <w:szCs w:val="36"/>
          <w:highlight w:val="none"/>
        </w:rPr>
        <w:t>一、采购标的</w:t>
      </w:r>
    </w:p>
    <w:p w14:paraId="0655165F">
      <w:pPr>
        <w:ind w:firstLine="702" w:firstLineChars="195"/>
        <w:contextualSpacing/>
        <w:rPr>
          <w:rFonts w:eastAsia="仿宋_GB2312"/>
          <w:b/>
          <w:bCs/>
          <w:kern w:val="0"/>
          <w:sz w:val="36"/>
          <w:szCs w:val="36"/>
          <w:highlight w:val="none"/>
        </w:rPr>
      </w:pPr>
      <w:r>
        <w:rPr>
          <w:rFonts w:hint="eastAsia" w:eastAsia="仿宋_GB2312"/>
          <w:kern w:val="0"/>
          <w:sz w:val="36"/>
          <w:szCs w:val="36"/>
          <w:highlight w:val="none"/>
        </w:rPr>
        <w:t>1.</w:t>
      </w:r>
      <w:r>
        <w:rPr>
          <w:rFonts w:hint="eastAsia" w:eastAsia="仿宋_GB2312"/>
          <w:b/>
          <w:bCs/>
          <w:kern w:val="0"/>
          <w:sz w:val="36"/>
          <w:szCs w:val="36"/>
          <w:highlight w:val="none"/>
        </w:rPr>
        <w:t xml:space="preserve"> 采购标的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6"/>
        <w:gridCol w:w="2630"/>
        <w:gridCol w:w="1576"/>
      </w:tblGrid>
      <w:tr w14:paraId="50B6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6" w:type="dxa"/>
            <w:noWrap w:val="0"/>
            <w:vAlign w:val="center"/>
          </w:tcPr>
          <w:p w14:paraId="11E23B79">
            <w:pPr>
              <w:adjustRightInd w:val="0"/>
              <w:snapToGrid w:val="0"/>
              <w:spacing w:line="360" w:lineRule="auto"/>
              <w:jc w:val="center"/>
              <w:rPr>
                <w:rFonts w:ascii="宋体" w:hAnsi="宋体" w:cs="宋体"/>
                <w:bCs/>
                <w:sz w:val="24"/>
                <w:highlight w:val="none"/>
              </w:rPr>
            </w:pPr>
            <w:r>
              <w:rPr>
                <w:rFonts w:hint="eastAsia" w:ascii="宋体" w:hAnsi="宋体" w:cs="宋体"/>
                <w:bCs/>
                <w:sz w:val="24"/>
                <w:highlight w:val="none"/>
              </w:rPr>
              <w:t>标的名称</w:t>
            </w:r>
          </w:p>
        </w:tc>
        <w:tc>
          <w:tcPr>
            <w:tcW w:w="2630" w:type="dxa"/>
            <w:noWrap w:val="0"/>
            <w:vAlign w:val="center"/>
          </w:tcPr>
          <w:p w14:paraId="669A6919">
            <w:pPr>
              <w:adjustRightInd w:val="0"/>
              <w:snapToGrid w:val="0"/>
              <w:spacing w:line="360" w:lineRule="auto"/>
              <w:jc w:val="center"/>
              <w:rPr>
                <w:rFonts w:ascii="宋体" w:hAnsi="宋体" w:cs="宋体"/>
                <w:bCs/>
                <w:sz w:val="24"/>
                <w:highlight w:val="none"/>
              </w:rPr>
            </w:pPr>
            <w:r>
              <w:rPr>
                <w:rFonts w:hint="eastAsia" w:ascii="宋体" w:hAnsi="宋体" w:cs="宋体"/>
                <w:bCs/>
                <w:sz w:val="24"/>
                <w:highlight w:val="none"/>
              </w:rPr>
              <w:t>采购包预算金额</w:t>
            </w:r>
          </w:p>
          <w:p w14:paraId="101C41F5">
            <w:pPr>
              <w:adjustRightInd w:val="0"/>
              <w:snapToGrid w:val="0"/>
              <w:spacing w:line="360" w:lineRule="auto"/>
              <w:jc w:val="center"/>
              <w:rPr>
                <w:rFonts w:ascii="宋体" w:hAnsi="宋体" w:cs="宋体"/>
                <w:bCs/>
                <w:sz w:val="24"/>
                <w:highlight w:val="none"/>
              </w:rPr>
            </w:pPr>
            <w:r>
              <w:rPr>
                <w:rFonts w:hint="eastAsia" w:ascii="宋体" w:hAnsi="宋体" w:cs="宋体"/>
                <w:bCs/>
                <w:sz w:val="24"/>
                <w:highlight w:val="none"/>
              </w:rPr>
              <w:t>（万元）</w:t>
            </w:r>
          </w:p>
        </w:tc>
        <w:tc>
          <w:tcPr>
            <w:tcW w:w="1576" w:type="dxa"/>
            <w:noWrap w:val="0"/>
            <w:vAlign w:val="center"/>
          </w:tcPr>
          <w:p w14:paraId="0FB71B66">
            <w:pPr>
              <w:adjustRightInd w:val="0"/>
              <w:snapToGrid w:val="0"/>
              <w:spacing w:line="360" w:lineRule="auto"/>
              <w:jc w:val="center"/>
              <w:rPr>
                <w:rFonts w:ascii="宋体" w:hAnsi="宋体" w:cs="宋体"/>
                <w:bCs/>
                <w:sz w:val="24"/>
                <w:highlight w:val="none"/>
              </w:rPr>
            </w:pPr>
            <w:r>
              <w:rPr>
                <w:rFonts w:hint="eastAsia" w:ascii="宋体" w:hAnsi="宋体" w:cs="宋体"/>
                <w:bCs/>
                <w:sz w:val="24"/>
                <w:highlight w:val="none"/>
              </w:rPr>
              <w:t>数量</w:t>
            </w:r>
          </w:p>
        </w:tc>
      </w:tr>
      <w:tr w14:paraId="5126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6" w:type="dxa"/>
            <w:noWrap w:val="0"/>
            <w:vAlign w:val="center"/>
          </w:tcPr>
          <w:p w14:paraId="7DD4A406">
            <w:pPr>
              <w:adjustRightInd w:val="0"/>
              <w:snapToGrid w:val="0"/>
              <w:spacing w:line="360" w:lineRule="auto"/>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北京法院政务云平台租用项目</w:t>
            </w:r>
          </w:p>
        </w:tc>
        <w:tc>
          <w:tcPr>
            <w:tcW w:w="2630" w:type="dxa"/>
            <w:noWrap w:val="0"/>
            <w:vAlign w:val="center"/>
          </w:tcPr>
          <w:p w14:paraId="62C79FED">
            <w:pPr>
              <w:adjustRightInd w:val="0"/>
              <w:snapToGrid w:val="0"/>
              <w:spacing w:line="360" w:lineRule="auto"/>
              <w:jc w:val="center"/>
              <w:rPr>
                <w:rFonts w:ascii="宋体" w:hAnsi="宋体" w:cs="宋体"/>
                <w:bCs/>
                <w:sz w:val="24"/>
                <w:highlight w:val="none"/>
              </w:rPr>
            </w:pPr>
            <w:r>
              <w:rPr>
                <w:rFonts w:hint="eastAsia" w:ascii="宋体" w:hAnsi="宋体" w:cs="宋体"/>
                <w:bCs/>
                <w:sz w:val="24"/>
                <w:highlight w:val="none"/>
              </w:rPr>
              <w:t>600</w:t>
            </w:r>
          </w:p>
        </w:tc>
        <w:tc>
          <w:tcPr>
            <w:tcW w:w="1576" w:type="dxa"/>
            <w:noWrap w:val="0"/>
            <w:vAlign w:val="center"/>
          </w:tcPr>
          <w:p w14:paraId="23498108">
            <w:pPr>
              <w:adjustRightInd w:val="0"/>
              <w:snapToGrid w:val="0"/>
              <w:spacing w:line="360" w:lineRule="auto"/>
              <w:jc w:val="center"/>
              <w:rPr>
                <w:rFonts w:ascii="宋体" w:hAnsi="宋体" w:cs="宋体"/>
                <w:bCs/>
                <w:sz w:val="24"/>
                <w:highlight w:val="none"/>
              </w:rPr>
            </w:pPr>
            <w:r>
              <w:rPr>
                <w:rFonts w:hint="eastAsia" w:ascii="宋体" w:hAnsi="宋体" w:cs="宋体"/>
                <w:bCs/>
                <w:sz w:val="24"/>
                <w:highlight w:val="none"/>
              </w:rPr>
              <w:t>1</w:t>
            </w:r>
          </w:p>
        </w:tc>
      </w:tr>
    </w:tbl>
    <w:p w14:paraId="6BB5838C">
      <w:pPr>
        <w:ind w:firstLine="702" w:firstLineChars="195"/>
        <w:rPr>
          <w:rFonts w:eastAsia="仿宋_GB2312"/>
          <w:kern w:val="0"/>
          <w:sz w:val="36"/>
          <w:szCs w:val="36"/>
          <w:highlight w:val="none"/>
        </w:rPr>
      </w:pPr>
      <w:r>
        <w:rPr>
          <w:rFonts w:hint="eastAsia" w:eastAsia="仿宋_GB2312"/>
          <w:kern w:val="0"/>
          <w:sz w:val="36"/>
          <w:szCs w:val="36"/>
          <w:highlight w:val="none"/>
        </w:rPr>
        <w:t>2.</w:t>
      </w:r>
      <w:r>
        <w:rPr>
          <w:rFonts w:hint="eastAsia" w:eastAsia="仿宋_GB2312"/>
          <w:b/>
          <w:bCs/>
          <w:kern w:val="0"/>
          <w:sz w:val="36"/>
          <w:szCs w:val="36"/>
          <w:highlight w:val="none"/>
        </w:rPr>
        <w:t xml:space="preserve"> 项目概述</w:t>
      </w:r>
    </w:p>
    <w:p w14:paraId="4D18F5AD">
      <w:pPr>
        <w:ind w:firstLine="720" w:firstLineChars="200"/>
        <w:rPr>
          <w:rFonts w:hint="eastAsia" w:eastAsia="仿宋_GB2312"/>
          <w:kern w:val="0"/>
          <w:sz w:val="36"/>
          <w:szCs w:val="36"/>
          <w:highlight w:val="none"/>
        </w:rPr>
      </w:pPr>
      <w:r>
        <w:rPr>
          <w:rFonts w:hint="eastAsia" w:eastAsia="仿宋_GB2312"/>
          <w:kern w:val="0"/>
          <w:sz w:val="36"/>
          <w:szCs w:val="36"/>
          <w:highlight w:val="none"/>
        </w:rPr>
        <w:t>项目主要内容为租用北京市政务互联网云平台，为北京法院审判信息网网上公开、在线庭审等提供基础计算资源、存储资源、互联网带宽和安全保障服务。各业务系统硬件和网络环境应具有可靠性，对于提供系统支持的关键环节设备，应避免单点隐患，对于网络资源应具有良好的备份机制，防止因设备出现故障而中断服务，各业务系统要7*24小时对外不间断服务，满足系统稳定性。</w:t>
      </w:r>
    </w:p>
    <w:p w14:paraId="0B131AB4">
      <w:pPr>
        <w:ind w:firstLine="720" w:firstLineChars="200"/>
        <w:rPr>
          <w:rFonts w:hint="eastAsia" w:eastAsia="仿宋_GB2312"/>
          <w:kern w:val="0"/>
          <w:sz w:val="36"/>
          <w:szCs w:val="36"/>
          <w:highlight w:val="none"/>
        </w:rPr>
      </w:pPr>
      <w:r>
        <w:rPr>
          <w:rFonts w:hint="eastAsia" w:eastAsia="仿宋_GB2312"/>
          <w:kern w:val="0"/>
          <w:sz w:val="36"/>
          <w:szCs w:val="36"/>
          <w:highlight w:val="none"/>
          <w:lang w:eastAsia="zh-CN"/>
        </w:rPr>
        <w:t>项目主要保障</w:t>
      </w:r>
      <w:r>
        <w:rPr>
          <w:rFonts w:hint="eastAsia" w:eastAsia="仿宋_GB2312"/>
          <w:kern w:val="0"/>
          <w:sz w:val="36"/>
          <w:szCs w:val="36"/>
          <w:highlight w:val="none"/>
        </w:rPr>
        <w:t>北京法院审判信息网、在线庭审系统、手写数字签名系统、公务用车系统、短信平台、招录系统、裁判文书交互服务、人民法院调解平台-数据中转服务、5G执法记录仪、源代码缺陷扫描系统、电子票据前置服务、云文档服务、法制云系统及测试服务、智汇云APP、人事服务APP、日程服务APP、二维码扫描入院等系统。</w:t>
      </w:r>
    </w:p>
    <w:p w14:paraId="25BAEC25">
      <w:pPr>
        <w:ind w:firstLine="705" w:firstLineChars="195"/>
        <w:rPr>
          <w:rFonts w:hint="eastAsia" w:eastAsia="仿宋_GB2312"/>
          <w:kern w:val="0"/>
          <w:sz w:val="36"/>
          <w:szCs w:val="36"/>
          <w:highlight w:val="none"/>
        </w:rPr>
      </w:pPr>
      <w:r>
        <w:rPr>
          <w:rFonts w:hint="eastAsia" w:eastAsia="仿宋_GB2312"/>
          <w:b/>
          <w:bCs/>
          <w:kern w:val="0"/>
          <w:sz w:val="36"/>
          <w:szCs w:val="36"/>
          <w:highlight w:val="none"/>
        </w:rPr>
        <w:t>二、商务要求</w:t>
      </w:r>
    </w:p>
    <w:p w14:paraId="11F7B644">
      <w:pPr>
        <w:ind w:firstLine="720" w:firstLineChars="200"/>
        <w:rPr>
          <w:rFonts w:eastAsia="仿宋_GB2312"/>
          <w:kern w:val="0"/>
          <w:sz w:val="36"/>
          <w:szCs w:val="36"/>
          <w:highlight w:val="none"/>
        </w:rPr>
      </w:pPr>
      <w:r>
        <w:rPr>
          <w:rFonts w:hint="eastAsia" w:eastAsia="仿宋_GB2312"/>
          <w:kern w:val="0"/>
          <w:sz w:val="36"/>
          <w:szCs w:val="36"/>
          <w:highlight w:val="none"/>
        </w:rPr>
        <w:t>1. 交付（实施）的时间（期限）和地点（范围）</w:t>
      </w:r>
    </w:p>
    <w:p w14:paraId="0D43F2D9">
      <w:pPr>
        <w:ind w:firstLine="720" w:firstLineChars="200"/>
        <w:rPr>
          <w:rFonts w:eastAsia="仿宋_GB2312"/>
          <w:kern w:val="0"/>
          <w:sz w:val="36"/>
          <w:szCs w:val="36"/>
          <w:highlight w:val="none"/>
        </w:rPr>
      </w:pPr>
      <w:r>
        <w:rPr>
          <w:rFonts w:hint="eastAsia" w:eastAsia="仿宋_GB2312"/>
          <w:kern w:val="0"/>
          <w:sz w:val="36"/>
          <w:szCs w:val="36"/>
          <w:highlight w:val="none"/>
        </w:rPr>
        <w:t>服务地点：采购人指定地点</w:t>
      </w:r>
    </w:p>
    <w:p w14:paraId="3F12F9E8">
      <w:pPr>
        <w:ind w:firstLine="720" w:firstLineChars="200"/>
        <w:rPr>
          <w:rFonts w:hint="eastAsia" w:eastAsia="仿宋_GB2312"/>
          <w:kern w:val="0"/>
          <w:sz w:val="36"/>
          <w:szCs w:val="36"/>
          <w:highlight w:val="none"/>
        </w:rPr>
      </w:pPr>
      <w:r>
        <w:rPr>
          <w:rFonts w:hint="eastAsia" w:eastAsia="仿宋_GB2312"/>
          <w:kern w:val="0"/>
          <w:sz w:val="36"/>
          <w:szCs w:val="36"/>
          <w:highlight w:val="none"/>
        </w:rPr>
        <w:t>服务期限：12个月</w:t>
      </w:r>
    </w:p>
    <w:p w14:paraId="048B922C">
      <w:pPr>
        <w:ind w:firstLine="720" w:firstLineChars="200"/>
        <w:rPr>
          <w:rFonts w:eastAsia="仿宋_GB2312"/>
          <w:kern w:val="0"/>
          <w:sz w:val="36"/>
          <w:szCs w:val="36"/>
          <w:highlight w:val="none"/>
        </w:rPr>
      </w:pPr>
      <w:r>
        <w:rPr>
          <w:rFonts w:hint="eastAsia" w:eastAsia="仿宋_GB2312"/>
          <w:kern w:val="0"/>
          <w:sz w:val="36"/>
          <w:szCs w:val="36"/>
          <w:highlight w:val="none"/>
        </w:rPr>
        <w:t>2. 付款条件（进度和方式）</w:t>
      </w:r>
    </w:p>
    <w:p w14:paraId="22EC6DEC">
      <w:pPr>
        <w:tabs>
          <w:tab w:val="left" w:pos="567"/>
        </w:tabs>
        <w:ind w:firstLine="720" w:firstLineChars="200"/>
        <w:contextualSpacing/>
        <w:rPr>
          <w:rFonts w:hint="eastAsia" w:eastAsia="仿宋_GB2312"/>
          <w:kern w:val="0"/>
          <w:sz w:val="36"/>
          <w:szCs w:val="36"/>
          <w:highlight w:val="none"/>
        </w:rPr>
      </w:pPr>
      <w:r>
        <w:rPr>
          <w:rFonts w:hint="eastAsia" w:eastAsia="仿宋_GB2312"/>
          <w:kern w:val="0"/>
          <w:sz w:val="36"/>
          <w:szCs w:val="36"/>
          <w:highlight w:val="none"/>
        </w:rPr>
        <w:t>财政拨付资金到账，双方签署合同后30个工作日内，甲方向乙方支付首付款（首付款比例不低于合同总金额的30%）。</w:t>
      </w:r>
    </w:p>
    <w:p w14:paraId="395FE45E">
      <w:pPr>
        <w:ind w:firstLine="720" w:firstLineChars="200"/>
        <w:contextualSpacing/>
        <w:rPr>
          <w:rFonts w:hint="eastAsia" w:eastAsia="仿宋_GB2312"/>
          <w:kern w:val="0"/>
          <w:sz w:val="36"/>
          <w:szCs w:val="36"/>
          <w:highlight w:val="none"/>
        </w:rPr>
      </w:pPr>
      <w:r>
        <w:rPr>
          <w:rFonts w:hint="eastAsia" w:eastAsia="仿宋_GB2312"/>
          <w:kern w:val="0"/>
          <w:sz w:val="36"/>
          <w:szCs w:val="36"/>
          <w:highlight w:val="none"/>
        </w:rPr>
        <w:t>合同执行中期，财政拨付资金到账且乙方向甲方提供合同总金额5%的履约保函后（履约保函有效期限不少于6个月），甲方向乙方支付尾款。</w:t>
      </w:r>
    </w:p>
    <w:p w14:paraId="3BF37A4C">
      <w:pPr>
        <w:ind w:firstLine="705" w:firstLineChars="195"/>
        <w:contextualSpacing/>
        <w:rPr>
          <w:rFonts w:hint="eastAsia" w:eastAsia="仿宋_GB2312"/>
          <w:b/>
          <w:bCs/>
          <w:kern w:val="0"/>
          <w:sz w:val="36"/>
          <w:szCs w:val="36"/>
          <w:highlight w:val="none"/>
        </w:rPr>
      </w:pPr>
      <w:r>
        <w:rPr>
          <w:rFonts w:hint="eastAsia" w:eastAsia="仿宋_GB2312"/>
          <w:b/>
          <w:bCs/>
          <w:kern w:val="0"/>
          <w:sz w:val="36"/>
          <w:szCs w:val="36"/>
          <w:highlight w:val="none"/>
        </w:rPr>
        <w:t>三、技术要求</w:t>
      </w:r>
    </w:p>
    <w:p w14:paraId="3FA885B3">
      <w:pPr>
        <w:ind w:firstLine="720" w:firstLineChars="200"/>
        <w:rPr>
          <w:rFonts w:eastAsia="仿宋_GB2312"/>
          <w:kern w:val="0"/>
          <w:sz w:val="36"/>
          <w:szCs w:val="36"/>
          <w:highlight w:val="none"/>
        </w:rPr>
      </w:pPr>
      <w:r>
        <w:rPr>
          <w:rFonts w:hint="eastAsia" w:eastAsia="仿宋_GB2312"/>
          <w:kern w:val="0"/>
          <w:sz w:val="36"/>
          <w:szCs w:val="36"/>
          <w:highlight w:val="none"/>
        </w:rPr>
        <w:t>1. 基本要求</w:t>
      </w:r>
    </w:p>
    <w:p w14:paraId="1CF1F1F5">
      <w:pPr>
        <w:keepNext/>
        <w:keepLines/>
        <w:numPr>
          <w:ilvl w:val="1"/>
          <w:numId w:val="0"/>
        </w:numPr>
        <w:ind w:left="567"/>
        <w:outlineLvl w:val="1"/>
        <w:rPr>
          <w:rFonts w:hint="eastAsia" w:ascii="仿宋_GB2312" w:hAnsi="仿宋_GB2312" w:eastAsia="仿宋_GB2312" w:cs="仿宋_GB2312"/>
          <w:sz w:val="36"/>
          <w:szCs w:val="36"/>
          <w:highlight w:val="none"/>
        </w:rPr>
      </w:pPr>
      <w:r>
        <w:rPr>
          <w:rFonts w:hint="eastAsia" w:ascii="宋体" w:hAnsi="宋体" w:cs="宋体"/>
          <w:sz w:val="36"/>
          <w:szCs w:val="36"/>
          <w:highlight w:val="none"/>
        </w:rPr>
        <w:t xml:space="preserve">1.1 </w:t>
      </w:r>
      <w:r>
        <w:rPr>
          <w:rFonts w:hint="eastAsia" w:ascii="仿宋_GB2312" w:hAnsi="仿宋_GB2312" w:eastAsia="仿宋_GB2312" w:cs="仿宋_GB2312"/>
          <w:sz w:val="36"/>
          <w:szCs w:val="36"/>
          <w:highlight w:val="none"/>
        </w:rPr>
        <w:t>基础服务部分租赁清单</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3"/>
        <w:gridCol w:w="1902"/>
        <w:gridCol w:w="3823"/>
        <w:gridCol w:w="1518"/>
      </w:tblGrid>
      <w:tr w14:paraId="03C6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5000" w:type="pct"/>
            <w:gridSpan w:val="4"/>
            <w:noWrap/>
            <w:vAlign w:val="center"/>
          </w:tcPr>
          <w:p w14:paraId="6F648BA5">
            <w:pPr>
              <w:autoSpaceDE w:val="0"/>
              <w:autoSpaceDN w:val="0"/>
              <w:jc w:val="center"/>
              <w:rPr>
                <w:rFonts w:hint="eastAsia" w:ascii="宋体" w:hAnsi="宋体" w:cs="宋体"/>
                <w:b/>
                <w:szCs w:val="21"/>
                <w:highlight w:val="none"/>
                <w:lang w:val="zh-CN" w:bidi="zh-CN"/>
              </w:rPr>
            </w:pPr>
            <w:r>
              <w:rPr>
                <w:rFonts w:hint="eastAsia" w:ascii="宋体" w:hAnsi="宋体" w:cs="宋体"/>
                <w:b/>
                <w:szCs w:val="21"/>
                <w:highlight w:val="none"/>
                <w:lang w:val="zh-CN" w:bidi="zh-CN"/>
              </w:rPr>
              <w:t>基础服务部分</w:t>
            </w:r>
          </w:p>
        </w:tc>
      </w:tr>
      <w:tr w14:paraId="5919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653" w:type="pct"/>
            <w:shd w:val="clear" w:color="auto" w:fill="D9D9D9"/>
            <w:noWrap/>
            <w:vAlign w:val="center"/>
          </w:tcPr>
          <w:p w14:paraId="320C29D0">
            <w:pPr>
              <w:autoSpaceDE w:val="0"/>
              <w:autoSpaceDN w:val="0"/>
              <w:jc w:val="center"/>
              <w:rPr>
                <w:rFonts w:hint="eastAsia" w:ascii="宋体" w:hAnsi="宋体" w:cs="宋体"/>
                <w:b/>
                <w:szCs w:val="21"/>
                <w:highlight w:val="none"/>
                <w:lang w:val="zh-CN" w:bidi="zh-CN"/>
              </w:rPr>
            </w:pPr>
            <w:r>
              <w:rPr>
                <w:rFonts w:hint="eastAsia" w:ascii="宋体" w:hAnsi="宋体" w:cs="宋体"/>
                <w:b/>
                <w:szCs w:val="21"/>
                <w:highlight w:val="none"/>
                <w:lang w:val="zh-CN" w:bidi="zh-CN"/>
              </w:rPr>
              <w:t>服务类别</w:t>
            </w:r>
          </w:p>
        </w:tc>
        <w:tc>
          <w:tcPr>
            <w:tcW w:w="1159" w:type="pct"/>
            <w:shd w:val="clear" w:color="auto" w:fill="D9D9D9"/>
            <w:noWrap/>
            <w:vAlign w:val="center"/>
          </w:tcPr>
          <w:p w14:paraId="6F224745">
            <w:pPr>
              <w:autoSpaceDE w:val="0"/>
              <w:autoSpaceDN w:val="0"/>
              <w:jc w:val="center"/>
              <w:rPr>
                <w:rFonts w:ascii="宋体" w:hAnsi="宋体" w:cs="宋体"/>
                <w:b/>
                <w:szCs w:val="21"/>
                <w:highlight w:val="none"/>
                <w:lang w:val="zh-CN" w:bidi="zh-CN"/>
              </w:rPr>
            </w:pPr>
            <w:r>
              <w:rPr>
                <w:rFonts w:hint="eastAsia" w:ascii="宋体" w:hAnsi="宋体" w:cs="宋体"/>
                <w:b/>
                <w:szCs w:val="21"/>
                <w:highlight w:val="none"/>
                <w:lang w:val="zh-CN" w:bidi="zh-CN"/>
              </w:rPr>
              <w:t>服务</w:t>
            </w:r>
            <w:r>
              <w:rPr>
                <w:rFonts w:hint="eastAsia" w:ascii="宋体" w:hAnsi="宋体" w:cs="宋体"/>
                <w:b/>
                <w:szCs w:val="21"/>
                <w:highlight w:val="none"/>
                <w:lang w:bidi="zh-CN"/>
              </w:rPr>
              <w:t>子</w:t>
            </w:r>
            <w:r>
              <w:rPr>
                <w:rFonts w:hint="eastAsia" w:ascii="宋体" w:hAnsi="宋体" w:cs="宋体"/>
                <w:b/>
                <w:szCs w:val="21"/>
                <w:highlight w:val="none"/>
                <w:lang w:val="zh-CN" w:bidi="zh-CN"/>
              </w:rPr>
              <w:t>别</w:t>
            </w:r>
          </w:p>
        </w:tc>
        <w:tc>
          <w:tcPr>
            <w:tcW w:w="2333" w:type="pct"/>
            <w:shd w:val="clear" w:color="auto" w:fill="D9D9D9"/>
            <w:noWrap/>
            <w:vAlign w:val="center"/>
          </w:tcPr>
          <w:p w14:paraId="6DC2967F">
            <w:pPr>
              <w:autoSpaceDE w:val="0"/>
              <w:autoSpaceDN w:val="0"/>
              <w:jc w:val="center"/>
              <w:rPr>
                <w:rFonts w:ascii="宋体" w:hAnsi="宋体" w:cs="宋体"/>
                <w:b/>
                <w:szCs w:val="21"/>
                <w:highlight w:val="none"/>
                <w:lang w:val="zh-CN" w:bidi="zh-CN"/>
              </w:rPr>
            </w:pPr>
            <w:r>
              <w:rPr>
                <w:rFonts w:hint="eastAsia" w:ascii="宋体" w:hAnsi="宋体" w:cs="宋体"/>
                <w:b/>
                <w:szCs w:val="21"/>
                <w:highlight w:val="none"/>
                <w:lang w:val="zh-CN" w:bidi="zh-CN"/>
              </w:rPr>
              <w:t>服务项</w:t>
            </w:r>
          </w:p>
        </w:tc>
        <w:tc>
          <w:tcPr>
            <w:tcW w:w="852" w:type="pct"/>
            <w:shd w:val="clear" w:color="auto" w:fill="D9D9D9"/>
            <w:noWrap/>
            <w:vAlign w:val="center"/>
          </w:tcPr>
          <w:p w14:paraId="1356A859">
            <w:pPr>
              <w:autoSpaceDE w:val="0"/>
              <w:autoSpaceDN w:val="0"/>
              <w:ind w:right="44"/>
              <w:jc w:val="center"/>
              <w:rPr>
                <w:rFonts w:ascii="宋体" w:hAnsi="宋体" w:cs="宋体"/>
                <w:b/>
                <w:szCs w:val="21"/>
                <w:highlight w:val="none"/>
                <w:lang w:val="zh-CN" w:bidi="zh-CN"/>
              </w:rPr>
            </w:pPr>
            <w:r>
              <w:rPr>
                <w:rFonts w:hint="eastAsia" w:ascii="宋体" w:hAnsi="宋体" w:cs="宋体"/>
                <w:b/>
                <w:szCs w:val="21"/>
                <w:highlight w:val="none"/>
                <w:lang w:val="zh-CN" w:bidi="zh-CN"/>
              </w:rPr>
              <w:t>数量</w:t>
            </w:r>
          </w:p>
        </w:tc>
      </w:tr>
      <w:tr w14:paraId="1F55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653" w:type="pct"/>
            <w:vMerge w:val="restart"/>
            <w:noWrap/>
            <w:vAlign w:val="center"/>
          </w:tcPr>
          <w:p w14:paraId="6DB76952">
            <w:pPr>
              <w:jc w:val="center"/>
              <w:rPr>
                <w:rFonts w:hint="eastAsia" w:ascii="宋体" w:hAnsi="宋体" w:cs="宋体"/>
                <w:szCs w:val="21"/>
                <w:highlight w:val="none"/>
              </w:rPr>
            </w:pPr>
            <w:r>
              <w:rPr>
                <w:rFonts w:hint="eastAsia" w:ascii="宋体" w:hAnsi="宋体" w:cs="宋体"/>
                <w:szCs w:val="21"/>
                <w:highlight w:val="none"/>
              </w:rPr>
              <w:t>计算服务</w:t>
            </w:r>
          </w:p>
        </w:tc>
        <w:tc>
          <w:tcPr>
            <w:tcW w:w="1159" w:type="pct"/>
            <w:vMerge w:val="restart"/>
            <w:noWrap/>
            <w:vAlign w:val="center"/>
          </w:tcPr>
          <w:p w14:paraId="404BF874">
            <w:pPr>
              <w:jc w:val="center"/>
              <w:rPr>
                <w:rFonts w:ascii="宋体" w:hAnsi="宋体" w:cs="宋体"/>
                <w:szCs w:val="21"/>
                <w:highlight w:val="none"/>
              </w:rPr>
            </w:pPr>
            <w:r>
              <w:rPr>
                <w:rFonts w:hint="eastAsia" w:ascii="宋体" w:hAnsi="宋体" w:cs="宋体"/>
                <w:szCs w:val="21"/>
                <w:highlight w:val="none"/>
              </w:rPr>
              <w:t>X86平台云主机服务</w:t>
            </w:r>
          </w:p>
        </w:tc>
        <w:tc>
          <w:tcPr>
            <w:tcW w:w="2333" w:type="pct"/>
            <w:noWrap/>
            <w:vAlign w:val="center"/>
          </w:tcPr>
          <w:p w14:paraId="6DB66CA0">
            <w:pPr>
              <w:jc w:val="center"/>
              <w:rPr>
                <w:rFonts w:ascii="宋体" w:hAnsi="宋体" w:cs="宋体"/>
                <w:szCs w:val="21"/>
                <w:highlight w:val="none"/>
              </w:rPr>
            </w:pPr>
            <w:r>
              <w:rPr>
                <w:rFonts w:hint="eastAsia" w:ascii="宋体" w:hAnsi="宋体" w:cs="宋体"/>
                <w:szCs w:val="21"/>
                <w:highlight w:val="none"/>
              </w:rPr>
              <w:t>vCPU(主频不低于2.4GHz）</w:t>
            </w:r>
          </w:p>
        </w:tc>
        <w:tc>
          <w:tcPr>
            <w:tcW w:w="852" w:type="pct"/>
            <w:noWrap/>
            <w:vAlign w:val="center"/>
          </w:tcPr>
          <w:p w14:paraId="436F15D3">
            <w:pPr>
              <w:jc w:val="center"/>
              <w:rPr>
                <w:rFonts w:ascii="宋体" w:hAnsi="宋体" w:cs="宋体"/>
                <w:szCs w:val="21"/>
                <w:highlight w:val="none"/>
              </w:rPr>
            </w:pPr>
            <w:r>
              <w:rPr>
                <w:rFonts w:hint="eastAsia" w:ascii="宋体" w:hAnsi="宋体" w:cs="宋体"/>
                <w:szCs w:val="21"/>
                <w:highlight w:val="none"/>
              </w:rPr>
              <w:t>1800 CPU</w:t>
            </w:r>
          </w:p>
        </w:tc>
      </w:tr>
      <w:tr w14:paraId="3A267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653" w:type="pct"/>
            <w:vMerge w:val="continue"/>
            <w:noWrap/>
            <w:vAlign w:val="center"/>
          </w:tcPr>
          <w:p w14:paraId="268242A3">
            <w:pPr>
              <w:jc w:val="center"/>
              <w:rPr>
                <w:rFonts w:ascii="宋体" w:hAnsi="宋体" w:cs="宋体"/>
                <w:szCs w:val="21"/>
                <w:highlight w:val="none"/>
              </w:rPr>
            </w:pPr>
          </w:p>
        </w:tc>
        <w:tc>
          <w:tcPr>
            <w:tcW w:w="1159" w:type="pct"/>
            <w:vMerge w:val="continue"/>
            <w:noWrap/>
            <w:vAlign w:val="center"/>
          </w:tcPr>
          <w:p w14:paraId="6A474100">
            <w:pPr>
              <w:jc w:val="center"/>
              <w:rPr>
                <w:rFonts w:ascii="宋体" w:hAnsi="宋体" w:cs="宋体"/>
                <w:szCs w:val="21"/>
                <w:highlight w:val="none"/>
              </w:rPr>
            </w:pPr>
          </w:p>
        </w:tc>
        <w:tc>
          <w:tcPr>
            <w:tcW w:w="2333" w:type="pct"/>
            <w:noWrap/>
            <w:vAlign w:val="center"/>
          </w:tcPr>
          <w:p w14:paraId="258B47CF">
            <w:pPr>
              <w:jc w:val="center"/>
              <w:rPr>
                <w:rFonts w:ascii="宋体" w:hAnsi="宋体" w:cs="宋体"/>
                <w:szCs w:val="21"/>
                <w:highlight w:val="none"/>
              </w:rPr>
            </w:pPr>
            <w:r>
              <w:rPr>
                <w:rFonts w:hint="eastAsia" w:ascii="宋体" w:hAnsi="宋体" w:cs="宋体"/>
                <w:szCs w:val="21"/>
                <w:highlight w:val="none"/>
              </w:rPr>
              <w:t>内存</w:t>
            </w:r>
          </w:p>
        </w:tc>
        <w:tc>
          <w:tcPr>
            <w:tcW w:w="852" w:type="pct"/>
            <w:noWrap/>
            <w:vAlign w:val="center"/>
          </w:tcPr>
          <w:p w14:paraId="378E65C1">
            <w:pPr>
              <w:jc w:val="center"/>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 xml:space="preserve"> </w:t>
            </w:r>
            <w:r>
              <w:rPr>
                <w:rFonts w:hint="eastAsia" w:ascii="宋体" w:hAnsi="宋体" w:cs="宋体"/>
                <w:szCs w:val="21"/>
                <w:highlight w:val="none"/>
                <w:lang w:val="en-US" w:eastAsia="zh-CN"/>
              </w:rPr>
              <w:t>T</w:t>
            </w:r>
            <w:r>
              <w:rPr>
                <w:rFonts w:hint="eastAsia" w:ascii="宋体" w:hAnsi="宋体" w:cs="宋体"/>
                <w:szCs w:val="21"/>
                <w:highlight w:val="none"/>
              </w:rPr>
              <w:t>B</w:t>
            </w:r>
          </w:p>
        </w:tc>
      </w:tr>
      <w:tr w14:paraId="6B7E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653" w:type="pct"/>
            <w:vMerge w:val="restart"/>
            <w:noWrap/>
            <w:vAlign w:val="center"/>
          </w:tcPr>
          <w:p w14:paraId="465481D4">
            <w:pPr>
              <w:jc w:val="center"/>
              <w:rPr>
                <w:rFonts w:hint="eastAsia" w:ascii="宋体" w:hAnsi="宋体" w:cs="宋体"/>
                <w:szCs w:val="21"/>
                <w:highlight w:val="none"/>
              </w:rPr>
            </w:pPr>
            <w:r>
              <w:rPr>
                <w:rFonts w:hint="eastAsia" w:ascii="宋体" w:hAnsi="宋体" w:cs="宋体"/>
                <w:szCs w:val="21"/>
                <w:highlight w:val="none"/>
              </w:rPr>
              <w:t>存储服务</w:t>
            </w:r>
          </w:p>
        </w:tc>
        <w:tc>
          <w:tcPr>
            <w:tcW w:w="1159" w:type="pct"/>
            <w:noWrap/>
            <w:vAlign w:val="center"/>
          </w:tcPr>
          <w:p w14:paraId="5030DC6A">
            <w:pPr>
              <w:jc w:val="center"/>
              <w:rPr>
                <w:rFonts w:ascii="宋体" w:hAnsi="宋体" w:cs="宋体"/>
                <w:szCs w:val="21"/>
                <w:highlight w:val="none"/>
              </w:rPr>
            </w:pPr>
            <w:r>
              <w:rPr>
                <w:rFonts w:hint="eastAsia" w:ascii="宋体" w:hAnsi="宋体" w:cs="宋体"/>
                <w:szCs w:val="21"/>
                <w:highlight w:val="none"/>
              </w:rPr>
              <w:t>高性能存储</w:t>
            </w:r>
          </w:p>
        </w:tc>
        <w:tc>
          <w:tcPr>
            <w:tcW w:w="2333" w:type="pct"/>
            <w:noWrap/>
            <w:vAlign w:val="center"/>
          </w:tcPr>
          <w:p w14:paraId="7C043A7F">
            <w:pPr>
              <w:jc w:val="center"/>
              <w:rPr>
                <w:rFonts w:ascii="宋体" w:hAnsi="宋体" w:cs="宋体"/>
                <w:szCs w:val="21"/>
                <w:highlight w:val="none"/>
              </w:rPr>
            </w:pPr>
            <w:r>
              <w:rPr>
                <w:rFonts w:hint="eastAsia" w:ascii="宋体" w:hAnsi="宋体" w:cs="宋体"/>
                <w:szCs w:val="21"/>
                <w:highlight w:val="none"/>
              </w:rPr>
              <w:t>高性能存储（单盘技术指标：单盘IPOS 3000-</w:t>
            </w:r>
            <w:r>
              <w:rPr>
                <w:rFonts w:hint="eastAsia" w:ascii="宋体" w:hAnsi="宋体" w:cs="宋体"/>
                <w:szCs w:val="21"/>
                <w:highlight w:val="none"/>
                <w:lang w:val="en-US" w:eastAsia="zh-CN"/>
              </w:rPr>
              <w:t>2</w:t>
            </w:r>
            <w:r>
              <w:rPr>
                <w:rFonts w:hint="eastAsia" w:ascii="宋体" w:hAnsi="宋体" w:cs="宋体"/>
                <w:szCs w:val="21"/>
                <w:highlight w:val="none"/>
              </w:rPr>
              <w:t>0000）</w:t>
            </w:r>
          </w:p>
        </w:tc>
        <w:tc>
          <w:tcPr>
            <w:tcW w:w="852" w:type="pct"/>
            <w:noWrap/>
            <w:vAlign w:val="center"/>
          </w:tcPr>
          <w:p w14:paraId="37F5AA60">
            <w:pPr>
              <w:jc w:val="center"/>
              <w:rPr>
                <w:rFonts w:ascii="宋体" w:hAnsi="宋体" w:cs="宋体"/>
                <w:szCs w:val="21"/>
                <w:highlight w:val="none"/>
              </w:rPr>
            </w:pPr>
            <w:r>
              <w:rPr>
                <w:rFonts w:hint="eastAsia" w:ascii="宋体" w:hAnsi="宋体" w:cs="宋体"/>
                <w:szCs w:val="21"/>
                <w:highlight w:val="none"/>
                <w:lang w:val="en-US" w:eastAsia="zh-CN"/>
              </w:rPr>
              <w:t>25</w:t>
            </w:r>
            <w:r>
              <w:rPr>
                <w:rFonts w:hint="eastAsia" w:ascii="宋体" w:hAnsi="宋体" w:cs="宋体"/>
                <w:szCs w:val="21"/>
                <w:highlight w:val="none"/>
              </w:rPr>
              <w:t xml:space="preserve"> TB</w:t>
            </w:r>
          </w:p>
        </w:tc>
      </w:tr>
      <w:tr w14:paraId="2863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653" w:type="pct"/>
            <w:vMerge w:val="continue"/>
            <w:noWrap/>
            <w:vAlign w:val="center"/>
          </w:tcPr>
          <w:p w14:paraId="19380307">
            <w:pPr>
              <w:jc w:val="center"/>
              <w:rPr>
                <w:rFonts w:hint="eastAsia" w:ascii="宋体" w:hAnsi="宋体" w:cs="宋体"/>
                <w:szCs w:val="21"/>
                <w:highlight w:val="none"/>
              </w:rPr>
            </w:pPr>
          </w:p>
        </w:tc>
        <w:tc>
          <w:tcPr>
            <w:tcW w:w="1159" w:type="pct"/>
            <w:noWrap/>
            <w:vAlign w:val="center"/>
          </w:tcPr>
          <w:p w14:paraId="6F6FCACF">
            <w:pPr>
              <w:jc w:val="center"/>
              <w:rPr>
                <w:rFonts w:ascii="宋体" w:hAnsi="宋体" w:cs="宋体"/>
                <w:szCs w:val="21"/>
                <w:highlight w:val="none"/>
              </w:rPr>
            </w:pPr>
            <w:r>
              <w:rPr>
                <w:rFonts w:hint="eastAsia" w:ascii="宋体" w:hAnsi="宋体" w:cs="宋体"/>
                <w:szCs w:val="21"/>
                <w:highlight w:val="none"/>
              </w:rPr>
              <w:t>普通性能存储</w:t>
            </w:r>
          </w:p>
        </w:tc>
        <w:tc>
          <w:tcPr>
            <w:tcW w:w="2333" w:type="pct"/>
            <w:noWrap/>
            <w:vAlign w:val="center"/>
          </w:tcPr>
          <w:p w14:paraId="02CC1C05">
            <w:pPr>
              <w:jc w:val="center"/>
              <w:rPr>
                <w:rFonts w:ascii="宋体" w:hAnsi="宋体" w:cs="宋体"/>
                <w:szCs w:val="21"/>
                <w:highlight w:val="none"/>
              </w:rPr>
            </w:pPr>
            <w:r>
              <w:rPr>
                <w:rStyle w:val="10"/>
                <w:rFonts w:hint="default"/>
                <w:highlight w:val="none"/>
              </w:rPr>
              <w:t>普通存储（单盘技术指标: 单盘IOPS 1000-3000）</w:t>
            </w:r>
          </w:p>
        </w:tc>
        <w:tc>
          <w:tcPr>
            <w:tcW w:w="852" w:type="pct"/>
            <w:noWrap/>
            <w:vAlign w:val="center"/>
          </w:tcPr>
          <w:p w14:paraId="51F34706">
            <w:pPr>
              <w:jc w:val="center"/>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5</w:t>
            </w:r>
            <w:r>
              <w:rPr>
                <w:rFonts w:hint="eastAsia" w:ascii="宋体" w:hAnsi="宋体" w:cs="宋体"/>
                <w:szCs w:val="21"/>
                <w:highlight w:val="none"/>
              </w:rPr>
              <w:t>0 TB</w:t>
            </w:r>
          </w:p>
        </w:tc>
      </w:tr>
      <w:tr w14:paraId="286C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53" w:type="pct"/>
            <w:vMerge w:val="continue"/>
            <w:shd w:val="clear" w:color="auto" w:fill="auto"/>
            <w:noWrap/>
            <w:vAlign w:val="center"/>
          </w:tcPr>
          <w:p w14:paraId="677B55C2">
            <w:pPr>
              <w:jc w:val="center"/>
              <w:rPr>
                <w:rFonts w:hint="eastAsia" w:ascii="宋体" w:hAnsi="宋体" w:cs="宋体"/>
                <w:szCs w:val="21"/>
                <w:highlight w:val="none"/>
              </w:rPr>
            </w:pPr>
          </w:p>
        </w:tc>
        <w:tc>
          <w:tcPr>
            <w:tcW w:w="1159" w:type="pct"/>
            <w:shd w:val="clear" w:color="000000" w:fill="FFFFFF"/>
            <w:noWrap/>
            <w:vAlign w:val="center"/>
          </w:tcPr>
          <w:p w14:paraId="1AAEC096">
            <w:pPr>
              <w:jc w:val="center"/>
              <w:rPr>
                <w:rFonts w:hint="eastAsia" w:ascii="宋体" w:hAnsi="宋体" w:cs="宋体"/>
                <w:szCs w:val="21"/>
                <w:highlight w:val="none"/>
              </w:rPr>
            </w:pPr>
            <w:r>
              <w:rPr>
                <w:rFonts w:hint="eastAsia" w:ascii="宋体" w:hAnsi="宋体" w:cs="宋体"/>
                <w:szCs w:val="21"/>
                <w:highlight w:val="none"/>
              </w:rPr>
              <w:t>本地备份服务</w:t>
            </w:r>
          </w:p>
        </w:tc>
        <w:tc>
          <w:tcPr>
            <w:tcW w:w="2333" w:type="pct"/>
            <w:shd w:val="clear" w:color="000000" w:fill="FFFFFF"/>
            <w:noWrap/>
            <w:vAlign w:val="center"/>
          </w:tcPr>
          <w:p w14:paraId="628C34A2">
            <w:pPr>
              <w:jc w:val="center"/>
              <w:rPr>
                <w:rFonts w:hint="eastAsia" w:ascii="宋体" w:hAnsi="宋体" w:cs="宋体"/>
                <w:szCs w:val="21"/>
                <w:highlight w:val="none"/>
              </w:rPr>
            </w:pPr>
            <w:r>
              <w:rPr>
                <w:rFonts w:hint="eastAsia" w:ascii="宋体" w:hAnsi="宋体" w:cs="宋体"/>
                <w:szCs w:val="21"/>
                <w:highlight w:val="none"/>
              </w:rPr>
              <w:t>本地备份服务</w:t>
            </w:r>
          </w:p>
        </w:tc>
        <w:tc>
          <w:tcPr>
            <w:tcW w:w="852" w:type="pct"/>
            <w:noWrap/>
            <w:vAlign w:val="center"/>
          </w:tcPr>
          <w:p w14:paraId="31644EC0">
            <w:pPr>
              <w:jc w:val="center"/>
              <w:rPr>
                <w:rFonts w:hint="eastAsia" w:ascii="宋体" w:hAnsi="宋体" w:cs="宋体"/>
                <w:szCs w:val="21"/>
                <w:highlight w:val="none"/>
              </w:rPr>
            </w:pPr>
            <w:r>
              <w:rPr>
                <w:rFonts w:hint="eastAsia" w:ascii="宋体" w:hAnsi="宋体" w:cs="宋体"/>
                <w:szCs w:val="21"/>
                <w:highlight w:val="none"/>
                <w:lang w:val="en-US" w:eastAsia="zh-CN"/>
              </w:rPr>
              <w:t>225</w:t>
            </w:r>
            <w:r>
              <w:rPr>
                <w:rFonts w:hint="eastAsia" w:ascii="宋体" w:hAnsi="宋体" w:cs="宋体"/>
                <w:szCs w:val="21"/>
                <w:highlight w:val="none"/>
              </w:rPr>
              <w:t>TB</w:t>
            </w:r>
          </w:p>
        </w:tc>
      </w:tr>
      <w:tr w14:paraId="4CA5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53" w:type="pct"/>
            <w:vMerge w:val="restart"/>
            <w:noWrap/>
            <w:vAlign w:val="center"/>
          </w:tcPr>
          <w:p w14:paraId="701BFDC4">
            <w:pPr>
              <w:jc w:val="center"/>
              <w:rPr>
                <w:rFonts w:ascii="宋体" w:hAnsi="宋体" w:cs="宋体"/>
                <w:szCs w:val="21"/>
                <w:highlight w:val="none"/>
              </w:rPr>
            </w:pPr>
            <w:r>
              <w:rPr>
                <w:rFonts w:hint="eastAsia" w:ascii="宋体" w:hAnsi="宋体" w:cs="宋体"/>
                <w:szCs w:val="21"/>
                <w:highlight w:val="none"/>
              </w:rPr>
              <w:t>网络服务</w:t>
            </w:r>
          </w:p>
        </w:tc>
        <w:tc>
          <w:tcPr>
            <w:tcW w:w="1159" w:type="pct"/>
            <w:noWrap/>
            <w:vAlign w:val="center"/>
          </w:tcPr>
          <w:p w14:paraId="384CD74F">
            <w:pPr>
              <w:jc w:val="center"/>
              <w:rPr>
                <w:rFonts w:ascii="宋体" w:hAnsi="宋体" w:cs="宋体"/>
                <w:szCs w:val="21"/>
                <w:highlight w:val="none"/>
              </w:rPr>
            </w:pPr>
            <w:r>
              <w:rPr>
                <w:rFonts w:hint="eastAsia" w:ascii="宋体" w:hAnsi="宋体" w:cs="宋体"/>
                <w:szCs w:val="21"/>
                <w:highlight w:val="none"/>
              </w:rPr>
              <w:t>互联网链路服务</w:t>
            </w:r>
          </w:p>
        </w:tc>
        <w:tc>
          <w:tcPr>
            <w:tcW w:w="2333" w:type="pct"/>
            <w:noWrap/>
            <w:vAlign w:val="center"/>
          </w:tcPr>
          <w:p w14:paraId="1F66689E">
            <w:pPr>
              <w:jc w:val="center"/>
              <w:rPr>
                <w:rFonts w:ascii="宋体" w:hAnsi="宋体" w:cs="宋体"/>
                <w:szCs w:val="21"/>
                <w:highlight w:val="none"/>
              </w:rPr>
            </w:pPr>
            <w:r>
              <w:rPr>
                <w:rFonts w:hint="eastAsia" w:ascii="宋体" w:hAnsi="宋体" w:cs="宋体"/>
                <w:szCs w:val="21"/>
                <w:highlight w:val="none"/>
              </w:rPr>
              <w:t>在线庭审互联网带宽</w:t>
            </w:r>
          </w:p>
        </w:tc>
        <w:tc>
          <w:tcPr>
            <w:tcW w:w="852" w:type="pct"/>
            <w:noWrap/>
            <w:vAlign w:val="center"/>
          </w:tcPr>
          <w:p w14:paraId="12A558C9">
            <w:pPr>
              <w:jc w:val="center"/>
              <w:rPr>
                <w:rFonts w:ascii="宋体" w:hAnsi="宋体" w:cs="宋体"/>
                <w:szCs w:val="21"/>
                <w:highlight w:val="none"/>
              </w:rPr>
            </w:pPr>
            <w:r>
              <w:rPr>
                <w:rFonts w:hint="eastAsia" w:ascii="宋体" w:hAnsi="宋体" w:cs="宋体"/>
                <w:szCs w:val="21"/>
                <w:highlight w:val="none"/>
              </w:rPr>
              <w:t>1.5G</w:t>
            </w:r>
            <w:r>
              <w:rPr>
                <w:rFonts w:hint="eastAsia" w:ascii="宋体" w:hAnsi="宋体" w:cs="宋体"/>
                <w:szCs w:val="21"/>
                <w:highlight w:val="none"/>
                <w:lang w:val="en-US" w:eastAsia="zh-CN"/>
              </w:rPr>
              <w:t>bps</w:t>
            </w:r>
            <w:r>
              <w:rPr>
                <w:rFonts w:hint="eastAsia" w:ascii="宋体" w:hAnsi="宋体" w:cs="宋体"/>
                <w:szCs w:val="21"/>
                <w:highlight w:val="none"/>
              </w:rPr>
              <w:t>视频传输互联网带宽</w:t>
            </w:r>
          </w:p>
        </w:tc>
      </w:tr>
      <w:tr w14:paraId="033F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53" w:type="pct"/>
            <w:vMerge w:val="continue"/>
            <w:noWrap/>
            <w:vAlign w:val="center"/>
          </w:tcPr>
          <w:p w14:paraId="004D0C79">
            <w:pPr>
              <w:jc w:val="center"/>
              <w:rPr>
                <w:rFonts w:hint="eastAsia" w:ascii="宋体" w:hAnsi="宋体" w:cs="宋体"/>
                <w:szCs w:val="21"/>
                <w:highlight w:val="none"/>
              </w:rPr>
            </w:pPr>
          </w:p>
        </w:tc>
        <w:tc>
          <w:tcPr>
            <w:tcW w:w="1159" w:type="pct"/>
            <w:noWrap/>
            <w:vAlign w:val="center"/>
          </w:tcPr>
          <w:p w14:paraId="3C3F9162">
            <w:pPr>
              <w:jc w:val="center"/>
              <w:rPr>
                <w:rFonts w:hint="eastAsia" w:ascii="宋体" w:hAnsi="宋体" w:cs="宋体"/>
                <w:szCs w:val="21"/>
                <w:highlight w:val="none"/>
              </w:rPr>
            </w:pPr>
            <w:r>
              <w:rPr>
                <w:rFonts w:hint="eastAsia" w:ascii="宋体" w:hAnsi="宋体" w:cs="宋体"/>
                <w:szCs w:val="21"/>
                <w:highlight w:val="none"/>
              </w:rPr>
              <w:t>远程接入服务</w:t>
            </w:r>
          </w:p>
        </w:tc>
        <w:tc>
          <w:tcPr>
            <w:tcW w:w="2333" w:type="pct"/>
            <w:noWrap/>
            <w:vAlign w:val="center"/>
          </w:tcPr>
          <w:p w14:paraId="1E9FB2B1">
            <w:pPr>
              <w:jc w:val="center"/>
              <w:rPr>
                <w:rFonts w:hint="eastAsia" w:ascii="宋体" w:hAnsi="宋体" w:cs="宋体"/>
                <w:szCs w:val="21"/>
                <w:highlight w:val="none"/>
              </w:rPr>
            </w:pPr>
            <w:r>
              <w:rPr>
                <w:rFonts w:hint="eastAsia" w:ascii="宋体" w:hAnsi="宋体" w:cs="宋体"/>
                <w:szCs w:val="21"/>
                <w:highlight w:val="none"/>
              </w:rPr>
              <w:t>远程接入服务</w:t>
            </w:r>
          </w:p>
        </w:tc>
        <w:tc>
          <w:tcPr>
            <w:tcW w:w="852" w:type="pct"/>
            <w:noWrap/>
            <w:vAlign w:val="center"/>
          </w:tcPr>
          <w:p w14:paraId="63C1B6EE">
            <w:pPr>
              <w:jc w:val="center"/>
              <w:rPr>
                <w:rFonts w:hint="eastAsia" w:ascii="宋体" w:hAnsi="宋体" w:cs="宋体"/>
                <w:szCs w:val="21"/>
                <w:highlight w:val="none"/>
              </w:rPr>
            </w:pPr>
            <w:r>
              <w:rPr>
                <w:rFonts w:hint="eastAsia" w:ascii="宋体" w:hAnsi="宋体" w:cs="宋体"/>
                <w:szCs w:val="21"/>
                <w:highlight w:val="none"/>
                <w:lang w:val="en-US" w:eastAsia="zh-CN"/>
              </w:rPr>
              <w:t>25</w:t>
            </w:r>
            <w:r>
              <w:rPr>
                <w:rFonts w:hint="eastAsia" w:ascii="宋体" w:hAnsi="宋体" w:cs="宋体"/>
                <w:szCs w:val="21"/>
                <w:highlight w:val="none"/>
              </w:rPr>
              <w:t>个</w:t>
            </w:r>
          </w:p>
        </w:tc>
      </w:tr>
      <w:tr w14:paraId="25AC8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53" w:type="pct"/>
            <w:vMerge w:val="continue"/>
            <w:noWrap/>
            <w:vAlign w:val="center"/>
          </w:tcPr>
          <w:p w14:paraId="54BB40CE">
            <w:pPr>
              <w:jc w:val="center"/>
              <w:rPr>
                <w:rFonts w:hint="eastAsia" w:ascii="宋体" w:hAnsi="宋体" w:cs="宋体"/>
                <w:szCs w:val="21"/>
                <w:highlight w:val="none"/>
              </w:rPr>
            </w:pPr>
          </w:p>
        </w:tc>
        <w:tc>
          <w:tcPr>
            <w:tcW w:w="1159" w:type="pct"/>
            <w:noWrap/>
            <w:vAlign w:val="center"/>
          </w:tcPr>
          <w:p w14:paraId="2930997A">
            <w:pPr>
              <w:jc w:val="center"/>
              <w:rPr>
                <w:rFonts w:ascii="宋体" w:hAnsi="宋体" w:cs="宋体"/>
                <w:szCs w:val="21"/>
                <w:highlight w:val="none"/>
              </w:rPr>
            </w:pPr>
            <w:r>
              <w:rPr>
                <w:rFonts w:hint="eastAsia" w:ascii="宋体" w:hAnsi="宋体" w:cs="宋体"/>
                <w:szCs w:val="21"/>
                <w:highlight w:val="none"/>
              </w:rPr>
              <w:t>VPN服务</w:t>
            </w:r>
          </w:p>
        </w:tc>
        <w:tc>
          <w:tcPr>
            <w:tcW w:w="2333" w:type="pct"/>
            <w:noWrap/>
            <w:vAlign w:val="center"/>
          </w:tcPr>
          <w:p w14:paraId="75B8686E">
            <w:pPr>
              <w:jc w:val="center"/>
              <w:rPr>
                <w:rFonts w:ascii="宋体" w:hAnsi="宋体" w:cs="宋体"/>
                <w:szCs w:val="21"/>
                <w:highlight w:val="none"/>
              </w:rPr>
            </w:pPr>
            <w:r>
              <w:rPr>
                <w:rFonts w:hint="eastAsia" w:ascii="宋体" w:hAnsi="宋体" w:cs="宋体"/>
                <w:szCs w:val="21"/>
                <w:highlight w:val="none"/>
              </w:rPr>
              <w:t>SSL VPN接入</w:t>
            </w:r>
          </w:p>
        </w:tc>
        <w:tc>
          <w:tcPr>
            <w:tcW w:w="852" w:type="pct"/>
            <w:noWrap/>
            <w:vAlign w:val="center"/>
          </w:tcPr>
          <w:p w14:paraId="175C24D5">
            <w:pPr>
              <w:jc w:val="center"/>
              <w:rPr>
                <w:rFonts w:ascii="宋体" w:hAnsi="宋体" w:cs="宋体"/>
                <w:szCs w:val="21"/>
                <w:highlight w:val="none"/>
              </w:rPr>
            </w:pPr>
            <w:r>
              <w:rPr>
                <w:rFonts w:hint="eastAsia" w:ascii="宋体" w:hAnsi="宋体" w:cs="宋体"/>
                <w:szCs w:val="21"/>
                <w:highlight w:val="none"/>
                <w:lang w:val="en-US" w:eastAsia="zh-CN"/>
              </w:rPr>
              <w:t>25</w:t>
            </w:r>
            <w:r>
              <w:rPr>
                <w:rFonts w:hint="eastAsia" w:ascii="宋体" w:hAnsi="宋体" w:cs="宋体"/>
                <w:szCs w:val="21"/>
                <w:highlight w:val="none"/>
              </w:rPr>
              <w:t>个</w:t>
            </w:r>
          </w:p>
        </w:tc>
      </w:tr>
      <w:tr w14:paraId="608C7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653" w:type="pct"/>
            <w:noWrap/>
            <w:vAlign w:val="center"/>
          </w:tcPr>
          <w:p w14:paraId="007C4F2C">
            <w:pPr>
              <w:jc w:val="center"/>
              <w:rPr>
                <w:rFonts w:hint="eastAsia" w:ascii="宋体" w:hAnsi="宋体" w:cs="宋体"/>
                <w:szCs w:val="21"/>
                <w:highlight w:val="none"/>
              </w:rPr>
            </w:pPr>
            <w:r>
              <w:rPr>
                <w:rFonts w:hint="eastAsia" w:ascii="宋体" w:hAnsi="宋体" w:cs="宋体"/>
                <w:szCs w:val="21"/>
                <w:highlight w:val="none"/>
              </w:rPr>
              <w:t>云主机深度监控服务</w:t>
            </w:r>
          </w:p>
        </w:tc>
        <w:tc>
          <w:tcPr>
            <w:tcW w:w="1159" w:type="pct"/>
            <w:noWrap/>
            <w:vAlign w:val="center"/>
          </w:tcPr>
          <w:p w14:paraId="4918DD06">
            <w:pPr>
              <w:jc w:val="center"/>
              <w:rPr>
                <w:rFonts w:ascii="宋体" w:hAnsi="宋体" w:cs="宋体"/>
                <w:szCs w:val="21"/>
                <w:highlight w:val="none"/>
              </w:rPr>
            </w:pPr>
            <w:r>
              <w:rPr>
                <w:rFonts w:hint="eastAsia" w:ascii="宋体" w:hAnsi="宋体" w:cs="宋体"/>
                <w:szCs w:val="21"/>
                <w:highlight w:val="none"/>
              </w:rPr>
              <w:t>特定云主机深度监控及运维保障服务</w:t>
            </w:r>
          </w:p>
        </w:tc>
        <w:tc>
          <w:tcPr>
            <w:tcW w:w="2333" w:type="pct"/>
            <w:noWrap/>
            <w:vAlign w:val="center"/>
          </w:tcPr>
          <w:p w14:paraId="10861157">
            <w:pPr>
              <w:jc w:val="center"/>
              <w:rPr>
                <w:rFonts w:ascii="宋体" w:hAnsi="宋体" w:cs="宋体"/>
                <w:szCs w:val="21"/>
                <w:highlight w:val="none"/>
              </w:rPr>
            </w:pPr>
            <w:r>
              <w:rPr>
                <w:rFonts w:hint="eastAsia" w:ascii="宋体" w:hAnsi="宋体" w:cs="宋体"/>
                <w:szCs w:val="21"/>
                <w:highlight w:val="none"/>
              </w:rPr>
              <w:t>7*24小时深度监测云主机资源、硬件设备监控、云平台层应急处置等内容</w:t>
            </w:r>
          </w:p>
        </w:tc>
        <w:tc>
          <w:tcPr>
            <w:tcW w:w="852" w:type="pct"/>
            <w:noWrap/>
            <w:vAlign w:val="center"/>
          </w:tcPr>
          <w:p w14:paraId="5E6F6E7D">
            <w:pPr>
              <w:jc w:val="center"/>
              <w:rPr>
                <w:rFonts w:ascii="宋体" w:hAnsi="宋体" w:cs="宋体"/>
                <w:szCs w:val="21"/>
                <w:highlight w:val="none"/>
              </w:rPr>
            </w:pPr>
            <w:r>
              <w:rPr>
                <w:rFonts w:hint="eastAsia" w:ascii="宋体" w:hAnsi="宋体" w:cs="宋体"/>
                <w:szCs w:val="21"/>
                <w:highlight w:val="none"/>
              </w:rPr>
              <w:t>200套</w:t>
            </w:r>
          </w:p>
        </w:tc>
      </w:tr>
    </w:tbl>
    <w:p w14:paraId="2BC1C586">
      <w:pPr>
        <w:keepNext/>
        <w:keepLines/>
        <w:spacing w:before="280" w:after="290"/>
        <w:ind w:firstLine="720" w:firstLineChars="200"/>
        <w:outlineLvl w:val="1"/>
        <w:rPr>
          <w:rFonts w:ascii="仿宋_GB2312" w:hAnsi="仿宋_GB2312" w:eastAsia="仿宋_GB2312" w:cs="仿宋_GB2312"/>
          <w:kern w:val="0"/>
          <w:sz w:val="36"/>
          <w:szCs w:val="36"/>
          <w:highlight w:val="none"/>
        </w:rPr>
      </w:pPr>
      <w:r>
        <w:rPr>
          <w:rFonts w:hint="eastAsia" w:ascii="仿宋_GB2312" w:hAnsi="仿宋_GB2312" w:eastAsia="仿宋_GB2312" w:cs="仿宋_GB2312"/>
          <w:kern w:val="0"/>
          <w:sz w:val="36"/>
          <w:szCs w:val="36"/>
          <w:highlight w:val="none"/>
        </w:rPr>
        <w:t>1.2 扩展服务部分租赁清单</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928"/>
        <w:gridCol w:w="3824"/>
        <w:gridCol w:w="1577"/>
      </w:tblGrid>
      <w:tr w14:paraId="0C22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noWrap/>
            <w:vAlign w:val="center"/>
          </w:tcPr>
          <w:p w14:paraId="65FD94BA">
            <w:pPr>
              <w:autoSpaceDE w:val="0"/>
              <w:autoSpaceDN w:val="0"/>
              <w:jc w:val="center"/>
              <w:rPr>
                <w:rFonts w:hint="eastAsia" w:ascii="宋体" w:hAnsi="宋体" w:cs="宋体"/>
                <w:szCs w:val="21"/>
                <w:highlight w:val="none"/>
              </w:rPr>
            </w:pPr>
          </w:p>
        </w:tc>
        <w:tc>
          <w:tcPr>
            <w:tcW w:w="4300" w:type="pct"/>
            <w:gridSpan w:val="3"/>
            <w:noWrap/>
            <w:vAlign w:val="center"/>
          </w:tcPr>
          <w:p w14:paraId="3389C3F8">
            <w:pPr>
              <w:autoSpaceDE w:val="0"/>
              <w:autoSpaceDN w:val="0"/>
              <w:jc w:val="center"/>
              <w:rPr>
                <w:rFonts w:ascii="宋体" w:hAnsi="宋体" w:cs="宋体"/>
                <w:szCs w:val="21"/>
                <w:highlight w:val="none"/>
              </w:rPr>
            </w:pPr>
            <w:r>
              <w:rPr>
                <w:rFonts w:hint="eastAsia" w:ascii="宋体" w:hAnsi="宋体" w:cs="宋体"/>
                <w:szCs w:val="21"/>
                <w:highlight w:val="none"/>
              </w:rPr>
              <w:t>系统扩展服务部分</w:t>
            </w:r>
          </w:p>
        </w:tc>
      </w:tr>
      <w:tr w14:paraId="1AFE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shd w:val="clear" w:color="auto" w:fill="D7D7D7"/>
            <w:noWrap/>
            <w:vAlign w:val="center"/>
          </w:tcPr>
          <w:p w14:paraId="7576A2A4">
            <w:pPr>
              <w:autoSpaceDE w:val="0"/>
              <w:autoSpaceDN w:val="0"/>
              <w:jc w:val="center"/>
              <w:rPr>
                <w:rFonts w:hint="eastAsia" w:ascii="宋体" w:hAnsi="宋体" w:cs="宋体"/>
                <w:b/>
                <w:szCs w:val="21"/>
                <w:highlight w:val="none"/>
                <w:lang w:val="zh-CN" w:bidi="zh-CN"/>
              </w:rPr>
            </w:pPr>
            <w:r>
              <w:rPr>
                <w:rFonts w:hint="eastAsia" w:ascii="宋体" w:hAnsi="宋体" w:cs="宋体"/>
                <w:b/>
                <w:szCs w:val="21"/>
                <w:highlight w:val="none"/>
                <w:lang w:val="zh-CN" w:bidi="zh-CN"/>
              </w:rPr>
              <w:t>服务类别</w:t>
            </w:r>
          </w:p>
        </w:tc>
        <w:tc>
          <w:tcPr>
            <w:tcW w:w="1131" w:type="pct"/>
            <w:shd w:val="clear" w:color="auto" w:fill="D7D7D7"/>
            <w:noWrap/>
            <w:vAlign w:val="center"/>
          </w:tcPr>
          <w:p w14:paraId="1B535BE8">
            <w:pPr>
              <w:autoSpaceDE w:val="0"/>
              <w:autoSpaceDN w:val="0"/>
              <w:jc w:val="center"/>
              <w:rPr>
                <w:rFonts w:ascii="宋体" w:hAnsi="宋体" w:cs="宋体"/>
                <w:b/>
                <w:szCs w:val="21"/>
                <w:highlight w:val="none"/>
                <w:lang w:bidi="zh-CN"/>
              </w:rPr>
            </w:pPr>
            <w:r>
              <w:rPr>
                <w:rFonts w:hint="eastAsia" w:ascii="宋体" w:hAnsi="宋体" w:cs="宋体"/>
                <w:b/>
                <w:szCs w:val="21"/>
                <w:highlight w:val="none"/>
                <w:lang w:val="zh-CN" w:bidi="zh-CN"/>
              </w:rPr>
              <w:t>服务</w:t>
            </w:r>
            <w:r>
              <w:rPr>
                <w:rFonts w:hint="eastAsia" w:ascii="宋体" w:hAnsi="宋体" w:cs="宋体"/>
                <w:b/>
                <w:szCs w:val="21"/>
                <w:highlight w:val="none"/>
                <w:lang w:bidi="zh-CN"/>
              </w:rPr>
              <w:t>子</w:t>
            </w:r>
            <w:r>
              <w:rPr>
                <w:rFonts w:hint="eastAsia" w:ascii="宋体" w:hAnsi="宋体" w:cs="宋体"/>
                <w:b/>
                <w:szCs w:val="21"/>
                <w:highlight w:val="none"/>
                <w:lang w:val="zh-CN" w:bidi="zh-CN"/>
              </w:rPr>
              <w:t>别</w:t>
            </w:r>
          </w:p>
        </w:tc>
        <w:tc>
          <w:tcPr>
            <w:tcW w:w="2244" w:type="pct"/>
            <w:shd w:val="clear" w:color="auto" w:fill="D7D7D7"/>
            <w:noWrap/>
            <w:vAlign w:val="center"/>
          </w:tcPr>
          <w:p w14:paraId="466CA9D1">
            <w:pPr>
              <w:autoSpaceDE w:val="0"/>
              <w:autoSpaceDN w:val="0"/>
              <w:jc w:val="center"/>
              <w:rPr>
                <w:rFonts w:ascii="宋体" w:hAnsi="宋体" w:cs="宋体"/>
                <w:b/>
                <w:szCs w:val="21"/>
                <w:highlight w:val="none"/>
                <w:lang w:bidi="zh-CN"/>
              </w:rPr>
            </w:pPr>
            <w:r>
              <w:rPr>
                <w:rFonts w:hint="eastAsia" w:ascii="宋体" w:hAnsi="宋体" w:cs="宋体"/>
                <w:b/>
                <w:szCs w:val="21"/>
                <w:highlight w:val="none"/>
                <w:lang w:val="zh-CN" w:bidi="zh-CN"/>
              </w:rPr>
              <w:t>服务项</w:t>
            </w:r>
          </w:p>
        </w:tc>
        <w:tc>
          <w:tcPr>
            <w:tcW w:w="924" w:type="pct"/>
            <w:shd w:val="clear" w:color="auto" w:fill="D7D7D7"/>
            <w:noWrap/>
            <w:vAlign w:val="center"/>
          </w:tcPr>
          <w:p w14:paraId="5AD713BB">
            <w:pPr>
              <w:autoSpaceDE w:val="0"/>
              <w:autoSpaceDN w:val="0"/>
              <w:jc w:val="center"/>
              <w:rPr>
                <w:rFonts w:ascii="宋体" w:hAnsi="宋体" w:cs="宋体"/>
                <w:b/>
                <w:szCs w:val="21"/>
                <w:highlight w:val="none"/>
                <w:lang w:bidi="zh-CN"/>
              </w:rPr>
            </w:pPr>
            <w:r>
              <w:rPr>
                <w:rFonts w:hint="eastAsia" w:ascii="宋体" w:hAnsi="宋体" w:cs="宋体"/>
                <w:b/>
                <w:szCs w:val="21"/>
                <w:highlight w:val="none"/>
                <w:lang w:val="zh-CN" w:bidi="zh-CN"/>
              </w:rPr>
              <w:t>数量</w:t>
            </w:r>
          </w:p>
        </w:tc>
      </w:tr>
      <w:tr w14:paraId="3D16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shd w:val="clear" w:color="000000" w:fill="FFFFFF"/>
            <w:noWrap/>
            <w:vAlign w:val="center"/>
          </w:tcPr>
          <w:p w14:paraId="3A53623E">
            <w:pPr>
              <w:jc w:val="center"/>
              <w:rPr>
                <w:rFonts w:hint="eastAsia" w:ascii="宋体" w:hAnsi="宋体" w:cs="宋体"/>
                <w:szCs w:val="21"/>
                <w:highlight w:val="none"/>
              </w:rPr>
            </w:pPr>
            <w:r>
              <w:rPr>
                <w:rFonts w:hint="eastAsia" w:ascii="宋体" w:hAnsi="宋体" w:cs="宋体"/>
                <w:szCs w:val="21"/>
                <w:highlight w:val="none"/>
              </w:rPr>
              <w:t>基础软件支撑服务</w:t>
            </w:r>
          </w:p>
        </w:tc>
        <w:tc>
          <w:tcPr>
            <w:tcW w:w="1131" w:type="pct"/>
            <w:shd w:val="clear" w:color="000000" w:fill="FFFFFF"/>
            <w:noWrap/>
            <w:vAlign w:val="center"/>
          </w:tcPr>
          <w:p w14:paraId="4B332D19">
            <w:pPr>
              <w:jc w:val="center"/>
              <w:rPr>
                <w:rFonts w:ascii="宋体" w:hAnsi="宋体" w:cs="宋体"/>
                <w:szCs w:val="21"/>
                <w:highlight w:val="none"/>
              </w:rPr>
            </w:pPr>
            <w:r>
              <w:rPr>
                <w:rFonts w:hint="eastAsia" w:ascii="宋体" w:hAnsi="宋体" w:cs="宋体"/>
                <w:szCs w:val="21"/>
                <w:highlight w:val="none"/>
              </w:rPr>
              <w:t>商用操作系统套餐</w:t>
            </w:r>
          </w:p>
        </w:tc>
        <w:tc>
          <w:tcPr>
            <w:tcW w:w="2244" w:type="pct"/>
            <w:shd w:val="clear" w:color="000000" w:fill="FFFFFF"/>
            <w:noWrap/>
            <w:vAlign w:val="center"/>
          </w:tcPr>
          <w:p w14:paraId="7A1046B1">
            <w:pPr>
              <w:jc w:val="center"/>
              <w:rPr>
                <w:rFonts w:ascii="宋体" w:hAnsi="宋体" w:cs="宋体"/>
                <w:szCs w:val="21"/>
                <w:highlight w:val="none"/>
              </w:rPr>
            </w:pPr>
            <w:r>
              <w:rPr>
                <w:rFonts w:hint="eastAsia" w:ascii="宋体" w:hAnsi="宋体" w:cs="宋体"/>
                <w:szCs w:val="21"/>
                <w:highlight w:val="none"/>
              </w:rPr>
              <w:t>操作系统服务租用、安装及维护。</w:t>
            </w:r>
          </w:p>
        </w:tc>
        <w:tc>
          <w:tcPr>
            <w:tcW w:w="924" w:type="pct"/>
            <w:noWrap/>
            <w:vAlign w:val="center"/>
          </w:tcPr>
          <w:p w14:paraId="4B45F745">
            <w:pPr>
              <w:jc w:val="center"/>
              <w:rPr>
                <w:rFonts w:ascii="宋体" w:hAnsi="宋体" w:cs="宋体"/>
                <w:szCs w:val="21"/>
                <w:highlight w:val="none"/>
              </w:rPr>
            </w:pPr>
            <w:r>
              <w:rPr>
                <w:rFonts w:hint="eastAsia" w:ascii="宋体" w:hAnsi="宋体" w:cs="宋体"/>
                <w:szCs w:val="21"/>
                <w:highlight w:val="none"/>
              </w:rPr>
              <w:t>200套</w:t>
            </w:r>
          </w:p>
        </w:tc>
      </w:tr>
      <w:tr w14:paraId="1906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restart"/>
            <w:shd w:val="clear" w:color="000000" w:fill="FFFFFF"/>
            <w:noWrap/>
            <w:vAlign w:val="center"/>
          </w:tcPr>
          <w:p w14:paraId="58DCAAC3">
            <w:pPr>
              <w:jc w:val="center"/>
              <w:rPr>
                <w:rFonts w:hint="eastAsia" w:ascii="宋体" w:hAnsi="宋体" w:cs="宋体"/>
                <w:szCs w:val="21"/>
                <w:highlight w:val="none"/>
              </w:rPr>
            </w:pPr>
            <w:r>
              <w:rPr>
                <w:rFonts w:hint="eastAsia" w:ascii="宋体" w:hAnsi="宋体" w:cs="宋体"/>
                <w:szCs w:val="21"/>
                <w:highlight w:val="none"/>
              </w:rPr>
              <w:t>安全服务</w:t>
            </w:r>
          </w:p>
        </w:tc>
        <w:tc>
          <w:tcPr>
            <w:tcW w:w="1131" w:type="pct"/>
            <w:shd w:val="clear" w:color="000000" w:fill="FFFFFF"/>
            <w:noWrap/>
            <w:vAlign w:val="center"/>
          </w:tcPr>
          <w:p w14:paraId="7F5342FA">
            <w:pPr>
              <w:jc w:val="center"/>
              <w:rPr>
                <w:rFonts w:ascii="宋体" w:hAnsi="宋体" w:cs="宋体"/>
                <w:szCs w:val="21"/>
                <w:highlight w:val="none"/>
              </w:rPr>
            </w:pPr>
            <w:r>
              <w:rPr>
                <w:rFonts w:hint="eastAsia" w:ascii="宋体" w:hAnsi="宋体" w:cs="宋体"/>
                <w:szCs w:val="21"/>
                <w:highlight w:val="none"/>
              </w:rPr>
              <w:t>云端抗DDOS服务</w:t>
            </w:r>
          </w:p>
        </w:tc>
        <w:tc>
          <w:tcPr>
            <w:tcW w:w="2244" w:type="pct"/>
            <w:shd w:val="clear" w:color="000000" w:fill="FFFFFF"/>
            <w:noWrap/>
            <w:vAlign w:val="center"/>
          </w:tcPr>
          <w:p w14:paraId="4B3205D5">
            <w:pPr>
              <w:jc w:val="center"/>
              <w:rPr>
                <w:rFonts w:ascii="宋体" w:hAnsi="宋体" w:cs="宋体"/>
                <w:szCs w:val="21"/>
                <w:highlight w:val="none"/>
              </w:rPr>
            </w:pPr>
            <w:r>
              <w:rPr>
                <w:rFonts w:hint="eastAsia" w:ascii="宋体" w:hAnsi="宋体" w:cs="宋体"/>
                <w:szCs w:val="21"/>
                <w:highlight w:val="none"/>
              </w:rPr>
              <w:t>云端抗DDOS服务</w:t>
            </w:r>
          </w:p>
        </w:tc>
        <w:tc>
          <w:tcPr>
            <w:tcW w:w="924" w:type="pct"/>
            <w:noWrap/>
            <w:vAlign w:val="center"/>
          </w:tcPr>
          <w:p w14:paraId="23571446">
            <w:pPr>
              <w:jc w:val="center"/>
              <w:rPr>
                <w:rFonts w:ascii="宋体" w:hAnsi="宋体" w:cs="宋体"/>
                <w:szCs w:val="21"/>
                <w:highlight w:val="none"/>
              </w:rPr>
            </w:pPr>
            <w:r>
              <w:rPr>
                <w:rFonts w:hint="eastAsia" w:ascii="宋体" w:hAnsi="宋体" w:cs="宋体"/>
                <w:szCs w:val="21"/>
                <w:highlight w:val="none"/>
              </w:rPr>
              <w:t>1套</w:t>
            </w:r>
          </w:p>
        </w:tc>
      </w:tr>
      <w:tr w14:paraId="11E6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continue"/>
            <w:shd w:val="clear" w:color="000000" w:fill="FFFFFF"/>
            <w:noWrap/>
            <w:vAlign w:val="center"/>
          </w:tcPr>
          <w:p w14:paraId="6078F470">
            <w:pPr>
              <w:jc w:val="center"/>
              <w:rPr>
                <w:rFonts w:hint="eastAsia" w:ascii="宋体" w:hAnsi="宋体" w:cs="宋体"/>
                <w:szCs w:val="21"/>
                <w:highlight w:val="none"/>
              </w:rPr>
            </w:pPr>
          </w:p>
        </w:tc>
        <w:tc>
          <w:tcPr>
            <w:tcW w:w="1131" w:type="pct"/>
            <w:shd w:val="clear" w:color="000000" w:fill="FFFFFF"/>
            <w:noWrap/>
            <w:vAlign w:val="center"/>
          </w:tcPr>
          <w:p w14:paraId="79929B22">
            <w:pPr>
              <w:jc w:val="center"/>
              <w:rPr>
                <w:rFonts w:ascii="宋体" w:hAnsi="宋体" w:cs="宋体"/>
                <w:szCs w:val="21"/>
                <w:highlight w:val="none"/>
              </w:rPr>
            </w:pPr>
            <w:r>
              <w:rPr>
                <w:rFonts w:hint="eastAsia" w:ascii="宋体" w:hAnsi="宋体" w:cs="宋体"/>
                <w:szCs w:val="21"/>
                <w:highlight w:val="none"/>
              </w:rPr>
              <w:t>主机杀毒服务</w:t>
            </w:r>
          </w:p>
        </w:tc>
        <w:tc>
          <w:tcPr>
            <w:tcW w:w="2244" w:type="pct"/>
            <w:shd w:val="clear" w:color="000000" w:fill="FFFFFF"/>
            <w:noWrap/>
            <w:vAlign w:val="center"/>
          </w:tcPr>
          <w:p w14:paraId="0861F535">
            <w:pPr>
              <w:jc w:val="center"/>
              <w:rPr>
                <w:rFonts w:ascii="宋体" w:hAnsi="宋体" w:cs="宋体"/>
                <w:szCs w:val="21"/>
                <w:highlight w:val="none"/>
              </w:rPr>
            </w:pPr>
            <w:r>
              <w:rPr>
                <w:rFonts w:hint="eastAsia" w:ascii="宋体" w:hAnsi="宋体" w:cs="宋体"/>
                <w:szCs w:val="21"/>
                <w:highlight w:val="none"/>
              </w:rPr>
              <w:t>主机杀毒服务</w:t>
            </w:r>
          </w:p>
        </w:tc>
        <w:tc>
          <w:tcPr>
            <w:tcW w:w="924" w:type="pct"/>
            <w:noWrap/>
            <w:vAlign w:val="center"/>
          </w:tcPr>
          <w:p w14:paraId="4067FEE0">
            <w:pPr>
              <w:jc w:val="center"/>
              <w:rPr>
                <w:rFonts w:ascii="宋体" w:hAnsi="宋体" w:cs="宋体"/>
                <w:szCs w:val="21"/>
                <w:highlight w:val="none"/>
              </w:rPr>
            </w:pPr>
            <w:r>
              <w:rPr>
                <w:rFonts w:hint="eastAsia" w:ascii="宋体" w:hAnsi="宋体" w:cs="宋体"/>
                <w:szCs w:val="21"/>
                <w:highlight w:val="none"/>
              </w:rPr>
              <w:t>200套</w:t>
            </w:r>
          </w:p>
        </w:tc>
      </w:tr>
      <w:tr w14:paraId="2BF7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continue"/>
            <w:shd w:val="clear" w:color="000000" w:fill="FFFFFF"/>
            <w:noWrap/>
            <w:vAlign w:val="center"/>
          </w:tcPr>
          <w:p w14:paraId="725D4369">
            <w:pPr>
              <w:jc w:val="center"/>
              <w:rPr>
                <w:rFonts w:hint="eastAsia" w:ascii="宋体" w:hAnsi="宋体" w:cs="宋体"/>
                <w:szCs w:val="21"/>
                <w:highlight w:val="none"/>
              </w:rPr>
            </w:pPr>
          </w:p>
        </w:tc>
        <w:tc>
          <w:tcPr>
            <w:tcW w:w="1131" w:type="pct"/>
            <w:shd w:val="clear" w:color="000000" w:fill="FFFFFF"/>
            <w:noWrap/>
            <w:vAlign w:val="center"/>
          </w:tcPr>
          <w:p w14:paraId="03C59932">
            <w:pPr>
              <w:jc w:val="center"/>
              <w:rPr>
                <w:rFonts w:ascii="宋体" w:hAnsi="宋体" w:cs="宋体"/>
                <w:szCs w:val="21"/>
                <w:highlight w:val="none"/>
              </w:rPr>
            </w:pPr>
            <w:r>
              <w:rPr>
                <w:rFonts w:hint="eastAsia" w:ascii="宋体" w:hAnsi="宋体" w:cs="宋体"/>
                <w:szCs w:val="21"/>
                <w:highlight w:val="none"/>
              </w:rPr>
              <w:t>主机防护</w:t>
            </w:r>
          </w:p>
        </w:tc>
        <w:tc>
          <w:tcPr>
            <w:tcW w:w="2244" w:type="pct"/>
            <w:shd w:val="clear" w:color="000000" w:fill="FFFFFF"/>
            <w:noWrap/>
            <w:vAlign w:val="center"/>
          </w:tcPr>
          <w:p w14:paraId="6A17CDDB">
            <w:pPr>
              <w:jc w:val="center"/>
              <w:rPr>
                <w:rFonts w:ascii="宋体" w:hAnsi="宋体" w:cs="宋体"/>
                <w:szCs w:val="21"/>
                <w:highlight w:val="none"/>
              </w:rPr>
            </w:pPr>
            <w:r>
              <w:rPr>
                <w:rFonts w:hint="eastAsia" w:ascii="宋体" w:hAnsi="宋体" w:cs="宋体"/>
                <w:szCs w:val="21"/>
                <w:highlight w:val="none"/>
              </w:rPr>
              <w:t>主机防护</w:t>
            </w:r>
          </w:p>
        </w:tc>
        <w:tc>
          <w:tcPr>
            <w:tcW w:w="924" w:type="pct"/>
            <w:noWrap/>
            <w:vAlign w:val="center"/>
          </w:tcPr>
          <w:p w14:paraId="152FBD69">
            <w:pPr>
              <w:jc w:val="center"/>
              <w:rPr>
                <w:rFonts w:ascii="宋体" w:hAnsi="宋体" w:cs="宋体"/>
                <w:szCs w:val="21"/>
                <w:highlight w:val="none"/>
              </w:rPr>
            </w:pPr>
            <w:r>
              <w:rPr>
                <w:rFonts w:hint="eastAsia" w:ascii="宋体" w:hAnsi="宋体" w:cs="宋体"/>
                <w:szCs w:val="21"/>
                <w:highlight w:val="none"/>
              </w:rPr>
              <w:t>200套</w:t>
            </w:r>
          </w:p>
        </w:tc>
      </w:tr>
      <w:tr w14:paraId="47D3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continue"/>
            <w:shd w:val="clear" w:color="000000" w:fill="FFFFFF"/>
            <w:noWrap/>
            <w:vAlign w:val="center"/>
          </w:tcPr>
          <w:p w14:paraId="0954DC46">
            <w:pPr>
              <w:jc w:val="center"/>
              <w:rPr>
                <w:rFonts w:hint="eastAsia" w:ascii="宋体" w:hAnsi="宋体" w:cs="宋体"/>
                <w:szCs w:val="21"/>
                <w:highlight w:val="none"/>
              </w:rPr>
            </w:pPr>
          </w:p>
        </w:tc>
        <w:tc>
          <w:tcPr>
            <w:tcW w:w="1131" w:type="pct"/>
            <w:shd w:val="clear" w:color="000000" w:fill="FFFFFF"/>
            <w:noWrap/>
            <w:vAlign w:val="center"/>
          </w:tcPr>
          <w:p w14:paraId="3EAEC2B9">
            <w:pPr>
              <w:jc w:val="center"/>
              <w:rPr>
                <w:rFonts w:ascii="宋体" w:hAnsi="宋体" w:cs="宋体"/>
                <w:szCs w:val="21"/>
                <w:highlight w:val="none"/>
              </w:rPr>
            </w:pPr>
            <w:r>
              <w:rPr>
                <w:rFonts w:hint="eastAsia" w:ascii="宋体" w:hAnsi="宋体" w:cs="宋体"/>
                <w:szCs w:val="21"/>
                <w:highlight w:val="none"/>
              </w:rPr>
              <w:t>主机安全加固</w:t>
            </w:r>
          </w:p>
        </w:tc>
        <w:tc>
          <w:tcPr>
            <w:tcW w:w="2244" w:type="pct"/>
            <w:shd w:val="clear" w:color="000000" w:fill="FFFFFF"/>
            <w:noWrap/>
            <w:vAlign w:val="center"/>
          </w:tcPr>
          <w:p w14:paraId="00012B2A">
            <w:pPr>
              <w:jc w:val="center"/>
              <w:rPr>
                <w:rFonts w:ascii="宋体" w:hAnsi="宋体" w:cs="宋体"/>
                <w:szCs w:val="21"/>
                <w:highlight w:val="none"/>
              </w:rPr>
            </w:pPr>
            <w:r>
              <w:rPr>
                <w:rFonts w:hint="eastAsia" w:ascii="宋体" w:hAnsi="宋体" w:cs="宋体"/>
                <w:szCs w:val="21"/>
                <w:highlight w:val="none"/>
              </w:rPr>
              <w:t>主机安全加固</w:t>
            </w:r>
          </w:p>
        </w:tc>
        <w:tc>
          <w:tcPr>
            <w:tcW w:w="924" w:type="pct"/>
            <w:noWrap/>
            <w:vAlign w:val="center"/>
          </w:tcPr>
          <w:p w14:paraId="76350C08">
            <w:pPr>
              <w:jc w:val="center"/>
              <w:rPr>
                <w:rFonts w:ascii="宋体" w:hAnsi="宋体" w:cs="宋体"/>
                <w:szCs w:val="21"/>
                <w:highlight w:val="none"/>
              </w:rPr>
            </w:pPr>
            <w:r>
              <w:rPr>
                <w:rFonts w:hint="eastAsia" w:ascii="宋体" w:hAnsi="宋体" w:cs="宋体"/>
                <w:szCs w:val="21"/>
                <w:highlight w:val="none"/>
              </w:rPr>
              <w:t>200套</w:t>
            </w:r>
          </w:p>
        </w:tc>
      </w:tr>
      <w:tr w14:paraId="641C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restart"/>
            <w:shd w:val="clear" w:color="000000" w:fill="FFFFFF"/>
            <w:noWrap/>
            <w:vAlign w:val="center"/>
          </w:tcPr>
          <w:p w14:paraId="43EA933C">
            <w:pPr>
              <w:jc w:val="center"/>
              <w:rPr>
                <w:rFonts w:hint="eastAsia" w:ascii="宋体" w:hAnsi="宋体" w:cs="宋体"/>
                <w:szCs w:val="21"/>
                <w:highlight w:val="none"/>
              </w:rPr>
            </w:pPr>
            <w:r>
              <w:rPr>
                <w:rFonts w:hint="eastAsia" w:ascii="宋体" w:hAnsi="宋体" w:cs="宋体"/>
                <w:szCs w:val="21"/>
                <w:highlight w:val="none"/>
              </w:rPr>
              <w:t>安全检测监测、审计服务</w:t>
            </w:r>
          </w:p>
        </w:tc>
        <w:tc>
          <w:tcPr>
            <w:tcW w:w="1131" w:type="pct"/>
            <w:shd w:val="clear" w:color="000000" w:fill="FFFFFF"/>
            <w:noWrap/>
            <w:vAlign w:val="center"/>
          </w:tcPr>
          <w:p w14:paraId="1453501B">
            <w:pPr>
              <w:jc w:val="center"/>
              <w:rPr>
                <w:rFonts w:ascii="宋体" w:hAnsi="宋体" w:cs="宋体"/>
                <w:szCs w:val="21"/>
                <w:highlight w:val="none"/>
              </w:rPr>
            </w:pPr>
            <w:r>
              <w:rPr>
                <w:rFonts w:hint="eastAsia" w:ascii="宋体" w:hAnsi="宋体" w:cs="宋体"/>
                <w:szCs w:val="21"/>
                <w:highlight w:val="none"/>
              </w:rPr>
              <w:t>主机漏洞扫描</w:t>
            </w:r>
          </w:p>
        </w:tc>
        <w:tc>
          <w:tcPr>
            <w:tcW w:w="2244" w:type="pct"/>
            <w:shd w:val="clear" w:color="000000" w:fill="FFFFFF"/>
            <w:noWrap/>
            <w:vAlign w:val="center"/>
          </w:tcPr>
          <w:p w14:paraId="3DFA3B40">
            <w:pPr>
              <w:jc w:val="center"/>
              <w:rPr>
                <w:rFonts w:ascii="宋体" w:hAnsi="宋体" w:cs="宋体"/>
                <w:szCs w:val="21"/>
                <w:highlight w:val="none"/>
              </w:rPr>
            </w:pPr>
            <w:r>
              <w:rPr>
                <w:rFonts w:hint="eastAsia" w:ascii="宋体" w:hAnsi="宋体" w:cs="宋体"/>
                <w:szCs w:val="21"/>
                <w:highlight w:val="none"/>
              </w:rPr>
              <w:t>4次/年，主机漏洞扫描</w:t>
            </w:r>
          </w:p>
        </w:tc>
        <w:tc>
          <w:tcPr>
            <w:tcW w:w="924" w:type="pct"/>
            <w:noWrap/>
            <w:vAlign w:val="center"/>
          </w:tcPr>
          <w:p w14:paraId="021B420B">
            <w:pPr>
              <w:jc w:val="center"/>
              <w:rPr>
                <w:rFonts w:ascii="宋体" w:hAnsi="宋体" w:cs="宋体"/>
                <w:szCs w:val="21"/>
                <w:highlight w:val="none"/>
              </w:rPr>
            </w:pPr>
            <w:r>
              <w:rPr>
                <w:rFonts w:hint="eastAsia" w:ascii="宋体" w:hAnsi="宋体" w:cs="宋体"/>
                <w:szCs w:val="21"/>
                <w:highlight w:val="none"/>
              </w:rPr>
              <w:t>200套</w:t>
            </w:r>
          </w:p>
        </w:tc>
      </w:tr>
      <w:tr w14:paraId="297C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continue"/>
            <w:shd w:val="clear" w:color="000000" w:fill="FFFFFF"/>
            <w:noWrap/>
            <w:vAlign w:val="center"/>
          </w:tcPr>
          <w:p w14:paraId="55E1B2F2">
            <w:pPr>
              <w:jc w:val="center"/>
              <w:rPr>
                <w:rFonts w:hint="eastAsia" w:ascii="宋体" w:hAnsi="宋体" w:cs="宋体"/>
                <w:szCs w:val="21"/>
                <w:highlight w:val="none"/>
              </w:rPr>
            </w:pPr>
          </w:p>
        </w:tc>
        <w:tc>
          <w:tcPr>
            <w:tcW w:w="1131" w:type="pct"/>
            <w:shd w:val="clear" w:color="000000" w:fill="FFFFFF"/>
            <w:noWrap/>
            <w:vAlign w:val="center"/>
          </w:tcPr>
          <w:p w14:paraId="22A50161">
            <w:pPr>
              <w:jc w:val="center"/>
              <w:rPr>
                <w:rFonts w:ascii="宋体" w:hAnsi="宋体" w:cs="宋体"/>
                <w:szCs w:val="21"/>
                <w:highlight w:val="none"/>
              </w:rPr>
            </w:pPr>
            <w:r>
              <w:rPr>
                <w:rFonts w:hint="eastAsia" w:ascii="宋体" w:hAnsi="宋体" w:cs="宋体"/>
                <w:szCs w:val="21"/>
                <w:highlight w:val="none"/>
              </w:rPr>
              <w:t>主机日志分析</w:t>
            </w:r>
          </w:p>
        </w:tc>
        <w:tc>
          <w:tcPr>
            <w:tcW w:w="2244" w:type="pct"/>
            <w:shd w:val="clear" w:color="000000" w:fill="FFFFFF"/>
            <w:noWrap/>
            <w:vAlign w:val="center"/>
          </w:tcPr>
          <w:p w14:paraId="4ACAEC30">
            <w:pPr>
              <w:jc w:val="center"/>
              <w:rPr>
                <w:rFonts w:ascii="宋体" w:hAnsi="宋体" w:cs="宋体"/>
                <w:szCs w:val="21"/>
                <w:highlight w:val="none"/>
              </w:rPr>
            </w:pPr>
            <w:r>
              <w:rPr>
                <w:rFonts w:hint="eastAsia" w:ascii="宋体" w:hAnsi="宋体" w:cs="宋体"/>
                <w:szCs w:val="21"/>
                <w:highlight w:val="none"/>
              </w:rPr>
              <w:t>主机日志分析</w:t>
            </w:r>
          </w:p>
        </w:tc>
        <w:tc>
          <w:tcPr>
            <w:tcW w:w="924" w:type="pct"/>
            <w:noWrap/>
            <w:vAlign w:val="center"/>
          </w:tcPr>
          <w:p w14:paraId="7153B77D">
            <w:pPr>
              <w:jc w:val="center"/>
              <w:rPr>
                <w:rFonts w:ascii="宋体" w:hAnsi="宋体" w:cs="宋体"/>
                <w:szCs w:val="21"/>
                <w:highlight w:val="none"/>
              </w:rPr>
            </w:pPr>
            <w:r>
              <w:rPr>
                <w:rFonts w:hint="eastAsia" w:ascii="宋体" w:hAnsi="宋体" w:cs="宋体"/>
                <w:szCs w:val="21"/>
                <w:highlight w:val="none"/>
              </w:rPr>
              <w:t>200套</w:t>
            </w:r>
          </w:p>
        </w:tc>
      </w:tr>
      <w:tr w14:paraId="0E4D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continue"/>
            <w:shd w:val="clear" w:color="000000" w:fill="FFFFFF"/>
            <w:noWrap/>
            <w:vAlign w:val="center"/>
          </w:tcPr>
          <w:p w14:paraId="71505BC4">
            <w:pPr>
              <w:jc w:val="center"/>
              <w:rPr>
                <w:rFonts w:hint="eastAsia" w:ascii="宋体" w:hAnsi="宋体" w:cs="宋体"/>
                <w:szCs w:val="21"/>
                <w:highlight w:val="none"/>
              </w:rPr>
            </w:pPr>
          </w:p>
        </w:tc>
        <w:tc>
          <w:tcPr>
            <w:tcW w:w="1131" w:type="pct"/>
            <w:shd w:val="clear" w:color="000000" w:fill="FFFFFF"/>
            <w:noWrap/>
            <w:vAlign w:val="center"/>
          </w:tcPr>
          <w:p w14:paraId="072A5089">
            <w:pPr>
              <w:jc w:val="center"/>
              <w:rPr>
                <w:rFonts w:ascii="宋体" w:hAnsi="宋体" w:cs="宋体"/>
                <w:szCs w:val="21"/>
                <w:highlight w:val="none"/>
              </w:rPr>
            </w:pPr>
            <w:r>
              <w:rPr>
                <w:rFonts w:hint="eastAsia" w:ascii="宋体" w:hAnsi="宋体" w:cs="宋体"/>
                <w:szCs w:val="21"/>
                <w:highlight w:val="none"/>
              </w:rPr>
              <w:t>数据库审计</w:t>
            </w:r>
          </w:p>
        </w:tc>
        <w:tc>
          <w:tcPr>
            <w:tcW w:w="2244" w:type="pct"/>
            <w:shd w:val="clear" w:color="000000" w:fill="FFFFFF"/>
            <w:noWrap/>
            <w:vAlign w:val="center"/>
          </w:tcPr>
          <w:p w14:paraId="61571201">
            <w:pPr>
              <w:jc w:val="center"/>
              <w:rPr>
                <w:rFonts w:ascii="宋体" w:hAnsi="宋体" w:cs="宋体"/>
                <w:szCs w:val="21"/>
                <w:highlight w:val="none"/>
              </w:rPr>
            </w:pPr>
            <w:r>
              <w:rPr>
                <w:rFonts w:hint="eastAsia" w:ascii="宋体" w:hAnsi="宋体" w:cs="宋体"/>
                <w:szCs w:val="21"/>
                <w:highlight w:val="none"/>
              </w:rPr>
              <w:t>数据库审计服务</w:t>
            </w:r>
          </w:p>
        </w:tc>
        <w:tc>
          <w:tcPr>
            <w:tcW w:w="924" w:type="pct"/>
            <w:noWrap/>
            <w:vAlign w:val="center"/>
          </w:tcPr>
          <w:p w14:paraId="77CC79FA">
            <w:pPr>
              <w:jc w:val="center"/>
              <w:rPr>
                <w:rFonts w:ascii="宋体" w:hAnsi="宋体" w:cs="宋体"/>
                <w:szCs w:val="21"/>
                <w:highlight w:val="none"/>
              </w:rPr>
            </w:pPr>
            <w:r>
              <w:rPr>
                <w:rFonts w:hint="eastAsia" w:ascii="宋体" w:hAnsi="宋体" w:cs="宋体"/>
                <w:szCs w:val="21"/>
                <w:highlight w:val="none"/>
              </w:rPr>
              <w:t>11套</w:t>
            </w:r>
          </w:p>
        </w:tc>
      </w:tr>
      <w:tr w14:paraId="34BC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99" w:type="pct"/>
            <w:vMerge w:val="restart"/>
            <w:shd w:val="clear" w:color="000000" w:fill="FFFFFF"/>
            <w:noWrap/>
            <w:vAlign w:val="center"/>
          </w:tcPr>
          <w:p w14:paraId="72EAA1D8">
            <w:pPr>
              <w:jc w:val="center"/>
              <w:rPr>
                <w:rFonts w:hint="eastAsia" w:ascii="宋体" w:hAnsi="宋体" w:cs="宋体"/>
                <w:szCs w:val="21"/>
                <w:highlight w:val="none"/>
              </w:rPr>
            </w:pPr>
            <w:r>
              <w:rPr>
                <w:rFonts w:hint="eastAsia" w:ascii="宋体" w:hAnsi="宋体" w:cs="宋体"/>
                <w:szCs w:val="21"/>
                <w:highlight w:val="none"/>
              </w:rPr>
              <w:t>其他服务</w:t>
            </w:r>
          </w:p>
        </w:tc>
        <w:tc>
          <w:tcPr>
            <w:tcW w:w="1131" w:type="pct"/>
            <w:shd w:val="clear" w:color="000000" w:fill="FFFFFF"/>
            <w:noWrap/>
            <w:vAlign w:val="center"/>
          </w:tcPr>
          <w:p w14:paraId="06A881DB">
            <w:pPr>
              <w:jc w:val="center"/>
              <w:rPr>
                <w:rFonts w:ascii="宋体" w:hAnsi="宋体" w:cs="宋体"/>
                <w:szCs w:val="21"/>
                <w:highlight w:val="none"/>
              </w:rPr>
            </w:pPr>
            <w:r>
              <w:rPr>
                <w:rFonts w:hint="eastAsia" w:ascii="宋体" w:hAnsi="宋体" w:cs="宋体"/>
                <w:szCs w:val="21"/>
                <w:highlight w:val="none"/>
              </w:rPr>
              <w:t>CDN加速</w:t>
            </w:r>
          </w:p>
        </w:tc>
        <w:tc>
          <w:tcPr>
            <w:tcW w:w="2244" w:type="pct"/>
            <w:shd w:val="clear" w:color="000000" w:fill="FFFFFF"/>
            <w:noWrap/>
            <w:vAlign w:val="center"/>
          </w:tcPr>
          <w:p w14:paraId="737826CA">
            <w:pPr>
              <w:jc w:val="center"/>
              <w:rPr>
                <w:rFonts w:ascii="宋体" w:hAnsi="宋体" w:cs="宋体"/>
                <w:szCs w:val="21"/>
                <w:highlight w:val="none"/>
              </w:rPr>
            </w:pPr>
            <w:r>
              <w:rPr>
                <w:rFonts w:hint="eastAsia" w:ascii="宋体" w:hAnsi="宋体" w:cs="宋体"/>
                <w:szCs w:val="21"/>
                <w:highlight w:val="none"/>
              </w:rPr>
              <w:t>内容加速及视频加速服务</w:t>
            </w:r>
          </w:p>
        </w:tc>
        <w:tc>
          <w:tcPr>
            <w:tcW w:w="924" w:type="pct"/>
            <w:noWrap/>
            <w:vAlign w:val="center"/>
          </w:tcPr>
          <w:p w14:paraId="3489CA85">
            <w:pPr>
              <w:jc w:val="center"/>
              <w:rPr>
                <w:rFonts w:ascii="宋体" w:hAnsi="宋体" w:cs="宋体"/>
                <w:szCs w:val="21"/>
                <w:highlight w:val="none"/>
              </w:rPr>
            </w:pPr>
            <w:r>
              <w:rPr>
                <w:rFonts w:hint="eastAsia" w:ascii="宋体" w:hAnsi="宋体" w:cs="宋体"/>
                <w:szCs w:val="21"/>
                <w:highlight w:val="none"/>
              </w:rPr>
              <w:t>50000GB</w:t>
            </w:r>
          </w:p>
        </w:tc>
      </w:tr>
      <w:tr w14:paraId="5F1A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exact"/>
          <w:jc w:val="center"/>
        </w:trPr>
        <w:tc>
          <w:tcPr>
            <w:tcW w:w="699" w:type="pct"/>
            <w:vMerge w:val="continue"/>
            <w:shd w:val="clear" w:color="000000" w:fill="FFFFFF"/>
            <w:noWrap/>
            <w:vAlign w:val="center"/>
          </w:tcPr>
          <w:p w14:paraId="249DA04B">
            <w:pPr>
              <w:jc w:val="center"/>
              <w:rPr>
                <w:rFonts w:hint="eastAsia" w:ascii="宋体" w:hAnsi="宋体" w:cs="宋体"/>
                <w:szCs w:val="21"/>
                <w:highlight w:val="none"/>
              </w:rPr>
            </w:pPr>
          </w:p>
        </w:tc>
        <w:tc>
          <w:tcPr>
            <w:tcW w:w="1131" w:type="pct"/>
            <w:shd w:val="clear" w:color="000000" w:fill="FFFFFF"/>
            <w:noWrap/>
            <w:vAlign w:val="center"/>
          </w:tcPr>
          <w:p w14:paraId="657CABEC">
            <w:pPr>
              <w:jc w:val="center"/>
              <w:rPr>
                <w:rFonts w:ascii="宋体" w:hAnsi="宋体" w:cs="宋体"/>
                <w:szCs w:val="21"/>
                <w:highlight w:val="none"/>
              </w:rPr>
            </w:pPr>
            <w:r>
              <w:rPr>
                <w:rFonts w:hint="eastAsia" w:ascii="宋体" w:hAnsi="宋体" w:cs="宋体"/>
                <w:szCs w:val="21"/>
                <w:highlight w:val="none"/>
              </w:rPr>
              <w:t>专线服务</w:t>
            </w:r>
          </w:p>
        </w:tc>
        <w:tc>
          <w:tcPr>
            <w:tcW w:w="2244" w:type="pct"/>
            <w:shd w:val="clear" w:color="000000" w:fill="FFFFFF"/>
            <w:noWrap/>
            <w:vAlign w:val="center"/>
          </w:tcPr>
          <w:p w14:paraId="3E27FB27">
            <w:pPr>
              <w:jc w:val="center"/>
              <w:rPr>
                <w:rFonts w:ascii="宋体" w:hAnsi="宋体" w:cs="宋体"/>
                <w:szCs w:val="21"/>
                <w:highlight w:val="none"/>
              </w:rPr>
            </w:pPr>
            <w:r>
              <w:rPr>
                <w:rFonts w:hint="eastAsia" w:ascii="宋体" w:hAnsi="宋体" w:cs="宋体"/>
                <w:szCs w:val="21"/>
                <w:highlight w:val="none"/>
              </w:rPr>
              <w:t>从北京市高级人民法院到云服务商机房</w:t>
            </w:r>
          </w:p>
        </w:tc>
        <w:tc>
          <w:tcPr>
            <w:tcW w:w="924" w:type="pct"/>
            <w:noWrap/>
            <w:vAlign w:val="center"/>
          </w:tcPr>
          <w:p w14:paraId="0827F4CD">
            <w:pPr>
              <w:jc w:val="center"/>
              <w:rPr>
                <w:rFonts w:ascii="宋体" w:hAnsi="宋体" w:cs="宋体"/>
                <w:szCs w:val="21"/>
                <w:highlight w:val="none"/>
              </w:rPr>
            </w:pPr>
            <w:r>
              <w:rPr>
                <w:rFonts w:hint="eastAsia" w:ascii="宋体" w:hAnsi="宋体" w:cs="宋体"/>
                <w:szCs w:val="21"/>
                <w:highlight w:val="none"/>
              </w:rPr>
              <w:t>2根1G</w:t>
            </w:r>
            <w:r>
              <w:rPr>
                <w:rFonts w:hint="eastAsia" w:ascii="宋体" w:hAnsi="宋体" w:cs="宋体"/>
                <w:szCs w:val="21"/>
                <w:highlight w:val="none"/>
                <w:lang w:val="en-US" w:eastAsia="zh-CN"/>
              </w:rPr>
              <w:t>bps</w:t>
            </w:r>
            <w:r>
              <w:rPr>
                <w:rFonts w:hint="eastAsia" w:ascii="宋体" w:hAnsi="宋体" w:cs="宋体"/>
                <w:szCs w:val="21"/>
                <w:highlight w:val="none"/>
              </w:rPr>
              <w:t>数据专线</w:t>
            </w:r>
          </w:p>
        </w:tc>
      </w:tr>
    </w:tbl>
    <w:p w14:paraId="750E5EC6">
      <w:pPr>
        <w:ind w:left="420" w:leftChars="200"/>
        <w:rPr>
          <w:rFonts w:hint="eastAsia" w:eastAsia="仿宋_GB2312"/>
          <w:kern w:val="0"/>
          <w:sz w:val="36"/>
          <w:szCs w:val="36"/>
          <w:highlight w:val="none"/>
        </w:rPr>
      </w:pPr>
      <w:r>
        <w:rPr>
          <w:rFonts w:hint="eastAsia" w:eastAsia="仿宋_GB2312"/>
          <w:kern w:val="0"/>
          <w:sz w:val="36"/>
          <w:szCs w:val="36"/>
          <w:highlight w:val="none"/>
        </w:rPr>
        <w:t>2.服务内容及要求/货物技术要求</w:t>
      </w:r>
    </w:p>
    <w:p w14:paraId="3CB67046">
      <w:pPr>
        <w:ind w:firstLine="720" w:firstLineChars="200"/>
        <w:rPr>
          <w:rFonts w:hint="eastAsia" w:eastAsia="仿宋_GB2312"/>
          <w:kern w:val="0"/>
          <w:sz w:val="36"/>
          <w:szCs w:val="36"/>
          <w:highlight w:val="none"/>
        </w:rPr>
      </w:pPr>
      <w:r>
        <w:rPr>
          <w:rFonts w:hint="eastAsia" w:eastAsia="仿宋_GB2312"/>
          <w:kern w:val="0"/>
          <w:sz w:val="36"/>
          <w:szCs w:val="36"/>
          <w:highlight w:val="none"/>
        </w:rPr>
        <w:t>2.1服务能力要求</w:t>
      </w:r>
    </w:p>
    <w:p w14:paraId="2BE4ADDB">
      <w:pPr>
        <w:keepNext/>
        <w:keepLines/>
        <w:numPr>
          <w:ilvl w:val="1"/>
          <w:numId w:val="0"/>
        </w:numPr>
        <w:ind w:left="567"/>
        <w:outlineLvl w:val="1"/>
        <w:rPr>
          <w:rFonts w:hint="eastAsia" w:ascii="宋体" w:hAnsi="宋体" w:cs="宋体"/>
          <w:sz w:val="36"/>
          <w:szCs w:val="36"/>
          <w:highlight w:val="none"/>
        </w:rPr>
      </w:pPr>
      <w:r>
        <w:rPr>
          <w:rFonts w:hint="eastAsia" w:ascii="宋体" w:hAnsi="宋体" w:cs="宋体"/>
          <w:sz w:val="36"/>
          <w:szCs w:val="36"/>
          <w:highlight w:val="none"/>
        </w:rPr>
        <w:t>2.1.1 X86平台云主机服务</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4758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ign w:val="center"/>
          </w:tcPr>
          <w:p w14:paraId="2574BE86">
            <w:pPr>
              <w:spacing w:line="400" w:lineRule="exact"/>
              <w:jc w:val="center"/>
              <w:rPr>
                <w:rFonts w:ascii="宋体" w:hAnsi="宋体" w:cs="宋体"/>
                <w:b/>
                <w:szCs w:val="21"/>
                <w:highlight w:val="none"/>
              </w:rPr>
            </w:pPr>
            <w:r>
              <w:rPr>
                <w:rFonts w:hint="eastAsia" w:ascii="宋体" w:hAnsi="宋体" w:cs="宋体"/>
                <w:b/>
                <w:szCs w:val="21"/>
                <w:highlight w:val="none"/>
              </w:rPr>
              <w:t>指标项</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10DDF551">
            <w:pPr>
              <w:spacing w:line="400" w:lineRule="exact"/>
              <w:jc w:val="center"/>
              <w:rPr>
                <w:rFonts w:ascii="宋体" w:hAnsi="宋体" w:cs="宋体"/>
                <w:b/>
                <w:szCs w:val="21"/>
                <w:highlight w:val="none"/>
              </w:rPr>
            </w:pPr>
            <w:r>
              <w:rPr>
                <w:rFonts w:hint="eastAsia" w:ascii="宋体" w:hAnsi="宋体" w:cs="宋体"/>
                <w:b/>
                <w:szCs w:val="21"/>
                <w:highlight w:val="none"/>
              </w:rPr>
              <w:t>规格要求</w:t>
            </w:r>
          </w:p>
        </w:tc>
      </w:tr>
      <w:tr w14:paraId="2B8D1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ign w:val="center"/>
          </w:tcPr>
          <w:p w14:paraId="2955A72C">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性能限制</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5D266E3F">
            <w:pPr>
              <w:autoSpaceDE w:val="0"/>
              <w:autoSpaceDN w:val="0"/>
              <w:spacing w:line="400" w:lineRule="exact"/>
              <w:rPr>
                <w:rFonts w:ascii="宋体" w:hAnsi="宋体" w:cs="宋体"/>
                <w:szCs w:val="21"/>
                <w:highlight w:val="none"/>
              </w:rPr>
            </w:pPr>
            <w:r>
              <w:rPr>
                <w:rFonts w:hint="eastAsia" w:ascii="宋体" w:hAnsi="宋体" w:cs="宋体"/>
                <w:szCs w:val="21"/>
                <w:highlight w:val="none"/>
              </w:rPr>
              <w:t>按内存不复用方式分配资源，要求CPU主频≥2.4GHz</w:t>
            </w:r>
          </w:p>
        </w:tc>
      </w:tr>
      <w:tr w14:paraId="46B6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ign w:val="center"/>
          </w:tcPr>
          <w:p w14:paraId="2BBDFD5A">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性能范围</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053819E1">
            <w:pPr>
              <w:autoSpaceDE w:val="0"/>
              <w:autoSpaceDN w:val="0"/>
              <w:spacing w:line="400" w:lineRule="exact"/>
              <w:rPr>
                <w:rFonts w:ascii="宋体" w:hAnsi="宋体" w:cs="宋体"/>
                <w:szCs w:val="21"/>
                <w:highlight w:val="none"/>
              </w:rPr>
            </w:pPr>
            <w:r>
              <w:rPr>
                <w:rFonts w:hint="eastAsia" w:ascii="宋体" w:hAnsi="宋体" w:cs="宋体"/>
                <w:szCs w:val="21"/>
                <w:highlight w:val="none"/>
              </w:rPr>
              <w:t>CPU核数可选范围1-16核，内存可选范围1-64G</w:t>
            </w:r>
          </w:p>
        </w:tc>
      </w:tr>
      <w:tr w14:paraId="2EFA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ign w:val="center"/>
          </w:tcPr>
          <w:p w14:paraId="500909B0">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操作系统兼容性</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63DA1D5B">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支持主流操作系统，如windows server系列、Linux发行版、国产Linux等，需正版授权</w:t>
            </w:r>
          </w:p>
        </w:tc>
      </w:tr>
      <w:tr w14:paraId="40D87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right w:val="single" w:color="000000" w:sz="4" w:space="0"/>
            </w:tcBorders>
            <w:noWrap/>
            <w:vAlign w:val="center"/>
          </w:tcPr>
          <w:p w14:paraId="0821DE8A">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扩展性</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33275900">
            <w:pPr>
              <w:autoSpaceDE w:val="0"/>
              <w:autoSpaceDN w:val="0"/>
              <w:spacing w:line="400" w:lineRule="exact"/>
              <w:rPr>
                <w:rFonts w:ascii="宋体" w:hAnsi="宋体" w:cs="宋体"/>
                <w:szCs w:val="21"/>
                <w:highlight w:val="none"/>
              </w:rPr>
            </w:pPr>
            <w:r>
              <w:rPr>
                <w:rFonts w:hint="eastAsia" w:ascii="宋体" w:hAnsi="宋体" w:cs="宋体"/>
                <w:szCs w:val="21"/>
                <w:highlight w:val="none"/>
              </w:rPr>
              <w:t>用户可以灵活调整云主机CPU、内存、硬盘规格</w:t>
            </w:r>
          </w:p>
        </w:tc>
      </w:tr>
      <w:tr w14:paraId="4AC2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ign w:val="center"/>
          </w:tcPr>
          <w:p w14:paraId="60370777">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云主机隔离</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64441CCD">
            <w:pPr>
              <w:autoSpaceDE w:val="0"/>
              <w:autoSpaceDN w:val="0"/>
              <w:spacing w:line="400" w:lineRule="exact"/>
              <w:rPr>
                <w:rFonts w:ascii="宋体" w:hAnsi="宋体" w:cs="宋体"/>
                <w:szCs w:val="21"/>
                <w:highlight w:val="none"/>
              </w:rPr>
            </w:pPr>
            <w:r>
              <w:rPr>
                <w:rFonts w:hint="eastAsia" w:ascii="宋体" w:hAnsi="宋体" w:cs="宋体"/>
                <w:szCs w:val="21"/>
                <w:highlight w:val="none"/>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14:paraId="7F8EE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ign w:val="center"/>
          </w:tcPr>
          <w:p w14:paraId="72513958">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管理权限</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073B3C5F">
            <w:pPr>
              <w:autoSpaceDE w:val="0"/>
              <w:autoSpaceDN w:val="0"/>
              <w:spacing w:line="400" w:lineRule="exact"/>
              <w:rPr>
                <w:rFonts w:ascii="宋体" w:hAnsi="宋体" w:cs="宋体"/>
                <w:szCs w:val="21"/>
                <w:highlight w:val="none"/>
              </w:rPr>
            </w:pPr>
            <w:r>
              <w:rPr>
                <w:rFonts w:hint="eastAsia" w:ascii="宋体" w:hAnsi="宋体" w:cs="宋体"/>
                <w:szCs w:val="21"/>
                <w:highlight w:val="none"/>
              </w:rPr>
              <w:t>用户对云主机有完全的控制权，具有管理员权限，使用方式与传统物理主机完全一致。</w:t>
            </w:r>
          </w:p>
        </w:tc>
      </w:tr>
      <w:tr w14:paraId="14FD4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restart"/>
            <w:tcBorders>
              <w:top w:val="single" w:color="000000" w:sz="4" w:space="0"/>
              <w:left w:val="single" w:color="000000" w:sz="4" w:space="0"/>
              <w:right w:val="single" w:color="000000" w:sz="4" w:space="0"/>
            </w:tcBorders>
            <w:noWrap/>
            <w:vAlign w:val="center"/>
          </w:tcPr>
          <w:p w14:paraId="531C792A">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HA功能</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3A5A7A22">
            <w:pPr>
              <w:autoSpaceDE w:val="0"/>
              <w:autoSpaceDN w:val="0"/>
              <w:spacing w:line="400" w:lineRule="exact"/>
              <w:rPr>
                <w:rFonts w:ascii="宋体" w:hAnsi="宋体" w:cs="宋体"/>
                <w:szCs w:val="21"/>
                <w:highlight w:val="none"/>
              </w:rPr>
            </w:pPr>
            <w:r>
              <w:rPr>
                <w:rFonts w:hint="eastAsia" w:ascii="宋体" w:hAnsi="宋体" w:cs="宋体"/>
                <w:szCs w:val="21"/>
                <w:highlight w:val="none"/>
              </w:rPr>
              <w:t>虚拟化管理节点须支持双机热备</w:t>
            </w:r>
          </w:p>
        </w:tc>
      </w:tr>
      <w:tr w14:paraId="7523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21" w:type="dxa"/>
            <w:vMerge w:val="continue"/>
            <w:tcBorders>
              <w:left w:val="single" w:color="000000" w:sz="4" w:space="0"/>
              <w:right w:val="single" w:color="000000" w:sz="4" w:space="0"/>
            </w:tcBorders>
            <w:noWrap/>
            <w:vAlign w:val="center"/>
          </w:tcPr>
          <w:p w14:paraId="4E3FAB20">
            <w:pPr>
              <w:autoSpaceDE w:val="0"/>
              <w:autoSpaceDN w:val="0"/>
              <w:spacing w:line="400" w:lineRule="exact"/>
              <w:jc w:val="center"/>
              <w:rPr>
                <w:rFonts w:ascii="宋体" w:hAnsi="宋体" w:cs="宋体"/>
                <w:szCs w:val="21"/>
                <w:highlight w:val="none"/>
              </w:rPr>
            </w:pPr>
          </w:p>
        </w:tc>
        <w:tc>
          <w:tcPr>
            <w:tcW w:w="6601" w:type="dxa"/>
            <w:tcBorders>
              <w:top w:val="single" w:color="000000" w:sz="4" w:space="0"/>
              <w:left w:val="single" w:color="000000" w:sz="4" w:space="0"/>
              <w:bottom w:val="single" w:color="000000" w:sz="4" w:space="0"/>
              <w:right w:val="single" w:color="000000" w:sz="4" w:space="0"/>
            </w:tcBorders>
            <w:noWrap/>
            <w:vAlign w:val="top"/>
          </w:tcPr>
          <w:p w14:paraId="1921E12F">
            <w:pPr>
              <w:autoSpaceDE w:val="0"/>
              <w:autoSpaceDN w:val="0"/>
              <w:spacing w:line="400" w:lineRule="exact"/>
              <w:rPr>
                <w:rFonts w:ascii="宋体" w:hAnsi="宋体" w:cs="宋体"/>
                <w:szCs w:val="21"/>
                <w:highlight w:val="none"/>
              </w:rPr>
            </w:pPr>
            <w:r>
              <w:rPr>
                <w:rFonts w:hint="eastAsia" w:ascii="宋体" w:hAnsi="宋体" w:cs="宋体"/>
                <w:szCs w:val="21"/>
                <w:highlight w:val="none"/>
              </w:rPr>
              <w:t>虚拟化管理系统支持虚拟机的HA功能</w:t>
            </w:r>
          </w:p>
        </w:tc>
      </w:tr>
      <w:tr w14:paraId="1AE1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noWrap/>
            <w:vAlign w:val="center"/>
          </w:tcPr>
          <w:p w14:paraId="0F779F96">
            <w:pPr>
              <w:autoSpaceDE w:val="0"/>
              <w:autoSpaceDN w:val="0"/>
              <w:spacing w:line="400" w:lineRule="exact"/>
              <w:jc w:val="center"/>
              <w:rPr>
                <w:rFonts w:ascii="宋体" w:hAnsi="宋体" w:cs="宋体"/>
                <w:szCs w:val="21"/>
                <w:highlight w:val="none"/>
              </w:rPr>
            </w:pPr>
          </w:p>
        </w:tc>
        <w:tc>
          <w:tcPr>
            <w:tcW w:w="6601" w:type="dxa"/>
            <w:tcBorders>
              <w:top w:val="single" w:color="000000" w:sz="4" w:space="0"/>
              <w:left w:val="single" w:color="000000" w:sz="4" w:space="0"/>
              <w:bottom w:val="single" w:color="000000" w:sz="4" w:space="0"/>
              <w:right w:val="single" w:color="000000" w:sz="4" w:space="0"/>
            </w:tcBorders>
            <w:noWrap/>
            <w:vAlign w:val="top"/>
          </w:tcPr>
          <w:p w14:paraId="62340120">
            <w:pPr>
              <w:autoSpaceDE w:val="0"/>
              <w:autoSpaceDN w:val="0"/>
              <w:spacing w:line="400" w:lineRule="exact"/>
              <w:rPr>
                <w:rFonts w:ascii="宋体" w:hAnsi="宋体" w:cs="宋体"/>
                <w:szCs w:val="21"/>
                <w:highlight w:val="none"/>
              </w:rPr>
            </w:pPr>
            <w:r>
              <w:rPr>
                <w:rFonts w:hint="eastAsia" w:ascii="宋体" w:hAnsi="宋体" w:cs="宋体"/>
                <w:szCs w:val="21"/>
                <w:highlight w:val="none"/>
              </w:rPr>
              <w:t>硬件设备出现故障时，云主机会自动进行HA切换</w:t>
            </w:r>
          </w:p>
        </w:tc>
      </w:tr>
      <w:tr w14:paraId="49A0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bottom w:val="single" w:color="000000" w:sz="4" w:space="0"/>
              <w:right w:val="single" w:color="000000" w:sz="4" w:space="0"/>
            </w:tcBorders>
            <w:noWrap/>
            <w:vAlign w:val="center"/>
          </w:tcPr>
          <w:p w14:paraId="314D5766">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备份功能</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64D48A54">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支持云主机备份功能，可以实现云主机的全量备份、增量备份，支持备份周期、备份策略的设定</w:t>
            </w:r>
          </w:p>
        </w:tc>
      </w:tr>
      <w:tr w14:paraId="7A240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ign w:val="center"/>
          </w:tcPr>
          <w:p w14:paraId="248BF99C">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可操作性</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64004A95">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支持通过云管理平台，实现申请部署与使用</w:t>
            </w:r>
          </w:p>
        </w:tc>
      </w:tr>
      <w:tr w14:paraId="7E268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ign w:val="center"/>
          </w:tcPr>
          <w:p w14:paraId="57E9D078">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安全防护</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60F33746">
            <w:pPr>
              <w:autoSpaceDE w:val="0"/>
              <w:autoSpaceDN w:val="0"/>
              <w:spacing w:line="400" w:lineRule="exact"/>
              <w:rPr>
                <w:rFonts w:ascii="宋体" w:hAnsi="宋体" w:cs="宋体"/>
                <w:szCs w:val="21"/>
                <w:highlight w:val="none"/>
              </w:rPr>
            </w:pPr>
            <w:r>
              <w:rPr>
                <w:rFonts w:hint="eastAsia" w:ascii="宋体" w:hAnsi="宋体" w:cs="宋体"/>
                <w:szCs w:val="21"/>
                <w:highlight w:val="none"/>
              </w:rPr>
              <w:t>提供防ARP欺骗、自定义防火墙功能，支持防DDos攻击；</w:t>
            </w:r>
          </w:p>
        </w:tc>
      </w:tr>
      <w:tr w14:paraId="6FD0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ign w:val="center"/>
          </w:tcPr>
          <w:p w14:paraId="3756007C">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弹性网络</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3402B23F">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支持虚拟路由、虚拟交换机和弹性IP，用户可自定义虚拟主机的网络拓扑和IP地址；</w:t>
            </w:r>
          </w:p>
        </w:tc>
      </w:tr>
      <w:tr w14:paraId="6B66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ign w:val="center"/>
          </w:tcPr>
          <w:p w14:paraId="6BD7BED5">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镜像快照</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7A301887">
            <w:pPr>
              <w:autoSpaceDE w:val="0"/>
              <w:autoSpaceDN w:val="0"/>
              <w:spacing w:line="400" w:lineRule="exact"/>
              <w:rPr>
                <w:rFonts w:ascii="宋体" w:hAnsi="宋体" w:cs="宋体"/>
                <w:szCs w:val="21"/>
                <w:highlight w:val="none"/>
              </w:rPr>
            </w:pPr>
            <w:r>
              <w:rPr>
                <w:rFonts w:hint="eastAsia" w:ascii="宋体" w:hAnsi="宋体" w:cs="宋体"/>
                <w:szCs w:val="21"/>
                <w:highlight w:val="none"/>
              </w:rPr>
              <w:t>创建虚拟主机时，可指定用户预先配置好的镜像文件作为模板。虚拟主机支持增量快照备份功能，提高备份效率，减小备份占用空间，并支持公共镜像、私有镜像以及共享镜像等多种方式。</w:t>
            </w:r>
          </w:p>
        </w:tc>
      </w:tr>
      <w:tr w14:paraId="0664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ign w:val="center"/>
          </w:tcPr>
          <w:p w14:paraId="405C6A88">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数据存储</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04BCA060">
            <w:pPr>
              <w:autoSpaceDE w:val="0"/>
              <w:autoSpaceDN w:val="0"/>
              <w:spacing w:line="400" w:lineRule="exact"/>
              <w:rPr>
                <w:rFonts w:ascii="宋体" w:hAnsi="宋体" w:cs="宋体"/>
                <w:szCs w:val="21"/>
                <w:highlight w:val="none"/>
              </w:rPr>
            </w:pPr>
            <w:r>
              <w:rPr>
                <w:rFonts w:hint="eastAsia" w:ascii="宋体" w:hAnsi="宋体" w:cs="宋体"/>
                <w:szCs w:val="21"/>
                <w:highlight w:val="none"/>
              </w:rPr>
              <w:t>虚拟主机底层采用分布式块存储，每个虚拟主机的镜像存储达到多副本可靠性，数据可靠性不低于99.9999%；</w:t>
            </w:r>
          </w:p>
        </w:tc>
      </w:tr>
      <w:tr w14:paraId="4D821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ign w:val="center"/>
          </w:tcPr>
          <w:p w14:paraId="2F312712">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高可用性</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45B1F116">
            <w:pPr>
              <w:autoSpaceDE w:val="0"/>
              <w:autoSpaceDN w:val="0"/>
              <w:spacing w:line="400" w:lineRule="exact"/>
              <w:rPr>
                <w:rFonts w:ascii="宋体" w:hAnsi="宋体" w:cs="宋体"/>
                <w:szCs w:val="21"/>
                <w:highlight w:val="none"/>
              </w:rPr>
            </w:pPr>
            <w:r>
              <w:rPr>
                <w:rFonts w:hint="eastAsia" w:ascii="宋体" w:hAnsi="宋体" w:cs="宋体"/>
                <w:szCs w:val="21"/>
                <w:highlight w:val="none"/>
              </w:rPr>
              <w:t>虚拟主机服务采用全冗余架构，无单点故障，平均可用性不低于99.99%；</w:t>
            </w:r>
          </w:p>
        </w:tc>
      </w:tr>
      <w:tr w14:paraId="4836A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ign w:val="center"/>
          </w:tcPr>
          <w:p w14:paraId="10076750">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扩展性</w:t>
            </w:r>
          </w:p>
        </w:tc>
        <w:tc>
          <w:tcPr>
            <w:tcW w:w="6601" w:type="dxa"/>
            <w:tcBorders>
              <w:top w:val="single" w:color="000000" w:sz="4" w:space="0"/>
              <w:left w:val="single" w:color="000000" w:sz="4" w:space="0"/>
              <w:bottom w:val="single" w:color="000000" w:sz="4" w:space="0"/>
              <w:right w:val="single" w:color="000000" w:sz="4" w:space="0"/>
            </w:tcBorders>
            <w:noWrap/>
            <w:vAlign w:val="top"/>
          </w:tcPr>
          <w:p w14:paraId="7AC8F7A4">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支持计算能力的垂直伸缩，支持对CPU和内存的升级与降级操作，支持增加、减少磁盘和带宽；</w:t>
            </w:r>
          </w:p>
          <w:p w14:paraId="25CF2208">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支持计算能力的水平伸缩，通过与负载均衡配合实现水平伸缩；</w:t>
            </w:r>
          </w:p>
          <w:p w14:paraId="007DDA95">
            <w:pPr>
              <w:widowControl/>
              <w:rPr>
                <w:rFonts w:ascii="宋体" w:hAnsi="宋体" w:eastAsia="仿宋_GB2312"/>
                <w:color w:val="000000"/>
                <w:sz w:val="32"/>
                <w:szCs w:val="20"/>
                <w:highlight w:val="none"/>
              </w:rPr>
            </w:pPr>
            <w:r>
              <w:rPr>
                <w:rFonts w:hint="eastAsia" w:ascii="宋体" w:hAnsi="宋体" w:cs="宋体"/>
                <w:color w:val="000000"/>
                <w:szCs w:val="21"/>
                <w:highlight w:val="none"/>
              </w:rPr>
              <w:t>支持IPv4/IPv6双栈部署。</w:t>
            </w:r>
          </w:p>
        </w:tc>
      </w:tr>
    </w:tbl>
    <w:p w14:paraId="76DD122F">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 xml:space="preserve">2 </w:t>
      </w:r>
      <w:r>
        <w:rPr>
          <w:rFonts w:hint="eastAsia" w:ascii="仿宋_GB2312" w:hAnsi="仿宋_GB2312" w:eastAsia="仿宋_GB2312" w:cs="仿宋_GB2312"/>
          <w:sz w:val="36"/>
          <w:szCs w:val="36"/>
          <w:highlight w:val="none"/>
          <w:lang w:eastAsia="en-US"/>
        </w:rPr>
        <w:t>普通性能存储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6"/>
        <w:gridCol w:w="6386"/>
      </w:tblGrid>
      <w:tr w14:paraId="328B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30A805A">
            <w:pPr>
              <w:spacing w:before="120" w:after="120"/>
              <w:jc w:val="center"/>
              <w:rPr>
                <w:rFonts w:ascii="宋体" w:hAnsi="宋体"/>
                <w:b/>
                <w:bCs/>
                <w:szCs w:val="21"/>
                <w:highlight w:val="none"/>
              </w:rPr>
            </w:pPr>
            <w:r>
              <w:rPr>
                <w:rFonts w:hint="eastAsia" w:ascii="宋体" w:hAnsi="宋体"/>
                <w:b/>
                <w:bCs/>
                <w:szCs w:val="21"/>
                <w:highlight w:val="none"/>
              </w:rPr>
              <w:t>指标项</w:t>
            </w:r>
          </w:p>
        </w:tc>
        <w:tc>
          <w:tcPr>
            <w:tcW w:w="63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DF8E88F">
            <w:pPr>
              <w:jc w:val="center"/>
              <w:rPr>
                <w:rFonts w:ascii="宋体" w:hAnsi="宋体"/>
                <w:b/>
                <w:bCs/>
                <w:szCs w:val="21"/>
                <w:highlight w:val="none"/>
              </w:rPr>
            </w:pPr>
            <w:r>
              <w:rPr>
                <w:rFonts w:hint="eastAsia" w:ascii="宋体" w:hAnsi="宋体"/>
                <w:b/>
                <w:bCs/>
                <w:szCs w:val="21"/>
                <w:highlight w:val="none"/>
              </w:rPr>
              <w:t>规格要求</w:t>
            </w:r>
          </w:p>
        </w:tc>
      </w:tr>
      <w:tr w14:paraId="5972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6147C1A">
            <w:pPr>
              <w:autoSpaceDE w:val="0"/>
              <w:autoSpaceDN w:val="0"/>
              <w:jc w:val="center"/>
              <w:rPr>
                <w:rFonts w:ascii="宋体" w:hAnsi="宋体"/>
                <w:szCs w:val="21"/>
                <w:highlight w:val="none"/>
              </w:rPr>
            </w:pPr>
            <w:r>
              <w:rPr>
                <w:rFonts w:hint="eastAsia" w:ascii="宋体" w:hAnsi="宋体"/>
                <w:szCs w:val="21"/>
                <w:highlight w:val="none"/>
              </w:rPr>
              <w:t>可靠性要求</w:t>
            </w:r>
          </w:p>
        </w:tc>
        <w:tc>
          <w:tcPr>
            <w:tcW w:w="63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B0F0912">
            <w:pPr>
              <w:rPr>
                <w:rFonts w:ascii="宋体" w:hAnsi="宋体"/>
                <w:szCs w:val="21"/>
                <w:highlight w:val="none"/>
              </w:rPr>
            </w:pPr>
            <w:r>
              <w:rPr>
                <w:rFonts w:hint="eastAsia" w:ascii="宋体" w:hAnsi="宋体"/>
                <w:szCs w:val="21"/>
                <w:highlight w:val="none"/>
              </w:rPr>
              <w:t>提供普通存储服务，要求稳定可靠，确保数据可靠性99.9999%</w:t>
            </w:r>
          </w:p>
        </w:tc>
      </w:tr>
      <w:tr w14:paraId="4B79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6A716F0">
            <w:pPr>
              <w:autoSpaceDE w:val="0"/>
              <w:autoSpaceDN w:val="0"/>
              <w:jc w:val="center"/>
              <w:rPr>
                <w:rFonts w:ascii="宋体" w:hAnsi="宋体"/>
                <w:szCs w:val="21"/>
                <w:highlight w:val="none"/>
              </w:rPr>
            </w:pPr>
            <w:r>
              <w:rPr>
                <w:rFonts w:hint="eastAsia" w:ascii="宋体" w:hAnsi="宋体"/>
                <w:szCs w:val="21"/>
                <w:highlight w:val="none"/>
              </w:rPr>
              <w:t>性能要求</w:t>
            </w:r>
          </w:p>
        </w:tc>
        <w:tc>
          <w:tcPr>
            <w:tcW w:w="63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12CA6FF">
            <w:pPr>
              <w:rPr>
                <w:rFonts w:ascii="宋体" w:hAnsi="宋体"/>
                <w:szCs w:val="21"/>
                <w:highlight w:val="none"/>
              </w:rPr>
            </w:pPr>
            <w:r>
              <w:rPr>
                <w:rFonts w:hint="eastAsia" w:ascii="宋体" w:hAnsi="宋体"/>
                <w:szCs w:val="21"/>
                <w:highlight w:val="none"/>
              </w:rPr>
              <w:t>单盘技术指标满足IOPS1000-3000</w:t>
            </w:r>
          </w:p>
        </w:tc>
      </w:tr>
      <w:tr w14:paraId="281F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B466838">
            <w:pPr>
              <w:autoSpaceDE w:val="0"/>
              <w:autoSpaceDN w:val="0"/>
              <w:jc w:val="center"/>
              <w:rPr>
                <w:rFonts w:ascii="宋体" w:hAnsi="宋体"/>
                <w:szCs w:val="21"/>
                <w:highlight w:val="none"/>
              </w:rPr>
            </w:pPr>
            <w:r>
              <w:rPr>
                <w:rFonts w:hint="eastAsia" w:ascii="宋体" w:hAnsi="宋体"/>
                <w:szCs w:val="21"/>
                <w:highlight w:val="none"/>
              </w:rPr>
              <w:t>使用要求</w:t>
            </w:r>
          </w:p>
        </w:tc>
        <w:tc>
          <w:tcPr>
            <w:tcW w:w="63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88E0C07">
            <w:pPr>
              <w:rPr>
                <w:rFonts w:ascii="宋体" w:hAnsi="宋体"/>
                <w:szCs w:val="21"/>
                <w:highlight w:val="none"/>
              </w:rPr>
            </w:pPr>
            <w:r>
              <w:rPr>
                <w:rFonts w:hint="eastAsia" w:ascii="宋体" w:hAnsi="宋体"/>
                <w:szCs w:val="21"/>
                <w:highlight w:val="none"/>
              </w:rPr>
              <w:t>用户可以以1G为最小单位进行容量申请，并可以申请直接挂载给云主机使用，同时用户可以将申请到的磁盘空间分配给一台或者多台虚拟机/物理机使用</w:t>
            </w:r>
          </w:p>
        </w:tc>
      </w:tr>
      <w:tr w14:paraId="2894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62C451A">
            <w:pPr>
              <w:autoSpaceDE w:val="0"/>
              <w:autoSpaceDN w:val="0"/>
              <w:jc w:val="center"/>
              <w:rPr>
                <w:rFonts w:ascii="宋体" w:hAnsi="宋体"/>
                <w:szCs w:val="21"/>
                <w:highlight w:val="none"/>
              </w:rPr>
            </w:pPr>
            <w:r>
              <w:rPr>
                <w:rFonts w:hint="eastAsia" w:ascii="宋体" w:hAnsi="宋体"/>
                <w:szCs w:val="21"/>
                <w:highlight w:val="none"/>
              </w:rPr>
              <w:t>架构要求</w:t>
            </w:r>
          </w:p>
        </w:tc>
        <w:tc>
          <w:tcPr>
            <w:tcW w:w="63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15FC706">
            <w:pPr>
              <w:rPr>
                <w:rFonts w:ascii="宋体" w:hAnsi="宋体"/>
                <w:szCs w:val="21"/>
                <w:highlight w:val="none"/>
              </w:rPr>
            </w:pPr>
            <w:r>
              <w:rPr>
                <w:rFonts w:hint="eastAsia" w:ascii="宋体" w:hAnsi="宋体"/>
                <w:szCs w:val="21"/>
                <w:highlight w:val="none"/>
              </w:rPr>
              <w:t>系统整体架构无单点故障</w:t>
            </w:r>
          </w:p>
        </w:tc>
      </w:tr>
      <w:tr w14:paraId="3BF1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9C6125C">
            <w:pPr>
              <w:autoSpaceDE w:val="0"/>
              <w:autoSpaceDN w:val="0"/>
              <w:jc w:val="center"/>
              <w:rPr>
                <w:rFonts w:ascii="宋体" w:hAnsi="宋体"/>
                <w:szCs w:val="21"/>
                <w:highlight w:val="none"/>
              </w:rPr>
            </w:pPr>
            <w:r>
              <w:rPr>
                <w:rFonts w:hint="eastAsia" w:ascii="宋体" w:hAnsi="宋体"/>
                <w:szCs w:val="21"/>
                <w:highlight w:val="none"/>
              </w:rPr>
              <w:t>可操作性</w:t>
            </w:r>
          </w:p>
        </w:tc>
        <w:tc>
          <w:tcPr>
            <w:tcW w:w="63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A2328C3">
            <w:pPr>
              <w:autoSpaceDE w:val="0"/>
              <w:autoSpaceDN w:val="0"/>
              <w:rPr>
                <w:rFonts w:ascii="宋体" w:hAnsi="宋体"/>
                <w:szCs w:val="21"/>
                <w:highlight w:val="none"/>
              </w:rPr>
            </w:pPr>
            <w:r>
              <w:rPr>
                <w:rFonts w:hint="eastAsia" w:ascii="宋体" w:hAnsi="宋体"/>
                <w:szCs w:val="21"/>
                <w:highlight w:val="none"/>
              </w:rPr>
              <w:t>支持通过云管理平台，实现申请部署与使用</w:t>
            </w:r>
          </w:p>
        </w:tc>
      </w:tr>
    </w:tbl>
    <w:p w14:paraId="68B47EC7">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 xml:space="preserve">3 </w:t>
      </w:r>
      <w:r>
        <w:rPr>
          <w:rFonts w:hint="eastAsia" w:ascii="仿宋_GB2312" w:hAnsi="仿宋_GB2312" w:eastAsia="仿宋_GB2312" w:cs="仿宋_GB2312"/>
          <w:sz w:val="36"/>
          <w:szCs w:val="36"/>
          <w:highlight w:val="none"/>
        </w:rPr>
        <w:t>高</w:t>
      </w:r>
      <w:r>
        <w:rPr>
          <w:rFonts w:hint="eastAsia" w:ascii="仿宋_GB2312" w:hAnsi="仿宋_GB2312" w:eastAsia="仿宋_GB2312" w:cs="仿宋_GB2312"/>
          <w:sz w:val="36"/>
          <w:szCs w:val="36"/>
          <w:highlight w:val="none"/>
          <w:lang w:eastAsia="en-US"/>
        </w:rPr>
        <w:t>性能存储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07"/>
      </w:tblGrid>
      <w:tr w14:paraId="5E6D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tcMar>
              <w:top w:w="0" w:type="dxa"/>
              <w:left w:w="108" w:type="dxa"/>
              <w:bottom w:w="0" w:type="dxa"/>
              <w:right w:w="108" w:type="dxa"/>
            </w:tcMar>
            <w:vAlign w:val="center"/>
          </w:tcPr>
          <w:p w14:paraId="5F4ACD6D">
            <w:pPr>
              <w:jc w:val="center"/>
              <w:rPr>
                <w:rFonts w:ascii="宋体" w:hAnsi="宋体" w:cs="宋体"/>
                <w:b/>
                <w:bCs/>
                <w:szCs w:val="21"/>
                <w:highlight w:val="none"/>
              </w:rPr>
            </w:pPr>
            <w:r>
              <w:rPr>
                <w:rFonts w:hint="eastAsia" w:ascii="宋体" w:hAnsi="宋体" w:cs="宋体"/>
                <w:b/>
                <w:bCs/>
                <w:szCs w:val="21"/>
                <w:highlight w:val="none"/>
              </w:rPr>
              <w:t>指标项</w:t>
            </w:r>
          </w:p>
        </w:tc>
        <w:tc>
          <w:tcPr>
            <w:tcW w:w="6507" w:type="dxa"/>
            <w:noWrap/>
            <w:tcMar>
              <w:top w:w="0" w:type="dxa"/>
              <w:left w:w="108" w:type="dxa"/>
              <w:bottom w:w="0" w:type="dxa"/>
              <w:right w:w="108" w:type="dxa"/>
            </w:tcMar>
            <w:vAlign w:val="top"/>
          </w:tcPr>
          <w:p w14:paraId="00C0D5C9">
            <w:pPr>
              <w:jc w:val="center"/>
              <w:rPr>
                <w:rFonts w:ascii="宋体" w:hAnsi="宋体" w:cs="宋体"/>
                <w:b/>
                <w:bCs/>
                <w:szCs w:val="21"/>
                <w:highlight w:val="none"/>
              </w:rPr>
            </w:pPr>
            <w:r>
              <w:rPr>
                <w:rFonts w:hint="eastAsia" w:ascii="宋体" w:hAnsi="宋体" w:cs="宋体"/>
                <w:b/>
                <w:bCs/>
                <w:szCs w:val="21"/>
                <w:highlight w:val="none"/>
              </w:rPr>
              <w:t>规格要求</w:t>
            </w:r>
          </w:p>
        </w:tc>
      </w:tr>
      <w:tr w14:paraId="3AF4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tcMar>
              <w:top w:w="0" w:type="dxa"/>
              <w:left w:w="108" w:type="dxa"/>
              <w:bottom w:w="0" w:type="dxa"/>
              <w:right w:w="108" w:type="dxa"/>
            </w:tcMar>
            <w:vAlign w:val="center"/>
          </w:tcPr>
          <w:p w14:paraId="63F88263">
            <w:pPr>
              <w:autoSpaceDE w:val="0"/>
              <w:autoSpaceDN w:val="0"/>
              <w:jc w:val="center"/>
              <w:rPr>
                <w:rFonts w:ascii="宋体" w:hAnsi="宋体" w:cs="宋体"/>
                <w:szCs w:val="21"/>
                <w:highlight w:val="none"/>
              </w:rPr>
            </w:pPr>
            <w:r>
              <w:rPr>
                <w:rFonts w:hint="eastAsia" w:ascii="宋体" w:hAnsi="宋体" w:cs="宋体"/>
                <w:szCs w:val="21"/>
                <w:highlight w:val="none"/>
              </w:rPr>
              <w:t>可靠性要求</w:t>
            </w:r>
          </w:p>
        </w:tc>
        <w:tc>
          <w:tcPr>
            <w:tcW w:w="6507" w:type="dxa"/>
            <w:noWrap/>
            <w:tcMar>
              <w:top w:w="0" w:type="dxa"/>
              <w:left w:w="108" w:type="dxa"/>
              <w:bottom w:w="0" w:type="dxa"/>
              <w:right w:w="108" w:type="dxa"/>
            </w:tcMar>
            <w:vAlign w:val="top"/>
          </w:tcPr>
          <w:p w14:paraId="740B667F">
            <w:pPr>
              <w:rPr>
                <w:rFonts w:ascii="宋体" w:hAnsi="宋体" w:cs="宋体"/>
                <w:szCs w:val="21"/>
                <w:highlight w:val="none"/>
              </w:rPr>
            </w:pPr>
            <w:r>
              <w:rPr>
                <w:rFonts w:hint="eastAsia" w:ascii="宋体" w:hAnsi="宋体" w:cs="宋体"/>
                <w:szCs w:val="21"/>
                <w:highlight w:val="none"/>
              </w:rPr>
              <w:t>要求稳定可靠，不会因单一部件故障、单一路径故障等原因导致业务停用、数据丢失，系统可靠性99.9999%</w:t>
            </w:r>
          </w:p>
        </w:tc>
      </w:tr>
      <w:tr w14:paraId="7F56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tcMar>
              <w:top w:w="0" w:type="dxa"/>
              <w:left w:w="108" w:type="dxa"/>
              <w:bottom w:w="0" w:type="dxa"/>
              <w:right w:w="108" w:type="dxa"/>
            </w:tcMar>
            <w:vAlign w:val="center"/>
          </w:tcPr>
          <w:p w14:paraId="30E6C025">
            <w:pPr>
              <w:autoSpaceDE w:val="0"/>
              <w:autoSpaceDN w:val="0"/>
              <w:jc w:val="center"/>
              <w:rPr>
                <w:rFonts w:ascii="宋体" w:hAnsi="宋体" w:cs="宋体"/>
                <w:szCs w:val="21"/>
                <w:highlight w:val="none"/>
              </w:rPr>
            </w:pPr>
            <w:r>
              <w:rPr>
                <w:rFonts w:hint="eastAsia" w:ascii="宋体" w:hAnsi="宋体" w:cs="宋体"/>
                <w:szCs w:val="21"/>
                <w:highlight w:val="none"/>
              </w:rPr>
              <w:t>性能要求</w:t>
            </w:r>
          </w:p>
        </w:tc>
        <w:tc>
          <w:tcPr>
            <w:tcW w:w="6507" w:type="dxa"/>
            <w:noWrap/>
            <w:tcMar>
              <w:top w:w="0" w:type="dxa"/>
              <w:left w:w="108" w:type="dxa"/>
              <w:bottom w:w="0" w:type="dxa"/>
              <w:right w:w="108" w:type="dxa"/>
            </w:tcMar>
            <w:vAlign w:val="top"/>
          </w:tcPr>
          <w:p w14:paraId="66183D23">
            <w:pPr>
              <w:rPr>
                <w:rFonts w:ascii="宋体" w:hAnsi="宋体" w:cs="宋体"/>
                <w:szCs w:val="21"/>
                <w:highlight w:val="none"/>
              </w:rPr>
            </w:pPr>
            <w:r>
              <w:rPr>
                <w:rFonts w:hint="eastAsia" w:ascii="宋体" w:hAnsi="宋体" w:cs="宋体"/>
                <w:szCs w:val="21"/>
                <w:highlight w:val="none"/>
              </w:rPr>
              <w:t>单盘技术指标满足IOPS 3000-20000</w:t>
            </w:r>
          </w:p>
        </w:tc>
      </w:tr>
      <w:tr w14:paraId="799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tcMar>
              <w:top w:w="0" w:type="dxa"/>
              <w:left w:w="108" w:type="dxa"/>
              <w:bottom w:w="0" w:type="dxa"/>
              <w:right w:w="108" w:type="dxa"/>
            </w:tcMar>
            <w:vAlign w:val="center"/>
          </w:tcPr>
          <w:p w14:paraId="1BDE9EA6">
            <w:pPr>
              <w:autoSpaceDE w:val="0"/>
              <w:autoSpaceDN w:val="0"/>
              <w:jc w:val="center"/>
              <w:rPr>
                <w:rFonts w:ascii="宋体" w:hAnsi="宋体" w:cs="宋体"/>
                <w:szCs w:val="21"/>
                <w:highlight w:val="none"/>
              </w:rPr>
            </w:pPr>
            <w:r>
              <w:rPr>
                <w:rFonts w:hint="eastAsia" w:ascii="宋体" w:hAnsi="宋体" w:cs="宋体"/>
                <w:szCs w:val="21"/>
                <w:highlight w:val="none"/>
              </w:rPr>
              <w:t>使用要求</w:t>
            </w:r>
          </w:p>
        </w:tc>
        <w:tc>
          <w:tcPr>
            <w:tcW w:w="6507" w:type="dxa"/>
            <w:noWrap/>
            <w:tcMar>
              <w:top w:w="0" w:type="dxa"/>
              <w:left w:w="108" w:type="dxa"/>
              <w:bottom w:w="0" w:type="dxa"/>
              <w:right w:w="108" w:type="dxa"/>
            </w:tcMar>
            <w:vAlign w:val="top"/>
          </w:tcPr>
          <w:p w14:paraId="06E03C51">
            <w:pPr>
              <w:rPr>
                <w:rFonts w:ascii="宋体" w:hAnsi="宋体" w:cs="宋体"/>
                <w:szCs w:val="21"/>
                <w:highlight w:val="none"/>
              </w:rPr>
            </w:pPr>
            <w:r>
              <w:rPr>
                <w:rFonts w:hint="eastAsia" w:ascii="宋体" w:hAnsi="宋体" w:cs="宋体"/>
                <w:szCs w:val="21"/>
                <w:highlight w:val="none"/>
              </w:rPr>
              <w:t>用户可以以1G为最小单位进行容量申请，并可以申请直接挂载给云主机使用，同时用户可以将申请到的磁盘空间分配给一台或者多台虚拟机/物理机使用</w:t>
            </w:r>
          </w:p>
        </w:tc>
      </w:tr>
      <w:tr w14:paraId="2558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tcMar>
              <w:top w:w="0" w:type="dxa"/>
              <w:left w:w="108" w:type="dxa"/>
              <w:bottom w:w="0" w:type="dxa"/>
              <w:right w:w="108" w:type="dxa"/>
            </w:tcMar>
            <w:vAlign w:val="center"/>
          </w:tcPr>
          <w:p w14:paraId="6049EEFC">
            <w:pPr>
              <w:autoSpaceDE w:val="0"/>
              <w:autoSpaceDN w:val="0"/>
              <w:jc w:val="center"/>
              <w:rPr>
                <w:rFonts w:ascii="宋体" w:hAnsi="宋体" w:cs="宋体"/>
                <w:szCs w:val="21"/>
                <w:highlight w:val="none"/>
              </w:rPr>
            </w:pPr>
            <w:r>
              <w:rPr>
                <w:rFonts w:hint="eastAsia" w:ascii="宋体" w:hAnsi="宋体" w:cs="宋体"/>
                <w:szCs w:val="21"/>
                <w:highlight w:val="none"/>
              </w:rPr>
              <w:t>架构要求</w:t>
            </w:r>
          </w:p>
        </w:tc>
        <w:tc>
          <w:tcPr>
            <w:tcW w:w="6507" w:type="dxa"/>
            <w:noWrap/>
            <w:tcMar>
              <w:top w:w="0" w:type="dxa"/>
              <w:left w:w="108" w:type="dxa"/>
              <w:bottom w:w="0" w:type="dxa"/>
              <w:right w:w="108" w:type="dxa"/>
            </w:tcMar>
            <w:vAlign w:val="top"/>
          </w:tcPr>
          <w:p w14:paraId="42CC4F97">
            <w:pPr>
              <w:rPr>
                <w:rFonts w:ascii="宋体" w:hAnsi="宋体" w:cs="宋体"/>
                <w:szCs w:val="21"/>
                <w:highlight w:val="none"/>
              </w:rPr>
            </w:pPr>
            <w:r>
              <w:rPr>
                <w:rFonts w:hint="eastAsia" w:ascii="宋体" w:hAnsi="宋体" w:cs="宋体"/>
                <w:szCs w:val="21"/>
                <w:highlight w:val="none"/>
              </w:rPr>
              <w:t>系统整体架构无单点故障</w:t>
            </w:r>
          </w:p>
        </w:tc>
      </w:tr>
      <w:tr w14:paraId="19D1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tcMar>
              <w:top w:w="0" w:type="dxa"/>
              <w:left w:w="108" w:type="dxa"/>
              <w:bottom w:w="0" w:type="dxa"/>
              <w:right w:w="108" w:type="dxa"/>
            </w:tcMar>
            <w:vAlign w:val="center"/>
          </w:tcPr>
          <w:p w14:paraId="6C28CE5C">
            <w:pPr>
              <w:autoSpaceDE w:val="0"/>
              <w:autoSpaceDN w:val="0"/>
              <w:jc w:val="center"/>
              <w:rPr>
                <w:rFonts w:ascii="宋体" w:hAnsi="宋体" w:cs="宋体"/>
                <w:szCs w:val="21"/>
                <w:highlight w:val="none"/>
              </w:rPr>
            </w:pPr>
            <w:r>
              <w:rPr>
                <w:rFonts w:hint="eastAsia" w:ascii="宋体" w:hAnsi="宋体" w:cs="宋体"/>
                <w:szCs w:val="21"/>
                <w:highlight w:val="none"/>
              </w:rPr>
              <w:t>可操作性</w:t>
            </w:r>
          </w:p>
        </w:tc>
        <w:tc>
          <w:tcPr>
            <w:tcW w:w="6507" w:type="dxa"/>
            <w:noWrap/>
            <w:tcMar>
              <w:top w:w="0" w:type="dxa"/>
              <w:left w:w="108" w:type="dxa"/>
              <w:bottom w:w="0" w:type="dxa"/>
              <w:right w:w="108" w:type="dxa"/>
            </w:tcMar>
            <w:vAlign w:val="top"/>
          </w:tcPr>
          <w:p w14:paraId="515DF1CC">
            <w:pPr>
              <w:autoSpaceDE w:val="0"/>
              <w:autoSpaceDN w:val="0"/>
              <w:rPr>
                <w:rFonts w:ascii="宋体" w:hAnsi="宋体" w:cs="宋体"/>
                <w:szCs w:val="21"/>
                <w:highlight w:val="none"/>
              </w:rPr>
            </w:pPr>
            <w:r>
              <w:rPr>
                <w:rFonts w:hint="eastAsia" w:ascii="宋体" w:hAnsi="宋体" w:cs="宋体"/>
                <w:szCs w:val="21"/>
                <w:highlight w:val="none"/>
              </w:rPr>
              <w:t>支持通过云管理平台，实现申请部署与使用</w:t>
            </w:r>
          </w:p>
        </w:tc>
      </w:tr>
    </w:tbl>
    <w:p w14:paraId="5A895033">
      <w:pPr>
        <w:keepNext/>
        <w:keepLines/>
        <w:numPr>
          <w:ilvl w:val="1"/>
          <w:numId w:val="0"/>
        </w:numPr>
        <w:ind w:left="567"/>
        <w:outlineLvl w:val="2"/>
        <w:rPr>
          <w:rFonts w:hint="eastAsia" w:ascii="宋体" w:hAnsi="宋体" w:cs="宋体"/>
          <w:sz w:val="36"/>
          <w:szCs w:val="36"/>
          <w:highlight w:val="none"/>
        </w:rPr>
      </w:pPr>
      <w:r>
        <w:rPr>
          <w:rFonts w:hint="eastAsia" w:ascii="宋体" w:hAnsi="宋体" w:cs="宋体"/>
          <w:sz w:val="36"/>
          <w:szCs w:val="36"/>
          <w:highlight w:val="none"/>
        </w:rPr>
        <w:t>2.1.4 远程接入服务</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3"/>
        <w:gridCol w:w="6409"/>
      </w:tblGrid>
      <w:tr w14:paraId="15A2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tcBorders>
              <w:top w:val="single" w:color="000000" w:sz="4" w:space="0"/>
              <w:left w:val="single" w:color="000000" w:sz="4" w:space="0"/>
              <w:bottom w:val="single" w:color="000000" w:sz="4" w:space="0"/>
              <w:right w:val="single" w:color="000000" w:sz="4" w:space="0"/>
            </w:tcBorders>
            <w:noWrap/>
            <w:vAlign w:val="center"/>
          </w:tcPr>
          <w:p w14:paraId="60AB6718">
            <w:pPr>
              <w:autoSpaceDE w:val="0"/>
              <w:autoSpaceDN w:val="0"/>
              <w:spacing w:line="400" w:lineRule="exact"/>
              <w:ind w:firstLine="420"/>
              <w:jc w:val="center"/>
              <w:rPr>
                <w:rFonts w:ascii="宋体" w:hAnsi="宋体" w:cs="宋体"/>
                <w:b/>
                <w:szCs w:val="21"/>
                <w:highlight w:val="none"/>
              </w:rPr>
            </w:pPr>
            <w:r>
              <w:rPr>
                <w:rFonts w:hint="eastAsia" w:ascii="宋体" w:hAnsi="宋体" w:cs="宋体"/>
                <w:b/>
                <w:szCs w:val="21"/>
                <w:highlight w:val="none"/>
              </w:rPr>
              <w:t>指标项</w:t>
            </w:r>
          </w:p>
        </w:tc>
        <w:tc>
          <w:tcPr>
            <w:tcW w:w="6409" w:type="dxa"/>
            <w:tcBorders>
              <w:top w:val="single" w:color="000000" w:sz="4" w:space="0"/>
              <w:left w:val="single" w:color="000000" w:sz="4" w:space="0"/>
              <w:bottom w:val="single" w:color="000000" w:sz="4" w:space="0"/>
              <w:right w:val="single" w:color="000000" w:sz="4" w:space="0"/>
            </w:tcBorders>
            <w:noWrap/>
            <w:vAlign w:val="top"/>
          </w:tcPr>
          <w:p w14:paraId="6D52B4DA">
            <w:pPr>
              <w:autoSpaceDE w:val="0"/>
              <w:autoSpaceDN w:val="0"/>
              <w:spacing w:line="400" w:lineRule="exact"/>
              <w:ind w:firstLine="420"/>
              <w:rPr>
                <w:rFonts w:ascii="宋体" w:hAnsi="宋体" w:cs="宋体"/>
                <w:b/>
                <w:szCs w:val="21"/>
                <w:highlight w:val="none"/>
              </w:rPr>
            </w:pPr>
            <w:r>
              <w:rPr>
                <w:rFonts w:hint="eastAsia" w:ascii="宋体" w:hAnsi="宋体" w:cs="宋体"/>
                <w:b/>
                <w:szCs w:val="21"/>
                <w:highlight w:val="none"/>
              </w:rPr>
              <w:t>规格要求</w:t>
            </w:r>
          </w:p>
        </w:tc>
      </w:tr>
      <w:tr w14:paraId="7EB6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2113" w:type="dxa"/>
            <w:tcBorders>
              <w:top w:val="single" w:color="000000" w:sz="4" w:space="0"/>
              <w:left w:val="single" w:color="000000" w:sz="4" w:space="0"/>
              <w:bottom w:val="single" w:color="000000" w:sz="4" w:space="0"/>
              <w:right w:val="single" w:color="000000" w:sz="4" w:space="0"/>
            </w:tcBorders>
            <w:noWrap/>
            <w:vAlign w:val="center"/>
          </w:tcPr>
          <w:p w14:paraId="56C01073">
            <w:pPr>
              <w:autoSpaceDE w:val="0"/>
              <w:autoSpaceDN w:val="0"/>
              <w:spacing w:line="400" w:lineRule="exact"/>
              <w:ind w:firstLine="420"/>
              <w:jc w:val="center"/>
              <w:rPr>
                <w:rFonts w:ascii="宋体" w:hAnsi="宋体" w:cs="宋体"/>
                <w:szCs w:val="21"/>
                <w:highlight w:val="none"/>
              </w:rPr>
            </w:pPr>
            <w:r>
              <w:rPr>
                <w:rFonts w:hint="eastAsia" w:ascii="宋体" w:hAnsi="宋体" w:cs="宋体"/>
                <w:szCs w:val="21"/>
                <w:highlight w:val="none"/>
              </w:rPr>
              <w:t>功能要求</w:t>
            </w:r>
          </w:p>
        </w:tc>
        <w:tc>
          <w:tcPr>
            <w:tcW w:w="6409" w:type="dxa"/>
            <w:tcBorders>
              <w:top w:val="single" w:color="000000" w:sz="4" w:space="0"/>
              <w:left w:val="single" w:color="000000" w:sz="4" w:space="0"/>
              <w:bottom w:val="single" w:color="000000" w:sz="4" w:space="0"/>
              <w:right w:val="single" w:color="000000" w:sz="4" w:space="0"/>
            </w:tcBorders>
            <w:noWrap/>
            <w:vAlign w:val="top"/>
          </w:tcPr>
          <w:p w14:paraId="092BA8BB">
            <w:pPr>
              <w:autoSpaceDE w:val="0"/>
              <w:autoSpaceDN w:val="0"/>
              <w:spacing w:line="400" w:lineRule="exact"/>
              <w:ind w:firstLine="420"/>
              <w:rPr>
                <w:rFonts w:ascii="宋体" w:hAnsi="宋体" w:cs="宋体"/>
                <w:szCs w:val="21"/>
                <w:highlight w:val="none"/>
              </w:rPr>
            </w:pPr>
            <w:r>
              <w:rPr>
                <w:rFonts w:hint="eastAsia" w:ascii="宋体" w:hAnsi="宋体" w:cs="宋体"/>
                <w:szCs w:val="21"/>
                <w:highlight w:val="none"/>
              </w:rPr>
              <w:t>提供堡垒机远程接入服务</w:t>
            </w:r>
          </w:p>
        </w:tc>
      </w:tr>
      <w:tr w14:paraId="4855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2113" w:type="dxa"/>
            <w:tcBorders>
              <w:top w:val="single" w:color="000000" w:sz="4" w:space="0"/>
              <w:left w:val="single" w:color="000000" w:sz="4" w:space="0"/>
              <w:bottom w:val="single" w:color="000000" w:sz="4" w:space="0"/>
              <w:right w:val="single" w:color="000000" w:sz="4" w:space="0"/>
            </w:tcBorders>
            <w:noWrap/>
            <w:vAlign w:val="center"/>
          </w:tcPr>
          <w:p w14:paraId="32BC8AD7">
            <w:pPr>
              <w:autoSpaceDE w:val="0"/>
              <w:autoSpaceDN w:val="0"/>
              <w:spacing w:line="400" w:lineRule="exact"/>
              <w:ind w:firstLine="420"/>
              <w:jc w:val="center"/>
              <w:rPr>
                <w:rFonts w:ascii="宋体" w:hAnsi="宋体" w:cs="宋体"/>
                <w:szCs w:val="21"/>
                <w:highlight w:val="none"/>
              </w:rPr>
            </w:pPr>
            <w:r>
              <w:rPr>
                <w:rFonts w:hint="eastAsia" w:ascii="宋体" w:hAnsi="宋体" w:cs="宋体"/>
                <w:szCs w:val="21"/>
                <w:highlight w:val="none"/>
              </w:rPr>
              <w:t>运维审计</w:t>
            </w:r>
          </w:p>
        </w:tc>
        <w:tc>
          <w:tcPr>
            <w:tcW w:w="6409" w:type="dxa"/>
            <w:tcBorders>
              <w:top w:val="single" w:color="000000" w:sz="4" w:space="0"/>
              <w:left w:val="single" w:color="000000" w:sz="4" w:space="0"/>
              <w:bottom w:val="single" w:color="000000" w:sz="4" w:space="0"/>
              <w:right w:val="single" w:color="000000" w:sz="4" w:space="0"/>
            </w:tcBorders>
            <w:noWrap/>
            <w:vAlign w:val="top"/>
          </w:tcPr>
          <w:p w14:paraId="242EED11">
            <w:pPr>
              <w:autoSpaceDE w:val="0"/>
              <w:autoSpaceDN w:val="0"/>
              <w:spacing w:line="400" w:lineRule="exact"/>
              <w:rPr>
                <w:rFonts w:ascii="宋体" w:hAnsi="宋体" w:cs="宋体"/>
                <w:b/>
                <w:bCs/>
                <w:szCs w:val="21"/>
                <w:highlight w:val="none"/>
              </w:rPr>
            </w:pPr>
            <w:r>
              <w:rPr>
                <w:rFonts w:hint="eastAsia" w:ascii="宋体" w:hAnsi="宋体" w:cs="宋体"/>
                <w:szCs w:val="21"/>
                <w:highlight w:val="none"/>
              </w:rPr>
              <w:t>字符操作审计、图形操作审计、文件操作审计</w:t>
            </w:r>
          </w:p>
        </w:tc>
      </w:tr>
      <w:tr w14:paraId="3AB8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vMerge w:val="restart"/>
            <w:tcBorders>
              <w:top w:val="single" w:color="000000" w:sz="4" w:space="0"/>
              <w:left w:val="single" w:color="000000" w:sz="4" w:space="0"/>
              <w:right w:val="single" w:color="000000" w:sz="4" w:space="0"/>
            </w:tcBorders>
            <w:noWrap/>
            <w:vAlign w:val="center"/>
          </w:tcPr>
          <w:p w14:paraId="058C4BAD">
            <w:pPr>
              <w:autoSpaceDE w:val="0"/>
              <w:autoSpaceDN w:val="0"/>
              <w:spacing w:line="400" w:lineRule="exact"/>
              <w:ind w:firstLine="420"/>
              <w:jc w:val="center"/>
              <w:rPr>
                <w:rFonts w:ascii="宋体" w:hAnsi="宋体" w:cs="宋体"/>
                <w:szCs w:val="21"/>
                <w:highlight w:val="none"/>
              </w:rPr>
            </w:pPr>
            <w:r>
              <w:rPr>
                <w:rFonts w:hint="eastAsia" w:ascii="宋体" w:hAnsi="宋体" w:cs="宋体"/>
                <w:szCs w:val="21"/>
                <w:highlight w:val="none"/>
              </w:rPr>
              <w:t>访问控制</w:t>
            </w:r>
          </w:p>
        </w:tc>
        <w:tc>
          <w:tcPr>
            <w:tcW w:w="6409" w:type="dxa"/>
            <w:tcBorders>
              <w:top w:val="single" w:color="000000" w:sz="4" w:space="0"/>
              <w:left w:val="single" w:color="000000" w:sz="4" w:space="0"/>
              <w:bottom w:val="single" w:color="000000" w:sz="4" w:space="0"/>
              <w:right w:val="single" w:color="000000" w:sz="4" w:space="0"/>
            </w:tcBorders>
            <w:noWrap/>
            <w:vAlign w:val="top"/>
          </w:tcPr>
          <w:p w14:paraId="6BE4B8FD">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支持基于IP/IP段、用户/用户组、资产/资产组、协议、危险级别等组合策略进行访问控制，对于不合法的行为予以阻断；</w:t>
            </w:r>
          </w:p>
        </w:tc>
      </w:tr>
      <w:tr w14:paraId="66C5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right w:val="single" w:color="000000" w:sz="4" w:space="0"/>
            </w:tcBorders>
            <w:noWrap/>
            <w:vAlign w:val="center"/>
          </w:tcPr>
          <w:p w14:paraId="561CBB7C">
            <w:pPr>
              <w:autoSpaceDE w:val="0"/>
              <w:autoSpaceDN w:val="0"/>
              <w:spacing w:line="400" w:lineRule="exact"/>
              <w:ind w:firstLine="420"/>
              <w:jc w:val="center"/>
              <w:rPr>
                <w:rFonts w:ascii="宋体" w:hAnsi="宋体" w:cs="宋体"/>
                <w:szCs w:val="21"/>
                <w:highlight w:val="none"/>
              </w:rPr>
            </w:pPr>
          </w:p>
        </w:tc>
        <w:tc>
          <w:tcPr>
            <w:tcW w:w="6409" w:type="dxa"/>
            <w:tcBorders>
              <w:top w:val="single" w:color="000000" w:sz="4" w:space="0"/>
              <w:left w:val="single" w:color="000000" w:sz="4" w:space="0"/>
              <w:bottom w:val="single" w:color="000000" w:sz="4" w:space="0"/>
              <w:right w:val="single" w:color="000000" w:sz="4" w:space="0"/>
            </w:tcBorders>
            <w:noWrap/>
            <w:vAlign w:val="top"/>
          </w:tcPr>
          <w:p w14:paraId="05FFF64E">
            <w:pPr>
              <w:autoSpaceDE w:val="0"/>
              <w:autoSpaceDN w:val="0"/>
              <w:spacing w:line="400" w:lineRule="exact"/>
              <w:rPr>
                <w:rFonts w:ascii="宋体" w:hAnsi="宋体" w:cs="宋体"/>
                <w:szCs w:val="21"/>
                <w:highlight w:val="none"/>
              </w:rPr>
            </w:pPr>
            <w:r>
              <w:rPr>
                <w:rFonts w:hint="eastAsia" w:ascii="宋体" w:hAnsi="宋体" w:cs="宋体"/>
                <w:szCs w:val="21"/>
                <w:highlight w:val="none"/>
              </w:rPr>
              <w:t>可基于运维账号的登陆时间和资产登陆时间进行访问控制；</w:t>
            </w:r>
          </w:p>
        </w:tc>
      </w:tr>
      <w:tr w14:paraId="14B69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right w:val="single" w:color="000000" w:sz="4" w:space="0"/>
            </w:tcBorders>
            <w:noWrap/>
            <w:vAlign w:val="center"/>
          </w:tcPr>
          <w:p w14:paraId="65906FF9">
            <w:pPr>
              <w:autoSpaceDE w:val="0"/>
              <w:autoSpaceDN w:val="0"/>
              <w:spacing w:line="400" w:lineRule="exact"/>
              <w:ind w:firstLine="420"/>
              <w:jc w:val="center"/>
              <w:rPr>
                <w:rFonts w:ascii="宋体" w:hAnsi="宋体" w:cs="宋体"/>
                <w:szCs w:val="21"/>
                <w:highlight w:val="none"/>
              </w:rPr>
            </w:pPr>
          </w:p>
        </w:tc>
        <w:tc>
          <w:tcPr>
            <w:tcW w:w="6409" w:type="dxa"/>
            <w:tcBorders>
              <w:top w:val="single" w:color="000000" w:sz="4" w:space="0"/>
              <w:left w:val="single" w:color="000000" w:sz="4" w:space="0"/>
              <w:bottom w:val="single" w:color="000000" w:sz="4" w:space="0"/>
              <w:right w:val="single" w:color="000000" w:sz="4" w:space="0"/>
            </w:tcBorders>
            <w:noWrap/>
            <w:vAlign w:val="top"/>
          </w:tcPr>
          <w:p w14:paraId="3A8BEA79">
            <w:pPr>
              <w:autoSpaceDE w:val="0"/>
              <w:autoSpaceDN w:val="0"/>
              <w:spacing w:line="400" w:lineRule="exact"/>
              <w:rPr>
                <w:rFonts w:ascii="宋体" w:hAnsi="宋体" w:cs="宋体"/>
                <w:szCs w:val="21"/>
                <w:highlight w:val="none"/>
              </w:rPr>
            </w:pPr>
            <w:r>
              <w:rPr>
                <w:rFonts w:hint="eastAsia" w:ascii="宋体" w:hAnsi="宋体" w:cs="宋体"/>
                <w:szCs w:val="21"/>
                <w:highlight w:val="none"/>
              </w:rPr>
              <w:t>可基于运维操作命令进行访问控制；</w:t>
            </w:r>
          </w:p>
        </w:tc>
      </w:tr>
      <w:tr w14:paraId="583D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right w:val="single" w:color="000000" w:sz="4" w:space="0"/>
            </w:tcBorders>
            <w:noWrap/>
            <w:vAlign w:val="center"/>
          </w:tcPr>
          <w:p w14:paraId="7D488C29">
            <w:pPr>
              <w:autoSpaceDE w:val="0"/>
              <w:autoSpaceDN w:val="0"/>
              <w:spacing w:line="400" w:lineRule="exact"/>
              <w:ind w:firstLine="420"/>
              <w:jc w:val="center"/>
              <w:rPr>
                <w:rFonts w:ascii="宋体" w:hAnsi="宋体" w:cs="宋体"/>
                <w:szCs w:val="21"/>
                <w:highlight w:val="none"/>
              </w:rPr>
            </w:pPr>
          </w:p>
        </w:tc>
        <w:tc>
          <w:tcPr>
            <w:tcW w:w="6409" w:type="dxa"/>
            <w:tcBorders>
              <w:top w:val="single" w:color="000000" w:sz="4" w:space="0"/>
              <w:left w:val="single" w:color="000000" w:sz="4" w:space="0"/>
              <w:bottom w:val="single" w:color="000000" w:sz="4" w:space="0"/>
              <w:right w:val="single" w:color="000000" w:sz="4" w:space="0"/>
            </w:tcBorders>
            <w:noWrap/>
            <w:vAlign w:val="top"/>
          </w:tcPr>
          <w:p w14:paraId="7FD35BFB">
            <w:pPr>
              <w:autoSpaceDE w:val="0"/>
              <w:autoSpaceDN w:val="0"/>
              <w:spacing w:line="400" w:lineRule="exact"/>
              <w:rPr>
                <w:rFonts w:ascii="宋体" w:hAnsi="宋体" w:cs="宋体"/>
                <w:szCs w:val="21"/>
                <w:highlight w:val="none"/>
              </w:rPr>
            </w:pPr>
            <w:r>
              <w:rPr>
                <w:rFonts w:hint="eastAsia" w:ascii="宋体" w:hAnsi="宋体" w:cs="宋体"/>
                <w:szCs w:val="21"/>
                <w:highlight w:val="none"/>
              </w:rPr>
              <w:t>可基于主机、用户、IP地址控制审计日志的访问权限；</w:t>
            </w:r>
          </w:p>
        </w:tc>
      </w:tr>
    </w:tbl>
    <w:p w14:paraId="3E9E4180">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 xml:space="preserve">5 </w:t>
      </w:r>
      <w:r>
        <w:rPr>
          <w:rFonts w:hint="eastAsia" w:ascii="仿宋_GB2312" w:hAnsi="仿宋_GB2312" w:eastAsia="仿宋_GB2312" w:cs="仿宋_GB2312"/>
          <w:sz w:val="36"/>
          <w:szCs w:val="36"/>
          <w:highlight w:val="none"/>
          <w:lang w:eastAsia="en-US"/>
        </w:rPr>
        <w:t>VPN服务</w:t>
      </w:r>
    </w:p>
    <w:p w14:paraId="08FE30E7">
      <w:pPr>
        <w:keepNext/>
        <w:keepLines/>
        <w:numPr>
          <w:ilvl w:val="2"/>
          <w:numId w:val="0"/>
        </w:numPr>
        <w:ind w:left="709"/>
        <w:outlineLvl w:val="3"/>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5</w:t>
      </w:r>
      <w:r>
        <w:rPr>
          <w:rFonts w:ascii="宋体" w:hAnsi="宋体" w:cs="宋体"/>
          <w:sz w:val="36"/>
          <w:szCs w:val="36"/>
          <w:highlight w:val="none"/>
          <w:lang w:eastAsia="en-US"/>
        </w:rPr>
        <w:t>.1</w:t>
      </w:r>
      <w:r>
        <w:rPr>
          <w:rFonts w:hint="eastAsia" w:ascii="宋体" w:hAnsi="宋体" w:cs="宋体"/>
          <w:sz w:val="36"/>
          <w:szCs w:val="36"/>
          <w:highlight w:val="none"/>
        </w:rPr>
        <w:t xml:space="preserve"> </w:t>
      </w:r>
      <w:r>
        <w:rPr>
          <w:rFonts w:hint="eastAsia" w:ascii="仿宋_GB2312" w:hAnsi="仿宋_GB2312" w:eastAsia="仿宋_GB2312" w:cs="仿宋_GB2312"/>
          <w:sz w:val="36"/>
          <w:szCs w:val="36"/>
          <w:highlight w:val="none"/>
          <w:lang w:eastAsia="en-US"/>
        </w:rPr>
        <w:t>SSL VPN接入</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7068"/>
      </w:tblGrid>
      <w:tr w14:paraId="1F8D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454" w:type="dxa"/>
            <w:tcBorders>
              <w:top w:val="single" w:color="000000" w:sz="4" w:space="0"/>
              <w:left w:val="single" w:color="000000" w:sz="4" w:space="0"/>
              <w:bottom w:val="single" w:color="000000" w:sz="4" w:space="0"/>
              <w:right w:val="single" w:color="000000" w:sz="4" w:space="0"/>
            </w:tcBorders>
            <w:noWrap/>
            <w:vAlign w:val="center"/>
          </w:tcPr>
          <w:p w14:paraId="1942DAE4">
            <w:pPr>
              <w:tabs>
                <w:tab w:val="left" w:pos="1418"/>
              </w:tabs>
              <w:spacing w:line="400" w:lineRule="exact"/>
              <w:jc w:val="center"/>
              <w:rPr>
                <w:rFonts w:ascii="宋体" w:hAnsi="宋体" w:cs="宋体"/>
                <w:b/>
                <w:szCs w:val="21"/>
                <w:highlight w:val="none"/>
              </w:rPr>
            </w:pPr>
            <w:r>
              <w:rPr>
                <w:rFonts w:hint="eastAsia" w:ascii="宋体" w:hAnsi="宋体" w:cs="宋体"/>
                <w:b/>
                <w:szCs w:val="21"/>
                <w:highlight w:val="none"/>
              </w:rPr>
              <w:t>指标项</w:t>
            </w:r>
          </w:p>
        </w:tc>
        <w:tc>
          <w:tcPr>
            <w:tcW w:w="7068" w:type="dxa"/>
            <w:tcBorders>
              <w:top w:val="single" w:color="000000" w:sz="4" w:space="0"/>
              <w:left w:val="single" w:color="000000" w:sz="4" w:space="0"/>
              <w:bottom w:val="single" w:color="000000" w:sz="4" w:space="0"/>
              <w:right w:val="single" w:color="000000" w:sz="4" w:space="0"/>
            </w:tcBorders>
            <w:noWrap/>
            <w:vAlign w:val="top"/>
          </w:tcPr>
          <w:p w14:paraId="169B3049">
            <w:pPr>
              <w:tabs>
                <w:tab w:val="left" w:pos="1418"/>
              </w:tabs>
              <w:spacing w:line="400" w:lineRule="exact"/>
              <w:jc w:val="center"/>
              <w:rPr>
                <w:rFonts w:ascii="宋体" w:hAnsi="宋体" w:cs="宋体"/>
                <w:b/>
                <w:szCs w:val="21"/>
                <w:highlight w:val="none"/>
              </w:rPr>
            </w:pPr>
            <w:r>
              <w:rPr>
                <w:rFonts w:hint="eastAsia" w:ascii="宋体" w:hAnsi="宋体" w:cs="宋体"/>
                <w:b/>
                <w:szCs w:val="21"/>
                <w:highlight w:val="none"/>
              </w:rPr>
              <w:t>规格要求</w:t>
            </w:r>
          </w:p>
        </w:tc>
      </w:tr>
      <w:tr w14:paraId="1C26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454" w:type="dxa"/>
            <w:tcBorders>
              <w:top w:val="single" w:color="000000" w:sz="4" w:space="0"/>
              <w:left w:val="single" w:color="000000" w:sz="4" w:space="0"/>
              <w:bottom w:val="single" w:color="000000" w:sz="4" w:space="0"/>
              <w:right w:val="single" w:color="000000" w:sz="4" w:space="0"/>
            </w:tcBorders>
            <w:noWrap/>
            <w:vAlign w:val="center"/>
          </w:tcPr>
          <w:p w14:paraId="6B69C9D1">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接入方式</w:t>
            </w:r>
          </w:p>
        </w:tc>
        <w:tc>
          <w:tcPr>
            <w:tcW w:w="7068" w:type="dxa"/>
            <w:tcBorders>
              <w:top w:val="single" w:color="000000" w:sz="4" w:space="0"/>
              <w:left w:val="single" w:color="000000" w:sz="4" w:space="0"/>
              <w:bottom w:val="single" w:color="000000" w:sz="4" w:space="0"/>
              <w:right w:val="single" w:color="000000" w:sz="4" w:space="0"/>
            </w:tcBorders>
            <w:noWrap/>
            <w:vAlign w:val="top"/>
          </w:tcPr>
          <w:p w14:paraId="39800A33">
            <w:pPr>
              <w:autoSpaceDE w:val="0"/>
              <w:autoSpaceDN w:val="0"/>
              <w:spacing w:line="400" w:lineRule="exact"/>
              <w:rPr>
                <w:rFonts w:ascii="宋体" w:hAnsi="宋体" w:cs="宋体"/>
                <w:szCs w:val="21"/>
                <w:highlight w:val="none"/>
              </w:rPr>
            </w:pPr>
            <w:r>
              <w:rPr>
                <w:rFonts w:hint="eastAsia" w:ascii="宋体" w:hAnsi="宋体" w:cs="宋体"/>
                <w:szCs w:val="21"/>
                <w:highlight w:val="none"/>
              </w:rPr>
              <w:t>实现Web接入，TCP接入，IP接入等多种方式，记录完整的用户访问日志</w:t>
            </w:r>
          </w:p>
        </w:tc>
      </w:tr>
      <w:tr w14:paraId="18D9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1454" w:type="dxa"/>
            <w:tcBorders>
              <w:top w:val="single" w:color="000000" w:sz="4" w:space="0"/>
              <w:left w:val="single" w:color="000000" w:sz="4" w:space="0"/>
              <w:bottom w:val="single" w:color="000000" w:sz="4" w:space="0"/>
              <w:right w:val="single" w:color="000000" w:sz="4" w:space="0"/>
            </w:tcBorders>
            <w:noWrap/>
            <w:vAlign w:val="center"/>
          </w:tcPr>
          <w:p w14:paraId="23CCC1CF">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身份管理</w:t>
            </w:r>
          </w:p>
        </w:tc>
        <w:tc>
          <w:tcPr>
            <w:tcW w:w="7068" w:type="dxa"/>
            <w:tcBorders>
              <w:top w:val="single" w:color="000000" w:sz="4" w:space="0"/>
              <w:left w:val="single" w:color="000000" w:sz="4" w:space="0"/>
              <w:bottom w:val="single" w:color="000000" w:sz="4" w:space="0"/>
              <w:right w:val="single" w:color="000000" w:sz="4" w:space="0"/>
            </w:tcBorders>
            <w:noWrap/>
            <w:vAlign w:val="top"/>
          </w:tcPr>
          <w:p w14:paraId="5797C887">
            <w:pPr>
              <w:autoSpaceDE w:val="0"/>
              <w:autoSpaceDN w:val="0"/>
              <w:spacing w:line="400" w:lineRule="exact"/>
              <w:rPr>
                <w:rFonts w:ascii="宋体" w:hAnsi="宋体" w:cs="宋体"/>
                <w:szCs w:val="21"/>
                <w:highlight w:val="none"/>
              </w:rPr>
            </w:pPr>
            <w:r>
              <w:rPr>
                <w:rFonts w:hint="eastAsia" w:ascii="宋体" w:hAnsi="宋体" w:cs="宋体"/>
                <w:szCs w:val="21"/>
                <w:highlight w:val="none"/>
              </w:rPr>
              <w:t>支持基于用户身份的管理，实现不同身份的用户拥有不同的命令执行权限，并且支持用户视图分级，对于不同级别的用户赋予不同的管理配置权限</w:t>
            </w:r>
          </w:p>
        </w:tc>
      </w:tr>
      <w:tr w14:paraId="7BEE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454" w:type="dxa"/>
            <w:tcBorders>
              <w:top w:val="single" w:color="000000" w:sz="4" w:space="0"/>
              <w:left w:val="single" w:color="000000" w:sz="4" w:space="0"/>
              <w:bottom w:val="single" w:color="000000" w:sz="4" w:space="0"/>
              <w:right w:val="single" w:color="000000" w:sz="4" w:space="0"/>
            </w:tcBorders>
            <w:noWrap/>
            <w:vAlign w:val="center"/>
          </w:tcPr>
          <w:p w14:paraId="4838B1BC">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访问控制策略</w:t>
            </w:r>
          </w:p>
        </w:tc>
        <w:tc>
          <w:tcPr>
            <w:tcW w:w="7068" w:type="dxa"/>
            <w:tcBorders>
              <w:top w:val="single" w:color="000000" w:sz="4" w:space="0"/>
              <w:left w:val="single" w:color="000000" w:sz="4" w:space="0"/>
              <w:bottom w:val="single" w:color="000000" w:sz="4" w:space="0"/>
              <w:right w:val="single" w:color="000000" w:sz="4" w:space="0"/>
            </w:tcBorders>
            <w:noWrap/>
            <w:vAlign w:val="top"/>
          </w:tcPr>
          <w:p w14:paraId="4F97B9F8">
            <w:pPr>
              <w:autoSpaceDE w:val="0"/>
              <w:autoSpaceDN w:val="0"/>
              <w:spacing w:line="400" w:lineRule="exact"/>
              <w:rPr>
                <w:rFonts w:ascii="宋体" w:hAnsi="宋体" w:cs="宋体"/>
                <w:szCs w:val="21"/>
                <w:highlight w:val="none"/>
              </w:rPr>
            </w:pPr>
            <w:r>
              <w:rPr>
                <w:rFonts w:hint="eastAsia" w:ascii="宋体" w:hAnsi="宋体" w:cs="宋体"/>
                <w:szCs w:val="21"/>
                <w:highlight w:val="none"/>
              </w:rPr>
              <w:t>可以根据请求报文的目的IP地址和目的端口号、源IP地址和源端口号进行过滤</w:t>
            </w:r>
          </w:p>
        </w:tc>
      </w:tr>
      <w:tr w14:paraId="2A797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454" w:type="dxa"/>
            <w:tcBorders>
              <w:top w:val="single" w:color="000000" w:sz="4" w:space="0"/>
              <w:left w:val="single" w:color="000000" w:sz="4" w:space="0"/>
              <w:bottom w:val="single" w:color="000000" w:sz="4" w:space="0"/>
              <w:right w:val="single" w:color="000000" w:sz="4" w:space="0"/>
            </w:tcBorders>
            <w:noWrap/>
            <w:vAlign w:val="center"/>
          </w:tcPr>
          <w:p w14:paraId="6ED09BDB">
            <w:pPr>
              <w:autoSpaceDE w:val="0"/>
              <w:autoSpaceDN w:val="0"/>
              <w:spacing w:line="40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密码要求</w:t>
            </w:r>
          </w:p>
        </w:tc>
        <w:tc>
          <w:tcPr>
            <w:tcW w:w="7068" w:type="dxa"/>
            <w:tcBorders>
              <w:top w:val="single" w:color="000000" w:sz="4" w:space="0"/>
              <w:left w:val="single" w:color="000000" w:sz="4" w:space="0"/>
              <w:bottom w:val="single" w:color="000000" w:sz="4" w:space="0"/>
              <w:right w:val="single" w:color="000000" w:sz="4" w:space="0"/>
            </w:tcBorders>
            <w:noWrap/>
            <w:vAlign w:val="top"/>
          </w:tcPr>
          <w:p w14:paraId="1605D184">
            <w:pPr>
              <w:autoSpaceDE w:val="0"/>
              <w:autoSpaceDN w:val="0"/>
              <w:spacing w:line="40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采用通过商用密码产品认证的SSL VPN产品</w:t>
            </w:r>
          </w:p>
        </w:tc>
      </w:tr>
    </w:tbl>
    <w:p w14:paraId="604D6995">
      <w:pPr>
        <w:keepNext/>
        <w:keepLines/>
        <w:numPr>
          <w:ilvl w:val="2"/>
          <w:numId w:val="0"/>
        </w:numPr>
        <w:ind w:left="709"/>
        <w:outlineLvl w:val="3"/>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5</w:t>
      </w:r>
      <w:r>
        <w:rPr>
          <w:rFonts w:ascii="宋体" w:hAnsi="宋体" w:cs="宋体"/>
          <w:sz w:val="36"/>
          <w:szCs w:val="36"/>
          <w:highlight w:val="none"/>
          <w:lang w:eastAsia="en-US"/>
        </w:rPr>
        <w:t>.</w:t>
      </w:r>
      <w:r>
        <w:rPr>
          <w:rFonts w:hint="eastAsia" w:ascii="宋体" w:hAnsi="宋体" w:cs="宋体"/>
          <w:sz w:val="36"/>
          <w:szCs w:val="36"/>
          <w:highlight w:val="none"/>
        </w:rPr>
        <w:t xml:space="preserve">2 </w:t>
      </w:r>
      <w:r>
        <w:rPr>
          <w:rFonts w:hint="eastAsia" w:ascii="仿宋_GB2312" w:hAnsi="仿宋_GB2312" w:eastAsia="仿宋_GB2312" w:cs="仿宋_GB2312"/>
          <w:sz w:val="36"/>
          <w:szCs w:val="36"/>
          <w:highlight w:val="none"/>
          <w:lang w:eastAsia="en-US"/>
        </w:rPr>
        <w:t>IPSec VPN接入</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4FF5C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332A7C29">
            <w:pPr>
              <w:tabs>
                <w:tab w:val="left" w:pos="1418"/>
              </w:tabs>
              <w:spacing w:line="400" w:lineRule="exact"/>
              <w:jc w:val="center"/>
              <w:rPr>
                <w:rFonts w:ascii="宋体" w:hAnsi="宋体" w:cs="宋体"/>
                <w:b/>
                <w:szCs w:val="21"/>
                <w:highlight w:val="none"/>
              </w:rPr>
            </w:pPr>
            <w:r>
              <w:rPr>
                <w:rFonts w:hint="eastAsia" w:ascii="宋体" w:hAnsi="宋体" w:cs="宋体"/>
                <w:b/>
                <w:szCs w:val="21"/>
                <w:highlight w:val="none"/>
              </w:rPr>
              <w:t>指标项</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716A7555">
            <w:pPr>
              <w:tabs>
                <w:tab w:val="left" w:pos="1418"/>
              </w:tabs>
              <w:spacing w:line="400" w:lineRule="exact"/>
              <w:jc w:val="center"/>
              <w:rPr>
                <w:rFonts w:ascii="宋体" w:hAnsi="宋体" w:cs="宋体"/>
                <w:b/>
                <w:szCs w:val="21"/>
                <w:highlight w:val="none"/>
              </w:rPr>
            </w:pPr>
            <w:r>
              <w:rPr>
                <w:rFonts w:hint="eastAsia" w:ascii="宋体" w:hAnsi="宋体" w:cs="宋体"/>
                <w:b/>
                <w:szCs w:val="21"/>
                <w:highlight w:val="none"/>
              </w:rPr>
              <w:t>规格要求</w:t>
            </w:r>
          </w:p>
        </w:tc>
      </w:tr>
      <w:tr w14:paraId="5BCB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68F16335">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配置方式</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44414FB0">
            <w:pPr>
              <w:autoSpaceDE w:val="0"/>
              <w:autoSpaceDN w:val="0"/>
              <w:spacing w:line="400" w:lineRule="exact"/>
              <w:rPr>
                <w:rFonts w:ascii="宋体" w:hAnsi="宋体" w:cs="宋体"/>
                <w:szCs w:val="21"/>
                <w:highlight w:val="none"/>
              </w:rPr>
            </w:pPr>
            <w:r>
              <w:rPr>
                <w:rFonts w:hint="eastAsia" w:ascii="宋体" w:hAnsi="宋体" w:cs="宋体"/>
                <w:szCs w:val="21"/>
                <w:highlight w:val="none"/>
              </w:rPr>
              <w:t>通过手工配置或自动配置的方式实现IPSecVPN隧道的建立，支持对IKE策略、IPSec策略配置及对VPN服务、IPSec站点连接的申请并提供状态监控，记录完整的用户访问日志</w:t>
            </w:r>
          </w:p>
        </w:tc>
      </w:tr>
      <w:tr w14:paraId="00B6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63B32552">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基本功能</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52B5DBFF">
            <w:pPr>
              <w:autoSpaceDE w:val="0"/>
              <w:autoSpaceDN w:val="0"/>
              <w:spacing w:line="400" w:lineRule="exact"/>
              <w:rPr>
                <w:rFonts w:ascii="宋体" w:hAnsi="宋体" w:cs="宋体"/>
                <w:szCs w:val="21"/>
                <w:highlight w:val="none"/>
              </w:rPr>
            </w:pPr>
            <w:r>
              <w:rPr>
                <w:rFonts w:hint="eastAsia" w:ascii="宋体" w:hAnsi="宋体" w:cs="宋体"/>
                <w:szCs w:val="21"/>
                <w:highlight w:val="none"/>
              </w:rPr>
              <w:t>实现IPsec抗重放检测功能、反向路由注入功能，支持IPv6协议</w:t>
            </w:r>
          </w:p>
        </w:tc>
      </w:tr>
      <w:tr w14:paraId="39AE2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0314DD81">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密码要求</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68A2FB19">
            <w:pPr>
              <w:autoSpaceDE w:val="0"/>
              <w:autoSpaceDN w:val="0"/>
              <w:spacing w:line="400" w:lineRule="exact"/>
              <w:rPr>
                <w:rFonts w:ascii="宋体" w:hAnsi="宋体" w:cs="宋体"/>
                <w:szCs w:val="21"/>
                <w:highlight w:val="none"/>
              </w:rPr>
            </w:pPr>
            <w:r>
              <w:rPr>
                <w:rFonts w:hint="eastAsia" w:ascii="宋体" w:hAnsi="宋体" w:cs="宋体"/>
                <w:szCs w:val="21"/>
                <w:highlight w:val="none"/>
              </w:rPr>
              <w:t>采用通过商用密码产品认证的IPSEC VPN产品</w:t>
            </w:r>
          </w:p>
        </w:tc>
      </w:tr>
    </w:tbl>
    <w:p w14:paraId="78853322">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 xml:space="preserve">6 </w:t>
      </w:r>
      <w:r>
        <w:rPr>
          <w:rFonts w:hint="eastAsia" w:ascii="仿宋_GB2312" w:hAnsi="仿宋_GB2312" w:eastAsia="仿宋_GB2312" w:cs="仿宋_GB2312"/>
          <w:sz w:val="36"/>
          <w:szCs w:val="36"/>
          <w:highlight w:val="none"/>
          <w:lang w:eastAsia="en-US"/>
        </w:rPr>
        <w:t>云主机深度监控服务</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4418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0D27A56E">
            <w:pPr>
              <w:tabs>
                <w:tab w:val="left" w:pos="1418"/>
              </w:tabs>
              <w:spacing w:line="400" w:lineRule="exact"/>
              <w:jc w:val="center"/>
              <w:rPr>
                <w:rFonts w:ascii="宋体" w:hAnsi="宋体" w:cs="宋体"/>
                <w:b/>
                <w:szCs w:val="21"/>
                <w:highlight w:val="none"/>
              </w:rPr>
            </w:pPr>
            <w:r>
              <w:rPr>
                <w:rFonts w:hint="eastAsia" w:ascii="宋体" w:hAnsi="宋体" w:cs="宋体"/>
                <w:b/>
                <w:szCs w:val="21"/>
                <w:highlight w:val="none"/>
              </w:rPr>
              <w:t>指标项</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3741161E">
            <w:pPr>
              <w:tabs>
                <w:tab w:val="left" w:pos="1418"/>
              </w:tabs>
              <w:spacing w:line="400" w:lineRule="exact"/>
              <w:jc w:val="center"/>
              <w:rPr>
                <w:rFonts w:ascii="宋体" w:hAnsi="宋体" w:cs="宋体"/>
                <w:b/>
                <w:szCs w:val="21"/>
                <w:highlight w:val="none"/>
              </w:rPr>
            </w:pPr>
            <w:r>
              <w:rPr>
                <w:rFonts w:hint="eastAsia" w:ascii="宋体" w:hAnsi="宋体" w:cs="宋体"/>
                <w:b/>
                <w:szCs w:val="21"/>
                <w:highlight w:val="none"/>
              </w:rPr>
              <w:t>规格要求</w:t>
            </w:r>
          </w:p>
        </w:tc>
      </w:tr>
      <w:tr w14:paraId="5622F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45B41D30">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云主机深度监控</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4C020896">
            <w:pPr>
              <w:autoSpaceDE w:val="0"/>
              <w:autoSpaceDN w:val="0"/>
              <w:spacing w:line="400" w:lineRule="exact"/>
              <w:rPr>
                <w:rFonts w:ascii="宋体" w:hAnsi="宋体" w:cs="宋体"/>
                <w:szCs w:val="21"/>
                <w:highlight w:val="none"/>
              </w:rPr>
            </w:pPr>
            <w:r>
              <w:rPr>
                <w:rFonts w:hint="eastAsia" w:ascii="宋体" w:hAnsi="宋体" w:cs="宋体"/>
                <w:szCs w:val="21"/>
                <w:highlight w:val="none"/>
              </w:rPr>
              <w:t>提供云主机7*24小时深度监控服务，并提供相应报告</w:t>
            </w:r>
          </w:p>
        </w:tc>
      </w:tr>
      <w:tr w14:paraId="1099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4835D7E9">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集中告警监控</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06537F2D">
            <w:pPr>
              <w:widowControl/>
              <w:topLinePunct/>
              <w:snapToGrid w:val="0"/>
              <w:spacing w:line="400" w:lineRule="exact"/>
              <w:rPr>
                <w:rFonts w:ascii="宋体" w:hAnsi="宋体" w:cs="宋体"/>
                <w:szCs w:val="21"/>
                <w:highlight w:val="none"/>
              </w:rPr>
            </w:pPr>
            <w:r>
              <w:rPr>
                <w:rFonts w:hint="eastAsia" w:ascii="宋体" w:hAnsi="宋体" w:cs="宋体"/>
                <w:szCs w:val="21"/>
                <w:highlight w:val="none"/>
              </w:rPr>
              <w:t>支持多维度告警/事件展现</w:t>
            </w:r>
          </w:p>
        </w:tc>
      </w:tr>
      <w:tr w14:paraId="1B62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0335D01E">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Top性能监控</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1A204798">
            <w:pPr>
              <w:widowControl/>
              <w:topLinePunct/>
              <w:snapToGrid w:val="0"/>
              <w:spacing w:line="400" w:lineRule="exact"/>
              <w:rPr>
                <w:rFonts w:ascii="宋体" w:hAnsi="宋体" w:cs="宋体"/>
                <w:szCs w:val="21"/>
                <w:highlight w:val="none"/>
              </w:rPr>
            </w:pPr>
            <w:r>
              <w:rPr>
                <w:rFonts w:hint="eastAsia" w:ascii="宋体" w:hAnsi="宋体" w:cs="宋体"/>
                <w:szCs w:val="21"/>
                <w:highlight w:val="none"/>
              </w:rPr>
              <w:t>提供常用指标的TopN性能视图，包括：</w:t>
            </w:r>
          </w:p>
          <w:p w14:paraId="48801489">
            <w:pPr>
              <w:widowControl/>
              <w:numPr>
                <w:ilvl w:val="0"/>
                <w:numId w:val="1"/>
              </w:numPr>
              <w:topLinePunct/>
              <w:autoSpaceDE w:val="0"/>
              <w:autoSpaceDN w:val="0"/>
              <w:snapToGrid w:val="0"/>
              <w:spacing w:line="400" w:lineRule="exact"/>
              <w:rPr>
                <w:rFonts w:ascii="宋体" w:hAnsi="宋体" w:cs="宋体"/>
                <w:szCs w:val="21"/>
                <w:highlight w:val="none"/>
              </w:rPr>
            </w:pPr>
            <w:r>
              <w:rPr>
                <w:rFonts w:hint="eastAsia" w:ascii="宋体" w:hAnsi="宋体" w:cs="宋体"/>
                <w:szCs w:val="21"/>
                <w:highlight w:val="none"/>
              </w:rPr>
              <w:t>服务器、虚拟机的CPU、内存TopN视图；</w:t>
            </w:r>
          </w:p>
          <w:p w14:paraId="713470CE">
            <w:pPr>
              <w:widowControl/>
              <w:numPr>
                <w:ilvl w:val="0"/>
                <w:numId w:val="1"/>
              </w:numPr>
              <w:topLinePunct/>
              <w:autoSpaceDE w:val="0"/>
              <w:autoSpaceDN w:val="0"/>
              <w:snapToGrid w:val="0"/>
              <w:spacing w:line="400" w:lineRule="exact"/>
              <w:rPr>
                <w:rFonts w:ascii="宋体" w:hAnsi="宋体" w:cs="宋体"/>
                <w:szCs w:val="21"/>
                <w:highlight w:val="none"/>
              </w:rPr>
            </w:pPr>
            <w:r>
              <w:rPr>
                <w:rFonts w:hint="eastAsia" w:ascii="宋体" w:hAnsi="宋体" w:cs="宋体"/>
                <w:szCs w:val="21"/>
                <w:highlight w:val="none"/>
              </w:rPr>
              <w:t>网络接口流量；</w:t>
            </w:r>
          </w:p>
          <w:p w14:paraId="68E8DE7A">
            <w:pPr>
              <w:widowControl/>
              <w:numPr>
                <w:ilvl w:val="0"/>
                <w:numId w:val="1"/>
              </w:numPr>
              <w:topLinePunct/>
              <w:autoSpaceDE w:val="0"/>
              <w:autoSpaceDN w:val="0"/>
              <w:snapToGrid w:val="0"/>
              <w:spacing w:line="400" w:lineRule="exact"/>
              <w:rPr>
                <w:rFonts w:ascii="宋体" w:hAnsi="宋体" w:cs="宋体"/>
                <w:szCs w:val="21"/>
                <w:highlight w:val="none"/>
              </w:rPr>
            </w:pPr>
            <w:r>
              <w:rPr>
                <w:rFonts w:hint="eastAsia" w:ascii="宋体" w:hAnsi="宋体" w:cs="宋体"/>
                <w:szCs w:val="21"/>
                <w:highlight w:val="none"/>
              </w:rPr>
              <w:t>存储读写带宽、读写IOPS、读写IO大小。</w:t>
            </w:r>
          </w:p>
        </w:tc>
      </w:tr>
      <w:tr w14:paraId="07C0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3822BA9F">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安全事件服务</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4FD32647">
            <w:pPr>
              <w:widowControl/>
              <w:topLinePunct/>
              <w:snapToGrid w:val="0"/>
              <w:spacing w:line="400" w:lineRule="exact"/>
              <w:rPr>
                <w:rFonts w:ascii="宋体" w:hAnsi="宋体" w:cs="宋体"/>
                <w:szCs w:val="21"/>
                <w:highlight w:val="none"/>
              </w:rPr>
            </w:pPr>
            <w:r>
              <w:rPr>
                <w:rFonts w:hint="eastAsia" w:ascii="宋体" w:hAnsi="宋体" w:cs="宋体"/>
                <w:szCs w:val="21"/>
                <w:highlight w:val="none"/>
              </w:rPr>
              <w:t>提供主机安全事件的验证、分析，并提供事件报告</w:t>
            </w:r>
          </w:p>
        </w:tc>
      </w:tr>
      <w:tr w14:paraId="56AC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39BE505A">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应急处置服务</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14817BC9">
            <w:pPr>
              <w:autoSpaceDE w:val="0"/>
              <w:autoSpaceDN w:val="0"/>
              <w:spacing w:line="400" w:lineRule="exact"/>
              <w:rPr>
                <w:rFonts w:ascii="宋体" w:hAnsi="宋体" w:cs="宋体"/>
                <w:szCs w:val="21"/>
                <w:highlight w:val="none"/>
              </w:rPr>
            </w:pPr>
            <w:r>
              <w:rPr>
                <w:rFonts w:hint="eastAsia" w:ascii="宋体" w:hAnsi="宋体" w:cs="宋体"/>
                <w:szCs w:val="21"/>
                <w:highlight w:val="none"/>
              </w:rPr>
              <w:t>提供特定云主机的应急问题协助排查，协助处理应用故障等服务，并提供相应报告</w:t>
            </w:r>
          </w:p>
        </w:tc>
      </w:tr>
      <w:tr w14:paraId="4500F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14:paraId="2480DF2F">
            <w:pPr>
              <w:autoSpaceDE w:val="0"/>
              <w:autoSpaceDN w:val="0"/>
              <w:spacing w:line="400" w:lineRule="exact"/>
              <w:jc w:val="center"/>
              <w:rPr>
                <w:rFonts w:ascii="宋体" w:hAnsi="宋体" w:cs="宋体"/>
                <w:szCs w:val="21"/>
                <w:highlight w:val="none"/>
              </w:rPr>
            </w:pPr>
            <w:r>
              <w:rPr>
                <w:rFonts w:hint="eastAsia" w:ascii="宋体" w:hAnsi="宋体" w:cs="宋体"/>
                <w:szCs w:val="21"/>
                <w:highlight w:val="none"/>
              </w:rPr>
              <w:t>值守保障服务</w:t>
            </w:r>
          </w:p>
        </w:tc>
        <w:tc>
          <w:tcPr>
            <w:tcW w:w="6301" w:type="dxa"/>
            <w:tcBorders>
              <w:top w:val="single" w:color="000000" w:sz="4" w:space="0"/>
              <w:left w:val="single" w:color="000000" w:sz="4" w:space="0"/>
              <w:bottom w:val="single" w:color="000000" w:sz="4" w:space="0"/>
              <w:right w:val="single" w:color="000000" w:sz="4" w:space="0"/>
            </w:tcBorders>
            <w:noWrap/>
            <w:vAlign w:val="top"/>
          </w:tcPr>
          <w:p w14:paraId="66DE0D5B">
            <w:pPr>
              <w:autoSpaceDE w:val="0"/>
              <w:autoSpaceDN w:val="0"/>
              <w:spacing w:line="400" w:lineRule="exact"/>
              <w:rPr>
                <w:rFonts w:ascii="宋体" w:hAnsi="宋体" w:cs="宋体"/>
                <w:szCs w:val="21"/>
                <w:highlight w:val="none"/>
              </w:rPr>
            </w:pPr>
            <w:r>
              <w:rPr>
                <w:rFonts w:hint="eastAsia" w:ascii="宋体" w:hAnsi="宋体" w:cs="宋体"/>
                <w:szCs w:val="21"/>
                <w:highlight w:val="none"/>
              </w:rPr>
              <w:t>提供7x24小时的运维值守工作，不仅限于机房巡检、云平台和硬件监控，同时提供问题排查协助、协助处理应用故障等服务，并提供相应报告</w:t>
            </w:r>
          </w:p>
        </w:tc>
      </w:tr>
    </w:tbl>
    <w:p w14:paraId="36473D1E">
      <w:pPr>
        <w:keepNext/>
        <w:keepLines/>
        <w:numPr>
          <w:ilvl w:val="1"/>
          <w:numId w:val="0"/>
        </w:numPr>
        <w:ind w:left="567"/>
        <w:outlineLvl w:val="2"/>
        <w:rPr>
          <w:rFonts w:ascii="仿宋_GB2312" w:hAnsi="仿宋_GB2312" w:eastAsia="仿宋_GB2312" w:cs="仿宋_GB2312"/>
          <w:sz w:val="36"/>
          <w:szCs w:val="36"/>
          <w:highlight w:val="none"/>
        </w:rPr>
      </w:pPr>
      <w:r>
        <w:rPr>
          <w:rFonts w:hint="eastAsia" w:ascii="宋体" w:hAnsi="宋体" w:cs="宋体"/>
          <w:sz w:val="36"/>
          <w:szCs w:val="36"/>
          <w:highlight w:val="none"/>
        </w:rPr>
        <w:t>2.</w:t>
      </w:r>
      <w:r>
        <w:rPr>
          <w:rFonts w:ascii="宋体" w:hAnsi="宋体" w:cs="宋体"/>
          <w:sz w:val="36"/>
          <w:szCs w:val="36"/>
          <w:highlight w:val="none"/>
        </w:rPr>
        <w:t>1.</w:t>
      </w:r>
      <w:r>
        <w:rPr>
          <w:rFonts w:hint="eastAsia" w:ascii="宋体" w:hAnsi="宋体" w:cs="宋体"/>
          <w:sz w:val="36"/>
          <w:szCs w:val="36"/>
          <w:highlight w:val="none"/>
        </w:rPr>
        <w:t xml:space="preserve">7 </w:t>
      </w:r>
      <w:r>
        <w:rPr>
          <w:rFonts w:hint="eastAsia" w:ascii="仿宋_GB2312" w:hAnsi="仿宋_GB2312" w:eastAsia="仿宋_GB2312" w:cs="仿宋_GB2312"/>
          <w:sz w:val="36"/>
          <w:szCs w:val="36"/>
          <w:highlight w:val="none"/>
        </w:rPr>
        <w:t>基础软件支撑服务需求</w:t>
      </w:r>
    </w:p>
    <w:p w14:paraId="1BDF9BD7">
      <w:pPr>
        <w:spacing w:before="163" w:after="163"/>
        <w:ind w:firstLine="720" w:firstLineChars="200"/>
        <w:rPr>
          <w:rFonts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提供主流商业操作系统服务，应支持Windows Server、国产Linux操作系统的各种主流版本，并提供操作系统的安装部署和各种故障处理。</w:t>
      </w:r>
    </w:p>
    <w:p w14:paraId="71B23192">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 xml:space="preserve">8 </w:t>
      </w:r>
      <w:r>
        <w:rPr>
          <w:rFonts w:hint="eastAsia" w:ascii="仿宋_GB2312" w:hAnsi="仿宋_GB2312" w:eastAsia="仿宋_GB2312" w:cs="仿宋_GB2312"/>
          <w:sz w:val="36"/>
          <w:szCs w:val="36"/>
          <w:highlight w:val="none"/>
          <w:lang w:eastAsia="en-US"/>
        </w:rPr>
        <w:t>云端抗DDOS服务</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6998"/>
      </w:tblGrid>
      <w:tr w14:paraId="17F6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noWrap/>
            <w:vAlign w:val="center"/>
          </w:tcPr>
          <w:p w14:paraId="5A94A696">
            <w:pPr>
              <w:ind w:left="593" w:right="10" w:rightChars="5" w:hanging="709"/>
              <w:jc w:val="center"/>
              <w:rPr>
                <w:rFonts w:ascii="宋体" w:hAnsi="宋体" w:cs="宋体"/>
                <w:b/>
                <w:szCs w:val="21"/>
                <w:highlight w:val="none"/>
              </w:rPr>
            </w:pPr>
            <w:r>
              <w:rPr>
                <w:rFonts w:hint="eastAsia" w:ascii="宋体" w:hAnsi="宋体" w:cs="宋体"/>
                <w:b/>
                <w:szCs w:val="21"/>
                <w:highlight w:val="none"/>
              </w:rPr>
              <w:t>指标项</w:t>
            </w:r>
          </w:p>
        </w:tc>
        <w:tc>
          <w:tcPr>
            <w:tcW w:w="6998" w:type="dxa"/>
            <w:noWrap/>
            <w:vAlign w:val="top"/>
          </w:tcPr>
          <w:p w14:paraId="55F33BE1">
            <w:pPr>
              <w:ind w:left="593" w:right="10" w:rightChars="5" w:hanging="709"/>
              <w:jc w:val="center"/>
              <w:rPr>
                <w:rFonts w:ascii="宋体" w:hAnsi="宋体" w:cs="宋体"/>
                <w:b/>
                <w:szCs w:val="21"/>
                <w:highlight w:val="none"/>
              </w:rPr>
            </w:pPr>
            <w:r>
              <w:rPr>
                <w:rFonts w:hint="eastAsia" w:ascii="宋体" w:hAnsi="宋体" w:cs="宋体"/>
                <w:b/>
                <w:szCs w:val="21"/>
                <w:highlight w:val="none"/>
              </w:rPr>
              <w:t>要求</w:t>
            </w:r>
          </w:p>
        </w:tc>
      </w:tr>
      <w:tr w14:paraId="7532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noWrap/>
            <w:vAlign w:val="center"/>
          </w:tcPr>
          <w:p w14:paraId="3892D70A">
            <w:pPr>
              <w:ind w:right="10" w:rightChars="5" w:firstLine="26"/>
              <w:jc w:val="center"/>
              <w:rPr>
                <w:rFonts w:ascii="宋体" w:hAnsi="宋体" w:cs="宋体"/>
                <w:szCs w:val="21"/>
                <w:highlight w:val="none"/>
              </w:rPr>
            </w:pPr>
            <w:r>
              <w:rPr>
                <w:rFonts w:hint="eastAsia" w:ascii="宋体" w:hAnsi="宋体" w:cs="宋体"/>
                <w:szCs w:val="21"/>
                <w:highlight w:val="none"/>
              </w:rPr>
              <w:t>平台要求</w:t>
            </w:r>
          </w:p>
        </w:tc>
        <w:tc>
          <w:tcPr>
            <w:tcW w:w="6998" w:type="dxa"/>
            <w:noWrap/>
            <w:vAlign w:val="top"/>
          </w:tcPr>
          <w:p w14:paraId="0B0EE3D7">
            <w:pPr>
              <w:ind w:right="10" w:rightChars="5" w:firstLine="26"/>
              <w:rPr>
                <w:rFonts w:ascii="宋体" w:hAnsi="宋体" w:cs="宋体"/>
                <w:szCs w:val="21"/>
                <w:highlight w:val="none"/>
              </w:rPr>
            </w:pPr>
            <w:r>
              <w:rPr>
                <w:rFonts w:hint="eastAsia" w:ascii="宋体" w:hAnsi="宋体" w:cs="宋体"/>
                <w:szCs w:val="21"/>
                <w:highlight w:val="none"/>
              </w:rPr>
              <w:t>不少于10个防护节点，单节点DDoS防护能力不低于10Gbps，总防护能力不小于5Tbps。</w:t>
            </w:r>
          </w:p>
        </w:tc>
      </w:tr>
      <w:tr w14:paraId="3769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noWrap/>
            <w:vAlign w:val="center"/>
          </w:tcPr>
          <w:p w14:paraId="6040D95E">
            <w:pPr>
              <w:ind w:right="10" w:rightChars="5" w:firstLine="26"/>
              <w:jc w:val="center"/>
              <w:rPr>
                <w:rFonts w:ascii="宋体" w:hAnsi="宋体" w:cs="宋体"/>
                <w:szCs w:val="21"/>
                <w:highlight w:val="none"/>
              </w:rPr>
            </w:pPr>
          </w:p>
        </w:tc>
        <w:tc>
          <w:tcPr>
            <w:tcW w:w="6998" w:type="dxa"/>
            <w:noWrap/>
            <w:vAlign w:val="top"/>
          </w:tcPr>
          <w:p w14:paraId="4CA7FD41">
            <w:pPr>
              <w:ind w:right="10" w:rightChars="5" w:firstLine="26"/>
              <w:rPr>
                <w:rFonts w:ascii="宋体" w:hAnsi="宋体" w:cs="宋体"/>
                <w:szCs w:val="21"/>
                <w:highlight w:val="none"/>
              </w:rPr>
            </w:pPr>
            <w:r>
              <w:rPr>
                <w:rFonts w:hint="eastAsia" w:ascii="宋体" w:hAnsi="宋体" w:cs="宋体"/>
                <w:szCs w:val="21"/>
                <w:highlight w:val="none"/>
              </w:rPr>
              <w:t>IP黑白名单：支持基于时间的IP/URL黑白名单功能。</w:t>
            </w:r>
          </w:p>
          <w:p w14:paraId="295C1BAD">
            <w:pPr>
              <w:ind w:right="10" w:rightChars="5" w:firstLine="26"/>
              <w:rPr>
                <w:rFonts w:ascii="宋体" w:hAnsi="宋体" w:cs="宋体"/>
                <w:szCs w:val="21"/>
                <w:highlight w:val="none"/>
              </w:rPr>
            </w:pPr>
            <w:r>
              <w:rPr>
                <w:rFonts w:hint="eastAsia" w:ascii="宋体" w:hAnsi="宋体" w:cs="宋体"/>
                <w:szCs w:val="21"/>
                <w:highlight w:val="none"/>
              </w:rPr>
              <w:t>支持基于地理位置的IP黑白名单功能。</w:t>
            </w:r>
          </w:p>
        </w:tc>
      </w:tr>
      <w:tr w14:paraId="4142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noWrap/>
            <w:vAlign w:val="center"/>
          </w:tcPr>
          <w:p w14:paraId="20C19BAE">
            <w:pPr>
              <w:ind w:right="10" w:rightChars="5" w:firstLine="26"/>
              <w:jc w:val="center"/>
              <w:rPr>
                <w:rFonts w:ascii="宋体" w:hAnsi="宋体" w:cs="宋体"/>
                <w:szCs w:val="21"/>
                <w:highlight w:val="none"/>
              </w:rPr>
            </w:pPr>
          </w:p>
        </w:tc>
        <w:tc>
          <w:tcPr>
            <w:tcW w:w="6998" w:type="dxa"/>
            <w:noWrap/>
            <w:vAlign w:val="top"/>
          </w:tcPr>
          <w:p w14:paraId="41A9A163">
            <w:pPr>
              <w:ind w:right="10" w:rightChars="5" w:firstLine="26"/>
              <w:rPr>
                <w:rFonts w:ascii="宋体" w:hAnsi="宋体" w:cs="宋体"/>
                <w:szCs w:val="21"/>
                <w:highlight w:val="none"/>
              </w:rPr>
            </w:pPr>
            <w:r>
              <w:rPr>
                <w:rFonts w:hint="eastAsia" w:ascii="宋体" w:hAnsi="宋体" w:cs="宋体"/>
                <w:szCs w:val="21"/>
                <w:highlight w:val="none"/>
              </w:rPr>
              <w:t>网站加速服务：支持对视频、音频、图片、文本文件等静态资源的缓存；支持对网页html、css、js等文件进行压缩，减少网络传输时间，提高网页的加载速度。</w:t>
            </w:r>
          </w:p>
          <w:p w14:paraId="0D792FCA">
            <w:pPr>
              <w:ind w:right="10" w:rightChars="5" w:firstLine="26"/>
              <w:rPr>
                <w:rFonts w:ascii="宋体" w:hAnsi="宋体" w:cs="宋体"/>
                <w:szCs w:val="21"/>
                <w:highlight w:val="none"/>
              </w:rPr>
            </w:pPr>
            <w:r>
              <w:rPr>
                <w:rFonts w:hint="eastAsia" w:ascii="宋体" w:hAnsi="宋体" w:cs="宋体"/>
                <w:szCs w:val="21"/>
                <w:highlight w:val="none"/>
              </w:rPr>
              <w:t>支持手动刷新服务器缓存，支持刷新单个域名的缓存，可自定义缓存时间。</w:t>
            </w:r>
          </w:p>
        </w:tc>
      </w:tr>
      <w:tr w14:paraId="7A85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noWrap/>
            <w:vAlign w:val="center"/>
          </w:tcPr>
          <w:p w14:paraId="1BAD5CF1">
            <w:pPr>
              <w:ind w:right="10" w:rightChars="5" w:firstLine="26"/>
              <w:jc w:val="center"/>
              <w:rPr>
                <w:rFonts w:ascii="宋体" w:hAnsi="宋体" w:cs="宋体"/>
                <w:szCs w:val="21"/>
                <w:highlight w:val="none"/>
              </w:rPr>
            </w:pPr>
          </w:p>
        </w:tc>
        <w:tc>
          <w:tcPr>
            <w:tcW w:w="6998" w:type="dxa"/>
            <w:noWrap/>
            <w:vAlign w:val="top"/>
          </w:tcPr>
          <w:p w14:paraId="16C25F4D">
            <w:pPr>
              <w:ind w:right="10" w:rightChars="5" w:firstLine="26"/>
              <w:rPr>
                <w:rFonts w:ascii="宋体" w:hAnsi="宋体" w:cs="宋体"/>
                <w:szCs w:val="21"/>
                <w:highlight w:val="none"/>
              </w:rPr>
            </w:pPr>
            <w:r>
              <w:rPr>
                <w:rFonts w:hint="eastAsia" w:ascii="宋体" w:hAnsi="宋体" w:cs="宋体"/>
                <w:szCs w:val="21"/>
                <w:highlight w:val="none"/>
              </w:rPr>
              <w:t>支持网站访问情况信息展示，包括请求数、总流量、网站浏览人数、请求目标URL等，支持按时间、域名统计的指定网站的访问数据。</w:t>
            </w:r>
          </w:p>
        </w:tc>
      </w:tr>
      <w:tr w14:paraId="527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noWrap/>
            <w:vAlign w:val="center"/>
          </w:tcPr>
          <w:p w14:paraId="04D94C0E">
            <w:pPr>
              <w:ind w:right="10" w:rightChars="5" w:firstLine="26"/>
              <w:jc w:val="center"/>
              <w:rPr>
                <w:rFonts w:ascii="宋体" w:hAnsi="宋体" w:cs="宋体"/>
                <w:szCs w:val="21"/>
                <w:highlight w:val="none"/>
              </w:rPr>
            </w:pPr>
          </w:p>
        </w:tc>
        <w:tc>
          <w:tcPr>
            <w:tcW w:w="6998" w:type="dxa"/>
            <w:noWrap/>
            <w:vAlign w:val="top"/>
          </w:tcPr>
          <w:p w14:paraId="6302768E">
            <w:pPr>
              <w:ind w:right="10" w:rightChars="5" w:firstLine="26"/>
              <w:rPr>
                <w:rFonts w:ascii="宋体" w:hAnsi="宋体" w:cs="宋体"/>
                <w:szCs w:val="21"/>
                <w:highlight w:val="none"/>
              </w:rPr>
            </w:pPr>
            <w:r>
              <w:rPr>
                <w:rFonts w:hint="eastAsia" w:ascii="宋体" w:hAnsi="宋体" w:cs="宋体"/>
                <w:szCs w:val="21"/>
                <w:highlight w:val="none"/>
              </w:rPr>
              <w:t>支持查看网站安全状况，包括各种攻击发生次数，攻站 IP、来源 （国家/地区）、攻击类型等。</w:t>
            </w:r>
          </w:p>
        </w:tc>
      </w:tr>
      <w:tr w14:paraId="5177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noWrap/>
            <w:vAlign w:val="center"/>
          </w:tcPr>
          <w:p w14:paraId="5A476ECD">
            <w:pPr>
              <w:ind w:right="10" w:rightChars="5" w:firstLine="26"/>
              <w:jc w:val="center"/>
              <w:rPr>
                <w:rFonts w:ascii="宋体" w:hAnsi="宋体" w:cs="宋体"/>
                <w:szCs w:val="21"/>
                <w:highlight w:val="none"/>
              </w:rPr>
            </w:pPr>
            <w:r>
              <w:rPr>
                <w:rFonts w:hint="eastAsia" w:ascii="宋体" w:hAnsi="宋体" w:cs="宋体"/>
                <w:szCs w:val="21"/>
                <w:highlight w:val="none"/>
              </w:rPr>
              <w:t>服务能力要求</w:t>
            </w:r>
          </w:p>
        </w:tc>
        <w:tc>
          <w:tcPr>
            <w:tcW w:w="6998" w:type="dxa"/>
            <w:noWrap/>
            <w:vAlign w:val="top"/>
          </w:tcPr>
          <w:p w14:paraId="6666C25E">
            <w:pPr>
              <w:ind w:right="10" w:rightChars="5" w:firstLine="26"/>
              <w:rPr>
                <w:rFonts w:ascii="宋体" w:hAnsi="宋体" w:cs="宋体"/>
                <w:szCs w:val="21"/>
                <w:highlight w:val="none"/>
              </w:rPr>
            </w:pPr>
            <w:r>
              <w:rPr>
                <w:rFonts w:hint="eastAsia" w:ascii="宋体" w:hAnsi="宋体" w:cs="宋体"/>
                <w:szCs w:val="21"/>
                <w:highlight w:val="none"/>
              </w:rPr>
              <w:t>依托云端抗DDOS服务支撑省部级或市级门户网站的案例。</w:t>
            </w:r>
          </w:p>
        </w:tc>
      </w:tr>
    </w:tbl>
    <w:p w14:paraId="345FB4F8">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w:t>
      </w:r>
      <w:r>
        <w:rPr>
          <w:rFonts w:hint="eastAsia" w:ascii="宋体" w:hAnsi="宋体" w:cs="宋体"/>
          <w:sz w:val="36"/>
          <w:szCs w:val="36"/>
          <w:highlight w:val="none"/>
        </w:rPr>
        <w:t xml:space="preserve">9 </w:t>
      </w:r>
      <w:r>
        <w:rPr>
          <w:rFonts w:hint="eastAsia" w:ascii="仿宋_GB2312" w:hAnsi="仿宋_GB2312" w:eastAsia="仿宋_GB2312" w:cs="仿宋_GB2312"/>
          <w:sz w:val="36"/>
          <w:szCs w:val="36"/>
          <w:highlight w:val="none"/>
          <w:lang w:eastAsia="en-US"/>
        </w:rPr>
        <w:t>主机杀毒服务</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6896"/>
      </w:tblGrid>
      <w:tr w14:paraId="69B1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72F442D1">
            <w:pPr>
              <w:ind w:left="-90" w:hanging="23"/>
              <w:jc w:val="center"/>
              <w:rPr>
                <w:rFonts w:ascii="宋体" w:hAnsi="宋体" w:cs="宋体"/>
                <w:b/>
                <w:szCs w:val="21"/>
                <w:highlight w:val="none"/>
              </w:rPr>
            </w:pPr>
            <w:r>
              <w:rPr>
                <w:rFonts w:hint="eastAsia" w:ascii="宋体" w:hAnsi="宋体" w:cs="宋体"/>
                <w:b/>
                <w:szCs w:val="21"/>
                <w:highlight w:val="none"/>
              </w:rPr>
              <w:t>指标项</w:t>
            </w:r>
          </w:p>
        </w:tc>
        <w:tc>
          <w:tcPr>
            <w:tcW w:w="6896" w:type="dxa"/>
            <w:noWrap/>
            <w:vAlign w:val="center"/>
          </w:tcPr>
          <w:p w14:paraId="2FEDC811">
            <w:pPr>
              <w:ind w:left="-90" w:hanging="23"/>
              <w:jc w:val="center"/>
              <w:rPr>
                <w:rFonts w:ascii="宋体" w:hAnsi="宋体" w:cs="宋体"/>
                <w:b/>
                <w:szCs w:val="21"/>
                <w:highlight w:val="none"/>
              </w:rPr>
            </w:pPr>
            <w:r>
              <w:rPr>
                <w:rFonts w:hint="eastAsia" w:ascii="宋体" w:hAnsi="宋体" w:cs="宋体"/>
                <w:b/>
                <w:szCs w:val="21"/>
                <w:highlight w:val="none"/>
              </w:rPr>
              <w:t>招标要求</w:t>
            </w:r>
          </w:p>
        </w:tc>
      </w:tr>
      <w:tr w14:paraId="2BBA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0C73B258">
            <w:pPr>
              <w:ind w:left="-90" w:hanging="23"/>
              <w:jc w:val="center"/>
              <w:rPr>
                <w:rFonts w:ascii="宋体" w:hAnsi="宋体" w:cs="宋体"/>
                <w:szCs w:val="21"/>
                <w:highlight w:val="none"/>
              </w:rPr>
            </w:pPr>
            <w:r>
              <w:rPr>
                <w:rFonts w:hint="eastAsia" w:ascii="宋体" w:hAnsi="宋体" w:cs="宋体"/>
                <w:szCs w:val="21"/>
                <w:highlight w:val="none"/>
              </w:rPr>
              <w:t>防病毒要求</w:t>
            </w:r>
          </w:p>
        </w:tc>
        <w:tc>
          <w:tcPr>
            <w:tcW w:w="6896" w:type="dxa"/>
            <w:noWrap/>
            <w:vAlign w:val="center"/>
          </w:tcPr>
          <w:p w14:paraId="6A75B16E">
            <w:pPr>
              <w:ind w:left="-90" w:hanging="23"/>
              <w:rPr>
                <w:rFonts w:ascii="宋体" w:hAnsi="宋体" w:cs="宋体"/>
                <w:szCs w:val="21"/>
                <w:highlight w:val="none"/>
              </w:rPr>
            </w:pPr>
            <w:r>
              <w:rPr>
                <w:rFonts w:hint="eastAsia" w:ascii="宋体" w:hAnsi="宋体" w:cs="宋体"/>
                <w:szCs w:val="21"/>
                <w:highlight w:val="none"/>
              </w:rPr>
              <w:t>采用轻量级Agent部署，无需依赖虚拟化平台API即可实现安全防护；客户端支持手动从控制中心获取安装，也可通过管理控制中心批量远程安装；客户端对windows类、linux类的物理服务器、虚拟服务器、桌面云具备相同的防护和部署。产品应至少支持VMware 、Ctrix、Microsoft 、Huawei、H3C、浪潮等国内外主流虚拟化厂商平台，并能够采用一个管理控制中心进行统一管理。</w:t>
            </w:r>
          </w:p>
        </w:tc>
      </w:tr>
    </w:tbl>
    <w:p w14:paraId="193640C7">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1.1</w:t>
      </w:r>
      <w:r>
        <w:rPr>
          <w:rFonts w:hint="eastAsia" w:ascii="宋体" w:hAnsi="宋体" w:cs="宋体"/>
          <w:sz w:val="36"/>
          <w:szCs w:val="36"/>
          <w:highlight w:val="none"/>
        </w:rPr>
        <w:t xml:space="preserve">0 </w:t>
      </w:r>
      <w:r>
        <w:rPr>
          <w:rFonts w:hint="eastAsia" w:ascii="仿宋_GB2312" w:hAnsi="仿宋_GB2312" w:eastAsia="仿宋_GB2312" w:cs="仿宋_GB2312"/>
          <w:sz w:val="36"/>
          <w:szCs w:val="36"/>
          <w:highlight w:val="none"/>
          <w:lang w:eastAsia="en-US"/>
        </w:rPr>
        <w:t>主机防护</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6898"/>
      </w:tblGrid>
      <w:tr w14:paraId="21A6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7DA2A773">
            <w:pPr>
              <w:snapToGrid w:val="0"/>
              <w:ind w:left="-102"/>
              <w:jc w:val="center"/>
              <w:rPr>
                <w:rFonts w:ascii="宋体" w:hAnsi="宋体" w:cs="宋体"/>
                <w:b/>
                <w:bCs/>
                <w:szCs w:val="21"/>
                <w:highlight w:val="none"/>
              </w:rPr>
            </w:pPr>
            <w:r>
              <w:rPr>
                <w:rFonts w:hint="eastAsia" w:ascii="宋体" w:hAnsi="宋体" w:cs="宋体"/>
                <w:b/>
                <w:bCs/>
                <w:szCs w:val="21"/>
                <w:highlight w:val="none"/>
              </w:rPr>
              <w:t>指标项</w:t>
            </w:r>
          </w:p>
        </w:tc>
        <w:tc>
          <w:tcPr>
            <w:tcW w:w="6898" w:type="dxa"/>
            <w:noWrap/>
            <w:vAlign w:val="center"/>
          </w:tcPr>
          <w:p w14:paraId="3CEDA630">
            <w:pPr>
              <w:snapToGrid w:val="0"/>
              <w:ind w:left="-102"/>
              <w:jc w:val="center"/>
              <w:rPr>
                <w:rFonts w:ascii="宋体" w:hAnsi="宋体" w:cs="宋体"/>
                <w:b/>
                <w:bCs/>
                <w:szCs w:val="21"/>
                <w:highlight w:val="none"/>
              </w:rPr>
            </w:pPr>
            <w:r>
              <w:rPr>
                <w:rFonts w:hint="eastAsia" w:ascii="宋体" w:hAnsi="宋体" w:cs="宋体"/>
                <w:b/>
                <w:bCs/>
                <w:szCs w:val="21"/>
                <w:highlight w:val="none"/>
              </w:rPr>
              <w:t>招标要求</w:t>
            </w:r>
          </w:p>
        </w:tc>
      </w:tr>
      <w:tr w14:paraId="1DDF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24" w:type="dxa"/>
            <w:noWrap/>
            <w:vAlign w:val="center"/>
          </w:tcPr>
          <w:p w14:paraId="1B7D36F3">
            <w:pPr>
              <w:snapToGrid w:val="0"/>
              <w:ind w:left="-102"/>
              <w:jc w:val="center"/>
              <w:rPr>
                <w:rFonts w:ascii="宋体" w:hAnsi="宋体" w:cs="宋体"/>
                <w:szCs w:val="21"/>
                <w:highlight w:val="none"/>
              </w:rPr>
            </w:pPr>
            <w:r>
              <w:rPr>
                <w:rFonts w:hint="eastAsia" w:ascii="宋体" w:hAnsi="宋体" w:cs="宋体"/>
                <w:szCs w:val="21"/>
                <w:highlight w:val="none"/>
              </w:rPr>
              <w:t>程序执行防护</w:t>
            </w:r>
          </w:p>
        </w:tc>
        <w:tc>
          <w:tcPr>
            <w:tcW w:w="6898" w:type="dxa"/>
            <w:noWrap/>
            <w:vAlign w:val="center"/>
          </w:tcPr>
          <w:p w14:paraId="27D0EFB6">
            <w:pPr>
              <w:snapToGrid w:val="0"/>
              <w:ind w:left="-102"/>
              <w:rPr>
                <w:rFonts w:ascii="宋体" w:hAnsi="宋体" w:cs="宋体"/>
                <w:szCs w:val="21"/>
                <w:highlight w:val="none"/>
              </w:rPr>
            </w:pPr>
            <w:r>
              <w:rPr>
                <w:rFonts w:hint="eastAsia" w:ascii="宋体" w:hAnsi="宋体" w:cs="宋体"/>
                <w:szCs w:val="21"/>
                <w:highlight w:val="none"/>
              </w:rPr>
              <w:t>建立系统可信程序hash库，只有在规则库中，并且允许执行的程序可以运行。规则组成：用户、程序路径、程序文件HASH、是否允许执行</w:t>
            </w:r>
          </w:p>
        </w:tc>
      </w:tr>
      <w:tr w14:paraId="66C3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3CDDBFE9">
            <w:pPr>
              <w:snapToGrid w:val="0"/>
              <w:ind w:left="-102"/>
              <w:jc w:val="center"/>
              <w:rPr>
                <w:rFonts w:ascii="宋体" w:hAnsi="宋体" w:cs="宋体"/>
                <w:szCs w:val="21"/>
                <w:highlight w:val="none"/>
              </w:rPr>
            </w:pPr>
            <w:r>
              <w:rPr>
                <w:rFonts w:hint="eastAsia" w:ascii="宋体" w:hAnsi="宋体" w:cs="宋体"/>
                <w:szCs w:val="21"/>
                <w:highlight w:val="none"/>
              </w:rPr>
              <w:t>设备强制管理</w:t>
            </w:r>
          </w:p>
        </w:tc>
        <w:tc>
          <w:tcPr>
            <w:tcW w:w="6898" w:type="dxa"/>
            <w:noWrap/>
            <w:vAlign w:val="center"/>
          </w:tcPr>
          <w:p w14:paraId="1EA2E26D">
            <w:pPr>
              <w:snapToGrid w:val="0"/>
              <w:ind w:left="-102"/>
              <w:rPr>
                <w:rFonts w:ascii="宋体" w:hAnsi="宋体" w:cs="宋体"/>
                <w:szCs w:val="21"/>
                <w:highlight w:val="none"/>
              </w:rPr>
            </w:pPr>
            <w:r>
              <w:rPr>
                <w:rFonts w:hint="eastAsia" w:ascii="宋体" w:hAnsi="宋体" w:cs="宋体"/>
                <w:szCs w:val="21"/>
                <w:highlight w:val="none"/>
              </w:rPr>
              <w:t>对未经允许的外接存储设备、输入输出等新增硬件设备进行拦截防护</w:t>
            </w:r>
          </w:p>
        </w:tc>
      </w:tr>
      <w:tr w14:paraId="0987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76619A5B">
            <w:pPr>
              <w:snapToGrid w:val="0"/>
              <w:ind w:left="-102"/>
              <w:jc w:val="center"/>
              <w:rPr>
                <w:rFonts w:ascii="宋体" w:hAnsi="宋体" w:cs="宋体"/>
                <w:szCs w:val="21"/>
                <w:highlight w:val="none"/>
              </w:rPr>
            </w:pPr>
            <w:r>
              <w:rPr>
                <w:rFonts w:hint="eastAsia" w:ascii="宋体" w:hAnsi="宋体" w:cs="宋体"/>
                <w:szCs w:val="21"/>
                <w:highlight w:val="none"/>
              </w:rPr>
              <w:t>主机文件防护</w:t>
            </w:r>
          </w:p>
        </w:tc>
        <w:tc>
          <w:tcPr>
            <w:tcW w:w="6898" w:type="dxa"/>
            <w:noWrap/>
            <w:vAlign w:val="center"/>
          </w:tcPr>
          <w:p w14:paraId="7F0D23BE">
            <w:pPr>
              <w:snapToGrid w:val="0"/>
              <w:ind w:left="-102"/>
              <w:rPr>
                <w:rFonts w:ascii="宋体" w:hAnsi="宋体" w:cs="宋体"/>
                <w:szCs w:val="21"/>
                <w:highlight w:val="none"/>
              </w:rPr>
            </w:pPr>
            <w:r>
              <w:rPr>
                <w:rFonts w:hint="eastAsia" w:ascii="宋体" w:hAnsi="宋体" w:cs="宋体"/>
                <w:szCs w:val="21"/>
                <w:highlight w:val="none"/>
              </w:rPr>
              <w:t>进程对系统中的文件访问默认不受限制</w:t>
            </w:r>
            <w:r>
              <w:rPr>
                <w:rFonts w:hint="eastAsia" w:ascii="宋体" w:hAnsi="宋体" w:cs="宋体"/>
                <w:szCs w:val="21"/>
                <w:highlight w:val="none"/>
              </w:rPr>
              <w:br w:type="textWrapping"/>
            </w:r>
            <w:r>
              <w:rPr>
                <w:rFonts w:hint="eastAsia" w:ascii="宋体" w:hAnsi="宋体" w:cs="宋体"/>
                <w:szCs w:val="21"/>
                <w:highlight w:val="none"/>
              </w:rPr>
              <w:t>受到强制访问控制规则保护的文件，只能被规则允许的程序访问</w:t>
            </w:r>
            <w:r>
              <w:rPr>
                <w:rFonts w:hint="eastAsia" w:ascii="宋体" w:hAnsi="宋体" w:cs="宋体"/>
                <w:szCs w:val="21"/>
                <w:highlight w:val="none"/>
              </w:rPr>
              <w:br w:type="textWrapping"/>
            </w:r>
            <w:r>
              <w:rPr>
                <w:rFonts w:hint="eastAsia" w:ascii="宋体" w:hAnsi="宋体" w:cs="宋体"/>
                <w:szCs w:val="21"/>
                <w:highlight w:val="none"/>
              </w:rPr>
              <w:t>规则组成：用户、主体进程、客体文件、允许的访问权限</w:t>
            </w:r>
          </w:p>
        </w:tc>
      </w:tr>
      <w:tr w14:paraId="136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2B49390B">
            <w:pPr>
              <w:snapToGrid w:val="0"/>
              <w:ind w:left="-102"/>
              <w:jc w:val="center"/>
              <w:rPr>
                <w:rFonts w:ascii="宋体" w:hAnsi="宋体" w:cs="宋体"/>
                <w:szCs w:val="21"/>
                <w:highlight w:val="none"/>
              </w:rPr>
            </w:pPr>
            <w:r>
              <w:rPr>
                <w:rFonts w:hint="eastAsia" w:ascii="宋体" w:hAnsi="宋体" w:cs="宋体"/>
                <w:szCs w:val="21"/>
                <w:highlight w:val="none"/>
              </w:rPr>
              <w:t>主机进程防护</w:t>
            </w:r>
          </w:p>
        </w:tc>
        <w:tc>
          <w:tcPr>
            <w:tcW w:w="6898" w:type="dxa"/>
            <w:noWrap/>
            <w:vAlign w:val="center"/>
          </w:tcPr>
          <w:p w14:paraId="1C849040">
            <w:pPr>
              <w:snapToGrid w:val="0"/>
              <w:ind w:left="-102"/>
              <w:rPr>
                <w:rFonts w:ascii="宋体" w:hAnsi="宋体" w:cs="宋体"/>
                <w:szCs w:val="21"/>
                <w:highlight w:val="none"/>
              </w:rPr>
            </w:pPr>
            <w:r>
              <w:rPr>
                <w:rFonts w:hint="eastAsia" w:ascii="宋体" w:hAnsi="宋体" w:cs="宋体"/>
                <w:szCs w:val="21"/>
                <w:highlight w:val="none"/>
              </w:rPr>
              <w:t>进程对系统中的其他进程访问默认不受限制</w:t>
            </w:r>
          </w:p>
          <w:p w14:paraId="48EBD5BD">
            <w:pPr>
              <w:snapToGrid w:val="0"/>
              <w:ind w:left="-102"/>
              <w:rPr>
                <w:rFonts w:ascii="宋体" w:hAnsi="宋体" w:cs="宋体"/>
                <w:szCs w:val="21"/>
                <w:highlight w:val="none"/>
              </w:rPr>
            </w:pPr>
            <w:r>
              <w:rPr>
                <w:rFonts w:hint="eastAsia" w:ascii="宋体" w:hAnsi="宋体" w:cs="宋体"/>
                <w:szCs w:val="21"/>
                <w:highlight w:val="none"/>
              </w:rPr>
              <w:t>可定制全局TCP/UDP通信策略，启用接受、发送限制，启用端口IP限制</w:t>
            </w:r>
          </w:p>
          <w:p w14:paraId="457DEE31">
            <w:pPr>
              <w:snapToGrid w:val="0"/>
              <w:ind w:left="-102"/>
              <w:rPr>
                <w:rFonts w:ascii="宋体" w:hAnsi="宋体" w:cs="宋体"/>
                <w:szCs w:val="21"/>
                <w:highlight w:val="none"/>
              </w:rPr>
            </w:pPr>
            <w:r>
              <w:rPr>
                <w:rFonts w:hint="eastAsia" w:ascii="宋体" w:hAnsi="宋体" w:cs="宋体"/>
                <w:szCs w:val="21"/>
                <w:highlight w:val="none"/>
              </w:rPr>
              <w:t>规则组成：用户、主体进程、客体网络（TUP/UDP、端口范围、IP范围）、允许的访问权限</w:t>
            </w:r>
          </w:p>
        </w:tc>
      </w:tr>
      <w:tr w14:paraId="0CC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08870C57">
            <w:pPr>
              <w:snapToGrid w:val="0"/>
              <w:ind w:left="-102"/>
              <w:jc w:val="center"/>
              <w:rPr>
                <w:rFonts w:ascii="宋体" w:hAnsi="宋体" w:cs="宋体"/>
                <w:szCs w:val="21"/>
                <w:highlight w:val="none"/>
              </w:rPr>
            </w:pPr>
            <w:r>
              <w:rPr>
                <w:rFonts w:hint="eastAsia" w:ascii="宋体" w:hAnsi="宋体" w:cs="宋体"/>
                <w:szCs w:val="21"/>
                <w:highlight w:val="none"/>
              </w:rPr>
              <w:t>主机通信保护</w:t>
            </w:r>
          </w:p>
        </w:tc>
        <w:tc>
          <w:tcPr>
            <w:tcW w:w="6898" w:type="dxa"/>
            <w:noWrap/>
            <w:vAlign w:val="center"/>
          </w:tcPr>
          <w:p w14:paraId="68E3DA48">
            <w:pPr>
              <w:snapToGrid w:val="0"/>
              <w:ind w:left="-102"/>
              <w:rPr>
                <w:rFonts w:ascii="宋体" w:hAnsi="宋体" w:cs="宋体"/>
                <w:szCs w:val="21"/>
                <w:highlight w:val="none"/>
              </w:rPr>
            </w:pPr>
            <w:r>
              <w:rPr>
                <w:rFonts w:hint="eastAsia" w:ascii="宋体" w:hAnsi="宋体" w:cs="宋体"/>
                <w:szCs w:val="21"/>
                <w:highlight w:val="none"/>
              </w:rPr>
              <w:t>进程对网络通信默认不受限制</w:t>
            </w:r>
            <w:r>
              <w:rPr>
                <w:rFonts w:hint="eastAsia" w:ascii="宋体" w:hAnsi="宋体" w:cs="宋体"/>
                <w:szCs w:val="21"/>
                <w:highlight w:val="none"/>
              </w:rPr>
              <w:br w:type="textWrapping"/>
            </w:r>
            <w:r>
              <w:rPr>
                <w:rFonts w:hint="eastAsia" w:ascii="宋体" w:hAnsi="宋体" w:cs="宋体"/>
                <w:szCs w:val="21"/>
                <w:highlight w:val="none"/>
              </w:rPr>
              <w:t>受到强制访问控制规则保护的网络，只能被规则允许的程序访问</w:t>
            </w:r>
            <w:r>
              <w:rPr>
                <w:rFonts w:hint="eastAsia" w:ascii="宋体" w:hAnsi="宋体" w:cs="宋体"/>
                <w:szCs w:val="21"/>
                <w:highlight w:val="none"/>
              </w:rPr>
              <w:br w:type="textWrapping"/>
            </w:r>
            <w:r>
              <w:rPr>
                <w:rFonts w:hint="eastAsia" w:ascii="宋体" w:hAnsi="宋体" w:cs="宋体"/>
                <w:szCs w:val="21"/>
                <w:highlight w:val="none"/>
              </w:rPr>
              <w:t>规则组成：用户、主体进程、客体网络（TCP/UDP、端口范围、IP范围）、允许的访问权限</w:t>
            </w:r>
          </w:p>
        </w:tc>
      </w:tr>
      <w:tr w14:paraId="0980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21EA144A">
            <w:pPr>
              <w:snapToGrid w:val="0"/>
              <w:ind w:left="-102"/>
              <w:jc w:val="center"/>
              <w:rPr>
                <w:rFonts w:ascii="宋体" w:hAnsi="宋体" w:cs="宋体"/>
                <w:szCs w:val="21"/>
                <w:highlight w:val="none"/>
              </w:rPr>
            </w:pPr>
            <w:r>
              <w:rPr>
                <w:rFonts w:hint="eastAsia" w:ascii="宋体" w:hAnsi="宋体" w:cs="宋体"/>
                <w:szCs w:val="21"/>
                <w:highlight w:val="none"/>
              </w:rPr>
              <w:t>安全内核植入</w:t>
            </w:r>
          </w:p>
        </w:tc>
        <w:tc>
          <w:tcPr>
            <w:tcW w:w="6898" w:type="dxa"/>
            <w:noWrap/>
            <w:vAlign w:val="center"/>
          </w:tcPr>
          <w:p w14:paraId="34E93F03">
            <w:pPr>
              <w:snapToGrid w:val="0"/>
              <w:ind w:left="-102"/>
              <w:rPr>
                <w:rFonts w:ascii="宋体" w:hAnsi="宋体" w:cs="宋体"/>
                <w:szCs w:val="21"/>
                <w:highlight w:val="none"/>
              </w:rPr>
            </w:pPr>
            <w:r>
              <w:rPr>
                <w:rFonts w:hint="eastAsia" w:ascii="宋体" w:hAnsi="宋体" w:cs="宋体"/>
                <w:szCs w:val="21"/>
                <w:highlight w:val="none"/>
              </w:rPr>
              <w:t>重定义引导文件，将安全内核植入以后，删除“Linux免疫内核”以外的其他内核引导选项。</w:t>
            </w:r>
          </w:p>
        </w:tc>
      </w:tr>
      <w:tr w14:paraId="4C47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4384D4AA">
            <w:pPr>
              <w:snapToGrid w:val="0"/>
              <w:ind w:left="-102"/>
              <w:jc w:val="center"/>
              <w:rPr>
                <w:rFonts w:ascii="宋体" w:hAnsi="宋体" w:cs="宋体"/>
                <w:szCs w:val="21"/>
                <w:highlight w:val="none"/>
              </w:rPr>
            </w:pPr>
            <w:r>
              <w:rPr>
                <w:rFonts w:hint="eastAsia" w:ascii="宋体" w:hAnsi="宋体" w:cs="宋体"/>
                <w:szCs w:val="21"/>
                <w:highlight w:val="none"/>
              </w:rPr>
              <w:t>远程更新</w:t>
            </w:r>
          </w:p>
        </w:tc>
        <w:tc>
          <w:tcPr>
            <w:tcW w:w="6898" w:type="dxa"/>
            <w:noWrap/>
            <w:vAlign w:val="center"/>
          </w:tcPr>
          <w:p w14:paraId="5968805F">
            <w:pPr>
              <w:snapToGrid w:val="0"/>
              <w:ind w:left="-102"/>
              <w:rPr>
                <w:rFonts w:ascii="宋体" w:hAnsi="宋体" w:cs="宋体"/>
                <w:szCs w:val="21"/>
                <w:highlight w:val="none"/>
              </w:rPr>
            </w:pPr>
            <w:r>
              <w:rPr>
                <w:rFonts w:hint="eastAsia" w:ascii="宋体" w:hAnsi="宋体" w:cs="宋体"/>
                <w:szCs w:val="21"/>
                <w:highlight w:val="none"/>
              </w:rPr>
              <w:t>可以手动或自动更新内核、应用等。</w:t>
            </w:r>
          </w:p>
        </w:tc>
      </w:tr>
      <w:tr w14:paraId="5D84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6C26D878">
            <w:pPr>
              <w:snapToGrid w:val="0"/>
              <w:ind w:left="-102"/>
              <w:jc w:val="center"/>
              <w:rPr>
                <w:rFonts w:ascii="宋体" w:hAnsi="宋体" w:cs="宋体"/>
                <w:szCs w:val="21"/>
                <w:highlight w:val="none"/>
              </w:rPr>
            </w:pPr>
            <w:r>
              <w:rPr>
                <w:rFonts w:hint="eastAsia" w:ascii="宋体" w:hAnsi="宋体" w:cs="宋体"/>
                <w:szCs w:val="21"/>
                <w:highlight w:val="none"/>
              </w:rPr>
              <w:t>策略支持维护</w:t>
            </w:r>
          </w:p>
          <w:p w14:paraId="242A1929">
            <w:pPr>
              <w:snapToGrid w:val="0"/>
              <w:ind w:left="-102"/>
              <w:jc w:val="center"/>
              <w:rPr>
                <w:rFonts w:ascii="宋体" w:hAnsi="宋体" w:cs="宋体"/>
                <w:szCs w:val="21"/>
                <w:highlight w:val="none"/>
              </w:rPr>
            </w:pPr>
            <w:r>
              <w:rPr>
                <w:rFonts w:hint="eastAsia" w:ascii="宋体" w:hAnsi="宋体" w:cs="宋体"/>
                <w:szCs w:val="21"/>
                <w:highlight w:val="none"/>
              </w:rPr>
              <w:t>模式</w:t>
            </w:r>
          </w:p>
        </w:tc>
        <w:tc>
          <w:tcPr>
            <w:tcW w:w="6898" w:type="dxa"/>
            <w:noWrap/>
            <w:vAlign w:val="center"/>
          </w:tcPr>
          <w:p w14:paraId="01E2E1FA">
            <w:pPr>
              <w:snapToGrid w:val="0"/>
              <w:ind w:left="-102"/>
              <w:rPr>
                <w:rFonts w:ascii="宋体" w:hAnsi="宋体" w:cs="宋体"/>
                <w:szCs w:val="21"/>
                <w:highlight w:val="none"/>
              </w:rPr>
            </w:pPr>
            <w:r>
              <w:rPr>
                <w:rFonts w:hint="eastAsia" w:ascii="宋体" w:hAnsi="宋体" w:cs="宋体"/>
                <w:szCs w:val="21"/>
                <w:highlight w:val="none"/>
              </w:rPr>
              <w:t>进入维护模式后，通过学习业务和系统的交互方式，自动生成防护策略。</w:t>
            </w:r>
          </w:p>
        </w:tc>
      </w:tr>
      <w:tr w14:paraId="20D1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41180DD9">
            <w:pPr>
              <w:snapToGrid w:val="0"/>
              <w:ind w:left="-102"/>
              <w:jc w:val="center"/>
              <w:rPr>
                <w:rFonts w:ascii="宋体" w:hAnsi="宋体" w:cs="宋体"/>
                <w:szCs w:val="21"/>
                <w:highlight w:val="none"/>
              </w:rPr>
            </w:pPr>
            <w:r>
              <w:rPr>
                <w:rFonts w:hint="eastAsia" w:ascii="宋体" w:hAnsi="宋体" w:cs="宋体"/>
                <w:szCs w:val="21"/>
                <w:highlight w:val="none"/>
              </w:rPr>
              <w:t>账户管理</w:t>
            </w:r>
          </w:p>
        </w:tc>
        <w:tc>
          <w:tcPr>
            <w:tcW w:w="6898" w:type="dxa"/>
            <w:noWrap/>
            <w:vAlign w:val="center"/>
          </w:tcPr>
          <w:p w14:paraId="4C1CF08F">
            <w:pPr>
              <w:snapToGrid w:val="0"/>
              <w:ind w:left="-102"/>
              <w:rPr>
                <w:rFonts w:ascii="宋体" w:hAnsi="宋体" w:cs="宋体"/>
                <w:szCs w:val="21"/>
                <w:highlight w:val="none"/>
              </w:rPr>
            </w:pPr>
            <w:r>
              <w:rPr>
                <w:rFonts w:hint="eastAsia" w:ascii="宋体" w:hAnsi="宋体" w:cs="宋体"/>
                <w:szCs w:val="21"/>
                <w:highlight w:val="none"/>
              </w:rPr>
              <w:t>分配管理后台的角色、用户，支持多角色权限划分</w:t>
            </w:r>
          </w:p>
        </w:tc>
      </w:tr>
      <w:tr w14:paraId="6D5F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131D32E1">
            <w:pPr>
              <w:snapToGrid w:val="0"/>
              <w:ind w:left="-102"/>
              <w:jc w:val="center"/>
              <w:rPr>
                <w:rFonts w:ascii="宋体" w:hAnsi="宋体" w:cs="宋体"/>
                <w:szCs w:val="21"/>
                <w:highlight w:val="none"/>
              </w:rPr>
            </w:pPr>
            <w:r>
              <w:rPr>
                <w:rFonts w:hint="eastAsia" w:ascii="宋体" w:hAnsi="宋体" w:cs="宋体"/>
                <w:szCs w:val="21"/>
                <w:highlight w:val="none"/>
              </w:rPr>
              <w:t>安全规则管理</w:t>
            </w:r>
          </w:p>
        </w:tc>
        <w:tc>
          <w:tcPr>
            <w:tcW w:w="6898" w:type="dxa"/>
            <w:noWrap/>
            <w:vAlign w:val="center"/>
          </w:tcPr>
          <w:p w14:paraId="7185DDA6">
            <w:pPr>
              <w:snapToGrid w:val="0"/>
              <w:ind w:left="-102"/>
              <w:rPr>
                <w:rFonts w:ascii="宋体" w:hAnsi="宋体" w:cs="宋体"/>
                <w:szCs w:val="21"/>
                <w:highlight w:val="none"/>
              </w:rPr>
            </w:pPr>
            <w:r>
              <w:rPr>
                <w:rFonts w:hint="eastAsia" w:ascii="宋体" w:hAnsi="宋体" w:cs="宋体"/>
                <w:szCs w:val="21"/>
                <w:highlight w:val="none"/>
              </w:rPr>
              <w:t>设置ACL、规则配置、规则查看、规则导出/导入，可对安全防护策略进行规模部署、调整</w:t>
            </w:r>
          </w:p>
        </w:tc>
      </w:tr>
      <w:tr w14:paraId="5D38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0F123C9B">
            <w:pPr>
              <w:snapToGrid w:val="0"/>
              <w:ind w:left="-102"/>
              <w:jc w:val="center"/>
              <w:rPr>
                <w:rFonts w:ascii="宋体" w:hAnsi="宋体" w:cs="宋体"/>
                <w:szCs w:val="21"/>
                <w:highlight w:val="none"/>
              </w:rPr>
            </w:pPr>
            <w:r>
              <w:rPr>
                <w:rFonts w:hint="eastAsia" w:ascii="宋体" w:hAnsi="宋体" w:cs="宋体"/>
                <w:szCs w:val="21"/>
                <w:highlight w:val="none"/>
              </w:rPr>
              <w:t>B/S架构</w:t>
            </w:r>
          </w:p>
        </w:tc>
        <w:tc>
          <w:tcPr>
            <w:tcW w:w="6898" w:type="dxa"/>
            <w:noWrap/>
            <w:vAlign w:val="center"/>
          </w:tcPr>
          <w:p w14:paraId="3012FE32">
            <w:pPr>
              <w:snapToGrid w:val="0"/>
              <w:ind w:left="-102"/>
              <w:rPr>
                <w:rFonts w:ascii="宋体" w:hAnsi="宋体" w:cs="宋体"/>
                <w:szCs w:val="21"/>
                <w:highlight w:val="none"/>
              </w:rPr>
            </w:pPr>
            <w:r>
              <w:rPr>
                <w:rFonts w:hint="eastAsia" w:ascii="宋体" w:hAnsi="宋体" w:cs="宋体"/>
                <w:szCs w:val="21"/>
                <w:highlight w:val="none"/>
              </w:rPr>
              <w:t>支持B/S架构统一管理平台，通过安管平台对安全服务器进行策略维护、更新</w:t>
            </w:r>
          </w:p>
        </w:tc>
      </w:tr>
      <w:tr w14:paraId="3358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ign w:val="center"/>
          </w:tcPr>
          <w:p w14:paraId="5AD135D9">
            <w:pPr>
              <w:snapToGrid w:val="0"/>
              <w:ind w:left="-102"/>
              <w:jc w:val="center"/>
              <w:rPr>
                <w:rFonts w:ascii="宋体" w:hAnsi="宋体" w:cs="宋体"/>
                <w:szCs w:val="21"/>
                <w:highlight w:val="none"/>
              </w:rPr>
            </w:pPr>
            <w:r>
              <w:rPr>
                <w:rFonts w:hint="eastAsia" w:ascii="宋体" w:hAnsi="宋体" w:cs="宋体"/>
                <w:szCs w:val="21"/>
                <w:highlight w:val="none"/>
              </w:rPr>
              <w:t>日志采集</w:t>
            </w:r>
          </w:p>
        </w:tc>
        <w:tc>
          <w:tcPr>
            <w:tcW w:w="6898" w:type="dxa"/>
            <w:noWrap/>
            <w:vAlign w:val="center"/>
          </w:tcPr>
          <w:p w14:paraId="1A906430">
            <w:pPr>
              <w:snapToGrid w:val="0"/>
              <w:ind w:left="-102"/>
              <w:rPr>
                <w:rFonts w:ascii="宋体" w:hAnsi="宋体" w:cs="宋体"/>
                <w:szCs w:val="21"/>
                <w:highlight w:val="none"/>
              </w:rPr>
            </w:pPr>
            <w:r>
              <w:rPr>
                <w:rFonts w:hint="eastAsia" w:ascii="宋体" w:hAnsi="宋体" w:cs="宋体"/>
                <w:szCs w:val="21"/>
                <w:highlight w:val="none"/>
              </w:rPr>
              <w:t>定时上报日志，支持标准的日志格式，可与通用的日志平台对接</w:t>
            </w:r>
          </w:p>
        </w:tc>
      </w:tr>
    </w:tbl>
    <w:p w14:paraId="1D2DCFDF">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1.1</w:t>
      </w:r>
      <w:r>
        <w:rPr>
          <w:rFonts w:hint="eastAsia" w:ascii="宋体" w:hAnsi="宋体" w:cs="宋体"/>
          <w:sz w:val="36"/>
          <w:szCs w:val="36"/>
          <w:highlight w:val="none"/>
        </w:rPr>
        <w:t xml:space="preserve">1 </w:t>
      </w:r>
      <w:r>
        <w:rPr>
          <w:rFonts w:hint="eastAsia" w:ascii="仿宋_GB2312" w:hAnsi="仿宋_GB2312" w:eastAsia="仿宋_GB2312" w:cs="仿宋_GB2312"/>
          <w:sz w:val="36"/>
          <w:szCs w:val="36"/>
          <w:highlight w:val="none"/>
          <w:lang w:eastAsia="en-US"/>
        </w:rPr>
        <w:t>主机安全加固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6896"/>
      </w:tblGrid>
      <w:tr w14:paraId="5F38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1B5C7CE7">
            <w:pPr>
              <w:ind w:left="-113"/>
              <w:jc w:val="center"/>
              <w:rPr>
                <w:rFonts w:ascii="宋体" w:hAnsi="宋体" w:cs="宋体"/>
                <w:b/>
                <w:bCs/>
                <w:szCs w:val="21"/>
                <w:highlight w:val="none"/>
              </w:rPr>
            </w:pPr>
            <w:r>
              <w:rPr>
                <w:rFonts w:hint="eastAsia" w:ascii="宋体" w:hAnsi="宋体" w:cs="宋体"/>
                <w:b/>
                <w:bCs/>
                <w:szCs w:val="21"/>
                <w:highlight w:val="none"/>
              </w:rPr>
              <w:t>指标项</w:t>
            </w:r>
          </w:p>
        </w:tc>
        <w:tc>
          <w:tcPr>
            <w:tcW w:w="6896" w:type="dxa"/>
            <w:noWrap/>
            <w:vAlign w:val="center"/>
          </w:tcPr>
          <w:p w14:paraId="3B407F6D">
            <w:pPr>
              <w:ind w:left="-113"/>
              <w:jc w:val="center"/>
              <w:rPr>
                <w:rFonts w:ascii="宋体" w:hAnsi="宋体" w:cs="宋体"/>
                <w:b/>
                <w:bCs/>
                <w:szCs w:val="21"/>
                <w:highlight w:val="none"/>
              </w:rPr>
            </w:pPr>
            <w:r>
              <w:rPr>
                <w:rFonts w:hint="eastAsia" w:ascii="宋体" w:hAnsi="宋体" w:cs="宋体"/>
                <w:b/>
                <w:bCs/>
                <w:szCs w:val="21"/>
                <w:highlight w:val="none"/>
              </w:rPr>
              <w:t>招标要求</w:t>
            </w:r>
          </w:p>
        </w:tc>
      </w:tr>
      <w:tr w14:paraId="21C9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1751D875">
            <w:pPr>
              <w:ind w:left="-113"/>
              <w:jc w:val="center"/>
              <w:rPr>
                <w:rFonts w:ascii="宋体" w:hAnsi="宋体" w:cs="宋体"/>
                <w:szCs w:val="21"/>
                <w:highlight w:val="none"/>
              </w:rPr>
            </w:pPr>
            <w:r>
              <w:rPr>
                <w:rFonts w:hint="eastAsia" w:ascii="宋体" w:hAnsi="宋体" w:cs="宋体"/>
                <w:szCs w:val="21"/>
                <w:highlight w:val="none"/>
              </w:rPr>
              <w:t>安全隐患排查与整改</w:t>
            </w:r>
          </w:p>
        </w:tc>
        <w:tc>
          <w:tcPr>
            <w:tcW w:w="6896" w:type="dxa"/>
            <w:noWrap/>
            <w:vAlign w:val="center"/>
          </w:tcPr>
          <w:p w14:paraId="7013B0FB">
            <w:pPr>
              <w:ind w:left="-113"/>
              <w:rPr>
                <w:rFonts w:ascii="宋体" w:hAnsi="宋体" w:cs="宋体"/>
                <w:szCs w:val="21"/>
                <w:highlight w:val="none"/>
              </w:rPr>
            </w:pPr>
            <w:r>
              <w:rPr>
                <w:rFonts w:hint="eastAsia" w:ascii="宋体" w:hAnsi="宋体" w:cs="宋体"/>
                <w:szCs w:val="21"/>
                <w:highlight w:val="none"/>
              </w:rPr>
              <w:t>支持对信息系统和IT基础设施存在的安全漏洞和隐患进行排查和处置，提高安全防护水平，四次（每季度一次）</w:t>
            </w:r>
          </w:p>
        </w:tc>
      </w:tr>
      <w:tr w14:paraId="3839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26" w:type="dxa"/>
            <w:noWrap/>
            <w:vAlign w:val="center"/>
          </w:tcPr>
          <w:p w14:paraId="7D7F0A51">
            <w:pPr>
              <w:ind w:left="-113"/>
              <w:jc w:val="center"/>
              <w:rPr>
                <w:rFonts w:ascii="宋体" w:hAnsi="宋体" w:cs="宋体"/>
                <w:szCs w:val="21"/>
                <w:highlight w:val="none"/>
              </w:rPr>
            </w:pPr>
            <w:r>
              <w:rPr>
                <w:rFonts w:hint="eastAsia" w:ascii="宋体" w:hAnsi="宋体" w:cs="宋体"/>
                <w:szCs w:val="21"/>
                <w:highlight w:val="none"/>
              </w:rPr>
              <w:t>安全基线核查</w:t>
            </w:r>
          </w:p>
        </w:tc>
        <w:tc>
          <w:tcPr>
            <w:tcW w:w="6896" w:type="dxa"/>
            <w:noWrap/>
            <w:vAlign w:val="center"/>
          </w:tcPr>
          <w:p w14:paraId="2ACF34F2">
            <w:pPr>
              <w:pBdr>
                <w:top w:val="single" w:color="CCCCCC" w:sz="6" w:space="15"/>
                <w:left w:val="single" w:color="CCCCCC" w:sz="6" w:space="15"/>
                <w:bottom w:val="single" w:color="CCCCCC" w:sz="6" w:space="15"/>
                <w:right w:val="single" w:color="CCCCCC" w:sz="6" w:space="15"/>
              </w:pBdr>
              <w:ind w:left="-113"/>
              <w:rPr>
                <w:rFonts w:ascii="宋体" w:hAnsi="宋体" w:cs="宋体"/>
                <w:szCs w:val="21"/>
                <w:highlight w:val="none"/>
              </w:rPr>
            </w:pPr>
            <w:r>
              <w:rPr>
                <w:rFonts w:hint="eastAsia" w:ascii="宋体" w:hAnsi="宋体" w:cs="宋体"/>
                <w:szCs w:val="21"/>
                <w:highlight w:val="none"/>
              </w:rPr>
              <w:t>支持项目概况范围（不包括终端）中的主机系统、应用系统、网络设备和数据库管理系统等资产进行安全基线核查，检测在安全现状、安全配置、防护能力、恢复能力等方面的详细情况。四次（每季度一次）</w:t>
            </w:r>
          </w:p>
        </w:tc>
      </w:tr>
      <w:tr w14:paraId="25A5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29C7BB6E">
            <w:pPr>
              <w:ind w:left="-113"/>
              <w:jc w:val="center"/>
              <w:rPr>
                <w:rFonts w:ascii="宋体" w:hAnsi="宋体" w:cs="宋体"/>
                <w:szCs w:val="21"/>
                <w:highlight w:val="none"/>
              </w:rPr>
            </w:pPr>
            <w:r>
              <w:rPr>
                <w:rFonts w:hint="eastAsia" w:ascii="宋体" w:hAnsi="宋体" w:cs="宋体"/>
                <w:szCs w:val="21"/>
                <w:highlight w:val="none"/>
              </w:rPr>
              <w:t>渗透测试</w:t>
            </w:r>
          </w:p>
        </w:tc>
        <w:tc>
          <w:tcPr>
            <w:tcW w:w="6896" w:type="dxa"/>
            <w:noWrap/>
            <w:vAlign w:val="center"/>
          </w:tcPr>
          <w:p w14:paraId="27D4C22C">
            <w:pPr>
              <w:ind w:left="-113"/>
              <w:rPr>
                <w:rFonts w:ascii="宋体" w:hAnsi="宋体" w:cs="宋体"/>
                <w:szCs w:val="21"/>
                <w:highlight w:val="none"/>
              </w:rPr>
            </w:pPr>
            <w:r>
              <w:rPr>
                <w:rFonts w:hint="eastAsia" w:ascii="宋体" w:hAnsi="宋体" w:cs="宋体"/>
                <w:szCs w:val="21"/>
                <w:highlight w:val="none"/>
              </w:rPr>
              <w:t>支持应用系统、外网网络进行定期的渗透测试，挖掘存在的安全漏洞，找出系统的安全短板，以此评估目标系统的安全性。四次（每季度一次）</w:t>
            </w:r>
          </w:p>
        </w:tc>
      </w:tr>
      <w:tr w14:paraId="5F18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5AFE0239">
            <w:pPr>
              <w:ind w:left="-113"/>
              <w:jc w:val="center"/>
              <w:rPr>
                <w:rFonts w:ascii="宋体" w:hAnsi="宋体" w:cs="宋体"/>
                <w:szCs w:val="21"/>
                <w:highlight w:val="none"/>
              </w:rPr>
            </w:pPr>
            <w:r>
              <w:rPr>
                <w:rFonts w:hint="eastAsia" w:ascii="宋体" w:hAnsi="宋体" w:cs="宋体"/>
                <w:szCs w:val="21"/>
                <w:highlight w:val="none"/>
              </w:rPr>
              <w:t>安全整改与加固</w:t>
            </w:r>
          </w:p>
        </w:tc>
        <w:tc>
          <w:tcPr>
            <w:tcW w:w="6896" w:type="dxa"/>
            <w:noWrap/>
            <w:vAlign w:val="center"/>
          </w:tcPr>
          <w:p w14:paraId="079FEC47">
            <w:pPr>
              <w:ind w:left="-113"/>
              <w:rPr>
                <w:rFonts w:ascii="宋体" w:hAnsi="宋体" w:cs="宋体"/>
                <w:szCs w:val="21"/>
                <w:highlight w:val="none"/>
              </w:rPr>
            </w:pPr>
            <w:r>
              <w:rPr>
                <w:rFonts w:hint="eastAsia" w:ascii="宋体" w:hAnsi="宋体" w:cs="宋体"/>
                <w:szCs w:val="21"/>
                <w:highlight w:val="none"/>
              </w:rPr>
              <w:t>支持信息安全风险评估、安全基线核查、漏洞扫描和渗透测试等技术手段全面的评估的结果，对发现的信息资产安全漏洞、隐患、威胁等进行整改和加固，提高信息系统安全保障能力。四次（每季度一次）</w:t>
            </w:r>
          </w:p>
        </w:tc>
      </w:tr>
      <w:tr w14:paraId="13CE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3109AE8F">
            <w:pPr>
              <w:ind w:left="-113"/>
              <w:jc w:val="center"/>
              <w:rPr>
                <w:rFonts w:ascii="宋体" w:hAnsi="宋体" w:cs="宋体"/>
                <w:szCs w:val="21"/>
                <w:highlight w:val="none"/>
              </w:rPr>
            </w:pPr>
            <w:r>
              <w:rPr>
                <w:rFonts w:hint="eastAsia" w:ascii="宋体" w:hAnsi="宋体" w:cs="宋体"/>
                <w:szCs w:val="21"/>
                <w:highlight w:val="none"/>
              </w:rPr>
              <w:t>主机加固</w:t>
            </w:r>
          </w:p>
        </w:tc>
        <w:tc>
          <w:tcPr>
            <w:tcW w:w="6896" w:type="dxa"/>
            <w:noWrap/>
            <w:vAlign w:val="center"/>
          </w:tcPr>
          <w:p w14:paraId="43DAF8F8">
            <w:pPr>
              <w:ind w:left="-113"/>
              <w:rPr>
                <w:rFonts w:ascii="宋体" w:hAnsi="宋体" w:cs="宋体"/>
                <w:szCs w:val="21"/>
                <w:highlight w:val="none"/>
              </w:rPr>
            </w:pPr>
            <w:r>
              <w:rPr>
                <w:rFonts w:hint="eastAsia" w:ascii="宋体" w:hAnsi="宋体" w:cs="宋体"/>
                <w:szCs w:val="21"/>
                <w:highlight w:val="none"/>
              </w:rPr>
              <w:t>加强系统恶意代码防范、系统安全防护措施、补丁和安全设置、系统安全策略检查等手段，加固和优化主机系统的整体安全。十二次（每月一次）</w:t>
            </w:r>
          </w:p>
        </w:tc>
      </w:tr>
      <w:tr w14:paraId="6D32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7700C665">
            <w:pPr>
              <w:ind w:left="-113"/>
              <w:jc w:val="center"/>
              <w:rPr>
                <w:rFonts w:ascii="宋体" w:hAnsi="宋体" w:cs="宋体"/>
                <w:szCs w:val="21"/>
                <w:highlight w:val="none"/>
              </w:rPr>
            </w:pPr>
            <w:r>
              <w:rPr>
                <w:rFonts w:hint="eastAsia" w:ascii="宋体" w:hAnsi="宋体" w:cs="宋体"/>
                <w:szCs w:val="21"/>
                <w:highlight w:val="none"/>
              </w:rPr>
              <w:t>安全管理优化</w:t>
            </w:r>
          </w:p>
        </w:tc>
        <w:tc>
          <w:tcPr>
            <w:tcW w:w="6896" w:type="dxa"/>
            <w:noWrap/>
            <w:vAlign w:val="center"/>
          </w:tcPr>
          <w:p w14:paraId="631F3F6E">
            <w:pPr>
              <w:ind w:left="-113"/>
              <w:rPr>
                <w:rFonts w:ascii="宋体" w:hAnsi="宋体" w:cs="宋体"/>
                <w:szCs w:val="21"/>
                <w:highlight w:val="none"/>
              </w:rPr>
            </w:pPr>
            <w:r>
              <w:rPr>
                <w:rFonts w:hint="eastAsia" w:ascii="宋体" w:hAnsi="宋体" w:cs="宋体"/>
                <w:szCs w:val="21"/>
                <w:highlight w:val="none"/>
              </w:rPr>
              <w:t>优化信息安全管理流程、明确管理职责、加强安全管理体系落实以及信息安全意识推广等方法提信息安全管理水平。</w:t>
            </w:r>
          </w:p>
        </w:tc>
      </w:tr>
      <w:tr w14:paraId="70ED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noWrap/>
            <w:vAlign w:val="center"/>
          </w:tcPr>
          <w:p w14:paraId="42D0885C">
            <w:pPr>
              <w:ind w:left="-113"/>
              <w:jc w:val="center"/>
              <w:rPr>
                <w:rFonts w:ascii="宋体" w:hAnsi="宋体" w:cs="宋体"/>
                <w:szCs w:val="21"/>
                <w:highlight w:val="none"/>
              </w:rPr>
            </w:pPr>
            <w:r>
              <w:rPr>
                <w:rFonts w:hint="eastAsia" w:ascii="宋体" w:hAnsi="宋体" w:cs="宋体"/>
                <w:szCs w:val="21"/>
                <w:highlight w:val="none"/>
              </w:rPr>
              <w:t>应用加固</w:t>
            </w:r>
          </w:p>
        </w:tc>
        <w:tc>
          <w:tcPr>
            <w:tcW w:w="6896" w:type="dxa"/>
            <w:noWrap/>
            <w:vAlign w:val="center"/>
          </w:tcPr>
          <w:p w14:paraId="5F44996D">
            <w:pPr>
              <w:ind w:left="-113"/>
              <w:rPr>
                <w:rFonts w:ascii="宋体" w:hAnsi="宋体" w:cs="宋体"/>
                <w:szCs w:val="21"/>
                <w:highlight w:val="none"/>
              </w:rPr>
            </w:pPr>
            <w:r>
              <w:rPr>
                <w:rFonts w:hint="eastAsia" w:ascii="宋体" w:hAnsi="宋体" w:cs="宋体"/>
                <w:szCs w:val="21"/>
                <w:highlight w:val="none"/>
              </w:rPr>
              <w:t>支持修补漏洞、增强安全配置、调整系统架构和提升安全策略等方式进行系统整体加固和安全优化，提高系统的安全性和抗攻击能力，将整个系统的安全状况维持在较高的水平，减少安全事件发生的可能性和可能造成的损失。十二次（每月一次）</w:t>
            </w:r>
          </w:p>
        </w:tc>
      </w:tr>
    </w:tbl>
    <w:p w14:paraId="1B75E4B3">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1.1</w:t>
      </w:r>
      <w:r>
        <w:rPr>
          <w:rFonts w:hint="eastAsia" w:ascii="宋体" w:hAnsi="宋体" w:cs="宋体"/>
          <w:sz w:val="36"/>
          <w:szCs w:val="36"/>
          <w:highlight w:val="none"/>
        </w:rPr>
        <w:t xml:space="preserve">2 </w:t>
      </w:r>
      <w:r>
        <w:rPr>
          <w:rFonts w:hint="eastAsia" w:ascii="仿宋_GB2312" w:hAnsi="仿宋_GB2312" w:eastAsia="仿宋_GB2312" w:cs="仿宋_GB2312"/>
          <w:sz w:val="36"/>
          <w:szCs w:val="36"/>
          <w:highlight w:val="none"/>
          <w:lang w:eastAsia="en-US"/>
        </w:rPr>
        <w:t>主机漏洞扫描</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6925"/>
      </w:tblGrid>
      <w:tr w14:paraId="20F8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top"/>
          </w:tcPr>
          <w:p w14:paraId="234EE9F3">
            <w:pPr>
              <w:snapToGrid w:val="0"/>
              <w:ind w:firstLine="28"/>
              <w:jc w:val="center"/>
              <w:rPr>
                <w:rFonts w:ascii="宋体" w:hAnsi="宋体" w:cs="宋体"/>
                <w:szCs w:val="21"/>
                <w:highlight w:val="none"/>
              </w:rPr>
            </w:pPr>
            <w:r>
              <w:rPr>
                <w:rFonts w:hint="eastAsia" w:ascii="宋体" w:hAnsi="宋体" w:cs="宋体"/>
                <w:b/>
                <w:bCs/>
                <w:szCs w:val="21"/>
                <w:highlight w:val="none"/>
              </w:rPr>
              <w:t>指标项</w:t>
            </w:r>
          </w:p>
        </w:tc>
        <w:tc>
          <w:tcPr>
            <w:tcW w:w="6925" w:type="dxa"/>
            <w:noWrap/>
            <w:vAlign w:val="top"/>
          </w:tcPr>
          <w:p w14:paraId="1F3F665A">
            <w:pPr>
              <w:snapToGrid w:val="0"/>
              <w:ind w:firstLine="28"/>
              <w:jc w:val="center"/>
              <w:rPr>
                <w:rFonts w:ascii="宋体" w:hAnsi="宋体" w:cs="宋体"/>
                <w:szCs w:val="21"/>
                <w:highlight w:val="none"/>
              </w:rPr>
            </w:pPr>
            <w:r>
              <w:rPr>
                <w:rFonts w:hint="eastAsia" w:ascii="宋体" w:hAnsi="宋体" w:cs="宋体"/>
                <w:b/>
                <w:bCs/>
                <w:szCs w:val="21"/>
                <w:highlight w:val="none"/>
              </w:rPr>
              <w:t>招标要求</w:t>
            </w:r>
          </w:p>
        </w:tc>
      </w:tr>
      <w:tr w14:paraId="44FB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97" w:type="dxa"/>
            <w:vMerge w:val="restart"/>
            <w:noWrap/>
            <w:vAlign w:val="center"/>
          </w:tcPr>
          <w:p w14:paraId="468246C3">
            <w:pPr>
              <w:snapToGrid w:val="0"/>
              <w:ind w:firstLine="28"/>
              <w:jc w:val="center"/>
              <w:rPr>
                <w:rFonts w:ascii="宋体" w:hAnsi="宋体" w:cs="宋体"/>
                <w:szCs w:val="21"/>
                <w:highlight w:val="none"/>
              </w:rPr>
            </w:pPr>
            <w:r>
              <w:rPr>
                <w:rFonts w:hint="eastAsia" w:ascii="宋体" w:hAnsi="宋体" w:cs="宋体"/>
                <w:szCs w:val="21"/>
                <w:highlight w:val="none"/>
              </w:rPr>
              <w:t>扫描能力</w:t>
            </w:r>
          </w:p>
        </w:tc>
        <w:tc>
          <w:tcPr>
            <w:tcW w:w="6925" w:type="dxa"/>
            <w:noWrap/>
            <w:vAlign w:val="center"/>
          </w:tcPr>
          <w:p w14:paraId="1BCB9AF2">
            <w:pPr>
              <w:snapToGrid w:val="0"/>
              <w:ind w:firstLine="28"/>
              <w:rPr>
                <w:rFonts w:ascii="宋体" w:hAnsi="宋体" w:cs="宋体"/>
                <w:szCs w:val="21"/>
                <w:highlight w:val="none"/>
              </w:rPr>
            </w:pPr>
            <w:r>
              <w:rPr>
                <w:rFonts w:hint="eastAsia" w:ascii="宋体" w:hAnsi="宋体" w:cs="宋体"/>
                <w:szCs w:val="21"/>
                <w:highlight w:val="none"/>
              </w:rPr>
              <w:t>支持Windows域扫描技术，利用域管理员权限使扫描更深入、更准确。</w:t>
            </w:r>
          </w:p>
        </w:tc>
      </w:tr>
      <w:tr w14:paraId="1673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189AFA02">
            <w:pPr>
              <w:snapToGrid w:val="0"/>
              <w:ind w:firstLine="28"/>
              <w:rPr>
                <w:rFonts w:ascii="宋体" w:hAnsi="宋体" w:cs="宋体"/>
                <w:szCs w:val="21"/>
                <w:highlight w:val="none"/>
              </w:rPr>
            </w:pPr>
          </w:p>
        </w:tc>
        <w:tc>
          <w:tcPr>
            <w:tcW w:w="6925" w:type="dxa"/>
            <w:noWrap/>
            <w:vAlign w:val="center"/>
          </w:tcPr>
          <w:p w14:paraId="21EFD659">
            <w:pPr>
              <w:snapToGrid w:val="0"/>
              <w:ind w:firstLine="28"/>
              <w:rPr>
                <w:rFonts w:ascii="宋体" w:hAnsi="宋体" w:cs="宋体"/>
                <w:szCs w:val="21"/>
                <w:highlight w:val="none"/>
              </w:rPr>
            </w:pPr>
            <w:r>
              <w:rPr>
                <w:rFonts w:hint="eastAsia" w:ascii="宋体" w:hAnsi="宋体" w:cs="宋体"/>
                <w:szCs w:val="21"/>
                <w:highlight w:val="none"/>
              </w:rPr>
              <w:t>支持大华、海康等视频监控类设备扫描。</w:t>
            </w:r>
          </w:p>
        </w:tc>
      </w:tr>
      <w:tr w14:paraId="5974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05231BF2">
            <w:pPr>
              <w:snapToGrid w:val="0"/>
              <w:ind w:firstLine="28"/>
              <w:rPr>
                <w:rFonts w:ascii="宋体" w:hAnsi="宋体" w:cs="宋体"/>
                <w:szCs w:val="21"/>
                <w:highlight w:val="none"/>
              </w:rPr>
            </w:pPr>
          </w:p>
        </w:tc>
        <w:tc>
          <w:tcPr>
            <w:tcW w:w="6925" w:type="dxa"/>
            <w:noWrap/>
            <w:vAlign w:val="center"/>
          </w:tcPr>
          <w:p w14:paraId="2392B67A">
            <w:pPr>
              <w:snapToGrid w:val="0"/>
              <w:ind w:firstLine="28"/>
              <w:rPr>
                <w:rFonts w:ascii="宋体" w:hAnsi="宋体" w:cs="宋体"/>
                <w:szCs w:val="21"/>
                <w:highlight w:val="none"/>
              </w:rPr>
            </w:pPr>
            <w:r>
              <w:rPr>
                <w:rFonts w:hint="eastAsia" w:ascii="宋体" w:hAnsi="宋体" w:cs="宋体"/>
                <w:szCs w:val="21"/>
                <w:highlight w:val="none"/>
              </w:rPr>
              <w:t>支持多种协议口令猜测，包括SMB、Snmp、Telnet、Pop3、SSH、Ftp、RDP、DB2、MySQL、Oracle、PostgreSQL、HighGo、MongoDB、UXDB、STDB、kingbase、RTSP、ActiveMQ、WebLogic、WebCAM等。</w:t>
            </w:r>
          </w:p>
        </w:tc>
      </w:tr>
      <w:tr w14:paraId="1D7D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495C4EE">
            <w:pPr>
              <w:snapToGrid w:val="0"/>
              <w:ind w:firstLine="28"/>
              <w:rPr>
                <w:rFonts w:ascii="宋体" w:hAnsi="宋体" w:cs="宋体"/>
                <w:szCs w:val="21"/>
                <w:highlight w:val="none"/>
              </w:rPr>
            </w:pPr>
          </w:p>
        </w:tc>
        <w:tc>
          <w:tcPr>
            <w:tcW w:w="6925" w:type="dxa"/>
            <w:noWrap/>
            <w:vAlign w:val="center"/>
          </w:tcPr>
          <w:p w14:paraId="6B04CEFB">
            <w:pPr>
              <w:snapToGrid w:val="0"/>
              <w:ind w:firstLine="28"/>
              <w:rPr>
                <w:rFonts w:ascii="宋体" w:hAnsi="宋体" w:cs="宋体"/>
                <w:szCs w:val="21"/>
                <w:highlight w:val="none"/>
              </w:rPr>
            </w:pPr>
            <w:r>
              <w:rPr>
                <w:rFonts w:hint="eastAsia" w:ascii="宋体" w:hAnsi="宋体" w:cs="宋体"/>
                <w:szCs w:val="21"/>
                <w:highlight w:val="none"/>
              </w:rPr>
              <w:t>支持设置口令猜测间隔0-300秒。</w:t>
            </w:r>
          </w:p>
        </w:tc>
      </w:tr>
      <w:tr w14:paraId="0A65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0F5673F9">
            <w:pPr>
              <w:snapToGrid w:val="0"/>
              <w:ind w:firstLine="28"/>
              <w:rPr>
                <w:rFonts w:ascii="宋体" w:hAnsi="宋体" w:cs="宋体"/>
                <w:szCs w:val="21"/>
                <w:highlight w:val="none"/>
              </w:rPr>
            </w:pPr>
          </w:p>
        </w:tc>
        <w:tc>
          <w:tcPr>
            <w:tcW w:w="6925" w:type="dxa"/>
            <w:noWrap/>
            <w:vAlign w:val="center"/>
          </w:tcPr>
          <w:p w14:paraId="774B8471">
            <w:pPr>
              <w:snapToGrid w:val="0"/>
              <w:ind w:firstLine="28"/>
              <w:rPr>
                <w:rFonts w:ascii="宋体" w:hAnsi="宋体" w:cs="宋体"/>
                <w:szCs w:val="21"/>
                <w:highlight w:val="none"/>
              </w:rPr>
            </w:pPr>
            <w:r>
              <w:rPr>
                <w:rFonts w:hint="eastAsia" w:ascii="宋体" w:hAnsi="宋体" w:cs="宋体"/>
                <w:szCs w:val="21"/>
                <w:highlight w:val="none"/>
              </w:rPr>
              <w:t>支持对主流数据库的识别与扫描，包括：Oracle、Sybase、SQL Server、DB2、MySQL等，能够扫描的数据库漏洞扫描方法不小于2300种。</w:t>
            </w:r>
          </w:p>
        </w:tc>
      </w:tr>
      <w:tr w14:paraId="3E2E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97" w:type="dxa"/>
            <w:noWrap/>
            <w:vAlign w:val="center"/>
          </w:tcPr>
          <w:p w14:paraId="7EBFB4A8">
            <w:pPr>
              <w:snapToGrid w:val="0"/>
              <w:ind w:firstLine="28"/>
              <w:rPr>
                <w:rFonts w:ascii="宋体" w:hAnsi="宋体" w:cs="宋体"/>
                <w:szCs w:val="21"/>
                <w:highlight w:val="none"/>
              </w:rPr>
            </w:pPr>
            <w:r>
              <w:rPr>
                <w:rFonts w:hint="eastAsia" w:ascii="宋体" w:hAnsi="宋体" w:cs="宋体"/>
                <w:szCs w:val="21"/>
                <w:highlight w:val="none"/>
              </w:rPr>
              <w:t>资产管理</w:t>
            </w:r>
          </w:p>
        </w:tc>
        <w:tc>
          <w:tcPr>
            <w:tcW w:w="6925" w:type="dxa"/>
            <w:noWrap/>
            <w:vAlign w:val="center"/>
          </w:tcPr>
          <w:p w14:paraId="7E53EFC2">
            <w:pPr>
              <w:snapToGrid w:val="0"/>
              <w:ind w:firstLine="28"/>
              <w:rPr>
                <w:rFonts w:ascii="宋体" w:hAnsi="宋体" w:cs="宋体"/>
                <w:szCs w:val="21"/>
                <w:highlight w:val="none"/>
              </w:rPr>
            </w:pPr>
            <w:r>
              <w:rPr>
                <w:rFonts w:hint="eastAsia" w:ascii="宋体" w:hAnsi="宋体" w:cs="宋体"/>
                <w:szCs w:val="21"/>
                <w:highlight w:val="none"/>
              </w:rPr>
              <w:t>支持以txt、csv、dat、xls等格式进行资产列表的导入。</w:t>
            </w:r>
          </w:p>
        </w:tc>
      </w:tr>
      <w:tr w14:paraId="35D0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6397F311">
            <w:pPr>
              <w:snapToGrid w:val="0"/>
              <w:ind w:firstLine="28"/>
              <w:jc w:val="center"/>
              <w:rPr>
                <w:rFonts w:ascii="宋体" w:hAnsi="宋体" w:cs="宋体"/>
                <w:szCs w:val="21"/>
                <w:highlight w:val="none"/>
              </w:rPr>
            </w:pPr>
            <w:r>
              <w:rPr>
                <w:rFonts w:hint="eastAsia" w:ascii="宋体" w:hAnsi="宋体" w:cs="宋体"/>
                <w:szCs w:val="21"/>
                <w:highlight w:val="none"/>
              </w:rPr>
              <w:t>产品升级、维护</w:t>
            </w:r>
          </w:p>
        </w:tc>
        <w:tc>
          <w:tcPr>
            <w:tcW w:w="6925" w:type="dxa"/>
            <w:noWrap/>
            <w:vAlign w:val="center"/>
          </w:tcPr>
          <w:p w14:paraId="06DF12CA">
            <w:pPr>
              <w:snapToGrid w:val="0"/>
              <w:ind w:firstLine="28"/>
              <w:rPr>
                <w:rFonts w:ascii="宋体" w:hAnsi="宋体" w:cs="宋体"/>
                <w:szCs w:val="21"/>
                <w:highlight w:val="none"/>
              </w:rPr>
            </w:pPr>
            <w:r>
              <w:rPr>
                <w:rFonts w:hint="eastAsia" w:ascii="宋体" w:hAnsi="宋体" w:cs="宋体"/>
                <w:szCs w:val="21"/>
                <w:highlight w:val="none"/>
              </w:rPr>
              <w:t>支持实时提醒当前的系统消息，包括报表下载消息、升级内容消息、日志下载消息等。</w:t>
            </w:r>
          </w:p>
          <w:p w14:paraId="78AEDC82">
            <w:pPr>
              <w:snapToGrid w:val="0"/>
              <w:ind w:firstLine="28"/>
              <w:rPr>
                <w:rFonts w:ascii="宋体" w:hAnsi="宋体" w:cs="宋体"/>
                <w:szCs w:val="21"/>
                <w:highlight w:val="none"/>
              </w:rPr>
            </w:pPr>
            <w:r>
              <w:rPr>
                <w:rFonts w:hint="eastAsia" w:ascii="宋体" w:hAnsi="宋体" w:cs="宋体"/>
                <w:szCs w:val="21"/>
                <w:highlight w:val="none"/>
              </w:rPr>
              <w:t>支持控制台功能，可以通过控制台对系统进行操作和设置，例如重启和关闭系统、修改系统和网络配置、查看漏扫引擎状态并提供网络诊断工具。</w:t>
            </w:r>
          </w:p>
        </w:tc>
      </w:tr>
    </w:tbl>
    <w:p w14:paraId="4BC45CF2">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1.1</w:t>
      </w:r>
      <w:r>
        <w:rPr>
          <w:rFonts w:hint="eastAsia" w:ascii="宋体" w:hAnsi="宋体" w:cs="宋体"/>
          <w:sz w:val="36"/>
          <w:szCs w:val="36"/>
          <w:highlight w:val="none"/>
        </w:rPr>
        <w:t xml:space="preserve">3 </w:t>
      </w:r>
      <w:r>
        <w:rPr>
          <w:rFonts w:hint="eastAsia" w:ascii="仿宋_GB2312" w:hAnsi="仿宋_GB2312" w:eastAsia="仿宋_GB2312" w:cs="仿宋_GB2312"/>
          <w:sz w:val="36"/>
          <w:szCs w:val="36"/>
          <w:highlight w:val="none"/>
          <w:lang w:eastAsia="en-US"/>
        </w:rPr>
        <w:t>主机日志分析</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6925"/>
      </w:tblGrid>
      <w:tr w14:paraId="349A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top"/>
          </w:tcPr>
          <w:p w14:paraId="2C28F8C8">
            <w:pPr>
              <w:ind w:left="28"/>
              <w:jc w:val="center"/>
              <w:rPr>
                <w:rFonts w:ascii="宋体" w:hAnsi="宋体" w:cs="宋体"/>
                <w:b/>
                <w:bCs/>
                <w:szCs w:val="21"/>
                <w:highlight w:val="none"/>
              </w:rPr>
            </w:pPr>
            <w:r>
              <w:rPr>
                <w:rFonts w:hint="eastAsia" w:ascii="宋体" w:hAnsi="宋体" w:cs="宋体"/>
                <w:b/>
                <w:bCs/>
                <w:szCs w:val="21"/>
                <w:highlight w:val="none"/>
              </w:rPr>
              <w:t>指标项</w:t>
            </w:r>
          </w:p>
        </w:tc>
        <w:tc>
          <w:tcPr>
            <w:tcW w:w="6925" w:type="dxa"/>
            <w:noWrap/>
            <w:vAlign w:val="top"/>
          </w:tcPr>
          <w:p w14:paraId="629833DE">
            <w:pPr>
              <w:ind w:left="28"/>
              <w:jc w:val="center"/>
              <w:rPr>
                <w:rFonts w:ascii="宋体" w:hAnsi="宋体" w:cs="宋体"/>
                <w:b/>
                <w:bCs/>
                <w:szCs w:val="21"/>
                <w:highlight w:val="none"/>
              </w:rPr>
            </w:pPr>
            <w:r>
              <w:rPr>
                <w:rFonts w:hint="eastAsia" w:ascii="宋体" w:hAnsi="宋体" w:cs="宋体"/>
                <w:b/>
                <w:bCs/>
                <w:szCs w:val="21"/>
                <w:highlight w:val="none"/>
              </w:rPr>
              <w:t>招标要求</w:t>
            </w:r>
          </w:p>
        </w:tc>
      </w:tr>
      <w:tr w14:paraId="31FE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ign w:val="center"/>
          </w:tcPr>
          <w:p w14:paraId="1BF1FD63">
            <w:pPr>
              <w:ind w:left="28"/>
              <w:jc w:val="center"/>
              <w:rPr>
                <w:rFonts w:ascii="宋体" w:hAnsi="宋体" w:cs="宋体"/>
                <w:szCs w:val="21"/>
                <w:highlight w:val="none"/>
              </w:rPr>
            </w:pPr>
            <w:r>
              <w:rPr>
                <w:rFonts w:hint="eastAsia" w:ascii="宋体" w:hAnsi="宋体" w:cs="宋体"/>
                <w:szCs w:val="21"/>
                <w:highlight w:val="none"/>
              </w:rPr>
              <w:t>日志采集</w:t>
            </w:r>
          </w:p>
        </w:tc>
        <w:tc>
          <w:tcPr>
            <w:tcW w:w="6925" w:type="dxa"/>
            <w:noWrap/>
            <w:vAlign w:val="center"/>
          </w:tcPr>
          <w:p w14:paraId="6F808E62">
            <w:pPr>
              <w:ind w:left="28"/>
              <w:rPr>
                <w:rFonts w:ascii="宋体" w:hAnsi="宋体" w:cs="宋体"/>
                <w:szCs w:val="21"/>
                <w:highlight w:val="none"/>
              </w:rPr>
            </w:pPr>
            <w:r>
              <w:rPr>
                <w:rFonts w:hint="eastAsia" w:ascii="宋体" w:hAnsi="宋体" w:cs="宋体"/>
                <w:szCs w:val="21"/>
                <w:highlight w:val="none"/>
              </w:rPr>
              <w:t>满足支持新增Lotus Domino的日志采集任务；新增CheckPoint的日志采集任务。</w:t>
            </w:r>
          </w:p>
        </w:tc>
      </w:tr>
      <w:tr w14:paraId="6F94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5CE478B7">
            <w:pPr>
              <w:ind w:left="28"/>
              <w:jc w:val="center"/>
              <w:rPr>
                <w:rFonts w:ascii="宋体" w:hAnsi="宋体" w:cs="宋体"/>
                <w:szCs w:val="21"/>
                <w:highlight w:val="none"/>
              </w:rPr>
            </w:pPr>
          </w:p>
        </w:tc>
        <w:tc>
          <w:tcPr>
            <w:tcW w:w="6925" w:type="dxa"/>
            <w:noWrap/>
            <w:vAlign w:val="center"/>
          </w:tcPr>
          <w:p w14:paraId="2A606333">
            <w:pPr>
              <w:ind w:left="28"/>
              <w:rPr>
                <w:rFonts w:ascii="宋体" w:hAnsi="宋体" w:cs="宋体"/>
                <w:szCs w:val="21"/>
                <w:highlight w:val="none"/>
              </w:rPr>
            </w:pPr>
            <w:r>
              <w:rPr>
                <w:rFonts w:hint="eastAsia" w:ascii="宋体" w:hAnsi="宋体" w:cs="宋体"/>
                <w:szCs w:val="21"/>
                <w:highlight w:val="none"/>
              </w:rPr>
              <w:t>日志审计中心可以集中对独立安装的日志采集器进行统一管理，能够对日志的解析策略进行统一下发。</w:t>
            </w:r>
          </w:p>
        </w:tc>
      </w:tr>
      <w:tr w14:paraId="6E66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97" w:type="dxa"/>
            <w:noWrap/>
            <w:vAlign w:val="center"/>
          </w:tcPr>
          <w:p w14:paraId="11AC26D9">
            <w:pPr>
              <w:ind w:left="28"/>
              <w:jc w:val="center"/>
              <w:rPr>
                <w:rFonts w:ascii="宋体" w:hAnsi="宋体" w:cs="宋体"/>
                <w:szCs w:val="21"/>
                <w:highlight w:val="none"/>
              </w:rPr>
            </w:pPr>
            <w:r>
              <w:rPr>
                <w:rFonts w:hint="eastAsia" w:ascii="宋体" w:hAnsi="宋体" w:cs="宋体"/>
                <w:szCs w:val="21"/>
                <w:highlight w:val="none"/>
              </w:rPr>
              <w:t>产品规格</w:t>
            </w:r>
          </w:p>
        </w:tc>
        <w:tc>
          <w:tcPr>
            <w:tcW w:w="6925" w:type="dxa"/>
            <w:noWrap/>
            <w:vAlign w:val="center"/>
          </w:tcPr>
          <w:p w14:paraId="6713E306">
            <w:pPr>
              <w:ind w:left="28"/>
              <w:rPr>
                <w:rFonts w:ascii="宋体" w:hAnsi="宋体" w:cs="宋体"/>
                <w:szCs w:val="21"/>
                <w:highlight w:val="none"/>
              </w:rPr>
            </w:pPr>
            <w:r>
              <w:rPr>
                <w:rFonts w:hint="eastAsia" w:ascii="宋体" w:hAnsi="宋体" w:cs="宋体"/>
                <w:szCs w:val="21"/>
                <w:highlight w:val="none"/>
              </w:rPr>
              <w:t>2U标准机架式设备，采用工业级专用硬件设备不能是通用的服务器，冗余电源，采用专用安全操作系统；内存不小于32G，6个千兆日志采集口，另支持两个可扩展接口槽位；支持Console口管理；系统存储内置硬Raid卡，并采用RAID5模式，标配三块2T硬盘有效存储容量不少于4TB，另支持一个硬盘槽位扩展；支持30个审计对象授权。</w:t>
            </w:r>
          </w:p>
        </w:tc>
      </w:tr>
      <w:tr w14:paraId="031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1CA9B38C">
            <w:pPr>
              <w:ind w:left="28"/>
              <w:jc w:val="center"/>
              <w:rPr>
                <w:rFonts w:ascii="宋体" w:hAnsi="宋体" w:cs="宋体"/>
                <w:szCs w:val="21"/>
                <w:highlight w:val="none"/>
              </w:rPr>
            </w:pPr>
            <w:r>
              <w:rPr>
                <w:rFonts w:hint="eastAsia" w:ascii="宋体" w:hAnsi="宋体" w:cs="宋体"/>
                <w:szCs w:val="21"/>
                <w:highlight w:val="none"/>
              </w:rPr>
              <w:t>部署要求</w:t>
            </w:r>
          </w:p>
        </w:tc>
        <w:tc>
          <w:tcPr>
            <w:tcW w:w="6925" w:type="dxa"/>
            <w:noWrap/>
            <w:vAlign w:val="center"/>
          </w:tcPr>
          <w:p w14:paraId="16E0446E">
            <w:pPr>
              <w:ind w:left="28"/>
              <w:rPr>
                <w:rFonts w:ascii="宋体" w:hAnsi="宋体" w:cs="宋体"/>
                <w:szCs w:val="21"/>
                <w:highlight w:val="none"/>
              </w:rPr>
            </w:pPr>
            <w:r>
              <w:rPr>
                <w:rFonts w:hint="eastAsia" w:ascii="宋体" w:hAnsi="宋体" w:cs="宋体"/>
                <w:szCs w:val="21"/>
                <w:highlight w:val="none"/>
              </w:rPr>
              <w:t>支持单级部署和级联部署，支持分布式部署；</w:t>
            </w:r>
          </w:p>
        </w:tc>
      </w:tr>
      <w:tr w14:paraId="387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5713B3BC">
            <w:pPr>
              <w:ind w:left="28"/>
              <w:jc w:val="center"/>
              <w:rPr>
                <w:rFonts w:ascii="宋体" w:hAnsi="宋体" w:cs="宋体"/>
                <w:szCs w:val="21"/>
                <w:highlight w:val="none"/>
              </w:rPr>
            </w:pPr>
            <w:r>
              <w:rPr>
                <w:rFonts w:hint="eastAsia" w:ascii="宋体" w:hAnsi="宋体" w:cs="宋体"/>
                <w:szCs w:val="21"/>
                <w:highlight w:val="none"/>
              </w:rPr>
              <w:t>资产管理</w:t>
            </w:r>
          </w:p>
        </w:tc>
        <w:tc>
          <w:tcPr>
            <w:tcW w:w="6925" w:type="dxa"/>
            <w:noWrap/>
            <w:vAlign w:val="center"/>
          </w:tcPr>
          <w:p w14:paraId="5B368B4B">
            <w:pPr>
              <w:ind w:left="28"/>
              <w:rPr>
                <w:rFonts w:ascii="宋体" w:hAnsi="宋体" w:cs="宋体"/>
                <w:szCs w:val="21"/>
                <w:highlight w:val="none"/>
              </w:rPr>
            </w:pPr>
            <w:r>
              <w:rPr>
                <w:rFonts w:hint="eastAsia" w:ascii="宋体" w:hAnsi="宋体" w:cs="宋体"/>
                <w:szCs w:val="21"/>
                <w:highlight w:val="none"/>
              </w:rPr>
              <w:t xml:space="preserve">必须满足系统提供基于资产的拓扑视图，可以按列表和拓扑两种模式显示资产拓扑节点；可查看每个资产设备本身产生的事件信息、关联告警信息，并且支持向下钻取，直接进入事件列表、关联告警列表； </w:t>
            </w:r>
          </w:p>
          <w:p w14:paraId="6D919E43">
            <w:pPr>
              <w:ind w:left="28"/>
              <w:rPr>
                <w:rFonts w:ascii="宋体" w:hAnsi="宋体" w:cs="宋体"/>
                <w:szCs w:val="21"/>
                <w:highlight w:val="none"/>
              </w:rPr>
            </w:pPr>
            <w:r>
              <w:rPr>
                <w:rFonts w:hint="eastAsia" w:ascii="宋体" w:hAnsi="宋体" w:cs="宋体"/>
                <w:szCs w:val="21"/>
                <w:highlight w:val="none"/>
              </w:rPr>
              <w:t>必须满足能够根据收到的事件的设备地址自动识别新的资产并自动添加到资产库中。</w:t>
            </w:r>
          </w:p>
        </w:tc>
      </w:tr>
      <w:tr w14:paraId="703B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3060B043">
            <w:pPr>
              <w:ind w:left="28"/>
              <w:jc w:val="center"/>
              <w:rPr>
                <w:rFonts w:ascii="宋体" w:hAnsi="宋体" w:cs="宋体"/>
                <w:szCs w:val="21"/>
                <w:highlight w:val="none"/>
              </w:rPr>
            </w:pPr>
            <w:r>
              <w:rPr>
                <w:rFonts w:hint="eastAsia" w:ascii="宋体" w:hAnsi="宋体" w:cs="宋体"/>
                <w:szCs w:val="21"/>
                <w:highlight w:val="none"/>
              </w:rPr>
              <w:t>工作台</w:t>
            </w:r>
          </w:p>
        </w:tc>
        <w:tc>
          <w:tcPr>
            <w:tcW w:w="6925" w:type="dxa"/>
            <w:noWrap/>
            <w:vAlign w:val="center"/>
          </w:tcPr>
          <w:p w14:paraId="652C5ACB">
            <w:pPr>
              <w:ind w:left="28"/>
              <w:rPr>
                <w:rFonts w:ascii="宋体" w:hAnsi="宋体" w:cs="宋体"/>
                <w:szCs w:val="21"/>
                <w:highlight w:val="none"/>
              </w:rPr>
            </w:pPr>
            <w:r>
              <w:rPr>
                <w:rFonts w:hint="eastAsia" w:ascii="宋体" w:hAnsi="宋体" w:cs="宋体"/>
                <w:szCs w:val="21"/>
                <w:highlight w:val="none"/>
              </w:rPr>
              <w:t>必须满足系统必须内置基本的仪表板。用户可以在工作台中自定义仪表板，按需设计仪表板显示的内容和布局，可以为用户建立不同维度的仪表板。</w:t>
            </w:r>
          </w:p>
          <w:p w14:paraId="617F0A21">
            <w:pPr>
              <w:ind w:left="28"/>
              <w:rPr>
                <w:rFonts w:ascii="宋体" w:hAnsi="宋体" w:cs="宋体"/>
                <w:szCs w:val="21"/>
                <w:highlight w:val="none"/>
              </w:rPr>
            </w:pPr>
            <w:r>
              <w:rPr>
                <w:rFonts w:hint="eastAsia" w:ascii="宋体" w:hAnsi="宋体" w:cs="宋体"/>
                <w:szCs w:val="21"/>
                <w:highlight w:val="none"/>
              </w:rPr>
              <w:t>必须满足仪表板中的每个显示区域都能够放大、缩小、拖动。</w:t>
            </w:r>
          </w:p>
        </w:tc>
      </w:tr>
      <w:tr w14:paraId="63A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001A3C8A">
            <w:pPr>
              <w:ind w:left="28"/>
              <w:jc w:val="center"/>
              <w:rPr>
                <w:rFonts w:ascii="宋体" w:hAnsi="宋体" w:cs="宋体"/>
                <w:szCs w:val="21"/>
                <w:highlight w:val="none"/>
              </w:rPr>
            </w:pPr>
            <w:r>
              <w:rPr>
                <w:rFonts w:hint="eastAsia" w:ascii="宋体" w:hAnsi="宋体" w:cs="宋体"/>
                <w:szCs w:val="21"/>
                <w:highlight w:val="none"/>
              </w:rPr>
              <w:t>日志管理</w:t>
            </w:r>
          </w:p>
        </w:tc>
        <w:tc>
          <w:tcPr>
            <w:tcW w:w="6925" w:type="dxa"/>
            <w:noWrap/>
            <w:vAlign w:val="center"/>
          </w:tcPr>
          <w:p w14:paraId="3D6A2252">
            <w:pPr>
              <w:ind w:left="28"/>
              <w:rPr>
                <w:rFonts w:ascii="宋体" w:hAnsi="宋体" w:cs="宋体"/>
                <w:szCs w:val="21"/>
                <w:highlight w:val="none"/>
              </w:rPr>
            </w:pPr>
            <w:r>
              <w:rPr>
                <w:rFonts w:hint="eastAsia" w:ascii="宋体" w:hAnsi="宋体" w:cs="宋体"/>
                <w:szCs w:val="21"/>
                <w:highlight w:val="none"/>
              </w:rPr>
              <w:t>必须满足日志可加密压缩传输 支持加密压缩方式转发，定时转发；</w:t>
            </w:r>
          </w:p>
          <w:p w14:paraId="117F160D">
            <w:pPr>
              <w:ind w:left="28"/>
              <w:rPr>
                <w:rFonts w:ascii="宋体" w:hAnsi="宋体" w:cs="宋体"/>
                <w:szCs w:val="21"/>
                <w:highlight w:val="none"/>
              </w:rPr>
            </w:pPr>
            <w:r>
              <w:rPr>
                <w:rFonts w:hint="eastAsia" w:ascii="宋体" w:hAnsi="宋体" w:cs="宋体"/>
                <w:szCs w:val="21"/>
                <w:highlight w:val="none"/>
              </w:rPr>
              <w:t xml:space="preserve">必须满足支持日志源管理功能，对断点日志源可以产生告警； </w:t>
            </w:r>
          </w:p>
        </w:tc>
      </w:tr>
      <w:tr w14:paraId="124E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09384C03">
            <w:pPr>
              <w:ind w:left="28"/>
              <w:jc w:val="center"/>
              <w:rPr>
                <w:rFonts w:ascii="宋体" w:hAnsi="宋体" w:cs="宋体"/>
                <w:szCs w:val="21"/>
                <w:highlight w:val="none"/>
              </w:rPr>
            </w:pPr>
            <w:r>
              <w:rPr>
                <w:rFonts w:hint="eastAsia" w:ascii="宋体" w:hAnsi="宋体" w:cs="宋体"/>
                <w:szCs w:val="21"/>
                <w:highlight w:val="none"/>
              </w:rPr>
              <w:t>日志范式化</w:t>
            </w:r>
          </w:p>
        </w:tc>
        <w:tc>
          <w:tcPr>
            <w:tcW w:w="6925" w:type="dxa"/>
            <w:noWrap/>
            <w:vAlign w:val="center"/>
          </w:tcPr>
          <w:p w14:paraId="529560CE">
            <w:pPr>
              <w:ind w:left="28"/>
              <w:rPr>
                <w:rFonts w:ascii="宋体" w:hAnsi="宋体" w:cs="宋体"/>
                <w:szCs w:val="21"/>
                <w:highlight w:val="none"/>
              </w:rPr>
            </w:pPr>
            <w:r>
              <w:rPr>
                <w:rFonts w:hint="eastAsia" w:ascii="宋体" w:hAnsi="宋体" w:cs="宋体"/>
                <w:szCs w:val="21"/>
                <w:highlight w:val="none"/>
              </w:rPr>
              <w:t>必须满足范式化字段至少应包括事件接收时间、事件产生时间、事件持续时间、用户名称、源地址、源MAC地址、源端口、操作、目的地址、目的MAC地址、目的端口、事件名称、事件摘要、等级、原始等级、原始类型、网络协议、网络应用协议、设备地址、设备名称、设备类型等；针对不支持的事件类型做范式化不需改动编码，通过修改配置文件即可完成。</w:t>
            </w:r>
          </w:p>
          <w:p w14:paraId="7CC83614">
            <w:pPr>
              <w:ind w:left="28"/>
              <w:rPr>
                <w:rFonts w:ascii="宋体" w:hAnsi="宋体" w:cs="宋体"/>
                <w:szCs w:val="21"/>
                <w:highlight w:val="none"/>
              </w:rPr>
            </w:pPr>
            <w:r>
              <w:rPr>
                <w:rFonts w:hint="eastAsia" w:ascii="宋体" w:hAnsi="宋体" w:cs="宋体"/>
                <w:szCs w:val="21"/>
                <w:highlight w:val="none"/>
              </w:rPr>
              <w:t>必须满足产品界面支持范式化文件的导入导出功能。</w:t>
            </w:r>
          </w:p>
        </w:tc>
      </w:tr>
      <w:tr w14:paraId="1221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6B45EE2A">
            <w:pPr>
              <w:ind w:left="28"/>
              <w:jc w:val="center"/>
              <w:rPr>
                <w:rFonts w:ascii="宋体" w:hAnsi="宋体" w:cs="宋体"/>
                <w:szCs w:val="21"/>
                <w:highlight w:val="none"/>
              </w:rPr>
            </w:pPr>
            <w:r>
              <w:rPr>
                <w:rFonts w:hint="eastAsia" w:ascii="宋体" w:hAnsi="宋体" w:cs="宋体"/>
                <w:szCs w:val="21"/>
                <w:highlight w:val="none"/>
              </w:rPr>
              <w:t>日志分析</w:t>
            </w:r>
          </w:p>
        </w:tc>
        <w:tc>
          <w:tcPr>
            <w:tcW w:w="6925" w:type="dxa"/>
            <w:noWrap/>
            <w:vAlign w:val="center"/>
          </w:tcPr>
          <w:p w14:paraId="155A488F">
            <w:pPr>
              <w:ind w:left="28"/>
              <w:rPr>
                <w:rFonts w:ascii="宋体" w:hAnsi="宋体" w:cs="宋体"/>
                <w:szCs w:val="21"/>
                <w:highlight w:val="none"/>
              </w:rPr>
            </w:pPr>
            <w:r>
              <w:rPr>
                <w:rFonts w:hint="eastAsia" w:ascii="宋体" w:hAnsi="宋体" w:cs="宋体"/>
                <w:szCs w:val="21"/>
                <w:highlight w:val="none"/>
              </w:rPr>
              <w:t>必须满足系统需内置不同分析场景，包括各种实时分析场景、历史统计场景、实时统计等。并支持支持自定义场景；</w:t>
            </w:r>
          </w:p>
          <w:p w14:paraId="2295F9CA">
            <w:pPr>
              <w:ind w:left="28"/>
              <w:rPr>
                <w:rFonts w:ascii="宋体" w:hAnsi="宋体" w:cs="宋体"/>
                <w:szCs w:val="21"/>
                <w:highlight w:val="none"/>
              </w:rPr>
            </w:pPr>
            <w:r>
              <w:rPr>
                <w:rFonts w:hint="eastAsia" w:ascii="宋体" w:hAnsi="宋体" w:cs="宋体"/>
                <w:szCs w:val="21"/>
                <w:highlight w:val="none"/>
              </w:rPr>
              <w:t xml:space="preserve">必须满足可以手工对选中日志进行告警或者加入观察列表中； </w:t>
            </w:r>
          </w:p>
          <w:p w14:paraId="57646248">
            <w:pPr>
              <w:ind w:left="28"/>
              <w:rPr>
                <w:rFonts w:ascii="宋体" w:hAnsi="宋体" w:cs="宋体"/>
                <w:szCs w:val="21"/>
                <w:highlight w:val="none"/>
              </w:rPr>
            </w:pPr>
            <w:r>
              <w:rPr>
                <w:rFonts w:hint="eastAsia" w:ascii="宋体" w:hAnsi="宋体" w:cs="宋体"/>
                <w:szCs w:val="21"/>
                <w:highlight w:val="none"/>
              </w:rPr>
              <w:t>必须满足自定义事件查询策略，基于事件类型的查询条件不少于10大项50小项；</w:t>
            </w:r>
          </w:p>
          <w:p w14:paraId="71B79625">
            <w:pPr>
              <w:ind w:left="28"/>
              <w:rPr>
                <w:rFonts w:ascii="宋体" w:hAnsi="宋体" w:cs="宋体"/>
                <w:szCs w:val="21"/>
                <w:highlight w:val="none"/>
              </w:rPr>
            </w:pPr>
            <w:r>
              <w:rPr>
                <w:rFonts w:hint="eastAsia" w:ascii="宋体" w:hAnsi="宋体" w:cs="宋体"/>
                <w:szCs w:val="21"/>
                <w:highlight w:val="none"/>
              </w:rPr>
              <w:t>必须满足可以对选中的日志提供在线/离线地图定位、视网膜图、事件拓扑图等多种分析工具；</w:t>
            </w:r>
          </w:p>
          <w:p w14:paraId="1C7DAB05">
            <w:pPr>
              <w:ind w:left="28"/>
              <w:rPr>
                <w:rFonts w:ascii="宋体" w:hAnsi="宋体" w:cs="宋体"/>
                <w:szCs w:val="21"/>
                <w:highlight w:val="none"/>
              </w:rPr>
            </w:pPr>
            <w:r>
              <w:rPr>
                <w:rFonts w:hint="eastAsia" w:ascii="宋体" w:hAnsi="宋体" w:cs="宋体"/>
                <w:szCs w:val="21"/>
                <w:highlight w:val="none"/>
              </w:rPr>
              <w:t>可以显示一段时间的动态日志移动图，能够在图上显示每个时间切片的日志数量、等级，并能够在图上显示每秒事件数。用户点击每个时间切片，可以查看该切片内的日志。</w:t>
            </w:r>
          </w:p>
        </w:tc>
      </w:tr>
      <w:tr w14:paraId="1BEA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7403B744">
            <w:pPr>
              <w:ind w:left="28"/>
              <w:jc w:val="center"/>
              <w:rPr>
                <w:rFonts w:ascii="宋体" w:hAnsi="宋体" w:cs="宋体"/>
                <w:szCs w:val="21"/>
                <w:highlight w:val="none"/>
              </w:rPr>
            </w:pPr>
            <w:r>
              <w:rPr>
                <w:rFonts w:hint="eastAsia" w:ascii="宋体" w:hAnsi="宋体" w:cs="宋体"/>
                <w:szCs w:val="21"/>
                <w:highlight w:val="none"/>
              </w:rPr>
              <w:t>关联分析</w:t>
            </w:r>
          </w:p>
        </w:tc>
        <w:tc>
          <w:tcPr>
            <w:tcW w:w="6925" w:type="dxa"/>
            <w:noWrap/>
            <w:vAlign w:val="center"/>
          </w:tcPr>
          <w:p w14:paraId="63A70EC8">
            <w:pPr>
              <w:ind w:left="28"/>
              <w:rPr>
                <w:rFonts w:ascii="宋体" w:hAnsi="宋体" w:cs="宋体"/>
                <w:szCs w:val="21"/>
                <w:highlight w:val="none"/>
              </w:rPr>
            </w:pPr>
            <w:r>
              <w:rPr>
                <w:rFonts w:hint="eastAsia" w:ascii="宋体" w:hAnsi="宋体" w:cs="宋体"/>
                <w:szCs w:val="21"/>
                <w:highlight w:val="none"/>
              </w:rPr>
              <w:t>必须满足提供基于图形化方式的规则编辑器；规则可导入导出。</w:t>
            </w:r>
          </w:p>
          <w:p w14:paraId="19EF5B70">
            <w:pPr>
              <w:ind w:left="28"/>
              <w:rPr>
                <w:rFonts w:ascii="宋体" w:hAnsi="宋体" w:cs="宋体"/>
                <w:szCs w:val="21"/>
                <w:highlight w:val="none"/>
              </w:rPr>
            </w:pPr>
            <w:r>
              <w:rPr>
                <w:rFonts w:hint="eastAsia" w:ascii="宋体" w:hAnsi="宋体" w:cs="宋体"/>
                <w:szCs w:val="21"/>
                <w:highlight w:val="none"/>
              </w:rPr>
              <w:t>必须满足在编辑规则条件的时候，可以针对事件属性引用规则、应用资产属性、引用资源。</w:t>
            </w:r>
          </w:p>
        </w:tc>
      </w:tr>
      <w:tr w14:paraId="634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2E7C6D28">
            <w:pPr>
              <w:ind w:left="28"/>
              <w:jc w:val="center"/>
              <w:rPr>
                <w:rFonts w:ascii="宋体" w:hAnsi="宋体" w:cs="宋体"/>
                <w:szCs w:val="21"/>
                <w:highlight w:val="none"/>
              </w:rPr>
            </w:pPr>
            <w:r>
              <w:rPr>
                <w:rFonts w:hint="eastAsia" w:ascii="宋体" w:hAnsi="宋体" w:cs="宋体"/>
                <w:szCs w:val="21"/>
                <w:highlight w:val="none"/>
              </w:rPr>
              <w:t>综合显示</w:t>
            </w:r>
          </w:p>
        </w:tc>
        <w:tc>
          <w:tcPr>
            <w:tcW w:w="6925" w:type="dxa"/>
            <w:noWrap/>
            <w:vAlign w:val="center"/>
          </w:tcPr>
          <w:p w14:paraId="1FEFB6F5">
            <w:pPr>
              <w:ind w:left="28"/>
              <w:rPr>
                <w:rFonts w:ascii="宋体" w:hAnsi="宋体" w:cs="宋体"/>
                <w:szCs w:val="21"/>
                <w:highlight w:val="none"/>
              </w:rPr>
            </w:pPr>
            <w:r>
              <w:rPr>
                <w:rFonts w:hint="eastAsia" w:ascii="宋体" w:hAnsi="宋体" w:cs="宋体"/>
                <w:szCs w:val="21"/>
                <w:highlight w:val="none"/>
              </w:rPr>
              <w:t>必须满足能够显示告警状态雷达图，日志趋势曲线图；最近事件览图；最近一段时间不同日志分类的日志数量，不同等级的日志的数量，事件EPS曲线。</w:t>
            </w:r>
          </w:p>
        </w:tc>
      </w:tr>
      <w:tr w14:paraId="4C21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3C28B3F3">
            <w:pPr>
              <w:ind w:left="28"/>
              <w:jc w:val="center"/>
              <w:rPr>
                <w:rFonts w:ascii="宋体" w:hAnsi="宋体" w:cs="宋体"/>
                <w:szCs w:val="21"/>
                <w:highlight w:val="none"/>
              </w:rPr>
            </w:pPr>
            <w:r>
              <w:rPr>
                <w:rFonts w:hint="eastAsia" w:ascii="宋体" w:hAnsi="宋体" w:cs="宋体"/>
                <w:szCs w:val="21"/>
                <w:highlight w:val="none"/>
              </w:rPr>
              <w:t>知识库</w:t>
            </w:r>
          </w:p>
        </w:tc>
        <w:tc>
          <w:tcPr>
            <w:tcW w:w="6925" w:type="dxa"/>
            <w:noWrap/>
            <w:vAlign w:val="center"/>
          </w:tcPr>
          <w:p w14:paraId="27CDC0ED">
            <w:pPr>
              <w:ind w:left="28"/>
              <w:rPr>
                <w:rFonts w:ascii="宋体" w:hAnsi="宋体" w:cs="宋体"/>
                <w:szCs w:val="21"/>
                <w:highlight w:val="none"/>
              </w:rPr>
            </w:pPr>
            <w:r>
              <w:rPr>
                <w:rFonts w:hint="eastAsia" w:ascii="宋体" w:hAnsi="宋体" w:cs="宋体"/>
                <w:szCs w:val="21"/>
                <w:highlight w:val="none"/>
              </w:rPr>
              <w:t>必须满足内置Cisco PIX和交换机的事件编码知识库；内置Windows、Linux、Solaris、AIX操作系统的事件ID知识库；内置Oracle、SQL Server、MySQL、Informix、DB2数据库的事件编码知识库；能够查看系统内置的事件库中事件类型名称及其描述信息。</w:t>
            </w:r>
          </w:p>
        </w:tc>
      </w:tr>
    </w:tbl>
    <w:p w14:paraId="14F21C8F">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1.1</w:t>
      </w:r>
      <w:r>
        <w:rPr>
          <w:rFonts w:hint="eastAsia" w:ascii="宋体" w:hAnsi="宋体" w:cs="宋体"/>
          <w:sz w:val="36"/>
          <w:szCs w:val="36"/>
          <w:highlight w:val="none"/>
        </w:rPr>
        <w:t xml:space="preserve">4 </w:t>
      </w:r>
      <w:r>
        <w:rPr>
          <w:rFonts w:hint="eastAsia" w:ascii="仿宋_GB2312" w:hAnsi="仿宋_GB2312" w:eastAsia="仿宋_GB2312" w:cs="仿宋_GB2312"/>
          <w:sz w:val="36"/>
          <w:szCs w:val="36"/>
          <w:highlight w:val="none"/>
          <w:lang w:eastAsia="en-US"/>
        </w:rPr>
        <w:t>数据库审计</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6925"/>
      </w:tblGrid>
      <w:tr w14:paraId="7030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top"/>
          </w:tcPr>
          <w:p w14:paraId="18C8B3F5">
            <w:pPr>
              <w:jc w:val="center"/>
              <w:rPr>
                <w:rFonts w:ascii="宋体" w:hAnsi="宋体" w:cs="宋体"/>
                <w:b/>
                <w:szCs w:val="21"/>
                <w:highlight w:val="none"/>
              </w:rPr>
            </w:pPr>
            <w:r>
              <w:rPr>
                <w:rFonts w:hint="eastAsia" w:ascii="宋体" w:hAnsi="宋体" w:cs="宋体"/>
                <w:b/>
                <w:bCs/>
                <w:szCs w:val="21"/>
                <w:highlight w:val="none"/>
              </w:rPr>
              <w:t>指标项</w:t>
            </w:r>
          </w:p>
        </w:tc>
        <w:tc>
          <w:tcPr>
            <w:tcW w:w="6925" w:type="dxa"/>
            <w:noWrap/>
            <w:vAlign w:val="top"/>
          </w:tcPr>
          <w:p w14:paraId="407B14D3">
            <w:pPr>
              <w:jc w:val="center"/>
              <w:rPr>
                <w:rFonts w:ascii="宋体" w:hAnsi="宋体" w:cs="宋体"/>
                <w:b/>
                <w:szCs w:val="21"/>
                <w:highlight w:val="none"/>
              </w:rPr>
            </w:pPr>
            <w:r>
              <w:rPr>
                <w:rFonts w:hint="eastAsia" w:ascii="宋体" w:hAnsi="宋体" w:cs="宋体"/>
                <w:b/>
                <w:bCs/>
                <w:szCs w:val="21"/>
                <w:highlight w:val="none"/>
              </w:rPr>
              <w:t>招标要求</w:t>
            </w:r>
          </w:p>
        </w:tc>
      </w:tr>
      <w:tr w14:paraId="6B05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ign w:val="center"/>
          </w:tcPr>
          <w:p w14:paraId="26C35AF6">
            <w:pPr>
              <w:jc w:val="center"/>
              <w:rPr>
                <w:rFonts w:ascii="宋体" w:hAnsi="宋体" w:cs="宋体"/>
                <w:szCs w:val="21"/>
                <w:highlight w:val="none"/>
              </w:rPr>
            </w:pPr>
            <w:r>
              <w:rPr>
                <w:rFonts w:hint="eastAsia" w:ascii="宋体" w:hAnsi="宋体" w:cs="宋体"/>
                <w:szCs w:val="21"/>
                <w:highlight w:val="none"/>
              </w:rPr>
              <w:t>审计协议</w:t>
            </w:r>
          </w:p>
        </w:tc>
        <w:tc>
          <w:tcPr>
            <w:tcW w:w="6925" w:type="dxa"/>
            <w:noWrap/>
            <w:vAlign w:val="center"/>
          </w:tcPr>
          <w:p w14:paraId="6942E350">
            <w:pPr>
              <w:rPr>
                <w:rFonts w:ascii="宋体" w:hAnsi="宋体" w:cs="宋体"/>
                <w:szCs w:val="21"/>
                <w:highlight w:val="none"/>
              </w:rPr>
            </w:pPr>
            <w:r>
              <w:rPr>
                <w:rFonts w:hint="eastAsia" w:ascii="宋体" w:hAnsi="宋体" w:cs="宋体"/>
                <w:szCs w:val="21"/>
                <w:highlight w:val="none"/>
              </w:rPr>
              <w:t>支持对Oracle、SQL-Server、DB2、Informix、Sybase、</w:t>
            </w:r>
          </w:p>
          <w:p w14:paraId="16C7EDB8">
            <w:pPr>
              <w:rPr>
                <w:rFonts w:ascii="宋体" w:hAnsi="宋体" w:cs="宋体"/>
                <w:szCs w:val="21"/>
                <w:highlight w:val="none"/>
              </w:rPr>
            </w:pPr>
            <w:r>
              <w:rPr>
                <w:rFonts w:hint="eastAsia" w:ascii="宋体" w:hAnsi="宋体" w:cs="宋体"/>
                <w:szCs w:val="21"/>
                <w:highlight w:val="none"/>
              </w:rPr>
              <w:t>MySQL、PostgreSQL、Teradata、Cache等数据库进行审计。</w:t>
            </w:r>
          </w:p>
        </w:tc>
      </w:tr>
      <w:tr w14:paraId="7F9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0636E28A">
            <w:pPr>
              <w:jc w:val="center"/>
              <w:rPr>
                <w:rFonts w:ascii="宋体" w:hAnsi="宋体" w:cs="宋体"/>
                <w:szCs w:val="21"/>
                <w:highlight w:val="none"/>
              </w:rPr>
            </w:pPr>
          </w:p>
        </w:tc>
        <w:tc>
          <w:tcPr>
            <w:tcW w:w="6925" w:type="dxa"/>
            <w:noWrap/>
            <w:vAlign w:val="center"/>
          </w:tcPr>
          <w:p w14:paraId="64E76121">
            <w:pPr>
              <w:rPr>
                <w:rFonts w:ascii="宋体" w:hAnsi="宋体" w:cs="宋体"/>
                <w:szCs w:val="21"/>
                <w:highlight w:val="none"/>
              </w:rPr>
            </w:pPr>
            <w:r>
              <w:rPr>
                <w:rFonts w:hint="eastAsia" w:ascii="宋体" w:hAnsi="宋体" w:cs="宋体"/>
                <w:szCs w:val="21"/>
                <w:highlight w:val="none"/>
              </w:rPr>
              <w:t>支持高斯（Gauss）、人大金仓KingBase、神通(OSCAR)、达梦(DM)、南大通用(GBase) 等数据库进行审计。</w:t>
            </w:r>
          </w:p>
        </w:tc>
      </w:tr>
      <w:tr w14:paraId="6A8A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62DC5655">
            <w:pPr>
              <w:jc w:val="center"/>
              <w:rPr>
                <w:rFonts w:ascii="宋体" w:hAnsi="宋体" w:cs="宋体"/>
                <w:szCs w:val="21"/>
                <w:highlight w:val="none"/>
              </w:rPr>
            </w:pPr>
          </w:p>
        </w:tc>
        <w:tc>
          <w:tcPr>
            <w:tcW w:w="6925" w:type="dxa"/>
            <w:noWrap/>
            <w:vAlign w:val="center"/>
          </w:tcPr>
          <w:p w14:paraId="791DFC7D">
            <w:pPr>
              <w:rPr>
                <w:rFonts w:ascii="宋体" w:hAnsi="宋体" w:cs="宋体"/>
                <w:szCs w:val="21"/>
                <w:highlight w:val="none"/>
              </w:rPr>
            </w:pPr>
            <w:r>
              <w:rPr>
                <w:rFonts w:hint="eastAsia" w:ascii="宋体" w:hAnsi="宋体" w:cs="宋体"/>
                <w:szCs w:val="21"/>
                <w:highlight w:val="none"/>
              </w:rPr>
              <w:t>支持MongoDB、Redis、Hbase、hive、ES等数据库进行审计。</w:t>
            </w:r>
          </w:p>
        </w:tc>
      </w:tr>
      <w:tr w14:paraId="5E8B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68D36CBE">
            <w:pPr>
              <w:jc w:val="center"/>
              <w:rPr>
                <w:rFonts w:ascii="宋体" w:hAnsi="宋体" w:cs="宋体"/>
                <w:szCs w:val="21"/>
                <w:highlight w:val="none"/>
              </w:rPr>
            </w:pPr>
          </w:p>
        </w:tc>
        <w:tc>
          <w:tcPr>
            <w:tcW w:w="6925" w:type="dxa"/>
            <w:noWrap/>
            <w:vAlign w:val="center"/>
          </w:tcPr>
          <w:p w14:paraId="7F87C332">
            <w:pPr>
              <w:rPr>
                <w:rFonts w:ascii="宋体" w:hAnsi="宋体" w:cs="宋体"/>
                <w:szCs w:val="21"/>
                <w:highlight w:val="none"/>
              </w:rPr>
            </w:pPr>
            <w:r>
              <w:rPr>
                <w:rFonts w:hint="eastAsia" w:ascii="宋体" w:hAnsi="宋体" w:cs="宋体"/>
                <w:szCs w:val="21"/>
                <w:highlight w:val="none"/>
              </w:rPr>
              <w:t>支持FTP、Rlogin、Radius、NFS、X11等协议审计。</w:t>
            </w:r>
          </w:p>
        </w:tc>
      </w:tr>
      <w:tr w14:paraId="6C6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ign w:val="center"/>
          </w:tcPr>
          <w:p w14:paraId="790CAA0A">
            <w:pPr>
              <w:jc w:val="center"/>
              <w:rPr>
                <w:rFonts w:ascii="宋体" w:hAnsi="宋体" w:cs="宋体"/>
                <w:szCs w:val="21"/>
                <w:highlight w:val="none"/>
              </w:rPr>
            </w:pPr>
            <w:r>
              <w:rPr>
                <w:rFonts w:hint="eastAsia" w:ascii="宋体" w:hAnsi="宋体" w:cs="宋体"/>
                <w:szCs w:val="21"/>
                <w:highlight w:val="none"/>
              </w:rPr>
              <w:t>审计能力与效果</w:t>
            </w:r>
          </w:p>
        </w:tc>
        <w:tc>
          <w:tcPr>
            <w:tcW w:w="6925" w:type="dxa"/>
            <w:noWrap/>
            <w:vAlign w:val="center"/>
          </w:tcPr>
          <w:p w14:paraId="53276363">
            <w:pPr>
              <w:rPr>
                <w:rFonts w:ascii="宋体" w:hAnsi="宋体" w:cs="宋体"/>
                <w:szCs w:val="21"/>
                <w:highlight w:val="none"/>
              </w:rPr>
            </w:pPr>
            <w:r>
              <w:rPr>
                <w:rFonts w:hint="eastAsia" w:ascii="宋体" w:hAnsi="宋体" w:cs="宋体"/>
                <w:szCs w:val="21"/>
                <w:highlight w:val="none"/>
              </w:rPr>
              <w:t>系统应内置规则集，对数据库DML、DCL、DDL等语句及FTP、Telnet等协议中的命令进行归类，便于用户定制审计策略。</w:t>
            </w:r>
          </w:p>
        </w:tc>
      </w:tr>
      <w:tr w14:paraId="7E5F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49A073EE">
            <w:pPr>
              <w:jc w:val="center"/>
              <w:rPr>
                <w:rFonts w:ascii="宋体" w:hAnsi="宋体" w:cs="宋体"/>
                <w:szCs w:val="21"/>
                <w:highlight w:val="none"/>
              </w:rPr>
            </w:pPr>
          </w:p>
        </w:tc>
        <w:tc>
          <w:tcPr>
            <w:tcW w:w="6925" w:type="dxa"/>
            <w:noWrap/>
            <w:vAlign w:val="center"/>
          </w:tcPr>
          <w:p w14:paraId="17932E3D">
            <w:pPr>
              <w:rPr>
                <w:rFonts w:ascii="宋体" w:hAnsi="宋体" w:cs="宋体"/>
                <w:szCs w:val="21"/>
                <w:highlight w:val="none"/>
              </w:rPr>
            </w:pPr>
            <w:r>
              <w:rPr>
                <w:rFonts w:hint="eastAsia" w:ascii="宋体" w:hAnsi="宋体" w:cs="宋体"/>
                <w:szCs w:val="21"/>
                <w:highlight w:val="none"/>
              </w:rPr>
              <w:t>审计策略支持时间、源IP、目的IP、协议、端口、登陆账号、命令作为响应条件。</w:t>
            </w:r>
          </w:p>
        </w:tc>
      </w:tr>
      <w:tr w14:paraId="39D1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1BEF6DA3">
            <w:pPr>
              <w:jc w:val="center"/>
              <w:rPr>
                <w:rFonts w:ascii="宋体" w:hAnsi="宋体" w:cs="宋体"/>
                <w:szCs w:val="21"/>
                <w:highlight w:val="none"/>
              </w:rPr>
            </w:pPr>
          </w:p>
        </w:tc>
        <w:tc>
          <w:tcPr>
            <w:tcW w:w="6925" w:type="dxa"/>
            <w:noWrap/>
            <w:vAlign w:val="center"/>
          </w:tcPr>
          <w:p w14:paraId="48E56DCE">
            <w:pPr>
              <w:rPr>
                <w:rFonts w:ascii="宋体" w:hAnsi="宋体" w:cs="宋体"/>
                <w:szCs w:val="21"/>
                <w:highlight w:val="none"/>
              </w:rPr>
            </w:pPr>
            <w:r>
              <w:rPr>
                <w:rFonts w:hint="eastAsia" w:ascii="宋体" w:hAnsi="宋体" w:cs="宋体"/>
                <w:szCs w:val="21"/>
                <w:highlight w:val="none"/>
              </w:rPr>
              <w:t>审计策略支持数据库客户端软件名称、数据库名、数据库表名、数据库字段名、数据库返回码作为响应条件（非正则表达式方式）。</w:t>
            </w:r>
          </w:p>
        </w:tc>
      </w:tr>
      <w:tr w14:paraId="0AAC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487AB5B5">
            <w:pPr>
              <w:jc w:val="center"/>
              <w:rPr>
                <w:rFonts w:ascii="宋体" w:hAnsi="宋体" w:cs="宋体"/>
                <w:szCs w:val="21"/>
                <w:highlight w:val="none"/>
              </w:rPr>
            </w:pPr>
          </w:p>
        </w:tc>
        <w:tc>
          <w:tcPr>
            <w:tcW w:w="6925" w:type="dxa"/>
            <w:noWrap/>
            <w:vAlign w:val="center"/>
          </w:tcPr>
          <w:p w14:paraId="3AD209EE">
            <w:pPr>
              <w:rPr>
                <w:rFonts w:ascii="宋体" w:hAnsi="宋体" w:cs="宋体"/>
                <w:szCs w:val="21"/>
                <w:highlight w:val="none"/>
              </w:rPr>
            </w:pPr>
            <w:r>
              <w:rPr>
                <w:rFonts w:hint="eastAsia" w:ascii="宋体" w:hAnsi="宋体" w:cs="宋体"/>
                <w:szCs w:val="21"/>
                <w:highlight w:val="none"/>
              </w:rPr>
              <w:t>提供对数据库返回码的实时说明，帮助管理员快速对返回码进行识别。</w:t>
            </w:r>
          </w:p>
        </w:tc>
      </w:tr>
      <w:tr w14:paraId="15B0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06D44645">
            <w:pPr>
              <w:jc w:val="center"/>
              <w:rPr>
                <w:rFonts w:ascii="宋体" w:hAnsi="宋体" w:cs="宋体"/>
                <w:szCs w:val="21"/>
                <w:highlight w:val="none"/>
              </w:rPr>
            </w:pPr>
          </w:p>
        </w:tc>
        <w:tc>
          <w:tcPr>
            <w:tcW w:w="6925" w:type="dxa"/>
            <w:noWrap/>
            <w:vAlign w:val="center"/>
          </w:tcPr>
          <w:p w14:paraId="1F584698">
            <w:pPr>
              <w:rPr>
                <w:rFonts w:ascii="宋体" w:hAnsi="宋体" w:cs="宋体"/>
                <w:szCs w:val="21"/>
                <w:highlight w:val="none"/>
              </w:rPr>
            </w:pPr>
            <w:r>
              <w:rPr>
                <w:rFonts w:hint="eastAsia" w:ascii="宋体" w:hAnsi="宋体" w:cs="宋体"/>
                <w:szCs w:val="21"/>
                <w:highlight w:val="none"/>
              </w:rPr>
              <w:t>支持对数据库DML、DCL、DDL语句的审计</w:t>
            </w:r>
          </w:p>
        </w:tc>
      </w:tr>
      <w:tr w14:paraId="0EFC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48100B0">
            <w:pPr>
              <w:jc w:val="center"/>
              <w:rPr>
                <w:rFonts w:ascii="宋体" w:hAnsi="宋体" w:cs="宋体"/>
                <w:szCs w:val="21"/>
                <w:highlight w:val="none"/>
              </w:rPr>
            </w:pPr>
          </w:p>
        </w:tc>
        <w:tc>
          <w:tcPr>
            <w:tcW w:w="6925" w:type="dxa"/>
            <w:noWrap/>
            <w:vAlign w:val="center"/>
          </w:tcPr>
          <w:p w14:paraId="3AC1220B">
            <w:pPr>
              <w:rPr>
                <w:rFonts w:ascii="宋体" w:hAnsi="宋体" w:cs="宋体"/>
                <w:szCs w:val="21"/>
                <w:highlight w:val="none"/>
              </w:rPr>
            </w:pPr>
            <w:r>
              <w:rPr>
                <w:rFonts w:hint="eastAsia" w:ascii="宋体" w:hAnsi="宋体" w:cs="宋体"/>
                <w:szCs w:val="21"/>
                <w:highlight w:val="none"/>
              </w:rPr>
              <w:t>审计策略支持数据库客户端软件名称、数据库名、数据库表名、数据库字段名、数据库返回码作为响应条件。</w:t>
            </w:r>
          </w:p>
        </w:tc>
      </w:tr>
      <w:tr w14:paraId="5926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77454BFE">
            <w:pPr>
              <w:jc w:val="center"/>
              <w:rPr>
                <w:rFonts w:ascii="宋体" w:hAnsi="宋体" w:cs="宋体"/>
                <w:szCs w:val="21"/>
                <w:highlight w:val="none"/>
              </w:rPr>
            </w:pPr>
          </w:p>
        </w:tc>
        <w:tc>
          <w:tcPr>
            <w:tcW w:w="6925" w:type="dxa"/>
            <w:noWrap/>
            <w:vAlign w:val="center"/>
          </w:tcPr>
          <w:p w14:paraId="778124E5">
            <w:pPr>
              <w:rPr>
                <w:rFonts w:ascii="宋体" w:hAnsi="宋体" w:cs="宋体"/>
                <w:szCs w:val="21"/>
                <w:highlight w:val="none"/>
              </w:rPr>
            </w:pPr>
            <w:r>
              <w:rPr>
                <w:rFonts w:hint="eastAsia" w:ascii="宋体" w:hAnsi="宋体" w:cs="宋体"/>
                <w:szCs w:val="21"/>
                <w:highlight w:val="none"/>
              </w:rPr>
              <w:t>审计策略支持时间、源IP、目的IP、协议、端口、登陆账号、命令作为响应条件。</w:t>
            </w:r>
          </w:p>
        </w:tc>
      </w:tr>
      <w:tr w14:paraId="08F1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423367CB">
            <w:pPr>
              <w:jc w:val="center"/>
              <w:rPr>
                <w:rFonts w:ascii="宋体" w:hAnsi="宋体" w:cs="宋体"/>
                <w:szCs w:val="21"/>
                <w:highlight w:val="none"/>
              </w:rPr>
            </w:pPr>
          </w:p>
        </w:tc>
        <w:tc>
          <w:tcPr>
            <w:tcW w:w="6925" w:type="dxa"/>
            <w:noWrap/>
            <w:vAlign w:val="center"/>
          </w:tcPr>
          <w:p w14:paraId="15ECDF02">
            <w:pPr>
              <w:rPr>
                <w:rFonts w:ascii="宋体" w:hAnsi="宋体" w:cs="宋体"/>
                <w:szCs w:val="21"/>
                <w:highlight w:val="none"/>
              </w:rPr>
            </w:pPr>
            <w:r>
              <w:rPr>
                <w:rFonts w:hint="eastAsia" w:ascii="宋体" w:hAnsi="宋体" w:cs="宋体"/>
                <w:szCs w:val="21"/>
                <w:highlight w:val="none"/>
              </w:rPr>
              <w:t>支持对数据库绑定变量方式访问的审计。</w:t>
            </w:r>
          </w:p>
        </w:tc>
      </w:tr>
      <w:tr w14:paraId="383E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603709B">
            <w:pPr>
              <w:jc w:val="center"/>
              <w:rPr>
                <w:rFonts w:ascii="宋体" w:hAnsi="宋体" w:cs="宋体"/>
                <w:szCs w:val="21"/>
                <w:highlight w:val="none"/>
              </w:rPr>
            </w:pPr>
          </w:p>
        </w:tc>
        <w:tc>
          <w:tcPr>
            <w:tcW w:w="6925" w:type="dxa"/>
            <w:noWrap/>
            <w:vAlign w:val="center"/>
          </w:tcPr>
          <w:p w14:paraId="32AA7FD0">
            <w:pPr>
              <w:rPr>
                <w:rFonts w:ascii="宋体" w:hAnsi="宋体" w:cs="宋体"/>
                <w:szCs w:val="21"/>
                <w:highlight w:val="none"/>
              </w:rPr>
            </w:pPr>
            <w:r>
              <w:rPr>
                <w:rFonts w:hint="eastAsia" w:ascii="宋体" w:hAnsi="宋体" w:cs="宋体"/>
                <w:szCs w:val="21"/>
                <w:highlight w:val="none"/>
              </w:rPr>
              <w:t>支持访问数据库的源主机名、源主机用户的审计。</w:t>
            </w:r>
          </w:p>
        </w:tc>
      </w:tr>
      <w:tr w14:paraId="04EE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3B083D17">
            <w:pPr>
              <w:jc w:val="center"/>
              <w:rPr>
                <w:rFonts w:ascii="宋体" w:hAnsi="宋体" w:cs="宋体"/>
                <w:szCs w:val="21"/>
                <w:highlight w:val="none"/>
              </w:rPr>
            </w:pPr>
          </w:p>
        </w:tc>
        <w:tc>
          <w:tcPr>
            <w:tcW w:w="6925" w:type="dxa"/>
            <w:noWrap/>
            <w:vAlign w:val="center"/>
          </w:tcPr>
          <w:p w14:paraId="51BC07CB">
            <w:pPr>
              <w:rPr>
                <w:rFonts w:ascii="宋体" w:hAnsi="宋体" w:cs="宋体"/>
                <w:szCs w:val="21"/>
                <w:highlight w:val="none"/>
              </w:rPr>
            </w:pPr>
            <w:r>
              <w:rPr>
                <w:rFonts w:hint="eastAsia" w:ascii="宋体" w:hAnsi="宋体" w:cs="宋体"/>
                <w:szCs w:val="21"/>
                <w:highlight w:val="none"/>
              </w:rPr>
              <w:t>支持SQL操作响应时间的审计。</w:t>
            </w:r>
          </w:p>
        </w:tc>
      </w:tr>
      <w:tr w14:paraId="021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324F2C41">
            <w:pPr>
              <w:jc w:val="center"/>
              <w:rPr>
                <w:rFonts w:ascii="宋体" w:hAnsi="宋体" w:cs="宋体"/>
                <w:szCs w:val="21"/>
                <w:highlight w:val="none"/>
              </w:rPr>
            </w:pPr>
          </w:p>
        </w:tc>
        <w:tc>
          <w:tcPr>
            <w:tcW w:w="6925" w:type="dxa"/>
            <w:noWrap/>
            <w:vAlign w:val="center"/>
          </w:tcPr>
          <w:p w14:paraId="32C9A116">
            <w:pPr>
              <w:rPr>
                <w:rFonts w:ascii="宋体" w:hAnsi="宋体" w:cs="宋体"/>
                <w:szCs w:val="21"/>
                <w:highlight w:val="none"/>
              </w:rPr>
            </w:pPr>
            <w:r>
              <w:rPr>
                <w:rFonts w:hint="eastAsia" w:ascii="宋体" w:hAnsi="宋体" w:cs="宋体"/>
                <w:szCs w:val="21"/>
                <w:highlight w:val="none"/>
              </w:rPr>
              <w:t>支持Select操作返回行数和返回内容的审计。</w:t>
            </w:r>
          </w:p>
        </w:tc>
      </w:tr>
      <w:tr w14:paraId="0D5C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56197CB">
            <w:pPr>
              <w:jc w:val="center"/>
              <w:rPr>
                <w:rFonts w:ascii="宋体" w:hAnsi="宋体" w:cs="宋体"/>
                <w:szCs w:val="21"/>
                <w:highlight w:val="none"/>
              </w:rPr>
            </w:pPr>
          </w:p>
        </w:tc>
        <w:tc>
          <w:tcPr>
            <w:tcW w:w="6925" w:type="dxa"/>
            <w:noWrap/>
            <w:vAlign w:val="center"/>
          </w:tcPr>
          <w:p w14:paraId="6262B482">
            <w:pPr>
              <w:rPr>
                <w:rFonts w:ascii="宋体" w:hAnsi="宋体" w:cs="宋体"/>
                <w:szCs w:val="21"/>
                <w:highlight w:val="none"/>
              </w:rPr>
            </w:pPr>
            <w:r>
              <w:rPr>
                <w:rFonts w:hint="eastAsia" w:ascii="宋体" w:hAnsi="宋体" w:cs="宋体"/>
                <w:szCs w:val="21"/>
                <w:highlight w:val="none"/>
              </w:rPr>
              <w:t>支持对超长SQL语句的审计。</w:t>
            </w:r>
          </w:p>
        </w:tc>
      </w:tr>
      <w:tr w14:paraId="6119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60F06CE0">
            <w:pPr>
              <w:jc w:val="center"/>
              <w:rPr>
                <w:rFonts w:ascii="宋体" w:hAnsi="宋体" w:cs="宋体"/>
                <w:szCs w:val="21"/>
                <w:highlight w:val="none"/>
              </w:rPr>
            </w:pPr>
          </w:p>
        </w:tc>
        <w:tc>
          <w:tcPr>
            <w:tcW w:w="6925" w:type="dxa"/>
            <w:noWrap/>
            <w:vAlign w:val="center"/>
          </w:tcPr>
          <w:p w14:paraId="474CF59C">
            <w:pPr>
              <w:rPr>
                <w:rFonts w:ascii="宋体" w:hAnsi="宋体" w:cs="宋体"/>
                <w:szCs w:val="21"/>
                <w:highlight w:val="none"/>
              </w:rPr>
            </w:pPr>
            <w:r>
              <w:rPr>
                <w:rFonts w:hint="eastAsia" w:ascii="宋体" w:hAnsi="宋体" w:cs="宋体"/>
                <w:szCs w:val="21"/>
                <w:highlight w:val="none"/>
              </w:rPr>
              <w:t>支持访问数据库的源主机名、源主机用户、SQL操作响应时间、数据库操作成功、失败的审计；</w:t>
            </w:r>
          </w:p>
        </w:tc>
      </w:tr>
      <w:tr w14:paraId="4152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0DA0E979">
            <w:pPr>
              <w:jc w:val="center"/>
              <w:rPr>
                <w:rFonts w:ascii="宋体" w:hAnsi="宋体" w:cs="宋体"/>
                <w:szCs w:val="21"/>
                <w:highlight w:val="none"/>
              </w:rPr>
            </w:pPr>
          </w:p>
        </w:tc>
        <w:tc>
          <w:tcPr>
            <w:tcW w:w="6925" w:type="dxa"/>
            <w:noWrap/>
            <w:vAlign w:val="center"/>
          </w:tcPr>
          <w:p w14:paraId="603FC389">
            <w:pPr>
              <w:rPr>
                <w:rFonts w:ascii="宋体" w:hAnsi="宋体" w:cs="宋体"/>
                <w:szCs w:val="21"/>
                <w:highlight w:val="none"/>
              </w:rPr>
            </w:pPr>
            <w:r>
              <w:rPr>
                <w:rFonts w:hint="eastAsia" w:ascii="宋体" w:hAnsi="宋体" w:cs="宋体"/>
                <w:szCs w:val="21"/>
                <w:highlight w:val="none"/>
              </w:rPr>
              <w:t>支持频次告警，某一操作在周期时间内达到设定的次数阀值即可告警，周期事件和次数可按需配置。</w:t>
            </w:r>
          </w:p>
        </w:tc>
      </w:tr>
      <w:tr w14:paraId="7A6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8525C0E">
            <w:pPr>
              <w:jc w:val="center"/>
              <w:rPr>
                <w:rFonts w:ascii="宋体" w:hAnsi="宋体" w:cs="宋体"/>
                <w:szCs w:val="21"/>
                <w:highlight w:val="none"/>
              </w:rPr>
            </w:pPr>
          </w:p>
        </w:tc>
        <w:tc>
          <w:tcPr>
            <w:tcW w:w="6925" w:type="dxa"/>
            <w:noWrap/>
            <w:vAlign w:val="center"/>
          </w:tcPr>
          <w:p w14:paraId="263CA8E0">
            <w:pPr>
              <w:rPr>
                <w:rFonts w:ascii="宋体" w:hAnsi="宋体" w:cs="宋体"/>
                <w:szCs w:val="21"/>
                <w:highlight w:val="none"/>
              </w:rPr>
            </w:pPr>
            <w:r>
              <w:rPr>
                <w:rFonts w:hint="eastAsia" w:ascii="宋体" w:hAnsi="宋体" w:cs="宋体"/>
                <w:szCs w:val="21"/>
                <w:highlight w:val="none"/>
              </w:rPr>
              <w:t>支持数据库并发会话数、并发进程数、并发用户数、并发游标数、并发事务数、数据库锁等超过限制的审计。</w:t>
            </w:r>
          </w:p>
        </w:tc>
      </w:tr>
      <w:tr w14:paraId="1C6B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14B5748">
            <w:pPr>
              <w:jc w:val="center"/>
              <w:rPr>
                <w:rFonts w:ascii="宋体" w:hAnsi="宋体" w:cs="宋体"/>
                <w:szCs w:val="21"/>
                <w:highlight w:val="none"/>
              </w:rPr>
            </w:pPr>
          </w:p>
        </w:tc>
        <w:tc>
          <w:tcPr>
            <w:tcW w:w="6925" w:type="dxa"/>
            <w:noWrap/>
            <w:vAlign w:val="center"/>
          </w:tcPr>
          <w:p w14:paraId="254B83FB">
            <w:pPr>
              <w:rPr>
                <w:rFonts w:ascii="宋体" w:hAnsi="宋体" w:cs="宋体"/>
                <w:szCs w:val="21"/>
                <w:highlight w:val="none"/>
              </w:rPr>
            </w:pPr>
            <w:r>
              <w:rPr>
                <w:rFonts w:hint="eastAsia" w:ascii="宋体" w:hAnsi="宋体" w:cs="宋体"/>
                <w:szCs w:val="21"/>
                <w:highlight w:val="none"/>
              </w:rPr>
              <w:t>支持数据库操作类、表、视图、索引、触发器、存储过程、域、Schema、游标、事物等各种对象的SQL操作审计。</w:t>
            </w:r>
          </w:p>
        </w:tc>
      </w:tr>
      <w:tr w14:paraId="03E8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73118546">
            <w:pPr>
              <w:jc w:val="center"/>
              <w:rPr>
                <w:rFonts w:ascii="宋体" w:hAnsi="宋体" w:cs="宋体"/>
                <w:szCs w:val="21"/>
                <w:highlight w:val="none"/>
              </w:rPr>
            </w:pPr>
          </w:p>
        </w:tc>
        <w:tc>
          <w:tcPr>
            <w:tcW w:w="6925" w:type="dxa"/>
            <w:noWrap/>
            <w:vAlign w:val="center"/>
          </w:tcPr>
          <w:p w14:paraId="199A6D04">
            <w:pPr>
              <w:rPr>
                <w:rFonts w:ascii="宋体" w:hAnsi="宋体" w:cs="宋体"/>
                <w:szCs w:val="21"/>
                <w:highlight w:val="none"/>
              </w:rPr>
            </w:pPr>
            <w:r>
              <w:rPr>
                <w:rFonts w:hint="eastAsia" w:ascii="宋体" w:hAnsi="宋体" w:cs="宋体"/>
                <w:szCs w:val="21"/>
                <w:highlight w:val="none"/>
              </w:rPr>
              <w:t>支持Telnet协议的审计，能够审计用户名、操作命令、命令响应时间、返回码等；</w:t>
            </w:r>
          </w:p>
        </w:tc>
      </w:tr>
      <w:tr w14:paraId="22CC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1478B980">
            <w:pPr>
              <w:jc w:val="center"/>
              <w:rPr>
                <w:rFonts w:ascii="宋体" w:hAnsi="宋体" w:cs="宋体"/>
                <w:szCs w:val="21"/>
                <w:highlight w:val="none"/>
              </w:rPr>
            </w:pPr>
          </w:p>
        </w:tc>
        <w:tc>
          <w:tcPr>
            <w:tcW w:w="6925" w:type="dxa"/>
            <w:noWrap/>
            <w:vAlign w:val="center"/>
          </w:tcPr>
          <w:p w14:paraId="0899CFE2">
            <w:pPr>
              <w:rPr>
                <w:rFonts w:ascii="宋体" w:hAnsi="宋体" w:cs="宋体"/>
                <w:szCs w:val="21"/>
                <w:highlight w:val="none"/>
              </w:rPr>
            </w:pPr>
            <w:r>
              <w:rPr>
                <w:rFonts w:hint="eastAsia" w:ascii="宋体" w:hAnsi="宋体" w:cs="宋体"/>
                <w:szCs w:val="21"/>
                <w:highlight w:val="none"/>
              </w:rPr>
              <w:t>支持对FTP协议的审计，能够审计用户名、命令、文件、命令响应时间、返回码等</w:t>
            </w:r>
          </w:p>
        </w:tc>
      </w:tr>
      <w:tr w14:paraId="7D32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031BEDD8">
            <w:pPr>
              <w:jc w:val="center"/>
              <w:rPr>
                <w:rFonts w:ascii="宋体" w:hAnsi="宋体" w:cs="宋体"/>
                <w:szCs w:val="21"/>
                <w:highlight w:val="none"/>
              </w:rPr>
            </w:pPr>
          </w:p>
        </w:tc>
        <w:tc>
          <w:tcPr>
            <w:tcW w:w="6925" w:type="dxa"/>
            <w:noWrap/>
            <w:vAlign w:val="center"/>
          </w:tcPr>
          <w:p w14:paraId="08EE94EA">
            <w:pPr>
              <w:rPr>
                <w:rFonts w:ascii="宋体" w:hAnsi="宋体" w:cs="宋体"/>
                <w:szCs w:val="21"/>
                <w:highlight w:val="none"/>
              </w:rPr>
            </w:pPr>
            <w:r>
              <w:rPr>
                <w:rFonts w:hint="eastAsia" w:ascii="宋体" w:hAnsi="宋体" w:cs="宋体"/>
                <w:szCs w:val="21"/>
                <w:highlight w:val="none"/>
              </w:rPr>
              <w:t>支持审计网络邻居的用户名、读写操作、文件名等。</w:t>
            </w:r>
          </w:p>
        </w:tc>
      </w:tr>
      <w:tr w14:paraId="1DC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52FB4878">
            <w:pPr>
              <w:jc w:val="center"/>
              <w:rPr>
                <w:rFonts w:ascii="宋体" w:hAnsi="宋体" w:cs="宋体"/>
                <w:szCs w:val="21"/>
                <w:highlight w:val="none"/>
              </w:rPr>
            </w:pPr>
          </w:p>
        </w:tc>
        <w:tc>
          <w:tcPr>
            <w:tcW w:w="6925" w:type="dxa"/>
            <w:noWrap/>
            <w:vAlign w:val="center"/>
          </w:tcPr>
          <w:p w14:paraId="7E2A23B9">
            <w:pPr>
              <w:rPr>
                <w:rFonts w:ascii="宋体" w:hAnsi="宋体" w:cs="宋体"/>
                <w:szCs w:val="21"/>
                <w:highlight w:val="none"/>
              </w:rPr>
            </w:pPr>
            <w:r>
              <w:rPr>
                <w:rFonts w:hint="eastAsia" w:ascii="宋体" w:hAnsi="宋体" w:cs="宋体"/>
                <w:szCs w:val="21"/>
                <w:highlight w:val="none"/>
              </w:rPr>
              <w:t>支持审计NFS协议的用户名、文件名等。</w:t>
            </w:r>
          </w:p>
        </w:tc>
      </w:tr>
      <w:tr w14:paraId="76D8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608C4E34">
            <w:pPr>
              <w:jc w:val="center"/>
              <w:rPr>
                <w:rFonts w:ascii="宋体" w:hAnsi="宋体" w:cs="宋体"/>
                <w:szCs w:val="21"/>
                <w:highlight w:val="none"/>
              </w:rPr>
            </w:pPr>
          </w:p>
        </w:tc>
        <w:tc>
          <w:tcPr>
            <w:tcW w:w="6925" w:type="dxa"/>
            <w:noWrap/>
            <w:vAlign w:val="center"/>
          </w:tcPr>
          <w:p w14:paraId="3874B192">
            <w:pPr>
              <w:rPr>
                <w:rFonts w:ascii="宋体" w:hAnsi="宋体" w:cs="宋体"/>
                <w:szCs w:val="21"/>
                <w:highlight w:val="none"/>
              </w:rPr>
            </w:pPr>
            <w:r>
              <w:rPr>
                <w:rFonts w:hint="eastAsia" w:ascii="宋体" w:hAnsi="宋体" w:cs="宋体"/>
                <w:szCs w:val="21"/>
                <w:highlight w:val="none"/>
              </w:rPr>
              <w:t>支持审计Radius协议的认证用户MAC、认证用户名、认证IP、NAS服务器IP。</w:t>
            </w:r>
          </w:p>
        </w:tc>
      </w:tr>
      <w:tr w14:paraId="1C3B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3BF84A3B">
            <w:pPr>
              <w:jc w:val="center"/>
              <w:rPr>
                <w:rFonts w:ascii="宋体" w:hAnsi="宋体" w:cs="宋体"/>
                <w:szCs w:val="21"/>
                <w:highlight w:val="none"/>
              </w:rPr>
            </w:pPr>
          </w:p>
        </w:tc>
        <w:tc>
          <w:tcPr>
            <w:tcW w:w="6925" w:type="dxa"/>
            <w:noWrap/>
            <w:vAlign w:val="center"/>
          </w:tcPr>
          <w:p w14:paraId="5163AF3E">
            <w:pPr>
              <w:rPr>
                <w:rFonts w:ascii="宋体" w:hAnsi="宋体" w:cs="宋体"/>
                <w:szCs w:val="21"/>
                <w:highlight w:val="none"/>
              </w:rPr>
            </w:pPr>
            <w:r>
              <w:rPr>
                <w:rFonts w:hint="eastAsia" w:ascii="宋体" w:hAnsi="宋体" w:cs="宋体"/>
                <w:szCs w:val="21"/>
                <w:highlight w:val="none"/>
              </w:rPr>
              <w:t>支持对针对数据库的XSS、SQL注入攻击行为进行审计。</w:t>
            </w:r>
          </w:p>
        </w:tc>
      </w:tr>
      <w:tr w14:paraId="285C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13333D12">
            <w:pPr>
              <w:jc w:val="center"/>
              <w:rPr>
                <w:rFonts w:ascii="宋体" w:hAnsi="宋体" w:cs="宋体"/>
                <w:szCs w:val="21"/>
                <w:highlight w:val="none"/>
              </w:rPr>
            </w:pPr>
          </w:p>
        </w:tc>
        <w:tc>
          <w:tcPr>
            <w:tcW w:w="6925" w:type="dxa"/>
            <w:noWrap/>
            <w:vAlign w:val="center"/>
          </w:tcPr>
          <w:p w14:paraId="3FA769A4">
            <w:pPr>
              <w:rPr>
                <w:rFonts w:ascii="宋体" w:hAnsi="宋体" w:cs="宋体"/>
                <w:szCs w:val="21"/>
                <w:highlight w:val="none"/>
              </w:rPr>
            </w:pPr>
            <w:r>
              <w:rPr>
                <w:rFonts w:hint="eastAsia" w:ascii="宋体" w:hAnsi="宋体" w:cs="宋体"/>
                <w:szCs w:val="21"/>
                <w:highlight w:val="none"/>
              </w:rPr>
              <w:t>支持对Oracle数据库状态的自动监控，可监控会话数、连接进程、CPU和内存占用率等信息。</w:t>
            </w:r>
          </w:p>
        </w:tc>
      </w:tr>
      <w:tr w14:paraId="327A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ign w:val="center"/>
          </w:tcPr>
          <w:p w14:paraId="0BA9608B">
            <w:pPr>
              <w:jc w:val="center"/>
              <w:rPr>
                <w:rFonts w:ascii="宋体" w:hAnsi="宋体" w:cs="宋体"/>
                <w:szCs w:val="21"/>
                <w:highlight w:val="none"/>
              </w:rPr>
            </w:pPr>
            <w:r>
              <w:rPr>
                <w:rFonts w:hint="eastAsia" w:ascii="宋体" w:hAnsi="宋体" w:cs="宋体"/>
                <w:szCs w:val="21"/>
                <w:highlight w:val="none"/>
              </w:rPr>
              <w:t>业务关联审计</w:t>
            </w:r>
          </w:p>
        </w:tc>
        <w:tc>
          <w:tcPr>
            <w:tcW w:w="6925" w:type="dxa"/>
            <w:noWrap/>
            <w:vAlign w:val="center"/>
          </w:tcPr>
          <w:p w14:paraId="2C8EBEF0">
            <w:pPr>
              <w:rPr>
                <w:rFonts w:ascii="宋体" w:hAnsi="宋体" w:cs="宋体"/>
                <w:szCs w:val="21"/>
                <w:highlight w:val="none"/>
              </w:rPr>
            </w:pPr>
            <w:r>
              <w:rPr>
                <w:rFonts w:hint="eastAsia" w:ascii="宋体" w:hAnsi="宋体" w:cs="宋体"/>
                <w:szCs w:val="21"/>
                <w:highlight w:val="none"/>
              </w:rPr>
              <w:t>支持中间件环境下的SQL语句关联到HTTP操作，HTTP操作关联到HTTP-ID，实现中间件环境下的审计追溯。</w:t>
            </w:r>
          </w:p>
        </w:tc>
      </w:tr>
      <w:tr w14:paraId="729F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7E2E394">
            <w:pPr>
              <w:jc w:val="center"/>
              <w:rPr>
                <w:rFonts w:ascii="宋体" w:hAnsi="宋体" w:cs="宋体"/>
                <w:szCs w:val="21"/>
                <w:highlight w:val="none"/>
              </w:rPr>
            </w:pPr>
          </w:p>
        </w:tc>
        <w:tc>
          <w:tcPr>
            <w:tcW w:w="6925" w:type="dxa"/>
            <w:noWrap/>
            <w:vAlign w:val="center"/>
          </w:tcPr>
          <w:p w14:paraId="25F5E63C">
            <w:pPr>
              <w:rPr>
                <w:rFonts w:ascii="宋体" w:hAnsi="宋体" w:cs="宋体"/>
                <w:szCs w:val="21"/>
                <w:highlight w:val="none"/>
              </w:rPr>
            </w:pPr>
            <w:r>
              <w:rPr>
                <w:rFonts w:hint="eastAsia" w:ascii="宋体" w:hAnsi="宋体" w:cs="宋体"/>
                <w:szCs w:val="21"/>
                <w:highlight w:val="none"/>
              </w:rPr>
              <w:t>支持实时关联，实时显示关联结果，无需时候手动查询。</w:t>
            </w:r>
          </w:p>
        </w:tc>
      </w:tr>
      <w:tr w14:paraId="7E7B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noWrap/>
            <w:vAlign w:val="center"/>
          </w:tcPr>
          <w:p w14:paraId="3A21182B">
            <w:pPr>
              <w:jc w:val="center"/>
              <w:rPr>
                <w:rFonts w:ascii="宋体" w:hAnsi="宋体" w:cs="宋体"/>
                <w:szCs w:val="21"/>
                <w:highlight w:val="none"/>
              </w:rPr>
            </w:pPr>
            <w:r>
              <w:rPr>
                <w:rFonts w:hint="eastAsia" w:ascii="宋体" w:hAnsi="宋体" w:cs="宋体"/>
                <w:szCs w:val="21"/>
                <w:highlight w:val="none"/>
              </w:rPr>
              <w:t>数据库异常行为审计</w:t>
            </w:r>
          </w:p>
        </w:tc>
        <w:tc>
          <w:tcPr>
            <w:tcW w:w="6925" w:type="dxa"/>
            <w:noWrap/>
            <w:vAlign w:val="center"/>
          </w:tcPr>
          <w:p w14:paraId="29566B82">
            <w:pPr>
              <w:rPr>
                <w:rFonts w:ascii="宋体" w:hAnsi="宋体" w:cs="宋体"/>
                <w:szCs w:val="21"/>
                <w:highlight w:val="none"/>
              </w:rPr>
            </w:pPr>
            <w:r>
              <w:rPr>
                <w:rFonts w:hint="eastAsia" w:ascii="宋体" w:hAnsi="宋体" w:cs="宋体"/>
                <w:szCs w:val="21"/>
                <w:highlight w:val="none"/>
              </w:rPr>
              <w:t>支持根据网络数据流自动建立数据库操作行为基线。</w:t>
            </w:r>
          </w:p>
        </w:tc>
      </w:tr>
      <w:tr w14:paraId="0676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97" w:type="dxa"/>
            <w:vMerge w:val="restart"/>
            <w:noWrap/>
            <w:vAlign w:val="center"/>
          </w:tcPr>
          <w:p w14:paraId="4ABCAA22">
            <w:pPr>
              <w:jc w:val="center"/>
              <w:rPr>
                <w:rFonts w:ascii="宋体" w:hAnsi="宋体" w:cs="宋体"/>
                <w:szCs w:val="21"/>
                <w:highlight w:val="none"/>
              </w:rPr>
            </w:pPr>
            <w:r>
              <w:rPr>
                <w:rFonts w:hint="eastAsia" w:ascii="宋体" w:hAnsi="宋体" w:cs="宋体"/>
                <w:szCs w:val="21"/>
                <w:highlight w:val="none"/>
              </w:rPr>
              <w:t>智能发现</w:t>
            </w:r>
          </w:p>
        </w:tc>
        <w:tc>
          <w:tcPr>
            <w:tcW w:w="6925" w:type="dxa"/>
            <w:noWrap/>
            <w:vAlign w:val="center"/>
          </w:tcPr>
          <w:p w14:paraId="7A6D1350">
            <w:pPr>
              <w:rPr>
                <w:rFonts w:ascii="宋体" w:hAnsi="宋体" w:cs="宋体"/>
                <w:szCs w:val="21"/>
                <w:highlight w:val="none"/>
              </w:rPr>
            </w:pPr>
            <w:r>
              <w:rPr>
                <w:rFonts w:hint="eastAsia" w:ascii="宋体" w:hAnsi="宋体" w:cs="宋体"/>
                <w:szCs w:val="21"/>
                <w:highlight w:val="none"/>
              </w:rPr>
              <w:t>必须满足数据库审计支持用户数据库中敏感信息的自动发现，方便针对敏感信息配置针对性的审计策略。</w:t>
            </w:r>
          </w:p>
        </w:tc>
      </w:tr>
      <w:tr w14:paraId="1832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35F3BFA0">
            <w:pPr>
              <w:jc w:val="center"/>
              <w:rPr>
                <w:rFonts w:ascii="宋体" w:hAnsi="宋体" w:cs="宋体"/>
                <w:szCs w:val="21"/>
                <w:highlight w:val="none"/>
              </w:rPr>
            </w:pPr>
          </w:p>
        </w:tc>
        <w:tc>
          <w:tcPr>
            <w:tcW w:w="6925" w:type="dxa"/>
            <w:noWrap/>
            <w:vAlign w:val="center"/>
          </w:tcPr>
          <w:p w14:paraId="6219ED5C">
            <w:pPr>
              <w:rPr>
                <w:rFonts w:ascii="宋体" w:hAnsi="宋体" w:cs="宋体"/>
                <w:szCs w:val="21"/>
                <w:highlight w:val="none"/>
              </w:rPr>
            </w:pPr>
            <w:r>
              <w:rPr>
                <w:rFonts w:hint="eastAsia" w:ascii="宋体" w:hAnsi="宋体" w:cs="宋体"/>
                <w:szCs w:val="21"/>
                <w:highlight w:val="none"/>
              </w:rPr>
              <w:t>必须满足敏感信息发现支持探测器和正则表达式两种方式，探测器至少包含：姓名、地名、银行卡、身份证、IP地址、密码等多种探测器。</w:t>
            </w:r>
          </w:p>
        </w:tc>
      </w:tr>
      <w:tr w14:paraId="0707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noWrap/>
            <w:vAlign w:val="center"/>
          </w:tcPr>
          <w:p w14:paraId="01D604CE">
            <w:pPr>
              <w:jc w:val="center"/>
              <w:rPr>
                <w:rFonts w:ascii="宋体" w:hAnsi="宋体" w:cs="宋体"/>
                <w:szCs w:val="21"/>
                <w:highlight w:val="none"/>
              </w:rPr>
            </w:pPr>
            <w:r>
              <w:rPr>
                <w:rFonts w:hint="eastAsia" w:ascii="宋体" w:hAnsi="宋体" w:cs="宋体"/>
                <w:szCs w:val="21"/>
                <w:highlight w:val="none"/>
              </w:rPr>
              <w:t>事件查询统计与报表</w:t>
            </w:r>
          </w:p>
        </w:tc>
        <w:tc>
          <w:tcPr>
            <w:tcW w:w="6925" w:type="dxa"/>
            <w:noWrap/>
            <w:vAlign w:val="center"/>
          </w:tcPr>
          <w:p w14:paraId="4A91DDE7">
            <w:pPr>
              <w:rPr>
                <w:rFonts w:ascii="宋体" w:hAnsi="宋体" w:cs="宋体"/>
                <w:szCs w:val="21"/>
                <w:highlight w:val="none"/>
              </w:rPr>
            </w:pPr>
            <w:r>
              <w:rPr>
                <w:rFonts w:hint="eastAsia" w:ascii="宋体" w:hAnsi="宋体" w:cs="宋体"/>
                <w:szCs w:val="21"/>
                <w:highlight w:val="none"/>
              </w:rPr>
              <w:t>必须满足支持基于场景的操作异常分析；可直观展现数据库异常、异常账号的访问、同账号多IP登录、上下班操作量对比异常、操作响应时间分析。</w:t>
            </w:r>
          </w:p>
        </w:tc>
      </w:tr>
      <w:tr w14:paraId="63C4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5730E1B9">
            <w:pPr>
              <w:jc w:val="center"/>
              <w:rPr>
                <w:rFonts w:ascii="宋体" w:hAnsi="宋体" w:cs="宋体"/>
                <w:szCs w:val="21"/>
                <w:highlight w:val="none"/>
              </w:rPr>
            </w:pPr>
          </w:p>
        </w:tc>
        <w:tc>
          <w:tcPr>
            <w:tcW w:w="6925" w:type="dxa"/>
            <w:noWrap/>
            <w:vAlign w:val="center"/>
          </w:tcPr>
          <w:p w14:paraId="0DFFD713">
            <w:pPr>
              <w:rPr>
                <w:rFonts w:ascii="宋体" w:hAnsi="宋体" w:cs="宋体"/>
                <w:szCs w:val="21"/>
                <w:highlight w:val="none"/>
              </w:rPr>
            </w:pPr>
            <w:r>
              <w:rPr>
                <w:rFonts w:hint="eastAsia" w:ascii="宋体" w:hAnsi="宋体" w:cs="宋体"/>
                <w:szCs w:val="21"/>
                <w:highlight w:val="none"/>
              </w:rPr>
              <w:t>必须满足支持疑似暴力破解、疑似撞库攻击场景的操作异常分析；行为周期与阀值可按需定义。</w:t>
            </w:r>
          </w:p>
        </w:tc>
      </w:tr>
      <w:tr w14:paraId="6CA3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55004744">
            <w:pPr>
              <w:jc w:val="center"/>
              <w:rPr>
                <w:rFonts w:ascii="宋体" w:hAnsi="宋体" w:cs="宋体"/>
                <w:szCs w:val="21"/>
                <w:highlight w:val="none"/>
              </w:rPr>
            </w:pPr>
          </w:p>
        </w:tc>
        <w:tc>
          <w:tcPr>
            <w:tcW w:w="6925" w:type="dxa"/>
            <w:noWrap/>
            <w:vAlign w:val="center"/>
          </w:tcPr>
          <w:p w14:paraId="3C9BD581">
            <w:pPr>
              <w:rPr>
                <w:rFonts w:ascii="宋体" w:hAnsi="宋体" w:cs="宋体"/>
                <w:szCs w:val="21"/>
                <w:highlight w:val="none"/>
              </w:rPr>
            </w:pPr>
            <w:r>
              <w:rPr>
                <w:rFonts w:hint="eastAsia" w:ascii="宋体" w:hAnsi="宋体" w:cs="宋体"/>
                <w:szCs w:val="21"/>
                <w:highlight w:val="none"/>
              </w:rPr>
              <w:t>查询需支持返回全部符合条件的结果，无上限限制。</w:t>
            </w:r>
          </w:p>
        </w:tc>
      </w:tr>
      <w:tr w14:paraId="12CB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5EADE643">
            <w:pPr>
              <w:jc w:val="center"/>
              <w:rPr>
                <w:rFonts w:ascii="宋体" w:hAnsi="宋体" w:cs="宋体"/>
                <w:szCs w:val="21"/>
                <w:highlight w:val="none"/>
              </w:rPr>
            </w:pPr>
          </w:p>
        </w:tc>
        <w:tc>
          <w:tcPr>
            <w:tcW w:w="6925" w:type="dxa"/>
            <w:noWrap/>
            <w:vAlign w:val="center"/>
          </w:tcPr>
          <w:p w14:paraId="7C868BA1">
            <w:pPr>
              <w:rPr>
                <w:rFonts w:ascii="宋体" w:hAnsi="宋体" w:cs="宋体"/>
                <w:szCs w:val="21"/>
                <w:highlight w:val="none"/>
              </w:rPr>
            </w:pPr>
            <w:r>
              <w:rPr>
                <w:rFonts w:hint="eastAsia" w:ascii="宋体" w:hAnsi="宋体" w:cs="宋体"/>
                <w:szCs w:val="21"/>
                <w:highlight w:val="none"/>
              </w:rPr>
              <w:t>可支持sql语句关键字查询，查询结果包含该关键字的sql语句。</w:t>
            </w:r>
          </w:p>
        </w:tc>
      </w:tr>
      <w:tr w14:paraId="1F49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97" w:type="dxa"/>
            <w:vMerge w:val="restart"/>
            <w:noWrap/>
            <w:vAlign w:val="center"/>
          </w:tcPr>
          <w:p w14:paraId="0B060486">
            <w:pPr>
              <w:jc w:val="center"/>
              <w:rPr>
                <w:rFonts w:ascii="宋体" w:hAnsi="宋体" w:cs="宋体"/>
                <w:szCs w:val="21"/>
                <w:highlight w:val="none"/>
              </w:rPr>
            </w:pPr>
            <w:r>
              <w:rPr>
                <w:rFonts w:hint="eastAsia" w:ascii="宋体" w:hAnsi="宋体" w:cs="宋体"/>
                <w:szCs w:val="21"/>
                <w:highlight w:val="none"/>
              </w:rPr>
              <w:t>第三方扩展接口与联动功能</w:t>
            </w:r>
          </w:p>
        </w:tc>
        <w:tc>
          <w:tcPr>
            <w:tcW w:w="6925" w:type="dxa"/>
            <w:noWrap/>
            <w:vAlign w:val="center"/>
          </w:tcPr>
          <w:p w14:paraId="31AFAFC1">
            <w:pPr>
              <w:rPr>
                <w:rFonts w:ascii="宋体" w:hAnsi="宋体" w:cs="宋体"/>
                <w:szCs w:val="21"/>
                <w:highlight w:val="none"/>
              </w:rPr>
            </w:pPr>
            <w:r>
              <w:rPr>
                <w:rFonts w:hint="eastAsia" w:ascii="宋体" w:hAnsi="宋体" w:cs="宋体"/>
                <w:szCs w:val="21"/>
                <w:highlight w:val="none"/>
              </w:rPr>
              <w:t>支持与Web应用防火墙（WAF）的联动，可对WAF上报的应用系统攻击实现场景还原展示。</w:t>
            </w:r>
          </w:p>
        </w:tc>
      </w:tr>
      <w:tr w14:paraId="5EA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noWrap/>
            <w:vAlign w:val="center"/>
          </w:tcPr>
          <w:p w14:paraId="25C889E4">
            <w:pPr>
              <w:jc w:val="center"/>
              <w:rPr>
                <w:rFonts w:ascii="宋体" w:hAnsi="宋体" w:cs="宋体"/>
                <w:szCs w:val="21"/>
                <w:highlight w:val="none"/>
              </w:rPr>
            </w:pPr>
          </w:p>
        </w:tc>
        <w:tc>
          <w:tcPr>
            <w:tcW w:w="6925" w:type="dxa"/>
            <w:noWrap/>
            <w:vAlign w:val="center"/>
          </w:tcPr>
          <w:p w14:paraId="0AAB70A7">
            <w:pPr>
              <w:rPr>
                <w:rFonts w:ascii="宋体" w:hAnsi="宋体" w:cs="宋体"/>
                <w:szCs w:val="21"/>
                <w:highlight w:val="none"/>
              </w:rPr>
            </w:pPr>
            <w:r>
              <w:rPr>
                <w:rFonts w:hint="eastAsia" w:ascii="宋体" w:hAnsi="宋体" w:cs="宋体"/>
                <w:szCs w:val="21"/>
                <w:highlight w:val="none"/>
              </w:rPr>
              <w:t>支持与APT检测产品的联动，对于网络传输的文件不仅可以审计，还支持恶意代码检测，报告可疑的攻击文件。</w:t>
            </w:r>
          </w:p>
        </w:tc>
      </w:tr>
    </w:tbl>
    <w:p w14:paraId="1C7812E1">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1.1</w:t>
      </w:r>
      <w:r>
        <w:rPr>
          <w:rFonts w:hint="eastAsia" w:ascii="宋体" w:hAnsi="宋体" w:cs="宋体"/>
          <w:sz w:val="36"/>
          <w:szCs w:val="36"/>
          <w:highlight w:val="none"/>
        </w:rPr>
        <w:t xml:space="preserve">5 </w:t>
      </w:r>
      <w:r>
        <w:rPr>
          <w:rFonts w:hint="eastAsia" w:ascii="仿宋_GB2312" w:hAnsi="仿宋_GB2312" w:eastAsia="仿宋_GB2312" w:cs="仿宋_GB2312"/>
          <w:sz w:val="36"/>
          <w:szCs w:val="36"/>
          <w:highlight w:val="none"/>
          <w:lang w:eastAsia="en-US"/>
        </w:rPr>
        <w:t>安全CDN加速</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6925"/>
      </w:tblGrid>
      <w:tr w14:paraId="5989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9274625">
            <w:pPr>
              <w:jc w:val="center"/>
              <w:rPr>
                <w:rFonts w:ascii="宋体" w:hAnsi="宋体" w:cs="宋体"/>
                <w:b/>
                <w:bCs/>
                <w:szCs w:val="21"/>
                <w:highlight w:val="none"/>
              </w:rPr>
            </w:pPr>
            <w:r>
              <w:rPr>
                <w:rFonts w:hint="eastAsia" w:ascii="宋体" w:hAnsi="宋体" w:cs="宋体"/>
                <w:b/>
                <w:bCs/>
                <w:szCs w:val="21"/>
                <w:highlight w:val="none"/>
              </w:rPr>
              <w:t>指标项</w:t>
            </w:r>
          </w:p>
        </w:tc>
        <w:tc>
          <w:tcPr>
            <w:tcW w:w="692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EA4D452">
            <w:pPr>
              <w:ind w:left="27" w:hanging="27"/>
              <w:jc w:val="center"/>
              <w:rPr>
                <w:rFonts w:ascii="宋体" w:hAnsi="宋体" w:cs="宋体"/>
                <w:b/>
                <w:szCs w:val="21"/>
                <w:highlight w:val="none"/>
              </w:rPr>
            </w:pPr>
            <w:r>
              <w:rPr>
                <w:rFonts w:hint="eastAsia" w:ascii="宋体" w:hAnsi="宋体" w:cs="宋体"/>
                <w:b/>
                <w:bCs/>
                <w:szCs w:val="21"/>
                <w:highlight w:val="none"/>
              </w:rPr>
              <w:t>招标要求</w:t>
            </w:r>
          </w:p>
        </w:tc>
      </w:tr>
      <w:tr w14:paraId="4EDB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C4827">
            <w:pPr>
              <w:jc w:val="center"/>
              <w:rPr>
                <w:rFonts w:ascii="宋体" w:hAnsi="宋体" w:cs="宋体"/>
                <w:szCs w:val="21"/>
                <w:highlight w:val="none"/>
              </w:rPr>
            </w:pPr>
            <w:r>
              <w:rPr>
                <w:rFonts w:hint="eastAsia" w:ascii="宋体" w:hAnsi="宋体" w:cs="宋体"/>
                <w:szCs w:val="21"/>
                <w:highlight w:val="none"/>
              </w:rPr>
              <w:t>移动运维</w:t>
            </w:r>
          </w:p>
        </w:tc>
        <w:tc>
          <w:tcPr>
            <w:tcW w:w="6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77EC">
            <w:pPr>
              <w:ind w:left="27" w:hanging="27"/>
              <w:rPr>
                <w:rFonts w:ascii="宋体" w:hAnsi="宋体" w:cs="宋体"/>
                <w:szCs w:val="21"/>
                <w:highlight w:val="none"/>
              </w:rPr>
            </w:pPr>
            <w:r>
              <w:rPr>
                <w:rFonts w:hint="eastAsia" w:ascii="宋体" w:hAnsi="宋体" w:cs="宋体"/>
                <w:szCs w:val="21"/>
                <w:highlight w:val="none"/>
              </w:rPr>
              <w:t>支持安卓版手机APP运维客户端，可支持手机接入防护、一键关站（一键处置）、一键回源、WEB防火墙开启/关闭、缓存开关设置、账号管理等功能。</w:t>
            </w:r>
          </w:p>
        </w:tc>
      </w:tr>
      <w:tr w14:paraId="0081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161E4">
            <w:pPr>
              <w:ind w:left="27" w:hanging="27"/>
              <w:jc w:val="center"/>
              <w:rPr>
                <w:rFonts w:ascii="宋体" w:hAnsi="宋体" w:cs="宋体"/>
                <w:szCs w:val="21"/>
                <w:highlight w:val="none"/>
              </w:rPr>
            </w:pPr>
            <w:r>
              <w:rPr>
                <w:rFonts w:hint="eastAsia" w:ascii="宋体" w:hAnsi="宋体" w:cs="宋体"/>
                <w:szCs w:val="21"/>
                <w:highlight w:val="none"/>
              </w:rPr>
              <w:t>登录安全</w:t>
            </w:r>
          </w:p>
        </w:tc>
        <w:tc>
          <w:tcPr>
            <w:tcW w:w="6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CE10A">
            <w:pPr>
              <w:ind w:left="27" w:hanging="27"/>
              <w:rPr>
                <w:rFonts w:ascii="宋体" w:hAnsi="宋体" w:cs="宋体"/>
                <w:szCs w:val="21"/>
                <w:highlight w:val="none"/>
              </w:rPr>
            </w:pPr>
            <w:r>
              <w:rPr>
                <w:rFonts w:hint="eastAsia" w:ascii="宋体" w:hAnsi="宋体" w:cs="宋体"/>
                <w:szCs w:val="21"/>
                <w:highlight w:val="none"/>
              </w:rPr>
              <w:t>支持登录账号的多因素认证，包含：密码、验证码、短信验证方式，确保登录安全。</w:t>
            </w:r>
          </w:p>
        </w:tc>
      </w:tr>
      <w:tr w14:paraId="5A8F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7" w:type="dxa"/>
            <w:vMerge w:val="restart"/>
            <w:tcBorders>
              <w:top w:val="single" w:color="000000" w:sz="4" w:space="0"/>
              <w:left w:val="single" w:color="000000" w:sz="4" w:space="0"/>
              <w:bottom w:val="single" w:color="000000" w:sz="4" w:space="0"/>
              <w:right w:val="single" w:color="000000" w:sz="4" w:space="0"/>
            </w:tcBorders>
            <w:noWrap/>
            <w:vAlign w:val="center"/>
          </w:tcPr>
          <w:p w14:paraId="75F56123">
            <w:pPr>
              <w:ind w:left="27" w:hanging="27"/>
              <w:jc w:val="center"/>
              <w:rPr>
                <w:rFonts w:ascii="宋体" w:hAnsi="宋体" w:cs="宋体"/>
                <w:szCs w:val="21"/>
                <w:highlight w:val="none"/>
              </w:rPr>
            </w:pPr>
            <w:r>
              <w:rPr>
                <w:rFonts w:hint="eastAsia" w:ascii="宋体" w:hAnsi="宋体" w:cs="宋体"/>
                <w:szCs w:val="21"/>
                <w:highlight w:val="none"/>
              </w:rPr>
              <w:t>WEB攻击防护</w:t>
            </w:r>
          </w:p>
        </w:tc>
        <w:tc>
          <w:tcPr>
            <w:tcW w:w="6925" w:type="dxa"/>
            <w:tcBorders>
              <w:top w:val="single" w:color="000000" w:sz="4" w:space="0"/>
              <w:left w:val="single" w:color="000000" w:sz="4" w:space="0"/>
              <w:right w:val="single" w:color="000000" w:sz="4" w:space="0"/>
            </w:tcBorders>
            <w:noWrap/>
            <w:vAlign w:val="center"/>
          </w:tcPr>
          <w:p w14:paraId="2ACC6C70">
            <w:pPr>
              <w:ind w:left="27" w:hanging="27"/>
              <w:rPr>
                <w:rFonts w:ascii="宋体" w:hAnsi="宋体" w:cs="宋体"/>
                <w:szCs w:val="21"/>
                <w:highlight w:val="none"/>
              </w:rPr>
            </w:pPr>
            <w:r>
              <w:rPr>
                <w:rFonts w:hint="eastAsia" w:ascii="宋体" w:hAnsi="宋体" w:cs="宋体"/>
                <w:szCs w:val="21"/>
                <w:highlight w:val="none"/>
              </w:rPr>
              <w:t>支持HTTPS网站防护。</w:t>
            </w:r>
          </w:p>
        </w:tc>
      </w:tr>
      <w:tr w14:paraId="1BC4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97" w:type="dxa"/>
            <w:vMerge w:val="continue"/>
            <w:tcBorders>
              <w:top w:val="single" w:color="000000" w:sz="4" w:space="0"/>
              <w:left w:val="single" w:color="000000" w:sz="4" w:space="0"/>
              <w:bottom w:val="single" w:color="000000" w:sz="4" w:space="0"/>
              <w:right w:val="single" w:color="000000" w:sz="4" w:space="0"/>
            </w:tcBorders>
            <w:noWrap/>
            <w:vAlign w:val="center"/>
          </w:tcPr>
          <w:p w14:paraId="75B0F980">
            <w:pPr>
              <w:ind w:left="27" w:hanging="27"/>
              <w:jc w:val="center"/>
              <w:rPr>
                <w:rFonts w:ascii="宋体" w:hAnsi="宋体" w:cs="宋体"/>
                <w:szCs w:val="21"/>
                <w:highlight w:val="none"/>
              </w:rPr>
            </w:pPr>
          </w:p>
        </w:tc>
        <w:tc>
          <w:tcPr>
            <w:tcW w:w="6925" w:type="dxa"/>
            <w:tcBorders>
              <w:top w:val="single" w:color="000000" w:sz="4" w:space="0"/>
              <w:left w:val="single" w:color="000000" w:sz="4" w:space="0"/>
              <w:right w:val="single" w:color="000000" w:sz="4" w:space="0"/>
            </w:tcBorders>
            <w:noWrap/>
            <w:vAlign w:val="center"/>
          </w:tcPr>
          <w:p w14:paraId="0C96244F">
            <w:pPr>
              <w:ind w:left="27" w:hanging="27"/>
              <w:rPr>
                <w:rFonts w:ascii="宋体" w:hAnsi="宋体" w:cs="宋体"/>
                <w:szCs w:val="21"/>
                <w:highlight w:val="none"/>
              </w:rPr>
            </w:pPr>
            <w:r>
              <w:rPr>
                <w:rFonts w:hint="eastAsia" w:ascii="宋体" w:hAnsi="宋体" w:cs="宋体"/>
                <w:szCs w:val="21"/>
                <w:highlight w:val="none"/>
              </w:rPr>
              <w:t>支持自定义防护页面功能，即当检测到4、5开头的响应码时可以跳转到指定URL以提高服务感受和搜索引擎SEO。</w:t>
            </w:r>
          </w:p>
        </w:tc>
      </w:tr>
      <w:tr w14:paraId="3E4B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vMerge w:val="restart"/>
            <w:tcBorders>
              <w:top w:val="single" w:color="000000" w:sz="4" w:space="0"/>
              <w:left w:val="single" w:color="000000" w:sz="4" w:space="0"/>
              <w:bottom w:val="single" w:color="000000" w:sz="4" w:space="0"/>
              <w:right w:val="single" w:color="000000" w:sz="4" w:space="0"/>
            </w:tcBorders>
            <w:noWrap/>
            <w:vAlign w:val="center"/>
          </w:tcPr>
          <w:p w14:paraId="7EFD6FF6">
            <w:pPr>
              <w:ind w:left="27" w:hanging="27"/>
              <w:jc w:val="center"/>
              <w:rPr>
                <w:rFonts w:ascii="宋体" w:hAnsi="宋体" w:cs="宋体"/>
                <w:szCs w:val="21"/>
                <w:highlight w:val="none"/>
              </w:rPr>
            </w:pPr>
            <w:r>
              <w:rPr>
                <w:rFonts w:hint="eastAsia" w:ascii="宋体" w:hAnsi="宋体" w:cs="宋体"/>
                <w:szCs w:val="21"/>
                <w:highlight w:val="none"/>
              </w:rPr>
              <w:t>CC攻击防护</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7CEAA461">
            <w:pPr>
              <w:ind w:left="27" w:hanging="27"/>
              <w:rPr>
                <w:rFonts w:ascii="宋体" w:hAnsi="宋体" w:cs="宋体"/>
                <w:szCs w:val="21"/>
                <w:highlight w:val="none"/>
              </w:rPr>
            </w:pPr>
            <w:r>
              <w:rPr>
                <w:rFonts w:hint="eastAsia" w:ascii="宋体" w:hAnsi="宋体" w:cs="宋体"/>
                <w:szCs w:val="21"/>
                <w:highlight w:val="none"/>
              </w:rPr>
              <w:t>可以防护针对网站的CC攻击。</w:t>
            </w:r>
          </w:p>
        </w:tc>
      </w:tr>
      <w:tr w14:paraId="767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vMerge w:val="continue"/>
            <w:tcBorders>
              <w:top w:val="single" w:color="000000" w:sz="4" w:space="0"/>
              <w:left w:val="single" w:color="000000" w:sz="4" w:space="0"/>
              <w:bottom w:val="single" w:color="000000" w:sz="4" w:space="0"/>
              <w:right w:val="single" w:color="000000" w:sz="4" w:space="0"/>
            </w:tcBorders>
            <w:noWrap/>
            <w:vAlign w:val="center"/>
          </w:tcPr>
          <w:p w14:paraId="0EE659D0">
            <w:pPr>
              <w:ind w:left="27" w:hanging="27"/>
              <w:jc w:val="center"/>
              <w:rPr>
                <w:rFonts w:ascii="宋体" w:hAnsi="宋体" w:cs="宋体"/>
                <w:szCs w:val="21"/>
                <w:highlight w:val="none"/>
              </w:rPr>
            </w:pP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22146DBB">
            <w:pPr>
              <w:ind w:left="27" w:hanging="27"/>
              <w:rPr>
                <w:rFonts w:ascii="宋体" w:hAnsi="宋体" w:cs="宋体"/>
                <w:szCs w:val="21"/>
                <w:highlight w:val="none"/>
              </w:rPr>
            </w:pPr>
            <w:r>
              <w:rPr>
                <w:rFonts w:hint="eastAsia" w:ascii="宋体" w:hAnsi="宋体" w:cs="宋体"/>
                <w:szCs w:val="21"/>
                <w:highlight w:val="none"/>
              </w:rPr>
              <w:t>支持根据进入云平台流量大小来对攻击进行CC攻击判断，即攻击流量超出管理员配置流量阈值后，对攻击源进行HTTP协议验证、JS防御或图片验证防御。</w:t>
            </w:r>
          </w:p>
        </w:tc>
      </w:tr>
      <w:tr w14:paraId="549D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vMerge w:val="continue"/>
            <w:tcBorders>
              <w:top w:val="single" w:color="000000" w:sz="4" w:space="0"/>
              <w:left w:val="single" w:color="000000" w:sz="4" w:space="0"/>
              <w:bottom w:val="single" w:color="000000" w:sz="4" w:space="0"/>
              <w:right w:val="single" w:color="000000" w:sz="4" w:space="0"/>
            </w:tcBorders>
            <w:noWrap/>
            <w:vAlign w:val="center"/>
          </w:tcPr>
          <w:p w14:paraId="74525DE8">
            <w:pPr>
              <w:ind w:left="27" w:hanging="27"/>
              <w:jc w:val="center"/>
              <w:rPr>
                <w:rFonts w:ascii="宋体" w:hAnsi="宋体" w:cs="宋体"/>
                <w:szCs w:val="21"/>
                <w:highlight w:val="none"/>
              </w:rPr>
            </w:pP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37B04EC3">
            <w:pPr>
              <w:ind w:left="27" w:hanging="27"/>
              <w:rPr>
                <w:rFonts w:ascii="宋体" w:hAnsi="宋体" w:cs="宋体"/>
                <w:szCs w:val="21"/>
                <w:highlight w:val="none"/>
              </w:rPr>
            </w:pPr>
            <w:r>
              <w:rPr>
                <w:rFonts w:hint="eastAsia" w:ascii="宋体" w:hAnsi="宋体" w:cs="宋体"/>
                <w:szCs w:val="21"/>
                <w:highlight w:val="none"/>
              </w:rPr>
              <w:t>支持根据源站总并发连接数和访问源单IP并发连接数对攻击进行CC判断，并发连接数超出管理员配置并发连接数阈值后，对攻击源进行HTTPJS防御或图片验证防御。</w:t>
            </w:r>
          </w:p>
        </w:tc>
      </w:tr>
      <w:tr w14:paraId="4E53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vMerge w:val="continue"/>
            <w:tcBorders>
              <w:top w:val="single" w:color="000000" w:sz="4" w:space="0"/>
              <w:left w:val="single" w:color="000000" w:sz="4" w:space="0"/>
              <w:bottom w:val="single" w:color="000000" w:sz="4" w:space="0"/>
              <w:right w:val="single" w:color="000000" w:sz="4" w:space="0"/>
            </w:tcBorders>
            <w:noWrap/>
            <w:vAlign w:val="center"/>
          </w:tcPr>
          <w:p w14:paraId="319BFFC7">
            <w:pPr>
              <w:ind w:left="27" w:hanging="27"/>
              <w:jc w:val="center"/>
              <w:rPr>
                <w:rFonts w:ascii="宋体" w:hAnsi="宋体" w:cs="宋体"/>
                <w:szCs w:val="21"/>
                <w:highlight w:val="none"/>
              </w:rPr>
            </w:pP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570E2C49">
            <w:pPr>
              <w:ind w:left="27" w:hanging="27"/>
              <w:rPr>
                <w:rFonts w:ascii="宋体" w:hAnsi="宋体" w:cs="宋体"/>
                <w:szCs w:val="21"/>
                <w:highlight w:val="none"/>
              </w:rPr>
            </w:pPr>
            <w:r>
              <w:rPr>
                <w:rFonts w:hint="eastAsia" w:ascii="宋体" w:hAnsi="宋体" w:cs="宋体"/>
                <w:szCs w:val="21"/>
                <w:highlight w:val="none"/>
              </w:rPr>
              <w:t>支持根据服务器响应时间对访问源进行CC攻击判断，响应时间超出管理员配置响应时间阈值后，对攻击源进行JS防御或图片验证防御。</w:t>
            </w:r>
          </w:p>
        </w:tc>
      </w:tr>
      <w:tr w14:paraId="49DD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tcBorders>
              <w:top w:val="single" w:color="000000" w:sz="4" w:space="0"/>
              <w:left w:val="single" w:color="000000" w:sz="4" w:space="0"/>
              <w:bottom w:val="single" w:color="000000" w:sz="4" w:space="0"/>
              <w:right w:val="single" w:color="000000" w:sz="4" w:space="0"/>
            </w:tcBorders>
            <w:noWrap/>
            <w:vAlign w:val="center"/>
          </w:tcPr>
          <w:p w14:paraId="7EAFAD82">
            <w:pPr>
              <w:ind w:left="27" w:hanging="27"/>
              <w:jc w:val="center"/>
              <w:rPr>
                <w:rFonts w:ascii="宋体" w:hAnsi="宋体" w:cs="宋体"/>
                <w:szCs w:val="21"/>
                <w:highlight w:val="none"/>
              </w:rPr>
            </w:pPr>
            <w:r>
              <w:rPr>
                <w:rFonts w:hint="eastAsia" w:ascii="宋体" w:hAnsi="宋体" w:cs="宋体"/>
                <w:szCs w:val="21"/>
                <w:highlight w:val="none"/>
              </w:rPr>
              <w:t>一键关站</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792F665B">
            <w:pPr>
              <w:ind w:left="27" w:hanging="27"/>
              <w:rPr>
                <w:rFonts w:ascii="宋体" w:hAnsi="宋体" w:cs="宋体"/>
                <w:szCs w:val="21"/>
                <w:highlight w:val="none"/>
              </w:rPr>
            </w:pPr>
            <w:r>
              <w:rPr>
                <w:rFonts w:hint="eastAsia" w:ascii="宋体" w:hAnsi="宋体" w:cs="宋体"/>
                <w:szCs w:val="21"/>
                <w:highlight w:val="none"/>
              </w:rPr>
              <w:t>支持特殊情况下一键关闭外部对源站的访问，达到一键关站的效果，并可以指定关站响应码（301,302时可以指定跳转URL）或者制定响应页面，默认响应403。</w:t>
            </w:r>
          </w:p>
        </w:tc>
      </w:tr>
      <w:tr w14:paraId="3D11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97" w:type="dxa"/>
            <w:tcBorders>
              <w:top w:val="single" w:color="000000" w:sz="4" w:space="0"/>
              <w:left w:val="single" w:color="000000" w:sz="4" w:space="0"/>
              <w:bottom w:val="single" w:color="000000" w:sz="4" w:space="0"/>
              <w:right w:val="single" w:color="000000" w:sz="4" w:space="0"/>
            </w:tcBorders>
            <w:noWrap/>
            <w:vAlign w:val="center"/>
          </w:tcPr>
          <w:p w14:paraId="13470025">
            <w:pPr>
              <w:ind w:left="27" w:hanging="27"/>
              <w:jc w:val="center"/>
              <w:rPr>
                <w:rFonts w:ascii="宋体" w:hAnsi="宋体" w:cs="宋体"/>
                <w:szCs w:val="21"/>
                <w:highlight w:val="none"/>
              </w:rPr>
            </w:pPr>
            <w:r>
              <w:rPr>
                <w:rFonts w:hint="eastAsia" w:ascii="宋体" w:hAnsi="宋体" w:cs="宋体"/>
                <w:szCs w:val="21"/>
                <w:highlight w:val="none"/>
              </w:rPr>
              <w:t>缓存加速</w:t>
            </w:r>
          </w:p>
        </w:tc>
        <w:tc>
          <w:tcPr>
            <w:tcW w:w="6925" w:type="dxa"/>
            <w:tcBorders>
              <w:top w:val="single" w:color="000000" w:sz="4" w:space="0"/>
              <w:left w:val="single" w:color="000000" w:sz="4" w:space="0"/>
              <w:right w:val="single" w:color="000000" w:sz="4" w:space="0"/>
            </w:tcBorders>
            <w:noWrap/>
            <w:vAlign w:val="center"/>
          </w:tcPr>
          <w:p w14:paraId="6852E8CC">
            <w:pPr>
              <w:ind w:left="27" w:hanging="27"/>
              <w:rPr>
                <w:rFonts w:ascii="宋体" w:hAnsi="宋体" w:cs="宋体"/>
                <w:szCs w:val="21"/>
                <w:highlight w:val="none"/>
              </w:rPr>
            </w:pPr>
            <w:r>
              <w:rPr>
                <w:rFonts w:hint="eastAsia" w:ascii="宋体" w:hAnsi="宋体" w:cs="宋体"/>
                <w:szCs w:val="21"/>
                <w:highlight w:val="none"/>
              </w:rPr>
              <w:t>支持URL缓存黑白名单功能，可以对特定URL进行是否缓存进行控制。</w:t>
            </w:r>
          </w:p>
        </w:tc>
      </w:tr>
      <w:tr w14:paraId="288B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597" w:type="dxa"/>
            <w:tcBorders>
              <w:top w:val="single" w:color="000000" w:sz="4" w:space="0"/>
              <w:left w:val="single" w:color="000000" w:sz="4" w:space="0"/>
              <w:bottom w:val="single" w:color="000000" w:sz="4" w:space="0"/>
              <w:right w:val="single" w:color="000000" w:sz="4" w:space="0"/>
            </w:tcBorders>
            <w:noWrap/>
            <w:vAlign w:val="center"/>
          </w:tcPr>
          <w:p w14:paraId="37EA4F30">
            <w:pPr>
              <w:ind w:left="27" w:hanging="27"/>
              <w:jc w:val="center"/>
              <w:rPr>
                <w:rFonts w:ascii="宋体" w:hAnsi="宋体" w:cs="宋体"/>
                <w:szCs w:val="21"/>
                <w:highlight w:val="none"/>
              </w:rPr>
            </w:pPr>
            <w:r>
              <w:rPr>
                <w:rFonts w:hint="eastAsia" w:ascii="宋体" w:hAnsi="宋体" w:cs="宋体"/>
                <w:szCs w:val="21"/>
                <w:highlight w:val="none"/>
              </w:rPr>
              <w:t>重保只读</w:t>
            </w:r>
          </w:p>
        </w:tc>
        <w:tc>
          <w:tcPr>
            <w:tcW w:w="6925" w:type="dxa"/>
            <w:tcBorders>
              <w:top w:val="single" w:color="000000" w:sz="4" w:space="0"/>
              <w:left w:val="single" w:color="000000" w:sz="4" w:space="0"/>
              <w:right w:val="single" w:color="000000" w:sz="4" w:space="0"/>
            </w:tcBorders>
            <w:noWrap/>
            <w:vAlign w:val="center"/>
          </w:tcPr>
          <w:p w14:paraId="1D23BEC7">
            <w:pPr>
              <w:ind w:left="27" w:hanging="27"/>
              <w:rPr>
                <w:rFonts w:ascii="宋体" w:hAnsi="宋体" w:cs="宋体"/>
                <w:szCs w:val="21"/>
                <w:highlight w:val="none"/>
              </w:rPr>
            </w:pPr>
            <w:r>
              <w:rPr>
                <w:rFonts w:hint="eastAsia" w:ascii="宋体" w:hAnsi="宋体" w:cs="宋体"/>
                <w:szCs w:val="21"/>
                <w:highlight w:val="none"/>
              </w:rPr>
              <w:t>用户可以自定义镜像URL、非镜像URL、开始镜像时间、重保时间段等参数，同时可以格式化镜像数据。</w:t>
            </w:r>
          </w:p>
        </w:tc>
      </w:tr>
      <w:tr w14:paraId="31D3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97" w:type="dxa"/>
            <w:tcBorders>
              <w:top w:val="single" w:color="000000" w:sz="4" w:space="0"/>
              <w:left w:val="single" w:color="000000" w:sz="4" w:space="0"/>
              <w:right w:val="single" w:color="000000" w:sz="4" w:space="0"/>
            </w:tcBorders>
            <w:noWrap/>
            <w:vAlign w:val="center"/>
          </w:tcPr>
          <w:p w14:paraId="42DC6318">
            <w:pPr>
              <w:ind w:left="27" w:hanging="27"/>
              <w:jc w:val="center"/>
              <w:rPr>
                <w:rFonts w:ascii="宋体" w:hAnsi="宋体" w:cs="宋体"/>
                <w:szCs w:val="21"/>
                <w:highlight w:val="none"/>
              </w:rPr>
            </w:pPr>
            <w:r>
              <w:rPr>
                <w:rFonts w:hint="eastAsia" w:ascii="宋体" w:hAnsi="宋体" w:cs="宋体"/>
                <w:szCs w:val="21"/>
                <w:highlight w:val="none"/>
              </w:rPr>
              <w:t>访问控制</w:t>
            </w:r>
          </w:p>
        </w:tc>
        <w:tc>
          <w:tcPr>
            <w:tcW w:w="6925" w:type="dxa"/>
            <w:tcBorders>
              <w:top w:val="single" w:color="000000" w:sz="4" w:space="0"/>
              <w:left w:val="single" w:color="000000" w:sz="4" w:space="0"/>
              <w:right w:val="single" w:color="000000" w:sz="4" w:space="0"/>
            </w:tcBorders>
            <w:noWrap/>
            <w:vAlign w:val="center"/>
          </w:tcPr>
          <w:p w14:paraId="27A41017">
            <w:pPr>
              <w:ind w:left="27" w:hanging="27"/>
              <w:rPr>
                <w:rFonts w:ascii="宋体" w:hAnsi="宋体" w:cs="宋体"/>
                <w:szCs w:val="21"/>
                <w:highlight w:val="none"/>
              </w:rPr>
            </w:pPr>
            <w:r>
              <w:rPr>
                <w:rFonts w:hint="eastAsia" w:ascii="宋体" w:hAnsi="宋体" w:cs="宋体"/>
                <w:szCs w:val="21"/>
                <w:highlight w:val="none"/>
              </w:rPr>
              <w:t>对在特定时间段内某IP地址或IP地址段是否能够访问特定URL进行访问控制。</w:t>
            </w:r>
          </w:p>
        </w:tc>
      </w:tr>
      <w:tr w14:paraId="58C8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597" w:type="dxa"/>
            <w:tcBorders>
              <w:top w:val="single" w:color="000000" w:sz="4" w:space="0"/>
              <w:left w:val="single" w:color="000000" w:sz="4" w:space="0"/>
              <w:bottom w:val="single" w:color="000000" w:sz="4" w:space="0"/>
              <w:right w:val="single" w:color="000000" w:sz="4" w:space="0"/>
            </w:tcBorders>
            <w:noWrap/>
            <w:vAlign w:val="center"/>
          </w:tcPr>
          <w:p w14:paraId="3DE4B4B6">
            <w:pPr>
              <w:ind w:left="27" w:hanging="27"/>
              <w:jc w:val="center"/>
              <w:rPr>
                <w:rFonts w:ascii="宋体" w:hAnsi="宋体" w:cs="宋体"/>
                <w:szCs w:val="21"/>
                <w:highlight w:val="none"/>
              </w:rPr>
            </w:pPr>
            <w:r>
              <w:rPr>
                <w:rFonts w:hint="eastAsia" w:ascii="宋体" w:hAnsi="宋体" w:cs="宋体"/>
                <w:szCs w:val="21"/>
                <w:highlight w:val="none"/>
              </w:rPr>
              <w:t>安全报表</w:t>
            </w:r>
          </w:p>
        </w:tc>
        <w:tc>
          <w:tcPr>
            <w:tcW w:w="6925" w:type="dxa"/>
            <w:tcBorders>
              <w:top w:val="single" w:color="000000" w:sz="4" w:space="0"/>
              <w:left w:val="single" w:color="000000" w:sz="4" w:space="0"/>
              <w:right w:val="single" w:color="000000" w:sz="4" w:space="0"/>
            </w:tcBorders>
            <w:noWrap/>
            <w:vAlign w:val="center"/>
          </w:tcPr>
          <w:p w14:paraId="02FA533B">
            <w:pPr>
              <w:ind w:left="27" w:hanging="27"/>
              <w:rPr>
                <w:rFonts w:ascii="宋体" w:hAnsi="宋体" w:cs="宋体"/>
                <w:szCs w:val="21"/>
                <w:highlight w:val="none"/>
              </w:rPr>
            </w:pPr>
            <w:r>
              <w:rPr>
                <w:rFonts w:hint="eastAsia" w:ascii="宋体" w:hAnsi="宋体" w:cs="宋体"/>
                <w:szCs w:val="21"/>
                <w:highlight w:val="none"/>
              </w:rPr>
              <w:t>内容包括拦截漏洞数、本周遭受的CC攻击数、攻击次数最多的IP、受攻击最多的域名，WEB攻击的趋势报表、遭受的CC攻击的趋势报表，WEB攻击方式TopN、遭受CC攻击的URL TopN，WEB攻击源IP全国分布位置，CC攻击源全国分布位置等内容，安全支持PDF、CSV格式导出下载。</w:t>
            </w:r>
          </w:p>
        </w:tc>
      </w:tr>
      <w:tr w14:paraId="37DB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tcBorders>
              <w:top w:val="single" w:color="000000" w:sz="4" w:space="0"/>
              <w:left w:val="single" w:color="000000" w:sz="4" w:space="0"/>
              <w:bottom w:val="single" w:color="000000" w:sz="4" w:space="0"/>
              <w:right w:val="single" w:color="000000" w:sz="4" w:space="0"/>
            </w:tcBorders>
            <w:noWrap/>
            <w:vAlign w:val="center"/>
          </w:tcPr>
          <w:p w14:paraId="4689B800">
            <w:pPr>
              <w:ind w:left="27" w:hanging="27"/>
              <w:jc w:val="center"/>
              <w:rPr>
                <w:rFonts w:ascii="宋体" w:hAnsi="宋体" w:cs="宋体"/>
                <w:szCs w:val="21"/>
                <w:highlight w:val="none"/>
              </w:rPr>
            </w:pPr>
            <w:r>
              <w:rPr>
                <w:rFonts w:hint="eastAsia" w:ascii="宋体" w:hAnsi="宋体" w:cs="宋体"/>
                <w:szCs w:val="21"/>
                <w:highlight w:val="none"/>
              </w:rPr>
              <w:t>业务报表</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52B66A67">
            <w:pPr>
              <w:ind w:left="27" w:hanging="27"/>
              <w:rPr>
                <w:rFonts w:ascii="宋体" w:hAnsi="宋体" w:cs="宋体"/>
                <w:szCs w:val="21"/>
                <w:highlight w:val="none"/>
              </w:rPr>
            </w:pPr>
            <w:r>
              <w:rPr>
                <w:rFonts w:hint="eastAsia" w:ascii="宋体" w:hAnsi="宋体" w:cs="宋体"/>
                <w:szCs w:val="21"/>
                <w:highlight w:val="none"/>
              </w:rPr>
              <w:t>支持访问IP数、PV数、加速次数、总访问量、节省流量、总流量、最大节省带宽、带宽峰值等维度的业务访问报表，并支持CSV或PDF格式导出下载。</w:t>
            </w:r>
          </w:p>
        </w:tc>
      </w:tr>
      <w:tr w14:paraId="0370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7" w:type="dxa"/>
            <w:tcBorders>
              <w:top w:val="single" w:color="000000" w:sz="4" w:space="0"/>
              <w:left w:val="single" w:color="000000" w:sz="4" w:space="0"/>
              <w:bottom w:val="single" w:color="000000" w:sz="4" w:space="0"/>
              <w:right w:val="single" w:color="000000" w:sz="4" w:space="0"/>
            </w:tcBorders>
            <w:noWrap/>
            <w:vAlign w:val="center"/>
          </w:tcPr>
          <w:p w14:paraId="48B20EA7">
            <w:pPr>
              <w:ind w:left="27" w:hanging="27"/>
              <w:jc w:val="center"/>
              <w:rPr>
                <w:rFonts w:ascii="宋体" w:hAnsi="宋体" w:cs="宋体"/>
                <w:szCs w:val="21"/>
                <w:highlight w:val="none"/>
              </w:rPr>
            </w:pPr>
            <w:r>
              <w:rPr>
                <w:rFonts w:hint="eastAsia" w:ascii="宋体" w:hAnsi="宋体" w:cs="宋体"/>
                <w:szCs w:val="21"/>
                <w:highlight w:val="none"/>
              </w:rPr>
              <w:t>三元用户管理</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275B2A78">
            <w:pPr>
              <w:ind w:left="27" w:hanging="27"/>
              <w:rPr>
                <w:rFonts w:ascii="宋体" w:hAnsi="宋体" w:cs="宋体"/>
                <w:szCs w:val="21"/>
                <w:highlight w:val="none"/>
              </w:rPr>
            </w:pPr>
            <w:r>
              <w:rPr>
                <w:rFonts w:hint="eastAsia" w:ascii="宋体" w:hAnsi="宋体" w:cs="宋体"/>
                <w:szCs w:val="21"/>
                <w:highlight w:val="none"/>
              </w:rPr>
              <w:t>支持超级管理员、普通管理员、审计管理员等管理员角色。超级管理员可以创建其他所有管理员并拥有系统最高权限；普通注册管理员只可以查看并配置自己域名的权限；审计管理员智能审计配置及日志报表。</w:t>
            </w:r>
          </w:p>
        </w:tc>
      </w:tr>
    </w:tbl>
    <w:p w14:paraId="7C41C8A0">
      <w:pPr>
        <w:keepNext/>
        <w:keepLines/>
        <w:numPr>
          <w:ilvl w:val="1"/>
          <w:numId w:val="0"/>
        </w:numPr>
        <w:ind w:left="567"/>
        <w:outlineLvl w:val="2"/>
        <w:rPr>
          <w:rFonts w:ascii="仿宋_GB2312" w:hAnsi="仿宋_GB2312" w:eastAsia="仿宋_GB2312" w:cs="仿宋_GB2312"/>
          <w:sz w:val="36"/>
          <w:szCs w:val="36"/>
          <w:highlight w:val="none"/>
          <w:lang w:eastAsia="en-US"/>
        </w:rPr>
      </w:pPr>
      <w:r>
        <w:rPr>
          <w:rFonts w:hint="eastAsia" w:ascii="宋体" w:hAnsi="宋体" w:cs="宋体"/>
          <w:sz w:val="36"/>
          <w:szCs w:val="36"/>
          <w:highlight w:val="none"/>
        </w:rPr>
        <w:t>2.</w:t>
      </w:r>
      <w:r>
        <w:rPr>
          <w:rFonts w:ascii="宋体" w:hAnsi="宋体" w:cs="宋体"/>
          <w:sz w:val="36"/>
          <w:szCs w:val="36"/>
          <w:highlight w:val="none"/>
          <w:lang w:eastAsia="en-US"/>
        </w:rPr>
        <w:t>1.1</w:t>
      </w:r>
      <w:r>
        <w:rPr>
          <w:rFonts w:hint="eastAsia" w:ascii="宋体" w:hAnsi="宋体" w:cs="宋体"/>
          <w:sz w:val="36"/>
          <w:szCs w:val="36"/>
          <w:highlight w:val="none"/>
        </w:rPr>
        <w:t xml:space="preserve">6 </w:t>
      </w:r>
      <w:r>
        <w:rPr>
          <w:rFonts w:hint="eastAsia" w:ascii="仿宋_GB2312" w:hAnsi="仿宋_GB2312" w:eastAsia="仿宋_GB2312" w:cs="仿宋_GB2312"/>
          <w:sz w:val="36"/>
          <w:szCs w:val="36"/>
          <w:highlight w:val="none"/>
          <w:lang w:eastAsia="en-US"/>
        </w:rPr>
        <w:t>云备份技术指标</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801"/>
      </w:tblGrid>
      <w:tr w14:paraId="29FF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ign w:val="center"/>
          </w:tcPr>
          <w:p w14:paraId="2D2B518E">
            <w:pPr>
              <w:jc w:val="center"/>
              <w:rPr>
                <w:rFonts w:ascii="宋体" w:hAnsi="宋体" w:cs="宋体"/>
                <w:b/>
                <w:szCs w:val="21"/>
                <w:highlight w:val="none"/>
              </w:rPr>
            </w:pPr>
            <w:r>
              <w:rPr>
                <w:rFonts w:hint="eastAsia" w:ascii="宋体" w:hAnsi="宋体" w:cs="宋体"/>
                <w:b/>
                <w:szCs w:val="21"/>
                <w:highlight w:val="none"/>
              </w:rPr>
              <w:t>指标项</w:t>
            </w:r>
          </w:p>
        </w:tc>
        <w:tc>
          <w:tcPr>
            <w:tcW w:w="6801" w:type="dxa"/>
            <w:noWrap/>
            <w:vAlign w:val="center"/>
          </w:tcPr>
          <w:p w14:paraId="731A13F8">
            <w:pPr>
              <w:jc w:val="center"/>
              <w:rPr>
                <w:rFonts w:ascii="宋体" w:hAnsi="宋体" w:cs="宋体"/>
                <w:b/>
                <w:szCs w:val="21"/>
                <w:highlight w:val="none"/>
              </w:rPr>
            </w:pPr>
            <w:r>
              <w:rPr>
                <w:rFonts w:hint="eastAsia" w:ascii="宋体" w:hAnsi="宋体" w:cs="宋体"/>
                <w:b/>
                <w:szCs w:val="21"/>
                <w:highlight w:val="none"/>
              </w:rPr>
              <w:t>招标要求</w:t>
            </w:r>
          </w:p>
        </w:tc>
      </w:tr>
      <w:tr w14:paraId="3106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ign w:val="center"/>
          </w:tcPr>
          <w:p w14:paraId="19E6535C">
            <w:pPr>
              <w:jc w:val="center"/>
              <w:rPr>
                <w:rFonts w:ascii="宋体" w:hAnsi="宋体" w:cs="宋体"/>
                <w:szCs w:val="21"/>
                <w:highlight w:val="none"/>
              </w:rPr>
            </w:pPr>
            <w:r>
              <w:rPr>
                <w:rFonts w:hint="eastAsia" w:ascii="宋体" w:hAnsi="宋体" w:cs="宋体"/>
                <w:szCs w:val="21"/>
                <w:highlight w:val="none"/>
              </w:rPr>
              <w:t>可靠性要求</w:t>
            </w:r>
          </w:p>
        </w:tc>
        <w:tc>
          <w:tcPr>
            <w:tcW w:w="6801" w:type="dxa"/>
            <w:noWrap/>
            <w:vAlign w:val="center"/>
          </w:tcPr>
          <w:p w14:paraId="7832377D">
            <w:pPr>
              <w:rPr>
                <w:rFonts w:ascii="宋体" w:hAnsi="宋体" w:cs="宋体"/>
                <w:szCs w:val="21"/>
                <w:highlight w:val="none"/>
              </w:rPr>
            </w:pPr>
            <w:r>
              <w:rPr>
                <w:rFonts w:hint="eastAsia" w:ascii="宋体" w:hAnsi="宋体" w:cs="宋体"/>
                <w:szCs w:val="21"/>
                <w:highlight w:val="none"/>
              </w:rPr>
              <w:t>提供普通存储服务，要求稳定可靠，确保数据可靠性99.9999%</w:t>
            </w:r>
          </w:p>
        </w:tc>
      </w:tr>
      <w:tr w14:paraId="5DAA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ign w:val="center"/>
          </w:tcPr>
          <w:p w14:paraId="4C8C42FE">
            <w:pPr>
              <w:jc w:val="center"/>
              <w:rPr>
                <w:rFonts w:ascii="宋体" w:hAnsi="宋体" w:cs="宋体"/>
                <w:szCs w:val="21"/>
                <w:highlight w:val="none"/>
              </w:rPr>
            </w:pPr>
            <w:r>
              <w:rPr>
                <w:rFonts w:hint="eastAsia" w:ascii="宋体" w:hAnsi="宋体" w:cs="宋体"/>
                <w:szCs w:val="21"/>
                <w:highlight w:val="none"/>
              </w:rPr>
              <w:t>性能要求</w:t>
            </w:r>
          </w:p>
        </w:tc>
        <w:tc>
          <w:tcPr>
            <w:tcW w:w="6801" w:type="dxa"/>
            <w:noWrap/>
            <w:vAlign w:val="center"/>
          </w:tcPr>
          <w:p w14:paraId="78667BE4">
            <w:pPr>
              <w:rPr>
                <w:rFonts w:ascii="宋体" w:hAnsi="宋体" w:cs="宋体"/>
                <w:szCs w:val="21"/>
                <w:highlight w:val="none"/>
              </w:rPr>
            </w:pPr>
            <w:r>
              <w:rPr>
                <w:rFonts w:hint="eastAsia" w:ascii="宋体" w:hAnsi="宋体" w:cs="宋体"/>
                <w:szCs w:val="21"/>
                <w:highlight w:val="none"/>
              </w:rPr>
              <w:t>普通存储单盘技术指标满足IOPS 1000-3000</w:t>
            </w:r>
          </w:p>
          <w:p w14:paraId="6033A4EB">
            <w:pPr>
              <w:rPr>
                <w:rFonts w:ascii="宋体" w:hAnsi="宋体" w:cs="宋体"/>
                <w:szCs w:val="21"/>
                <w:highlight w:val="none"/>
              </w:rPr>
            </w:pPr>
            <w:r>
              <w:rPr>
                <w:rFonts w:hint="eastAsia" w:ascii="宋体" w:hAnsi="宋体" w:cs="宋体"/>
                <w:szCs w:val="21"/>
                <w:highlight w:val="none"/>
              </w:rPr>
              <w:t>高性能存储单盘技术指标满足IOPS 3000-20000</w:t>
            </w:r>
          </w:p>
        </w:tc>
      </w:tr>
      <w:tr w14:paraId="4915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ign w:val="center"/>
          </w:tcPr>
          <w:p w14:paraId="115EE12F">
            <w:pPr>
              <w:jc w:val="center"/>
              <w:rPr>
                <w:rFonts w:ascii="宋体" w:hAnsi="宋体" w:cs="宋体"/>
                <w:szCs w:val="21"/>
                <w:highlight w:val="none"/>
              </w:rPr>
            </w:pPr>
            <w:r>
              <w:rPr>
                <w:rFonts w:hint="eastAsia" w:ascii="宋体" w:hAnsi="宋体" w:cs="宋体"/>
                <w:szCs w:val="21"/>
                <w:highlight w:val="none"/>
              </w:rPr>
              <w:t>使用要求</w:t>
            </w:r>
          </w:p>
        </w:tc>
        <w:tc>
          <w:tcPr>
            <w:tcW w:w="6801" w:type="dxa"/>
            <w:noWrap/>
            <w:vAlign w:val="center"/>
          </w:tcPr>
          <w:p w14:paraId="2DBC52BA">
            <w:pPr>
              <w:rPr>
                <w:rFonts w:ascii="宋体" w:hAnsi="宋体" w:cs="宋体"/>
                <w:szCs w:val="21"/>
                <w:highlight w:val="none"/>
              </w:rPr>
            </w:pPr>
            <w:r>
              <w:rPr>
                <w:rFonts w:hint="eastAsia" w:ascii="宋体" w:hAnsi="宋体" w:cs="宋体"/>
                <w:szCs w:val="21"/>
                <w:highlight w:val="none"/>
              </w:rPr>
              <w:t>用户可以以1GB为最小单位进行容量申请，并可以申请直接挂在给云主机使用</w:t>
            </w:r>
          </w:p>
        </w:tc>
      </w:tr>
      <w:tr w14:paraId="453D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ign w:val="center"/>
          </w:tcPr>
          <w:p w14:paraId="2C0DC469">
            <w:pPr>
              <w:jc w:val="center"/>
              <w:rPr>
                <w:rFonts w:ascii="宋体" w:hAnsi="宋体" w:cs="宋体"/>
                <w:szCs w:val="21"/>
                <w:highlight w:val="none"/>
              </w:rPr>
            </w:pPr>
            <w:r>
              <w:rPr>
                <w:rFonts w:hint="eastAsia" w:ascii="宋体" w:hAnsi="宋体" w:cs="宋体"/>
                <w:szCs w:val="21"/>
                <w:highlight w:val="none"/>
              </w:rPr>
              <w:t>架构要求</w:t>
            </w:r>
          </w:p>
        </w:tc>
        <w:tc>
          <w:tcPr>
            <w:tcW w:w="6801" w:type="dxa"/>
            <w:noWrap/>
            <w:vAlign w:val="center"/>
          </w:tcPr>
          <w:p w14:paraId="22E706F3">
            <w:pPr>
              <w:rPr>
                <w:rFonts w:ascii="宋体" w:hAnsi="宋体" w:cs="宋体"/>
                <w:szCs w:val="21"/>
                <w:highlight w:val="none"/>
              </w:rPr>
            </w:pPr>
            <w:r>
              <w:rPr>
                <w:rFonts w:hint="eastAsia" w:ascii="宋体" w:hAnsi="宋体" w:cs="宋体"/>
                <w:szCs w:val="21"/>
                <w:highlight w:val="none"/>
              </w:rPr>
              <w:t>系统整体架构无单点故障</w:t>
            </w:r>
          </w:p>
        </w:tc>
      </w:tr>
      <w:tr w14:paraId="5F2B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ign w:val="center"/>
          </w:tcPr>
          <w:p w14:paraId="213239FA">
            <w:pPr>
              <w:jc w:val="center"/>
              <w:rPr>
                <w:rFonts w:ascii="宋体" w:hAnsi="宋体" w:cs="宋体"/>
                <w:szCs w:val="21"/>
                <w:highlight w:val="none"/>
              </w:rPr>
            </w:pPr>
            <w:r>
              <w:rPr>
                <w:rFonts w:hint="eastAsia" w:ascii="宋体" w:hAnsi="宋体" w:cs="宋体"/>
                <w:szCs w:val="21"/>
                <w:highlight w:val="none"/>
              </w:rPr>
              <w:t>可操作性</w:t>
            </w:r>
          </w:p>
        </w:tc>
        <w:tc>
          <w:tcPr>
            <w:tcW w:w="6801" w:type="dxa"/>
            <w:noWrap/>
            <w:vAlign w:val="center"/>
          </w:tcPr>
          <w:p w14:paraId="406D660C">
            <w:pPr>
              <w:rPr>
                <w:rFonts w:ascii="宋体" w:hAnsi="宋体" w:cs="宋体"/>
                <w:szCs w:val="21"/>
                <w:highlight w:val="none"/>
              </w:rPr>
            </w:pPr>
            <w:r>
              <w:rPr>
                <w:rFonts w:hint="eastAsia" w:ascii="宋体" w:hAnsi="宋体" w:cs="宋体"/>
                <w:szCs w:val="21"/>
                <w:highlight w:val="none"/>
              </w:rPr>
              <w:t>支持通过云管理平台，实现申请部署与使用</w:t>
            </w:r>
          </w:p>
        </w:tc>
      </w:tr>
    </w:tbl>
    <w:p w14:paraId="3EB0D182">
      <w:pPr>
        <w:keepNext/>
        <w:keepLines/>
        <w:numPr>
          <w:ilvl w:val="1"/>
          <w:numId w:val="0"/>
        </w:numPr>
        <w:ind w:left="567"/>
        <w:outlineLvl w:val="2"/>
        <w:rPr>
          <w:rFonts w:ascii="仿宋_GB2312" w:hAnsi="仿宋_GB2312" w:eastAsia="仿宋_GB2312" w:cs="仿宋_GB2312"/>
          <w:sz w:val="36"/>
          <w:szCs w:val="36"/>
          <w:highlight w:val="none"/>
        </w:rPr>
      </w:pPr>
      <w:r>
        <w:rPr>
          <w:rFonts w:hint="eastAsia" w:ascii="宋体" w:hAnsi="宋体" w:cs="宋体"/>
          <w:sz w:val="36"/>
          <w:szCs w:val="36"/>
          <w:highlight w:val="none"/>
        </w:rPr>
        <w:t>2.</w:t>
      </w:r>
      <w:r>
        <w:rPr>
          <w:rFonts w:ascii="宋体" w:hAnsi="宋体" w:cs="宋体"/>
          <w:sz w:val="36"/>
          <w:szCs w:val="36"/>
          <w:highlight w:val="none"/>
        </w:rPr>
        <w:t>1.1</w:t>
      </w:r>
      <w:r>
        <w:rPr>
          <w:rFonts w:hint="eastAsia" w:ascii="宋体" w:hAnsi="宋体" w:cs="宋体"/>
          <w:sz w:val="36"/>
          <w:szCs w:val="36"/>
          <w:highlight w:val="none"/>
        </w:rPr>
        <w:t xml:space="preserve">7 </w:t>
      </w:r>
      <w:r>
        <w:rPr>
          <w:rFonts w:hint="eastAsia" w:ascii="仿宋_GB2312" w:hAnsi="仿宋_GB2312" w:eastAsia="仿宋_GB2312" w:cs="仿宋_GB2312"/>
          <w:sz w:val="36"/>
          <w:szCs w:val="36"/>
          <w:highlight w:val="none"/>
        </w:rPr>
        <w:t>专线服务</w:t>
      </w:r>
    </w:p>
    <w:p w14:paraId="2B690B15">
      <w:pPr>
        <w:ind w:firstLine="720" w:firstLineChars="200"/>
        <w:rPr>
          <w:rFonts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提供北京市高级人民法院机房到云服务商机房</w:t>
      </w:r>
      <w:r>
        <w:rPr>
          <w:rFonts w:hint="eastAsia" w:ascii="仿宋_GB2312" w:hAnsi="仿宋_GB2312" w:eastAsia="仿宋_GB2312" w:cs="仿宋_GB2312"/>
          <w:sz w:val="36"/>
          <w:szCs w:val="36"/>
          <w:highlight w:val="none"/>
          <w:lang w:val="en-US" w:eastAsia="zh-CN"/>
        </w:rPr>
        <w:t>2根1Gbps</w:t>
      </w:r>
      <w:r>
        <w:rPr>
          <w:rFonts w:hint="eastAsia" w:ascii="仿宋_GB2312" w:hAnsi="仿宋_GB2312" w:eastAsia="仿宋_GB2312" w:cs="仿宋_GB2312"/>
          <w:sz w:val="36"/>
          <w:szCs w:val="36"/>
          <w:highlight w:val="none"/>
        </w:rPr>
        <w:t>专线，服务期1年（12个月）。在线庭审1.5G</w:t>
      </w:r>
      <w:r>
        <w:rPr>
          <w:rFonts w:hint="eastAsia" w:ascii="仿宋_GB2312" w:hAnsi="仿宋_GB2312" w:eastAsia="仿宋_GB2312" w:cs="仿宋_GB2312"/>
          <w:sz w:val="36"/>
          <w:szCs w:val="36"/>
          <w:highlight w:val="none"/>
          <w:lang w:val="en-US" w:eastAsia="zh-CN"/>
        </w:rPr>
        <w:t>bps</w:t>
      </w:r>
      <w:r>
        <w:rPr>
          <w:rFonts w:hint="eastAsia" w:ascii="仿宋_GB2312" w:hAnsi="仿宋_GB2312" w:eastAsia="仿宋_GB2312" w:cs="仿宋_GB2312"/>
          <w:sz w:val="36"/>
          <w:szCs w:val="36"/>
          <w:highlight w:val="none"/>
        </w:rPr>
        <w:t>带宽互联网链路，服务期1年（1</w:t>
      </w:r>
      <w:r>
        <w:rPr>
          <w:rFonts w:ascii="仿宋_GB2312" w:hAnsi="仿宋_GB2312" w:eastAsia="仿宋_GB2312" w:cs="仿宋_GB2312"/>
          <w:sz w:val="36"/>
          <w:szCs w:val="36"/>
          <w:highlight w:val="none"/>
        </w:rPr>
        <w:t>2</w:t>
      </w:r>
      <w:r>
        <w:rPr>
          <w:rFonts w:hint="eastAsia" w:ascii="仿宋_GB2312" w:hAnsi="仿宋_GB2312" w:eastAsia="仿宋_GB2312" w:cs="仿宋_GB2312"/>
          <w:sz w:val="36"/>
          <w:szCs w:val="36"/>
          <w:highlight w:val="none"/>
        </w:rPr>
        <w:t>个月）。</w:t>
      </w:r>
    </w:p>
    <w:p w14:paraId="1AD6B67F">
      <w:pPr>
        <w:numPr>
          <w:ilvl w:val="1"/>
          <w:numId w:val="0"/>
        </w:numPr>
        <w:ind w:left="567"/>
        <w:outlineLvl w:val="2"/>
        <w:rPr>
          <w:rFonts w:ascii="仿宋_GB2312" w:hAnsi="仿宋_GB2312" w:eastAsia="仿宋_GB2312" w:cs="仿宋_GB2312"/>
          <w:sz w:val="36"/>
          <w:szCs w:val="36"/>
          <w:highlight w:val="none"/>
        </w:rPr>
      </w:pPr>
      <w:r>
        <w:rPr>
          <w:rFonts w:hint="eastAsia" w:ascii="仿宋_GB2312" w:hAnsi="仿宋_GB2312" w:eastAsia="仿宋_GB2312" w:cs="仿宋_GB2312"/>
          <w:kern w:val="0"/>
          <w:sz w:val="36"/>
          <w:szCs w:val="36"/>
          <w:highlight w:val="none"/>
        </w:rPr>
        <w:t>2.</w:t>
      </w:r>
      <w:r>
        <w:rPr>
          <w:rFonts w:hint="eastAsia" w:ascii="仿宋_GB2312" w:hAnsi="仿宋_GB2312" w:eastAsia="仿宋_GB2312" w:cs="仿宋_GB2312"/>
          <w:kern w:val="0"/>
          <w:sz w:val="36"/>
          <w:szCs w:val="36"/>
          <w:highlight w:val="none"/>
          <w:lang w:val="en-US" w:eastAsia="zh-CN"/>
        </w:rPr>
        <w:t>1</w:t>
      </w:r>
      <w:r>
        <w:rPr>
          <w:rFonts w:hint="eastAsia" w:ascii="仿宋_GB2312" w:hAnsi="仿宋_GB2312" w:eastAsia="仿宋_GB2312" w:cs="仿宋_GB2312"/>
          <w:kern w:val="0"/>
          <w:sz w:val="36"/>
          <w:szCs w:val="36"/>
          <w:highlight w:val="none"/>
        </w:rPr>
        <w:t>.</w:t>
      </w:r>
      <w:r>
        <w:rPr>
          <w:rFonts w:hint="eastAsia" w:ascii="仿宋_GB2312" w:hAnsi="仿宋_GB2312" w:eastAsia="仿宋_GB2312" w:cs="仿宋_GB2312"/>
          <w:kern w:val="0"/>
          <w:sz w:val="36"/>
          <w:szCs w:val="36"/>
          <w:highlight w:val="none"/>
          <w:lang w:val="en-US" w:eastAsia="zh-CN"/>
        </w:rPr>
        <w:t>18</w:t>
      </w:r>
      <w:r>
        <w:rPr>
          <w:rFonts w:hint="eastAsia" w:ascii="仿宋_GB2312" w:hAnsi="仿宋_GB2312" w:eastAsia="仿宋_GB2312" w:cs="仿宋_GB2312"/>
          <w:kern w:val="0"/>
          <w:sz w:val="36"/>
          <w:szCs w:val="36"/>
          <w:highlight w:val="none"/>
        </w:rPr>
        <w:t xml:space="preserve"> 安全服务需求</w:t>
      </w:r>
    </w:p>
    <w:p w14:paraId="679C6850">
      <w:pPr>
        <w:ind w:firstLine="720" w:firstLineChars="200"/>
        <w:rPr>
          <w:rFonts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投标人所投云平台应具备完备的安全防护体系和安全防护设备，应保证各业务应用系统的支撑环境，包括但不限于服务器、网络、存储以及相关物理环境，应能满足不低于网络安全等级保护（GB/T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积极配合采购人开展各项安全服务保障工作。投标人管辖范围内的硬件、软件及支撑环境资源，至少达到业务系统的最高安全等级要求。</w:t>
      </w:r>
    </w:p>
    <w:p w14:paraId="3CAC649B">
      <w:pPr>
        <w:numPr>
          <w:ilvl w:val="1"/>
          <w:numId w:val="0"/>
        </w:numPr>
        <w:ind w:left="567"/>
        <w:outlineLvl w:val="2"/>
        <w:rPr>
          <w:rFonts w:hint="eastAsia" w:ascii="仿宋_GB2312" w:hAnsi="仿宋_GB2312" w:eastAsia="仿宋_GB2312" w:cs="仿宋_GB2312"/>
          <w:sz w:val="36"/>
          <w:szCs w:val="36"/>
          <w:highlight w:val="none"/>
          <w:lang w:eastAsia="zh-CN"/>
        </w:rPr>
      </w:pPr>
      <w:r>
        <w:rPr>
          <w:rFonts w:hint="eastAsia" w:ascii="仿宋_GB2312" w:hAnsi="仿宋_GB2312" w:eastAsia="仿宋_GB2312" w:cs="仿宋_GB2312"/>
          <w:kern w:val="0"/>
          <w:sz w:val="36"/>
          <w:szCs w:val="36"/>
          <w:highlight w:val="none"/>
        </w:rPr>
        <w:t>2.</w:t>
      </w:r>
      <w:r>
        <w:rPr>
          <w:rFonts w:hint="eastAsia" w:ascii="仿宋_GB2312" w:hAnsi="仿宋_GB2312" w:eastAsia="仿宋_GB2312" w:cs="仿宋_GB2312"/>
          <w:kern w:val="0"/>
          <w:sz w:val="36"/>
          <w:szCs w:val="36"/>
          <w:highlight w:val="none"/>
          <w:lang w:val="en-US" w:eastAsia="zh-CN"/>
        </w:rPr>
        <w:t>1</w:t>
      </w:r>
      <w:r>
        <w:rPr>
          <w:rFonts w:hint="eastAsia" w:ascii="仿宋_GB2312" w:hAnsi="仿宋_GB2312" w:eastAsia="仿宋_GB2312" w:cs="仿宋_GB2312"/>
          <w:kern w:val="0"/>
          <w:sz w:val="36"/>
          <w:szCs w:val="36"/>
          <w:highlight w:val="none"/>
        </w:rPr>
        <w:t>.</w:t>
      </w:r>
      <w:r>
        <w:rPr>
          <w:rFonts w:hint="eastAsia" w:ascii="仿宋_GB2312" w:hAnsi="仿宋_GB2312" w:eastAsia="仿宋_GB2312" w:cs="仿宋_GB2312"/>
          <w:kern w:val="0"/>
          <w:sz w:val="36"/>
          <w:szCs w:val="36"/>
          <w:highlight w:val="none"/>
          <w:lang w:val="en-US" w:eastAsia="zh-CN"/>
        </w:rPr>
        <w:t>19</w:t>
      </w:r>
      <w:r>
        <w:rPr>
          <w:rFonts w:hint="eastAsia" w:ascii="仿宋_GB2312" w:hAnsi="仿宋_GB2312" w:eastAsia="仿宋_GB2312" w:cs="仿宋_GB2312"/>
          <w:kern w:val="0"/>
          <w:sz w:val="36"/>
          <w:szCs w:val="36"/>
          <w:highlight w:val="none"/>
        </w:rPr>
        <w:t xml:space="preserve"> </w:t>
      </w:r>
      <w:r>
        <w:rPr>
          <w:rFonts w:hint="eastAsia" w:ascii="仿宋_GB2312" w:hAnsi="仿宋_GB2312" w:eastAsia="仿宋_GB2312" w:cs="仿宋_GB2312"/>
          <w:kern w:val="0"/>
          <w:sz w:val="36"/>
          <w:szCs w:val="36"/>
          <w:highlight w:val="none"/>
          <w:lang w:eastAsia="zh-CN"/>
        </w:rPr>
        <w:t>其他</w:t>
      </w:r>
    </w:p>
    <w:p w14:paraId="53539DF6">
      <w:pPr>
        <w:pageBreakBefore w:val="0"/>
        <w:widowControl/>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投标人应对采购人进行必要的培训；投标人应配合采购人对各类资源进行梳理，定期向采购人报告各类资源的分配情况、使用情况，系统运行情况、安全事件等，并向采购人提交书面报告；配合采购人攻防演练、安全重保、应急处置等工作，并向采购人提交有关方案、总结等。</w:t>
      </w:r>
    </w:p>
    <w:p w14:paraId="46CA1BEE">
      <w:pPr>
        <w:rPr>
          <w:highlight w:val="none"/>
        </w:rPr>
      </w:pPr>
    </w:p>
    <w:p w14:paraId="4BCB44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EC25A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B234E"/>
    <w:multiLevelType w:val="multilevel"/>
    <w:tmpl w:val="184B23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A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Normal Indent"/>
    <w:basedOn w:val="1"/>
    <w:next w:val="3"/>
    <w:qFormat/>
    <w:uiPriority w:val="0"/>
    <w:pPr>
      <w:autoSpaceDE w:val="0"/>
      <w:autoSpaceDN w:val="0"/>
      <w:adjustRightInd w:val="0"/>
      <w:ind w:firstLine="420"/>
      <w:jc w:val="left"/>
    </w:pPr>
    <w:rPr>
      <w:rFonts w:ascii="宋体"/>
      <w:sz w:val="24"/>
    </w:rPr>
  </w:style>
  <w:style w:type="paragraph" w:styleId="5">
    <w:name w:val="Body Text First Indent"/>
    <w:basedOn w:val="6"/>
    <w:next w:val="7"/>
    <w:qFormat/>
    <w:uiPriority w:val="0"/>
    <w:pPr>
      <w:tabs>
        <w:tab w:val="left" w:pos="567"/>
      </w:tabs>
      <w:ind w:firstLine="420" w:firstLineChars="100"/>
    </w:pPr>
    <w:rPr>
      <w:lang w:val="zh-CN"/>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toc 6"/>
    <w:basedOn w:val="1"/>
    <w:next w:val="1"/>
    <w:qFormat/>
    <w:uiPriority w:val="0"/>
    <w:pPr>
      <w:ind w:left="2100" w:leftChars="1000"/>
    </w:pPr>
  </w:style>
  <w:style w:type="character" w:customStyle="1" w:styleId="10">
    <w:name w:val="font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2026-06-09T02:41:34Z</dcterms:created>
  <dc:creator>luozhao</dc:creator>
  <cp:lastModifiedBy>LZ</cp:lastModifiedBy>
  <dcterms:modified xsi:type="dcterms:W3CDTF">2026-06-09T02:42:13Z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5DB17DD3D68346A19A0CC069E41D15EB_12</vt:lpwstr>
  </property>
</Properties>
</file>