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F33D4">
      <w:pPr>
        <w:snapToGrid w:val="0"/>
        <w:spacing w:line="360" w:lineRule="auto"/>
        <w:jc w:val="center"/>
        <w:outlineLvl w:val="0"/>
        <w:rPr>
          <w:rFonts w:ascii="仿宋" w:hAnsi="仿宋" w:eastAsia="仿宋" w:cs="仿宋"/>
          <w:b/>
          <w:color w:val="auto"/>
          <w:sz w:val="40"/>
          <w:szCs w:val="40"/>
        </w:rPr>
      </w:pPr>
      <w:bookmarkStart w:id="0" w:name="OLE_LINK34"/>
      <w:bookmarkStart w:id="1" w:name="OLE_LINK33"/>
      <w:r>
        <w:rPr>
          <w:rFonts w:hint="eastAsia" w:ascii="仿宋" w:hAnsi="仿宋" w:eastAsia="仿宋" w:cs="仿宋"/>
          <w:b/>
          <w:color w:val="auto"/>
          <w:sz w:val="40"/>
          <w:szCs w:val="40"/>
        </w:rPr>
        <w:t>采购需求</w:t>
      </w:r>
    </w:p>
    <w:p w14:paraId="7D8C051E">
      <w:pPr>
        <w:snapToGrid w:val="0"/>
        <w:spacing w:line="360" w:lineRule="auto"/>
        <w:contextualSpacing/>
        <w:rPr>
          <w:rFonts w:ascii="仿宋" w:hAnsi="仿宋" w:eastAsia="仿宋" w:cs="仿宋"/>
          <w:color w:val="auto"/>
          <w:sz w:val="28"/>
          <w:szCs w:val="28"/>
        </w:rPr>
      </w:pPr>
      <w:r>
        <w:rPr>
          <w:rFonts w:hint="eastAsia" w:ascii="仿宋" w:hAnsi="仿宋" w:eastAsia="仿宋" w:cs="仿宋"/>
          <w:color w:val="auto"/>
          <w:sz w:val="28"/>
          <w:szCs w:val="28"/>
        </w:rPr>
        <w:t>说明：</w:t>
      </w:r>
    </w:p>
    <w:p w14:paraId="202362A7">
      <w:pPr>
        <w:snapToGrid w:val="0"/>
        <w:spacing w:line="360" w:lineRule="auto"/>
        <w:contextualSpacing/>
        <w:rPr>
          <w:rFonts w:ascii="仿宋" w:hAnsi="仿宋" w:eastAsia="仿宋" w:cs="仿宋"/>
          <w:color w:val="auto"/>
          <w:sz w:val="28"/>
          <w:szCs w:val="28"/>
        </w:rPr>
      </w:pPr>
      <w:bookmarkStart w:id="2" w:name="_Hlk167284587"/>
      <w:r>
        <w:rPr>
          <w:rFonts w:hint="eastAsia" w:ascii="仿宋" w:hAnsi="仿宋" w:eastAsia="仿宋" w:cs="仿宋"/>
          <w:color w:val="auto"/>
          <w:sz w:val="28"/>
          <w:szCs w:val="28"/>
        </w:rPr>
        <w:t>1. 当采购项目涉及政务信息系统时，采购需求应当符合《政务信息系统政府采购管理暂行办法》（财库〔2017〕210号）的相关要求。</w:t>
      </w:r>
    </w:p>
    <w:p w14:paraId="646065D3">
      <w:pPr>
        <w:snapToGrid w:val="0"/>
        <w:spacing w:line="360" w:lineRule="auto"/>
        <w:contextualSpacing/>
        <w:rPr>
          <w:rFonts w:ascii="仿宋" w:hAnsi="仿宋" w:eastAsia="仿宋" w:cs="仿宋"/>
          <w:color w:val="auto"/>
          <w:sz w:val="28"/>
          <w:szCs w:val="28"/>
        </w:rPr>
      </w:pPr>
      <w:bookmarkStart w:id="3" w:name="_Hlk168431603"/>
      <w:r>
        <w:rPr>
          <w:rFonts w:hint="eastAsia" w:ascii="仿宋" w:hAnsi="仿宋" w:eastAsia="仿宋" w:cs="仿宋"/>
          <w:color w:val="auto"/>
          <w:sz w:val="28"/>
          <w:szCs w:val="28"/>
        </w:rPr>
        <w:t>2. 采购人及采购代理机构应关注财政部门会同有关部门制定发布的需求标准，结合具体应用场景，根据对应《需求标准》确定采购需求。</w:t>
      </w:r>
    </w:p>
    <w:p w14:paraId="3B5940B1">
      <w:pPr>
        <w:snapToGrid w:val="0"/>
        <w:spacing w:line="360" w:lineRule="auto"/>
        <w:contextualSpacing/>
        <w:rPr>
          <w:rFonts w:ascii="仿宋" w:hAnsi="仿宋" w:eastAsia="仿宋" w:cs="仿宋"/>
          <w:color w:val="auto"/>
          <w:sz w:val="28"/>
          <w:szCs w:val="28"/>
        </w:rPr>
      </w:pPr>
      <w:r>
        <w:rPr>
          <w:rFonts w:hint="eastAsia" w:ascii="仿宋" w:hAnsi="仿宋" w:eastAsia="仿宋" w:cs="仿宋"/>
          <w:color w:val="auto"/>
          <w:sz w:val="28"/>
          <w:szCs w:val="28"/>
        </w:rPr>
        <w:t>已发布的需求标准如下：</w:t>
      </w:r>
    </w:p>
    <w:p w14:paraId="010F7ECE">
      <w:pPr>
        <w:snapToGrid w:val="0"/>
        <w:spacing w:line="360" w:lineRule="auto"/>
        <w:contextualSpacing/>
        <w:rPr>
          <w:rFonts w:ascii="仿宋" w:hAnsi="仿宋" w:eastAsia="仿宋" w:cs="仿宋"/>
          <w:color w:val="auto"/>
          <w:sz w:val="28"/>
          <w:szCs w:val="28"/>
        </w:rPr>
      </w:pPr>
      <w:r>
        <w:rPr>
          <w:rFonts w:hint="eastAsia" w:ascii="仿宋" w:hAnsi="仿宋" w:eastAsia="仿宋" w:cs="仿宋"/>
          <w:color w:val="auto"/>
          <w:sz w:val="28"/>
          <w:szCs w:val="28"/>
        </w:rPr>
        <w:t>《关于印发〈商品包装政府采购需求标准（试行）〉、〈快递包装政府采购需求标准（试行）〉的通知》（财办库﹝2020﹞123号））</w:t>
      </w:r>
    </w:p>
    <w:p w14:paraId="0CF5E121">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《绿色数据中心政府采购需求标准（试行）》（财库〔2023〕7号）</w:t>
      </w:r>
    </w:p>
    <w:p w14:paraId="2D4A1BD0">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《台式计算机政府采购需求标准（2023年版）》（财库〔2023〕29号）</w:t>
      </w:r>
    </w:p>
    <w:p w14:paraId="35F74A4D">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《便携式计算机政府采购需求标准（2023年版）》（财库〔2023〕30号）</w:t>
      </w:r>
    </w:p>
    <w:p w14:paraId="6A989EBA">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《一体式计算机政府采购需求标准（2023年版）》（财库〔2023〕31号）</w:t>
      </w:r>
    </w:p>
    <w:p w14:paraId="48F8C77E">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《工作站政府采购需求标准（2023年版）》（财库〔2023〕32号）</w:t>
      </w:r>
    </w:p>
    <w:p w14:paraId="6C581C1B">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《通用服务器政府采购需求标准（2023年版）》（财库〔2023〕33号）</w:t>
      </w:r>
    </w:p>
    <w:p w14:paraId="00554E6F">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《操作系统政府采购需求标准（2023年版）》（财库〔2023〕34号）</w:t>
      </w:r>
    </w:p>
    <w:p w14:paraId="1D30E9BC">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《数据库政府采购需求标准（2023年版）》（财库〔2023〕35号）</w:t>
      </w:r>
    </w:p>
    <w:p w14:paraId="1BC9DA38">
      <w:pPr>
        <w:pStyle w:val="10"/>
        <w:snapToGrid w:val="0"/>
        <w:spacing w:before="0" w:beforeAutospacing="0" w:after="0" w:afterAutospacing="0" w:line="360" w:lineRule="auto"/>
        <w:rPr>
          <w:rFonts w:ascii="仿宋" w:hAnsi="仿宋" w:eastAsia="仿宋" w:cs="仿宋"/>
          <w:color w:val="auto"/>
          <w:kern w:val="2"/>
          <w:sz w:val="28"/>
          <w:szCs w:val="28"/>
        </w:rPr>
      </w:pPr>
      <w:r>
        <w:rPr>
          <w:rFonts w:hint="eastAsia" w:ascii="仿宋" w:hAnsi="仿宋" w:eastAsia="仿宋" w:cs="仿宋"/>
          <w:color w:val="auto"/>
          <w:kern w:val="2"/>
          <w:sz w:val="28"/>
          <w:szCs w:val="28"/>
        </w:rPr>
        <w:t>《物业管理服务政府采购需求标准（办公场所类）（试行）》（财办库〔2024〕113号）</w:t>
      </w:r>
    </w:p>
    <w:p w14:paraId="35426E09">
      <w:pPr>
        <w:snapToGrid w:val="0"/>
        <w:spacing w:line="360" w:lineRule="auto"/>
        <w:contextualSpacing/>
        <w:rPr>
          <w:rFonts w:ascii="仿宋" w:hAnsi="仿宋" w:eastAsia="仿宋" w:cs="仿宋"/>
          <w:color w:val="auto"/>
          <w:sz w:val="28"/>
          <w:szCs w:val="28"/>
        </w:rPr>
      </w:pPr>
      <w:r>
        <w:rPr>
          <w:rFonts w:hint="eastAsia" w:ascii="仿宋" w:hAnsi="仿宋" w:eastAsia="仿宋" w:cs="仿宋"/>
          <w:color w:val="auto"/>
          <w:sz w:val="28"/>
          <w:szCs w:val="28"/>
        </w:rPr>
        <w:t>如有更新或增加，以财政部门发布为准。</w:t>
      </w:r>
      <w:bookmarkEnd w:id="2"/>
      <w:bookmarkEnd w:id="3"/>
    </w:p>
    <w:p w14:paraId="38EC4F31">
      <w:pPr>
        <w:widowControl/>
        <w:snapToGrid w:val="0"/>
        <w:spacing w:line="360" w:lineRule="auto"/>
        <w:jc w:val="left"/>
        <w:rPr>
          <w:rFonts w:ascii="仿宋" w:hAnsi="仿宋" w:eastAsia="仿宋" w:cs="仿宋"/>
          <w:b/>
          <w:color w:val="auto"/>
          <w:sz w:val="28"/>
          <w:szCs w:val="28"/>
        </w:rPr>
      </w:pPr>
      <w:r>
        <w:rPr>
          <w:rFonts w:ascii="仿宋" w:hAnsi="仿宋" w:eastAsia="仿宋" w:cs="仿宋"/>
          <w:b/>
          <w:color w:val="auto"/>
          <w:sz w:val="28"/>
          <w:szCs w:val="28"/>
        </w:rPr>
        <w:br w:type="page"/>
      </w:r>
    </w:p>
    <w:p w14:paraId="4A2E5EC9">
      <w:pPr>
        <w:snapToGrid w:val="0"/>
        <w:spacing w:line="360" w:lineRule="auto"/>
        <w:rPr>
          <w:rFonts w:ascii="仿宋" w:hAnsi="仿宋" w:eastAsia="仿宋" w:cs="仿宋"/>
          <w:b/>
          <w:color w:val="auto"/>
          <w:sz w:val="24"/>
        </w:rPr>
      </w:pPr>
      <w:r>
        <w:rPr>
          <w:rFonts w:hint="eastAsia" w:ascii="仿宋" w:hAnsi="仿宋" w:eastAsia="仿宋" w:cs="仿宋"/>
          <w:b/>
          <w:color w:val="auto"/>
          <w:sz w:val="24"/>
        </w:rPr>
        <w:t>一、采购标的</w:t>
      </w:r>
    </w:p>
    <w:p w14:paraId="0794AD6E">
      <w:pPr>
        <w:snapToGrid w:val="0"/>
        <w:spacing w:line="360" w:lineRule="auto"/>
        <w:rPr>
          <w:rFonts w:ascii="仿宋" w:hAnsi="仿宋" w:eastAsia="仿宋" w:cs="仿宋"/>
          <w:bCs/>
          <w:color w:val="auto"/>
          <w:sz w:val="24"/>
        </w:rPr>
      </w:pPr>
      <w:r>
        <w:rPr>
          <w:rFonts w:hint="eastAsia" w:ascii="仿宋" w:hAnsi="仿宋" w:eastAsia="仿宋" w:cs="仿宋"/>
          <w:bCs/>
          <w:color w:val="auto"/>
          <w:sz w:val="24"/>
        </w:rPr>
        <w:t>（一）采购标的（货物需求一览表或简要服务内容及数量）</w:t>
      </w:r>
    </w:p>
    <w:tbl>
      <w:tblPr>
        <w:tblStyle w:val="7"/>
        <w:tblW w:w="46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078"/>
        <w:gridCol w:w="2878"/>
        <w:gridCol w:w="1677"/>
        <w:gridCol w:w="1311"/>
      </w:tblGrid>
      <w:tr w14:paraId="67B4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616" w:type="pct"/>
            <w:vAlign w:val="center"/>
          </w:tcPr>
          <w:p w14:paraId="28BE021B">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auto"/>
                <w:sz w:val="24"/>
              </w:rPr>
            </w:pPr>
            <w:r>
              <w:rPr>
                <w:rFonts w:hint="eastAsia" w:ascii="仿宋" w:hAnsi="仿宋" w:eastAsia="仿宋" w:cs="仿宋"/>
                <w:b/>
                <w:bCs/>
                <w:color w:val="auto"/>
                <w:sz w:val="24"/>
              </w:rPr>
              <w:t>包号</w:t>
            </w:r>
          </w:p>
        </w:tc>
        <w:tc>
          <w:tcPr>
            <w:tcW w:w="680" w:type="pct"/>
            <w:vAlign w:val="center"/>
          </w:tcPr>
          <w:p w14:paraId="49E80665">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auto"/>
                <w:sz w:val="24"/>
              </w:rPr>
            </w:pPr>
            <w:r>
              <w:rPr>
                <w:rFonts w:hint="eastAsia" w:ascii="仿宋" w:hAnsi="仿宋" w:eastAsia="仿宋" w:cs="仿宋"/>
                <w:b/>
                <w:bCs/>
                <w:color w:val="auto"/>
                <w:sz w:val="24"/>
              </w:rPr>
              <w:t>品目号</w:t>
            </w:r>
          </w:p>
        </w:tc>
        <w:tc>
          <w:tcPr>
            <w:tcW w:w="1816" w:type="pct"/>
            <w:shd w:val="clear" w:color="000000" w:fill="FFFFFF"/>
            <w:vAlign w:val="center"/>
          </w:tcPr>
          <w:p w14:paraId="07BD54B9">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auto"/>
                <w:sz w:val="24"/>
              </w:rPr>
            </w:pPr>
            <w:r>
              <w:rPr>
                <w:rFonts w:hint="eastAsia" w:ascii="仿宋" w:hAnsi="仿宋" w:eastAsia="仿宋" w:cs="仿宋"/>
                <w:b/>
                <w:bCs/>
                <w:color w:val="auto"/>
                <w:sz w:val="24"/>
              </w:rPr>
              <w:t>标的名称</w:t>
            </w:r>
          </w:p>
        </w:tc>
        <w:tc>
          <w:tcPr>
            <w:tcW w:w="1058" w:type="pct"/>
            <w:shd w:val="clear" w:color="000000" w:fill="FFFFFF"/>
            <w:vAlign w:val="center"/>
          </w:tcPr>
          <w:p w14:paraId="577D7A6C">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auto"/>
                <w:sz w:val="24"/>
              </w:rPr>
            </w:pPr>
            <w:r>
              <w:rPr>
                <w:rFonts w:hint="default" w:ascii="仿宋" w:hAnsi="仿宋" w:eastAsia="仿宋" w:cs="仿宋"/>
                <w:b/>
                <w:bCs/>
                <w:color w:val="auto"/>
                <w:sz w:val="24"/>
              </w:rPr>
              <w:t>数量（台</w:t>
            </w:r>
            <w:r>
              <w:rPr>
                <w:rFonts w:hint="eastAsia" w:ascii="仿宋" w:hAnsi="仿宋" w:eastAsia="仿宋" w:cs="仿宋"/>
                <w:b/>
                <w:bCs/>
                <w:color w:val="auto"/>
                <w:sz w:val="24"/>
              </w:rPr>
              <w:t>/套</w:t>
            </w:r>
            <w:r>
              <w:rPr>
                <w:rFonts w:hint="default" w:ascii="仿宋" w:hAnsi="仿宋" w:eastAsia="仿宋" w:cs="仿宋"/>
                <w:b/>
                <w:bCs/>
                <w:color w:val="auto"/>
                <w:sz w:val="24"/>
              </w:rPr>
              <w:t>）</w:t>
            </w:r>
          </w:p>
        </w:tc>
        <w:tc>
          <w:tcPr>
            <w:tcW w:w="827" w:type="pct"/>
            <w:shd w:val="clear" w:color="000000" w:fill="FFFFFF"/>
            <w:vAlign w:val="center"/>
          </w:tcPr>
          <w:p w14:paraId="2D2BAE8A">
            <w:pPr>
              <w:keepNext w:val="0"/>
              <w:keepLines w:val="0"/>
              <w:widowControl/>
              <w:suppressLineNumbers w:val="0"/>
              <w:spacing w:before="0" w:beforeAutospacing="0" w:after="0" w:afterAutospacing="0" w:line="360" w:lineRule="auto"/>
              <w:ind w:left="0" w:right="0"/>
              <w:jc w:val="center"/>
              <w:rPr>
                <w:rFonts w:hint="default" w:ascii="仿宋" w:hAnsi="仿宋" w:eastAsia="仿宋" w:cs="仿宋"/>
                <w:b/>
                <w:bCs/>
                <w:color w:val="auto"/>
                <w:sz w:val="24"/>
              </w:rPr>
            </w:pPr>
            <w:r>
              <w:rPr>
                <w:rFonts w:hint="eastAsia" w:ascii="仿宋" w:hAnsi="仿宋" w:eastAsia="仿宋" w:cs="仿宋"/>
                <w:b/>
                <w:bCs/>
                <w:color w:val="auto"/>
                <w:sz w:val="24"/>
              </w:rPr>
              <w:t>是否接受进口产品</w:t>
            </w:r>
          </w:p>
        </w:tc>
      </w:tr>
      <w:tr w14:paraId="3FDC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16" w:type="pct"/>
            <w:vAlign w:val="center"/>
          </w:tcPr>
          <w:p w14:paraId="64DDE7C9">
            <w:pPr>
              <w:keepNext w:val="0"/>
              <w:keepLines w:val="0"/>
              <w:suppressLineNumbers w:val="0"/>
              <w:spacing w:before="120" w:beforeAutospacing="0" w:after="0" w:afterAutospacing="0" w:line="360" w:lineRule="auto"/>
              <w:ind w:left="0" w:right="0"/>
              <w:contextualSpacing/>
              <w:jc w:val="center"/>
              <w:rPr>
                <w:rFonts w:hint="default" w:ascii="仿宋" w:hAnsi="仿宋" w:eastAsia="仿宋" w:cs="仿宋"/>
                <w:bCs/>
                <w:color w:val="auto"/>
                <w:sz w:val="24"/>
              </w:rPr>
            </w:pPr>
            <w:bookmarkStart w:id="4" w:name="_Hlk229472062"/>
            <w:r>
              <w:rPr>
                <w:rFonts w:hint="eastAsia" w:ascii="仿宋" w:hAnsi="仿宋" w:eastAsia="仿宋" w:cs="仿宋"/>
                <w:bCs/>
                <w:color w:val="auto"/>
                <w:sz w:val="24"/>
              </w:rPr>
              <w:t>1</w:t>
            </w:r>
          </w:p>
        </w:tc>
        <w:tc>
          <w:tcPr>
            <w:tcW w:w="680" w:type="pct"/>
            <w:vAlign w:val="center"/>
          </w:tcPr>
          <w:p w14:paraId="4D335B62">
            <w:pPr>
              <w:keepNext w:val="0"/>
              <w:keepLines w:val="0"/>
              <w:widowControl/>
              <w:suppressLineNumbers w:val="0"/>
              <w:spacing w:before="120" w:beforeAutospacing="0" w:after="0" w:afterAutospacing="0" w:line="360" w:lineRule="auto"/>
              <w:ind w:left="0" w:right="0"/>
              <w:contextualSpacing/>
              <w:jc w:val="center"/>
              <w:rPr>
                <w:rFonts w:hint="default" w:ascii="仿宋" w:hAnsi="仿宋" w:eastAsia="仿宋" w:cs="仿宋"/>
                <w:bCs/>
                <w:color w:val="auto"/>
                <w:sz w:val="24"/>
              </w:rPr>
            </w:pPr>
            <w:r>
              <w:rPr>
                <w:rFonts w:hint="eastAsia" w:ascii="仿宋" w:hAnsi="仿宋" w:eastAsia="仿宋" w:cs="仿宋"/>
                <w:bCs/>
                <w:color w:val="auto"/>
                <w:sz w:val="24"/>
              </w:rPr>
              <w:t>1</w:t>
            </w:r>
            <w:r>
              <w:rPr>
                <w:rFonts w:hint="default" w:ascii="仿宋" w:hAnsi="仿宋" w:eastAsia="仿宋" w:cs="仿宋"/>
                <w:bCs/>
                <w:color w:val="auto"/>
                <w:sz w:val="24"/>
              </w:rPr>
              <w:t>-1</w:t>
            </w:r>
          </w:p>
        </w:tc>
        <w:tc>
          <w:tcPr>
            <w:tcW w:w="1816" w:type="pct"/>
            <w:shd w:val="clear" w:color="000000" w:fill="FFFFFF"/>
            <w:vAlign w:val="center"/>
          </w:tcPr>
          <w:p w14:paraId="136B0FAE">
            <w:pPr>
              <w:keepNext w:val="0"/>
              <w:keepLines w:val="0"/>
              <w:widowControl/>
              <w:suppressLineNumbers w:val="0"/>
              <w:spacing w:before="120" w:beforeAutospacing="0" w:after="0" w:afterAutospacing="0" w:line="360" w:lineRule="auto"/>
              <w:ind w:left="0" w:right="0"/>
              <w:contextualSpacing/>
              <w:jc w:val="center"/>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高性能共聚焦荧光显微镜</w:t>
            </w:r>
          </w:p>
        </w:tc>
        <w:tc>
          <w:tcPr>
            <w:tcW w:w="1058" w:type="pct"/>
            <w:shd w:val="clear" w:color="000000" w:fill="FFFFFF"/>
            <w:vAlign w:val="center"/>
          </w:tcPr>
          <w:p w14:paraId="0B66486A">
            <w:pPr>
              <w:keepNext w:val="0"/>
              <w:keepLines w:val="0"/>
              <w:suppressLineNumbers w:val="0"/>
              <w:spacing w:before="0" w:beforeAutospacing="0" w:after="0" w:afterAutospacing="0" w:line="360" w:lineRule="auto"/>
              <w:ind w:left="0" w:right="0"/>
              <w:jc w:val="center"/>
              <w:rPr>
                <w:rFonts w:hint="default" w:ascii="仿宋" w:hAnsi="仿宋" w:eastAsia="仿宋" w:cs="仿宋"/>
                <w:bCs/>
                <w:color w:val="auto"/>
                <w:sz w:val="24"/>
              </w:rPr>
            </w:pPr>
            <w:bookmarkStart w:id="5" w:name="OLE_LINK10"/>
            <w:r>
              <w:rPr>
                <w:rFonts w:hint="eastAsia" w:ascii="仿宋" w:hAnsi="仿宋" w:eastAsia="仿宋" w:cs="仿宋"/>
                <w:bCs/>
                <w:color w:val="auto"/>
                <w:sz w:val="24"/>
              </w:rPr>
              <w:t>1</w:t>
            </w:r>
            <w:bookmarkEnd w:id="5"/>
          </w:p>
        </w:tc>
        <w:tc>
          <w:tcPr>
            <w:tcW w:w="827" w:type="pct"/>
            <w:shd w:val="clear" w:color="000000" w:fill="FFFFFF"/>
            <w:vAlign w:val="center"/>
          </w:tcPr>
          <w:p w14:paraId="0CBCC5E4">
            <w:pPr>
              <w:keepNext w:val="0"/>
              <w:keepLines w:val="0"/>
              <w:suppressLineNumbers w:val="0"/>
              <w:spacing w:before="0" w:beforeAutospacing="0" w:after="0" w:afterAutospacing="0" w:line="360" w:lineRule="auto"/>
              <w:ind w:left="0" w:right="0"/>
              <w:jc w:val="center"/>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是</w:t>
            </w:r>
          </w:p>
        </w:tc>
      </w:tr>
      <w:bookmarkEnd w:id="4"/>
    </w:tbl>
    <w:p w14:paraId="6B506B3C">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（二）项目背景/项目概述</w:t>
      </w:r>
    </w:p>
    <w:p w14:paraId="0E145CA6">
      <w:pPr>
        <w:spacing w:line="360" w:lineRule="auto"/>
        <w:ind w:firstLine="480" w:firstLineChars="200"/>
        <w:rPr>
          <w:rFonts w:ascii="仿宋" w:hAnsi="仿宋" w:eastAsia="仿宋"/>
          <w:color w:val="auto"/>
          <w:sz w:val="24"/>
        </w:rPr>
      </w:pPr>
      <w:bookmarkStart w:id="6" w:name="OLE_LINK179"/>
      <w:bookmarkStart w:id="7" w:name="OLE_LINK178"/>
      <w:r>
        <w:rPr>
          <w:rFonts w:hint="eastAsia" w:ascii="仿宋" w:hAnsi="仿宋" w:eastAsia="仿宋"/>
          <w:color w:val="auto"/>
          <w:sz w:val="24"/>
        </w:rPr>
        <w:t>本次招标采购项目为</w:t>
      </w:r>
      <w:r>
        <w:rPr>
          <w:rFonts w:hint="eastAsia" w:ascii="仿宋" w:hAnsi="仿宋" w:eastAsia="仿宋"/>
          <w:color w:val="auto"/>
          <w:sz w:val="24"/>
          <w:lang w:eastAsia="zh-CN"/>
        </w:rPr>
        <w:t>北京市糖尿病研究所显微镜室平台建设其他医疗设备采购项目</w:t>
      </w:r>
      <w:r>
        <w:rPr>
          <w:rFonts w:hint="eastAsia" w:ascii="仿宋" w:hAnsi="仿宋" w:eastAsia="仿宋"/>
          <w:color w:val="auto"/>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6"/>
      <w:bookmarkEnd w:id="7"/>
    </w:p>
    <w:p w14:paraId="7FA52B2C">
      <w:pPr>
        <w:tabs>
          <w:tab w:val="left" w:pos="5456"/>
        </w:tabs>
        <w:snapToGrid w:val="0"/>
        <w:spacing w:line="360" w:lineRule="auto"/>
        <w:ind w:firstLine="482" w:firstLineChars="200"/>
        <w:rPr>
          <w:rFonts w:ascii="仿宋" w:hAnsi="仿宋" w:eastAsia="仿宋" w:cs="仿宋"/>
          <w:b/>
          <w:bCs/>
          <w:color w:val="auto"/>
          <w:sz w:val="24"/>
        </w:rPr>
      </w:pPr>
      <w:bookmarkStart w:id="8" w:name="OLE_LINK368"/>
      <w:r>
        <w:rPr>
          <w:rFonts w:hint="eastAsia" w:ascii="仿宋" w:hAnsi="仿宋" w:eastAsia="仿宋" w:cs="仿宋"/>
          <w:b/>
          <w:bCs/>
          <w:color w:val="auto"/>
          <w:sz w:val="24"/>
        </w:rPr>
        <w:t>二、商务要求</w:t>
      </w:r>
      <w:bookmarkEnd w:id="8"/>
      <w:r>
        <w:rPr>
          <w:rFonts w:ascii="仿宋" w:hAnsi="仿宋" w:eastAsia="仿宋" w:cs="仿宋"/>
          <w:b/>
          <w:bCs/>
          <w:color w:val="auto"/>
          <w:sz w:val="24"/>
        </w:rPr>
        <w:tab/>
      </w:r>
    </w:p>
    <w:p w14:paraId="5BB4234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（一）交付（实施）的时间（期限）和地点（范围）</w:t>
      </w:r>
    </w:p>
    <w:p w14:paraId="726B3CBF">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1、交付时间：自合同签订后90日内。</w:t>
      </w:r>
    </w:p>
    <w:p w14:paraId="47FEAC11">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2、交付地点：</w:t>
      </w:r>
      <w:r>
        <w:rPr>
          <w:rFonts w:hint="eastAsia" w:ascii="仿宋" w:hAnsi="仿宋" w:eastAsia="仿宋" w:cs="宋体"/>
          <w:color w:val="auto"/>
          <w:sz w:val="24"/>
          <w:lang w:eastAsia="zh-CN"/>
        </w:rPr>
        <w:t>北京市糖尿病研究所（北京市糖尿病防治办公室）</w:t>
      </w:r>
      <w:r>
        <w:rPr>
          <w:rFonts w:hint="eastAsia" w:ascii="仿宋" w:hAnsi="仿宋" w:eastAsia="仿宋" w:cs="宋体"/>
          <w:color w:val="auto"/>
          <w:sz w:val="24"/>
        </w:rPr>
        <w:t>指定地点。</w:t>
      </w:r>
    </w:p>
    <w:p w14:paraId="6717694A">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（二）付款条件（进度和方式）</w:t>
      </w:r>
    </w:p>
    <w:p w14:paraId="3AC2ED43">
      <w:pPr>
        <w:snapToGrid w:val="0"/>
        <w:spacing w:line="360" w:lineRule="auto"/>
        <w:ind w:firstLine="480" w:firstLineChars="200"/>
        <w:rPr>
          <w:rFonts w:ascii="仿宋" w:hAnsi="仿宋" w:eastAsia="仿宋" w:cs="宋体"/>
          <w:color w:val="auto"/>
          <w:sz w:val="24"/>
        </w:rPr>
      </w:pPr>
      <w:r>
        <w:rPr>
          <w:rFonts w:hint="eastAsia" w:ascii="仿宋" w:hAnsi="仿宋" w:eastAsia="仿宋" w:cs="宋体"/>
          <w:color w:val="auto"/>
          <w:sz w:val="24"/>
        </w:rPr>
        <w:t>详见第六章拟签订的合同文本</w:t>
      </w:r>
    </w:p>
    <w:p w14:paraId="38907E92">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（三）包装和运输</w:t>
      </w:r>
    </w:p>
    <w:p w14:paraId="6FE84C1F">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投标产品的包装应符合《财政部等三部门联合印发商品包装和快递包装政府采购需求标准（试行）》（财办库〔2020〕123号）的规定。</w:t>
      </w:r>
    </w:p>
    <w:p w14:paraId="466DE17F">
      <w:pPr>
        <w:snapToGrid w:val="0"/>
        <w:spacing w:line="360" w:lineRule="auto"/>
        <w:ind w:firstLine="480" w:firstLineChars="200"/>
        <w:rPr>
          <w:rFonts w:ascii="仿宋" w:hAnsi="仿宋" w:eastAsia="仿宋" w:cs="仿宋"/>
          <w:bCs/>
          <w:color w:val="auto"/>
          <w:sz w:val="24"/>
        </w:rPr>
      </w:pPr>
      <w:bookmarkStart w:id="9" w:name="OLE_LINK370"/>
      <w:bookmarkStart w:id="10" w:name="OLE_LINK369"/>
      <w:r>
        <w:rPr>
          <w:rFonts w:hint="eastAsia" w:ascii="仿宋" w:hAnsi="仿宋" w:eastAsia="仿宋" w:cs="仿宋"/>
          <w:bCs/>
          <w:color w:val="auto"/>
          <w:sz w:val="24"/>
        </w:rPr>
        <w:t>（四）</w:t>
      </w:r>
      <w:bookmarkEnd w:id="9"/>
      <w:bookmarkEnd w:id="10"/>
      <w:bookmarkStart w:id="11" w:name="OLE_LINK367"/>
      <w:r>
        <w:rPr>
          <w:rFonts w:hint="eastAsia" w:ascii="仿宋" w:hAnsi="仿宋" w:eastAsia="仿宋" w:cs="仿宋"/>
          <w:bCs/>
          <w:color w:val="auto"/>
          <w:sz w:val="24"/>
        </w:rPr>
        <w:t>售后服务（质保期）</w:t>
      </w:r>
      <w:bookmarkEnd w:id="11"/>
    </w:p>
    <w:p w14:paraId="65C697D9">
      <w:pPr>
        <w:pStyle w:val="3"/>
        <w:spacing w:before="50" w:line="360" w:lineRule="auto"/>
        <w:rPr>
          <w:rFonts w:hint="default" w:ascii="仿宋" w:hAnsi="仿宋" w:eastAsia="仿宋"/>
          <w:color w:val="auto"/>
          <w:sz w:val="24"/>
          <w:szCs w:val="24"/>
        </w:rPr>
      </w:pPr>
      <w:r>
        <w:rPr>
          <w:rFonts w:ascii="仿宋" w:hAnsi="仿宋" w:eastAsia="仿宋"/>
          <w:color w:val="auto"/>
          <w:sz w:val="24"/>
          <w:szCs w:val="24"/>
        </w:rPr>
        <w:t>1.质量保证期（保修期）及服务要求：详见下表。过保修期后如续保则维保费率原则上不超过设备原值的5%；如不续保则免收配件费以外的其他费用。在设备使用期间，投标人负责每年至少提供两次免费维护。投标人和制造商需要同时提供包含上述质量保证期（保修期）及服务要求的承诺函并加盖单位公章。</w:t>
      </w:r>
    </w:p>
    <w:tbl>
      <w:tblPr>
        <w:tblStyle w:val="7"/>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142"/>
        <w:gridCol w:w="2409"/>
        <w:gridCol w:w="3828"/>
      </w:tblGrid>
      <w:tr w14:paraId="47AC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1" w:type="dxa"/>
            <w:vAlign w:val="center"/>
          </w:tcPr>
          <w:p w14:paraId="17DFDEEC">
            <w:pPr>
              <w:keepNext w:val="0"/>
              <w:keepLines w:val="0"/>
              <w:suppressLineNumbers w:val="0"/>
              <w:snapToGrid w:val="0"/>
              <w:spacing w:before="0" w:beforeAutospacing="0" w:after="0" w:afterAutospacing="0" w:line="540" w:lineRule="exact"/>
              <w:ind w:left="0" w:right="0"/>
              <w:jc w:val="center"/>
              <w:rPr>
                <w:rFonts w:hint="default" w:ascii="仿宋" w:hAnsi="仿宋" w:eastAsia="仿宋"/>
                <w:color w:val="auto"/>
                <w:sz w:val="24"/>
              </w:rPr>
            </w:pPr>
            <w:r>
              <w:rPr>
                <w:rFonts w:hint="eastAsia" w:ascii="仿宋" w:hAnsi="仿宋" w:eastAsia="仿宋"/>
                <w:color w:val="auto"/>
                <w:sz w:val="24"/>
              </w:rPr>
              <w:t>包号</w:t>
            </w:r>
          </w:p>
        </w:tc>
        <w:tc>
          <w:tcPr>
            <w:tcW w:w="1142" w:type="dxa"/>
            <w:vAlign w:val="center"/>
          </w:tcPr>
          <w:p w14:paraId="08A1EEF1">
            <w:pPr>
              <w:keepNext w:val="0"/>
              <w:keepLines w:val="0"/>
              <w:suppressLineNumbers w:val="0"/>
              <w:snapToGrid w:val="0"/>
              <w:spacing w:before="0" w:beforeAutospacing="0" w:after="0" w:afterAutospacing="0" w:line="540" w:lineRule="exact"/>
              <w:ind w:left="0" w:right="0"/>
              <w:jc w:val="center"/>
              <w:rPr>
                <w:rFonts w:hint="default" w:ascii="仿宋" w:hAnsi="仿宋" w:eastAsia="仿宋"/>
                <w:color w:val="auto"/>
                <w:sz w:val="24"/>
              </w:rPr>
            </w:pPr>
            <w:r>
              <w:rPr>
                <w:rFonts w:hint="eastAsia" w:ascii="仿宋" w:hAnsi="仿宋" w:eastAsia="仿宋"/>
                <w:color w:val="auto"/>
                <w:sz w:val="24"/>
              </w:rPr>
              <w:t>品目号</w:t>
            </w:r>
          </w:p>
        </w:tc>
        <w:tc>
          <w:tcPr>
            <w:tcW w:w="2409" w:type="dxa"/>
            <w:vAlign w:val="center"/>
          </w:tcPr>
          <w:p w14:paraId="50DB86FC">
            <w:pPr>
              <w:keepNext w:val="0"/>
              <w:keepLines w:val="0"/>
              <w:suppressLineNumbers w:val="0"/>
              <w:snapToGrid w:val="0"/>
              <w:spacing w:before="0" w:beforeAutospacing="0" w:after="0" w:afterAutospacing="0"/>
              <w:ind w:left="0" w:right="0"/>
              <w:jc w:val="center"/>
              <w:rPr>
                <w:rFonts w:hint="default" w:ascii="仿宋" w:hAnsi="仿宋" w:eastAsia="仿宋"/>
                <w:color w:val="auto"/>
                <w:sz w:val="24"/>
              </w:rPr>
            </w:pPr>
            <w:r>
              <w:rPr>
                <w:rFonts w:hint="eastAsia" w:ascii="仿宋" w:hAnsi="仿宋" w:eastAsia="仿宋"/>
                <w:color w:val="auto"/>
                <w:sz w:val="24"/>
              </w:rPr>
              <w:t>标的名称</w:t>
            </w:r>
          </w:p>
        </w:tc>
        <w:tc>
          <w:tcPr>
            <w:tcW w:w="3828" w:type="dxa"/>
            <w:vAlign w:val="center"/>
          </w:tcPr>
          <w:p w14:paraId="5C337C0B">
            <w:pPr>
              <w:keepNext w:val="0"/>
              <w:keepLines w:val="0"/>
              <w:suppressLineNumbers w:val="0"/>
              <w:snapToGrid w:val="0"/>
              <w:spacing w:before="0" w:beforeAutospacing="0" w:after="0" w:afterAutospacing="0"/>
              <w:ind w:left="0" w:right="0"/>
              <w:jc w:val="center"/>
              <w:rPr>
                <w:rFonts w:hint="default" w:ascii="仿宋" w:hAnsi="仿宋" w:eastAsia="仿宋"/>
                <w:color w:val="auto"/>
                <w:sz w:val="24"/>
              </w:rPr>
            </w:pPr>
            <w:r>
              <w:rPr>
                <w:rFonts w:hint="eastAsia" w:ascii="仿宋" w:hAnsi="仿宋" w:eastAsia="仿宋"/>
                <w:color w:val="auto"/>
                <w:sz w:val="24"/>
              </w:rPr>
              <w:t>保修</w:t>
            </w:r>
          </w:p>
        </w:tc>
      </w:tr>
      <w:tr w14:paraId="67AB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41" w:type="dxa"/>
            <w:vAlign w:val="center"/>
          </w:tcPr>
          <w:p w14:paraId="1CFAE9A5">
            <w:pPr>
              <w:keepNext w:val="0"/>
              <w:keepLines w:val="0"/>
              <w:suppressLineNumbers w:val="0"/>
              <w:spacing w:before="120" w:beforeAutospacing="0" w:after="0" w:afterAutospacing="0" w:line="360" w:lineRule="auto"/>
              <w:ind w:left="0" w:right="0"/>
              <w:contextualSpacing/>
              <w:jc w:val="center"/>
              <w:rPr>
                <w:rFonts w:hint="default" w:ascii="仿宋" w:hAnsi="仿宋" w:eastAsia="仿宋" w:cs="仿宋"/>
                <w:bCs/>
                <w:color w:val="auto"/>
                <w:sz w:val="24"/>
              </w:rPr>
            </w:pPr>
            <w:r>
              <w:rPr>
                <w:rFonts w:hint="eastAsia" w:ascii="仿宋" w:hAnsi="仿宋" w:eastAsia="仿宋" w:cs="仿宋"/>
                <w:bCs/>
                <w:color w:val="auto"/>
                <w:sz w:val="24"/>
              </w:rPr>
              <w:t>1</w:t>
            </w:r>
          </w:p>
        </w:tc>
        <w:tc>
          <w:tcPr>
            <w:tcW w:w="1142" w:type="dxa"/>
            <w:vAlign w:val="center"/>
          </w:tcPr>
          <w:p w14:paraId="4823B479">
            <w:pPr>
              <w:keepNext w:val="0"/>
              <w:keepLines w:val="0"/>
              <w:widowControl/>
              <w:suppressLineNumbers w:val="0"/>
              <w:spacing w:before="120" w:beforeAutospacing="0" w:after="0" w:afterAutospacing="0" w:line="360" w:lineRule="auto"/>
              <w:ind w:left="0" w:right="0"/>
              <w:contextualSpacing/>
              <w:jc w:val="center"/>
              <w:rPr>
                <w:rFonts w:hint="default" w:ascii="仿宋" w:hAnsi="仿宋" w:eastAsia="仿宋" w:cs="仿宋"/>
                <w:bCs/>
                <w:color w:val="auto"/>
                <w:sz w:val="24"/>
              </w:rPr>
            </w:pPr>
            <w:r>
              <w:rPr>
                <w:rFonts w:hint="eastAsia" w:ascii="仿宋" w:hAnsi="仿宋" w:eastAsia="仿宋" w:cs="仿宋"/>
                <w:bCs/>
                <w:color w:val="auto"/>
                <w:sz w:val="24"/>
              </w:rPr>
              <w:t>1</w:t>
            </w:r>
            <w:r>
              <w:rPr>
                <w:rFonts w:hint="default" w:ascii="仿宋" w:hAnsi="仿宋" w:eastAsia="仿宋" w:cs="仿宋"/>
                <w:bCs/>
                <w:color w:val="auto"/>
                <w:sz w:val="24"/>
              </w:rPr>
              <w:t>-1</w:t>
            </w:r>
          </w:p>
        </w:tc>
        <w:tc>
          <w:tcPr>
            <w:tcW w:w="2409" w:type="dxa"/>
            <w:vAlign w:val="center"/>
          </w:tcPr>
          <w:p w14:paraId="70A57A3D">
            <w:pPr>
              <w:keepNext w:val="0"/>
              <w:keepLines w:val="0"/>
              <w:widowControl/>
              <w:suppressLineNumbers w:val="0"/>
              <w:spacing w:before="0" w:beforeAutospacing="0" w:after="0" w:afterAutospacing="0"/>
              <w:ind w:left="0" w:right="0"/>
              <w:jc w:val="center"/>
              <w:textAlignment w:val="center"/>
              <w:rPr>
                <w:rFonts w:hint="eastAsia" w:ascii="仿宋" w:hAnsi="仿宋" w:eastAsia="仿宋"/>
                <w:color w:val="auto"/>
                <w:sz w:val="24"/>
                <w:lang w:eastAsia="zh-CN"/>
              </w:rPr>
            </w:pPr>
            <w:r>
              <w:rPr>
                <w:rFonts w:hint="eastAsia" w:ascii="仿宋" w:hAnsi="仿宋" w:eastAsia="仿宋"/>
                <w:color w:val="auto"/>
                <w:sz w:val="24"/>
                <w:lang w:eastAsia="zh-CN"/>
              </w:rPr>
              <w:t>高性能共聚焦荧光显微镜</w:t>
            </w:r>
          </w:p>
        </w:tc>
        <w:tc>
          <w:tcPr>
            <w:tcW w:w="3828" w:type="dxa"/>
          </w:tcPr>
          <w:p w14:paraId="1CEA45DE">
            <w:pPr>
              <w:keepNext w:val="0"/>
              <w:keepLines w:val="0"/>
              <w:suppressLineNumbers w:val="0"/>
              <w:spacing w:before="0" w:beforeAutospacing="0" w:after="0" w:afterAutospacing="0"/>
              <w:ind w:left="0" w:right="0"/>
              <w:rPr>
                <w:rFonts w:hint="default" w:ascii="仿宋" w:hAnsi="仿宋" w:eastAsia="仿宋"/>
                <w:color w:val="auto"/>
                <w:sz w:val="24"/>
              </w:rPr>
            </w:pPr>
            <w:r>
              <w:rPr>
                <w:rFonts w:hint="eastAsia" w:ascii="仿宋" w:hAnsi="仿宋" w:eastAsia="仿宋" w:cs="宋体"/>
                <w:color w:val="auto"/>
                <w:kern w:val="0"/>
                <w:sz w:val="24"/>
                <w:lang w:val="en-US" w:eastAsia="zh-CN"/>
              </w:rPr>
              <w:t>原厂保修，</w:t>
            </w:r>
            <w:r>
              <w:rPr>
                <w:rFonts w:hint="eastAsia" w:ascii="仿宋" w:hAnsi="仿宋" w:eastAsia="仿宋" w:cs="宋体"/>
                <w:color w:val="auto"/>
                <w:kern w:val="0"/>
                <w:sz w:val="24"/>
              </w:rPr>
              <w:t>设备验收合格后自动转入保修期，设备现场免费保修期为3.5年。在保修期内由</w:t>
            </w:r>
            <w:r>
              <w:rPr>
                <w:rFonts w:hint="eastAsia" w:ascii="仿宋" w:hAnsi="仿宋" w:eastAsia="仿宋" w:cs="宋体"/>
                <w:color w:val="auto"/>
                <w:kern w:val="0"/>
                <w:sz w:val="24"/>
                <w:lang w:val="en-US" w:eastAsia="zh-CN"/>
              </w:rPr>
              <w:t>中标人</w:t>
            </w:r>
            <w:r>
              <w:rPr>
                <w:rFonts w:hint="eastAsia" w:ascii="仿宋" w:hAnsi="仿宋" w:eastAsia="仿宋" w:cs="宋体"/>
                <w:color w:val="auto"/>
                <w:kern w:val="0"/>
                <w:sz w:val="24"/>
              </w:rPr>
              <w:t>负责保修，排除故障，无偿提供非操作不当及非外部原因造成的部件、配件的更换；免费升级软件服务。</w:t>
            </w:r>
          </w:p>
        </w:tc>
      </w:tr>
    </w:tbl>
    <w:p w14:paraId="4E949DDA">
      <w:pPr>
        <w:pStyle w:val="3"/>
        <w:numPr>
          <w:ilvl w:val="0"/>
          <w:numId w:val="1"/>
        </w:numPr>
        <w:spacing w:before="50" w:line="360" w:lineRule="auto"/>
        <w:rPr>
          <w:rFonts w:hint="default" w:ascii="仿宋" w:hAnsi="仿宋" w:eastAsia="仿宋"/>
          <w:color w:val="auto"/>
          <w:sz w:val="24"/>
          <w:szCs w:val="24"/>
        </w:rPr>
      </w:pPr>
      <w:r>
        <w:rPr>
          <w:rFonts w:ascii="仿宋" w:hAnsi="仿宋" w:eastAsia="仿宋"/>
          <w:color w:val="auto"/>
          <w:sz w:val="24"/>
          <w:szCs w:val="24"/>
        </w:rPr>
        <w:t>投标人应负责投标货物质量保证期内的免费维修和配件供应，投标人售后服务维修机构应备有所购货物及时维修所需的关键零部件。</w:t>
      </w:r>
    </w:p>
    <w:p w14:paraId="398BD25C">
      <w:pPr>
        <w:pStyle w:val="3"/>
        <w:numPr>
          <w:ilvl w:val="0"/>
          <w:numId w:val="1"/>
        </w:numPr>
        <w:spacing w:before="50" w:line="360" w:lineRule="auto"/>
        <w:rPr>
          <w:rFonts w:hint="default" w:ascii="仿宋" w:hAnsi="仿宋" w:eastAsia="仿宋"/>
          <w:color w:val="auto"/>
          <w:sz w:val="24"/>
          <w:szCs w:val="24"/>
        </w:rPr>
      </w:pPr>
      <w:r>
        <w:rPr>
          <w:rFonts w:ascii="仿宋" w:hAnsi="仿宋" w:eastAsia="仿宋"/>
          <w:color w:val="auto"/>
          <w:sz w:val="24"/>
          <w:szCs w:val="24"/>
        </w:rPr>
        <w:t>投标人应保证在质量保证期内提供投标货物专用的软件和相应数据库资料的免费升级服务。（如果有）</w:t>
      </w:r>
    </w:p>
    <w:p w14:paraId="4DCEEF4F">
      <w:pPr>
        <w:pStyle w:val="3"/>
        <w:numPr>
          <w:ilvl w:val="0"/>
          <w:numId w:val="1"/>
        </w:numPr>
        <w:spacing w:before="50" w:line="360" w:lineRule="auto"/>
        <w:rPr>
          <w:rFonts w:hint="default" w:ascii="仿宋" w:hAnsi="仿宋" w:eastAsia="仿宋"/>
          <w:color w:val="auto"/>
          <w:sz w:val="24"/>
          <w:szCs w:val="24"/>
        </w:rPr>
      </w:pPr>
      <w:r>
        <w:rPr>
          <w:rFonts w:ascii="仿宋" w:hAnsi="仿宋" w:eastAsia="仿宋"/>
          <w:color w:val="auto"/>
          <w:sz w:val="24"/>
          <w:szCs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6F3CD14B">
      <w:pPr>
        <w:pStyle w:val="3"/>
        <w:numPr>
          <w:ilvl w:val="0"/>
          <w:numId w:val="1"/>
        </w:numPr>
        <w:tabs>
          <w:tab w:val="left" w:pos="900"/>
        </w:tabs>
        <w:spacing w:line="360" w:lineRule="auto"/>
        <w:contextualSpacing/>
        <w:rPr>
          <w:rFonts w:hint="default" w:ascii="仿宋" w:hAnsi="仿宋" w:eastAsia="仿宋"/>
          <w:color w:val="auto"/>
          <w:sz w:val="24"/>
          <w:szCs w:val="24"/>
        </w:rPr>
      </w:pPr>
      <w:r>
        <w:rPr>
          <w:rFonts w:ascii="仿宋" w:hAnsi="仿宋" w:eastAsia="仿宋"/>
          <w:color w:val="auto"/>
          <w:sz w:val="24"/>
          <w:szCs w:val="24"/>
        </w:rPr>
        <w:t>投标时须提供有关其投标产品专业的售后服务（</w:t>
      </w:r>
      <w:bookmarkStart w:id="12" w:name="OLE_LINK16"/>
      <w:bookmarkStart w:id="13" w:name="OLE_LINK19"/>
      <w:r>
        <w:rPr>
          <w:rFonts w:ascii="仿宋" w:hAnsi="仿宋" w:eastAsia="仿宋"/>
          <w:color w:val="auto"/>
          <w:sz w:val="24"/>
          <w:szCs w:val="24"/>
        </w:rPr>
        <w:t>维修站</w:t>
      </w:r>
      <w:bookmarkEnd w:id="12"/>
      <w:bookmarkEnd w:id="13"/>
      <w:r>
        <w:rPr>
          <w:rFonts w:ascii="仿宋" w:hAnsi="仿宋" w:eastAsia="仿宋"/>
          <w:color w:val="auto"/>
          <w:sz w:val="24"/>
          <w:szCs w:val="24"/>
        </w:rPr>
        <w:t>）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32A5BE89">
      <w:pPr>
        <w:snapToGrid w:val="0"/>
        <w:spacing w:line="360" w:lineRule="auto"/>
        <w:ind w:firstLine="482" w:firstLineChars="200"/>
        <w:rPr>
          <w:rFonts w:ascii="仿宋" w:hAnsi="仿宋" w:eastAsia="仿宋" w:cs="仿宋"/>
          <w:b/>
          <w:bCs/>
          <w:color w:val="auto"/>
          <w:sz w:val="24"/>
        </w:rPr>
      </w:pPr>
      <w:bookmarkStart w:id="14" w:name="OLE_LINK71"/>
      <w:bookmarkStart w:id="15" w:name="OLE_LINK72"/>
      <w:r>
        <w:rPr>
          <w:rFonts w:hint="eastAsia" w:ascii="仿宋" w:hAnsi="仿宋" w:eastAsia="仿宋" w:cs="仿宋"/>
          <w:b/>
          <w:bCs/>
          <w:color w:val="auto"/>
          <w:sz w:val="24"/>
        </w:rPr>
        <w:t>三、技术要求</w:t>
      </w:r>
    </w:p>
    <w:bookmarkEnd w:id="14"/>
    <w:bookmarkEnd w:id="15"/>
    <w:p w14:paraId="3A5F77C7">
      <w:pPr>
        <w:snapToGrid w:val="0"/>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（一）基本要求</w:t>
      </w:r>
    </w:p>
    <w:p w14:paraId="406F36E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1、需执行的国家相关标准、行业标准、地方标准或者其他标准、规范</w:t>
      </w:r>
    </w:p>
    <w:p w14:paraId="1BD7A994">
      <w:pPr>
        <w:spacing w:line="360" w:lineRule="auto"/>
        <w:ind w:firstLine="424" w:firstLineChars="176"/>
        <w:rPr>
          <w:rFonts w:ascii="仿宋" w:hAnsi="仿宋" w:eastAsia="仿宋"/>
          <w:b/>
          <w:color w:val="auto"/>
          <w:kern w:val="0"/>
          <w:sz w:val="24"/>
        </w:rPr>
      </w:pPr>
      <w:r>
        <w:rPr>
          <w:rFonts w:hint="eastAsia" w:ascii="仿宋" w:hAnsi="仿宋" w:eastAsia="仿宋"/>
          <w:b/>
          <w:color w:val="auto"/>
          <w:kern w:val="0"/>
          <w:sz w:val="24"/>
        </w:rPr>
        <w:t>★1.1.投标产品属于辐射或射线类的设备或材料的，需提供投标人的辐射安全许可证复印件（不适用的情况除外）。</w:t>
      </w:r>
      <w:bookmarkStart w:id="16" w:name="OLE_LINK60"/>
      <w:bookmarkStart w:id="17" w:name="OLE_LINK61"/>
      <w:r>
        <w:rPr>
          <w:rFonts w:hint="eastAsia" w:ascii="仿宋" w:hAnsi="仿宋" w:eastAsia="仿宋"/>
          <w:b/>
          <w:color w:val="auto"/>
          <w:kern w:val="0"/>
          <w:sz w:val="24"/>
        </w:rPr>
        <w:t>投标产品属于压力容器的投标人需要根据国家特种设备制造相关管理规定，提供投标产品制造商的特种设备制造许可证（压力容器）。</w:t>
      </w:r>
    </w:p>
    <w:bookmarkEnd w:id="16"/>
    <w:bookmarkEnd w:id="17"/>
    <w:p w14:paraId="16974B03">
      <w:pPr>
        <w:spacing w:line="360" w:lineRule="auto"/>
        <w:ind w:firstLine="424" w:firstLineChars="176"/>
        <w:rPr>
          <w:rFonts w:ascii="仿宋" w:hAnsi="仿宋" w:eastAsia="仿宋"/>
          <w:b/>
          <w:color w:val="auto"/>
          <w:kern w:val="0"/>
          <w:sz w:val="24"/>
        </w:rPr>
      </w:pPr>
      <w:r>
        <w:rPr>
          <w:rFonts w:hint="eastAsia" w:ascii="仿宋" w:hAnsi="仿宋" w:eastAsia="仿宋"/>
          <w:b/>
          <w:color w:val="auto"/>
          <w:kern w:val="0"/>
          <w:sz w:val="24"/>
        </w:rPr>
        <w:t>★1.2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7EFFB4F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1.3投标产品的包装应符合《财政部等三部门联合印发商品包装和快递包装政府采购需求标准（试行）》（财办库〔2020〕123号）的规定。</w:t>
      </w:r>
    </w:p>
    <w:p w14:paraId="3C746926">
      <w:pPr>
        <w:pStyle w:val="2"/>
        <w:rPr>
          <w:rFonts w:ascii="仿宋" w:hAnsi="仿宋" w:eastAsia="仿宋"/>
          <w:color w:val="auto"/>
          <w:lang w:eastAsia="zh-TW"/>
        </w:rPr>
      </w:pPr>
    </w:p>
    <w:p w14:paraId="27E1EBFC">
      <w:pPr>
        <w:snapToGrid w:val="0"/>
        <w:spacing w:line="360" w:lineRule="auto"/>
        <w:ind w:firstLine="482" w:firstLineChars="200"/>
        <w:rPr>
          <w:rFonts w:ascii="仿宋" w:hAnsi="仿宋" w:eastAsia="仿宋" w:cs="仿宋"/>
          <w:b/>
          <w:bCs/>
          <w:color w:val="auto"/>
          <w:sz w:val="24"/>
        </w:rPr>
      </w:pPr>
      <w:bookmarkStart w:id="18" w:name="OLE_LINK73"/>
      <w:bookmarkStart w:id="19" w:name="OLE_LINK64"/>
      <w:r>
        <w:rPr>
          <w:rFonts w:hint="eastAsia" w:ascii="仿宋" w:hAnsi="仿宋" w:eastAsia="仿宋" w:cs="仿宋"/>
          <w:b/>
          <w:bCs/>
          <w:color w:val="auto"/>
          <w:sz w:val="24"/>
        </w:rPr>
        <w:t>（二）服务内容及要求/货物技术要求</w:t>
      </w:r>
    </w:p>
    <w:bookmarkEnd w:id="18"/>
    <w:bookmarkEnd w:id="19"/>
    <w:p w14:paraId="0930788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1、采购标的需满足的性能、材料、结构、外观、质量、安全、技术规格、物理特性等要求：</w:t>
      </w:r>
    </w:p>
    <w:p w14:paraId="265D2D4A">
      <w:pPr>
        <w:widowControl/>
        <w:spacing w:line="360" w:lineRule="auto"/>
        <w:jc w:val="left"/>
        <w:rPr>
          <w:rFonts w:ascii="仿宋" w:hAnsi="仿宋" w:eastAsia="仿宋"/>
          <w:b/>
          <w:color w:val="auto"/>
          <w:sz w:val="24"/>
        </w:rPr>
      </w:pPr>
      <w:bookmarkStart w:id="20" w:name="OLE_LINK53"/>
      <w:r>
        <w:rPr>
          <w:rFonts w:ascii="仿宋" w:hAnsi="仿宋" w:eastAsia="仿宋"/>
          <w:b/>
          <w:color w:val="auto"/>
          <w:sz w:val="24"/>
        </w:rPr>
        <w:br w:type="page"/>
      </w:r>
      <w:bookmarkStart w:id="21" w:name="OLE_LINK298"/>
      <w:bookmarkStart w:id="22" w:name="OLE_LINK297"/>
    </w:p>
    <w:bookmarkEnd w:id="21"/>
    <w:bookmarkEnd w:id="22"/>
    <w:p w14:paraId="15E2A68E">
      <w:pPr>
        <w:jc w:val="left"/>
        <w:rPr>
          <w:rFonts w:hint="eastAsia" w:asciiTheme="minorEastAsia" w:hAnsiTheme="minorEastAsia" w:eastAsiaTheme="minorEastAsia"/>
          <w:b/>
          <w:color w:val="auto"/>
          <w:sz w:val="24"/>
        </w:rPr>
      </w:pPr>
      <w:bookmarkStart w:id="23" w:name="_Hlk227072549"/>
      <w:r>
        <w:rPr>
          <w:rFonts w:hint="eastAsia" w:asciiTheme="minorEastAsia" w:hAnsiTheme="minorEastAsia" w:eastAsiaTheme="minorEastAsia"/>
          <w:b/>
          <w:color w:val="auto"/>
          <w:sz w:val="24"/>
        </w:rPr>
        <w:t>第1包 品目1-1高性能共聚焦荧光显微镜</w:t>
      </w:r>
    </w:p>
    <w:p w14:paraId="33AEBE86">
      <w:pPr>
        <w:keepNext w:val="0"/>
        <w:keepLines w:val="0"/>
        <w:pageBreakBefore w:val="0"/>
        <w:widowControl/>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
          <w:color w:val="auto"/>
          <w:sz w:val="24"/>
          <w:szCs w:val="24"/>
          <w:highlight w:val="none"/>
        </w:rPr>
        <w:t>一、技术参数：</w:t>
      </w:r>
      <w:bookmarkEnd w:id="23"/>
    </w:p>
    <w:p w14:paraId="75E5A051">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rPr>
        <w:t>（一）</w:t>
      </w:r>
      <w:r>
        <w:rPr>
          <w:rFonts w:hint="eastAsia" w:ascii="仿宋" w:hAnsi="仿宋" w:eastAsia="仿宋" w:cs="仿宋"/>
          <w:bCs/>
          <w:color w:val="auto"/>
          <w:sz w:val="24"/>
          <w:szCs w:val="24"/>
          <w:lang w:val="zh-CN"/>
        </w:rPr>
        <w:t xml:space="preserve"> 显微镜系统：</w:t>
      </w:r>
    </w:p>
    <w:p w14:paraId="6665E234">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1、电动控制Z轴、物镜转盘、滤色镜转盘、</w:t>
      </w:r>
      <w:r>
        <w:rPr>
          <w:rFonts w:hint="eastAsia" w:ascii="仿宋" w:hAnsi="仿宋" w:eastAsia="仿宋" w:cs="仿宋"/>
          <w:bCs/>
          <w:color w:val="auto"/>
          <w:sz w:val="24"/>
          <w:szCs w:val="24"/>
          <w:lang w:val="en-US" w:eastAsia="zh-CN"/>
        </w:rPr>
        <w:t>电动</w:t>
      </w:r>
      <w:r>
        <w:rPr>
          <w:rFonts w:hint="eastAsia" w:ascii="仿宋" w:hAnsi="仿宋" w:eastAsia="仿宋" w:cs="仿宋"/>
          <w:bCs/>
          <w:color w:val="auto"/>
          <w:sz w:val="24"/>
          <w:szCs w:val="24"/>
          <w:lang w:val="zh-CN"/>
        </w:rPr>
        <w:t>切转观察方式，</w:t>
      </w:r>
      <w:r>
        <w:rPr>
          <w:rFonts w:hint="eastAsia" w:ascii="仿宋" w:hAnsi="仿宋" w:eastAsia="仿宋" w:cs="仿宋"/>
          <w:bCs/>
          <w:color w:val="auto"/>
          <w:sz w:val="24"/>
          <w:szCs w:val="24"/>
          <w:lang w:val="en-US" w:eastAsia="zh-CN"/>
        </w:rPr>
        <w:t>机身自带粗/微调焦旋钮</w:t>
      </w:r>
      <w:r>
        <w:rPr>
          <w:rFonts w:hint="eastAsia" w:ascii="仿宋" w:hAnsi="仿宋" w:eastAsia="仿宋" w:cs="仿宋"/>
          <w:bCs/>
          <w:color w:val="auto"/>
          <w:sz w:val="24"/>
          <w:szCs w:val="24"/>
          <w:lang w:val="zh-CN"/>
        </w:rPr>
        <w:t>。</w:t>
      </w:r>
    </w:p>
    <w:p w14:paraId="54F240D4">
      <w:pPr>
        <w:keepNext w:val="0"/>
        <w:keepLines w:val="0"/>
        <w:pageBreakBefore w:val="0"/>
        <w:kinsoku/>
        <w:wordWrap/>
        <w:overflowPunct/>
        <w:topLinePunct w:val="0"/>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lang w:val="zh-CN"/>
        </w:rPr>
        <w:t>▲2、</w:t>
      </w:r>
      <w:r>
        <w:rPr>
          <w:rFonts w:hint="eastAsia" w:ascii="仿宋" w:hAnsi="仿宋" w:eastAsia="仿宋" w:cs="仿宋"/>
          <w:color w:val="auto"/>
          <w:sz w:val="24"/>
          <w:szCs w:val="24"/>
        </w:rPr>
        <w:t>光路内置可变倍率放大模块，放大倍率调节范围： 1～1.5 倍</w:t>
      </w:r>
      <w:r>
        <w:rPr>
          <w:rFonts w:hint="eastAsia" w:ascii="仿宋" w:hAnsi="仿宋" w:eastAsia="仿宋" w:cs="仿宋"/>
          <w:color w:val="auto"/>
          <w:sz w:val="24"/>
          <w:szCs w:val="24"/>
          <w:lang w:eastAsia="zh-CN"/>
        </w:rPr>
        <w:t>。</w:t>
      </w:r>
    </w:p>
    <w:p w14:paraId="1AE400D7">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en-US"/>
        </w:rPr>
      </w:pPr>
      <w:r>
        <w:rPr>
          <w:rFonts w:hint="eastAsia" w:ascii="仿宋" w:hAnsi="仿宋" w:eastAsia="仿宋" w:cs="仿宋"/>
          <w:color w:val="auto"/>
          <w:sz w:val="24"/>
          <w:szCs w:val="24"/>
        </w:rPr>
        <w:t>3、分光光路≥3 路，各路分光比例可适配多通道同步成像。</w:t>
      </w:r>
    </w:p>
    <w:p w14:paraId="3A2128AB">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rPr>
        <w:t>4、</w:t>
      </w:r>
      <w:r>
        <w:rPr>
          <w:rFonts w:hint="eastAsia" w:ascii="仿宋" w:hAnsi="仿宋" w:eastAsia="仿宋" w:cs="仿宋"/>
          <w:bCs/>
          <w:color w:val="auto"/>
          <w:sz w:val="24"/>
          <w:szCs w:val="24"/>
          <w:lang w:val="zh-CN"/>
        </w:rPr>
        <w:t>载物台： X、Y全电动载物台，行程：≥110mm×70mm。</w:t>
      </w:r>
    </w:p>
    <w:p w14:paraId="5AD83E71">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5、</w:t>
      </w:r>
      <w:r>
        <w:rPr>
          <w:rFonts w:hint="eastAsia" w:ascii="仿宋" w:hAnsi="仿宋" w:eastAsia="仿宋" w:cs="仿宋"/>
          <w:color w:val="auto"/>
          <w:sz w:val="24"/>
          <w:szCs w:val="24"/>
        </w:rPr>
        <w:t>聚光镜</w:t>
      </w:r>
      <w:r>
        <w:rPr>
          <w:rFonts w:hint="eastAsia" w:ascii="仿宋" w:hAnsi="仿宋" w:eastAsia="仿宋" w:cs="仿宋"/>
          <w:bCs/>
          <w:color w:val="auto"/>
          <w:sz w:val="24"/>
          <w:szCs w:val="24"/>
          <w:lang w:val="zh-CN"/>
        </w:rPr>
        <w:t>转盘：</w:t>
      </w:r>
      <w:r>
        <w:rPr>
          <w:rFonts w:hint="eastAsia" w:ascii="仿宋" w:hAnsi="仿宋" w:eastAsia="仿宋" w:cs="仿宋"/>
          <w:color w:val="auto"/>
          <w:sz w:val="24"/>
          <w:szCs w:val="24"/>
        </w:rPr>
        <w:t>电动多通道</w:t>
      </w:r>
      <w:bookmarkStart w:id="24" w:name="OLE_LINK20"/>
      <w:bookmarkStart w:id="25" w:name="OLE_LINK21"/>
      <w:r>
        <w:rPr>
          <w:rFonts w:hint="eastAsia" w:ascii="仿宋" w:hAnsi="仿宋" w:eastAsia="仿宋" w:cs="仿宋"/>
          <w:color w:val="auto"/>
          <w:sz w:val="24"/>
          <w:szCs w:val="24"/>
        </w:rPr>
        <w:t>聚光镜</w:t>
      </w:r>
      <w:bookmarkEnd w:id="24"/>
      <w:bookmarkEnd w:id="25"/>
      <w:r>
        <w:rPr>
          <w:rFonts w:hint="eastAsia" w:ascii="仿宋" w:hAnsi="仿宋" w:eastAsia="仿宋" w:cs="仿宋"/>
          <w:color w:val="auto"/>
          <w:sz w:val="24"/>
          <w:szCs w:val="24"/>
        </w:rPr>
        <w:t>转盘，安装位≥7个</w:t>
      </w:r>
      <w:r>
        <w:rPr>
          <w:rFonts w:hint="eastAsia" w:ascii="仿宋" w:hAnsi="仿宋" w:eastAsia="仿宋" w:cs="仿宋"/>
          <w:bCs/>
          <w:color w:val="auto"/>
          <w:sz w:val="24"/>
          <w:szCs w:val="24"/>
          <w:lang w:val="zh-CN"/>
        </w:rPr>
        <w:t>。</w:t>
      </w:r>
    </w:p>
    <w:p w14:paraId="11C546EB">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6</w:t>
      </w:r>
      <w:r>
        <w:rPr>
          <w:rFonts w:hint="eastAsia" w:ascii="仿宋" w:hAnsi="仿宋" w:eastAsia="仿宋" w:cs="仿宋"/>
          <w:bCs/>
          <w:color w:val="auto"/>
          <w:sz w:val="24"/>
          <w:szCs w:val="24"/>
          <w:lang w:val="zh-CN"/>
        </w:rPr>
        <w:t>、明场照明装置： LED光源。包括全套电动DIC观察装置</w:t>
      </w:r>
    </w:p>
    <w:p w14:paraId="08CA9179">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7</w:t>
      </w:r>
      <w:r>
        <w:rPr>
          <w:rFonts w:hint="eastAsia" w:ascii="仿宋" w:hAnsi="仿宋" w:eastAsia="仿宋" w:cs="仿宋"/>
          <w:bCs/>
          <w:color w:val="auto"/>
          <w:sz w:val="24"/>
          <w:szCs w:val="24"/>
          <w:lang w:val="zh-CN"/>
        </w:rPr>
        <w:t xml:space="preserve">、荧光功能： </w:t>
      </w:r>
    </w:p>
    <w:p w14:paraId="5D980572">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7</w:t>
      </w:r>
      <w:r>
        <w:rPr>
          <w:rFonts w:hint="eastAsia" w:ascii="仿宋" w:hAnsi="仿宋" w:eastAsia="仿宋" w:cs="仿宋"/>
          <w:bCs/>
          <w:color w:val="auto"/>
          <w:sz w:val="24"/>
          <w:szCs w:val="24"/>
          <w:lang w:val="zh-CN"/>
        </w:rPr>
        <w:t>.1、LED荧光光源≥四个独立运行的LED光源，寿命≥20000h。</w:t>
      </w:r>
    </w:p>
    <w:p w14:paraId="4F36C1CC">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7</w:t>
      </w:r>
      <w:r>
        <w:rPr>
          <w:rFonts w:hint="eastAsia" w:ascii="仿宋" w:hAnsi="仿宋" w:eastAsia="仿宋" w:cs="仿宋"/>
          <w:bCs/>
          <w:color w:val="auto"/>
          <w:sz w:val="24"/>
          <w:szCs w:val="24"/>
          <w:lang w:val="zh-CN"/>
        </w:rPr>
        <w:t>.2、光强调节范围：0-100%。</w:t>
      </w:r>
    </w:p>
    <w:p w14:paraId="1996985C">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7</w:t>
      </w:r>
      <w:r>
        <w:rPr>
          <w:rFonts w:hint="eastAsia" w:ascii="仿宋" w:hAnsi="仿宋" w:eastAsia="仿宋" w:cs="仿宋"/>
          <w:bCs/>
          <w:color w:val="auto"/>
          <w:sz w:val="24"/>
          <w:szCs w:val="24"/>
          <w:lang w:val="zh-CN"/>
        </w:rPr>
        <w:t>.3、荧光滤块包括DAPI、FITC、TRITC、CY5窄带通滤色镜组；，可通过软件可切换激发。</w:t>
      </w:r>
    </w:p>
    <w:p w14:paraId="516F3E35">
      <w:pPr>
        <w:keepNext w:val="0"/>
        <w:keepLines w:val="0"/>
        <w:pageBreakBefore w:val="0"/>
        <w:widowControl w:val="0"/>
        <w:kinsoku/>
        <w:wordWrap/>
        <w:overflowPunct/>
        <w:topLinePunct w:val="0"/>
        <w:autoSpaceDE/>
        <w:autoSpaceDN/>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lang w:val="zh-CN"/>
        </w:rPr>
        <w:t>、物镜：</w:t>
      </w:r>
    </w:p>
    <w:p w14:paraId="44FC691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.1、配置：≥5个，</w:t>
      </w:r>
      <w:bookmarkStart w:id="26" w:name="OLE_LINK23"/>
      <w:bookmarkStart w:id="27" w:name="OLE_LINK22"/>
      <w:r>
        <w:rPr>
          <w:rFonts w:hint="eastAsia" w:ascii="仿宋" w:hAnsi="仿宋" w:eastAsia="仿宋" w:cs="仿宋"/>
          <w:color w:val="auto"/>
          <w:sz w:val="24"/>
          <w:szCs w:val="24"/>
        </w:rPr>
        <w:t>至少包括10×</w:t>
      </w:r>
      <w:bookmarkEnd w:id="26"/>
      <w:bookmarkEnd w:id="27"/>
      <w:r>
        <w:rPr>
          <w:rFonts w:hint="eastAsia" w:ascii="仿宋" w:hAnsi="仿宋" w:eastAsia="仿宋" w:cs="仿宋"/>
          <w:color w:val="auto"/>
          <w:sz w:val="24"/>
          <w:szCs w:val="24"/>
        </w:rPr>
        <w:t>、</w:t>
      </w:r>
      <w:bookmarkStart w:id="28" w:name="OLE_LINK25"/>
      <w:r>
        <w:rPr>
          <w:rFonts w:hint="eastAsia" w:ascii="仿宋" w:hAnsi="仿宋" w:eastAsia="仿宋" w:cs="仿宋"/>
          <w:color w:val="auto"/>
          <w:sz w:val="24"/>
          <w:szCs w:val="24"/>
        </w:rPr>
        <w:t>20×</w:t>
      </w:r>
      <w:bookmarkEnd w:id="28"/>
      <w:r>
        <w:rPr>
          <w:rFonts w:hint="eastAsia" w:ascii="仿宋" w:hAnsi="仿宋" w:eastAsia="仿宋" w:cs="仿宋"/>
          <w:color w:val="auto"/>
          <w:sz w:val="24"/>
          <w:szCs w:val="24"/>
        </w:rPr>
        <w:t>、</w:t>
      </w:r>
      <w:bookmarkStart w:id="29" w:name="OLE_LINK26"/>
      <w:r>
        <w:rPr>
          <w:rFonts w:hint="eastAsia" w:ascii="仿宋" w:hAnsi="仿宋" w:eastAsia="仿宋" w:cs="仿宋"/>
          <w:color w:val="auto"/>
          <w:sz w:val="24"/>
          <w:szCs w:val="24"/>
        </w:rPr>
        <w:t>40×</w:t>
      </w:r>
      <w:bookmarkEnd w:id="29"/>
      <w:r>
        <w:rPr>
          <w:rFonts w:hint="eastAsia" w:ascii="仿宋" w:hAnsi="仿宋" w:eastAsia="仿宋" w:cs="仿宋"/>
          <w:color w:val="auto"/>
          <w:sz w:val="24"/>
          <w:szCs w:val="24"/>
        </w:rPr>
        <w:t>、60×平场复消色差无限远校物镜</w:t>
      </w:r>
      <w:r>
        <w:rPr>
          <w:rFonts w:hint="eastAsia" w:ascii="仿宋" w:hAnsi="仿宋" w:eastAsia="仿宋" w:cs="仿宋"/>
          <w:bCs/>
          <w:color w:val="auto"/>
          <w:sz w:val="24"/>
          <w:szCs w:val="24"/>
          <w:lang w:val="zh-CN"/>
        </w:rPr>
        <w:t>和100</w:t>
      </w:r>
      <w:r>
        <w:rPr>
          <w:rFonts w:hint="eastAsia" w:ascii="仿宋" w:hAnsi="仿宋" w:eastAsia="仿宋" w:cs="仿宋"/>
          <w:bCs w:val="0"/>
          <w:color w:val="auto"/>
          <w:sz w:val="24"/>
          <w:szCs w:val="24"/>
          <w:lang w:val="zh-CN"/>
        </w:rPr>
        <w:t>×TIRF物镜。</w:t>
      </w:r>
      <w:r>
        <w:rPr>
          <w:rFonts w:hint="eastAsia" w:ascii="仿宋" w:hAnsi="仿宋" w:eastAsia="仿宋" w:cs="仿宋"/>
          <w:color w:val="auto"/>
          <w:sz w:val="24"/>
          <w:szCs w:val="24"/>
        </w:rPr>
        <w:t>（提供官网资料作为证明材料）</w:t>
      </w:r>
    </w:p>
    <w:p w14:paraId="31D1A71A">
      <w:pPr>
        <w:keepNext w:val="0"/>
        <w:keepLines w:val="0"/>
        <w:pageBreakBefore w:val="0"/>
        <w:widowControl w:val="0"/>
        <w:kinsoku/>
        <w:wordWrap/>
        <w:overflowPunct/>
        <w:topLinePunct w:val="0"/>
        <w:autoSpaceDE/>
        <w:autoSpaceDN/>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rPr>
        <w:t>.2、</w:t>
      </w:r>
      <w:bookmarkStart w:id="30" w:name="OLE_LINK35"/>
      <w:r>
        <w:rPr>
          <w:rFonts w:hint="eastAsia" w:ascii="仿宋" w:hAnsi="仿宋" w:eastAsia="仿宋" w:cs="仿宋"/>
          <w:bCs/>
          <w:color w:val="auto"/>
          <w:sz w:val="24"/>
          <w:szCs w:val="24"/>
          <w:lang w:val="zh-CN"/>
        </w:rPr>
        <w:t>10</w:t>
      </w:r>
      <w:r>
        <w:rPr>
          <w:rFonts w:hint="eastAsia" w:ascii="仿宋" w:hAnsi="仿宋" w:eastAsia="仿宋" w:cs="仿宋"/>
          <w:color w:val="auto"/>
          <w:sz w:val="24"/>
          <w:szCs w:val="24"/>
        </w:rPr>
        <w:t>×物镜：</w:t>
      </w:r>
      <w:bookmarkEnd w:id="30"/>
      <w:r>
        <w:rPr>
          <w:rFonts w:hint="eastAsia" w:ascii="仿宋" w:hAnsi="仿宋" w:eastAsia="仿宋" w:cs="仿宋"/>
          <w:bCs/>
          <w:color w:val="auto"/>
          <w:sz w:val="24"/>
          <w:szCs w:val="24"/>
          <w:lang w:val="zh-CN"/>
        </w:rPr>
        <w:t>数值孔径≥0.45；工作距离≥4.0mm。</w:t>
      </w:r>
    </w:p>
    <w:p w14:paraId="704DAF59">
      <w:pPr>
        <w:keepNext w:val="0"/>
        <w:keepLines w:val="0"/>
        <w:pageBreakBefore w:val="0"/>
        <w:widowControl w:val="0"/>
        <w:kinsoku/>
        <w:wordWrap/>
        <w:overflowPunct/>
        <w:topLinePunct w:val="0"/>
        <w:autoSpaceDE/>
        <w:autoSpaceDN/>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lang w:val="zh-CN"/>
        </w:rPr>
        <w:t>.3、20</w:t>
      </w:r>
      <w:bookmarkStart w:id="31" w:name="OLE_LINK39"/>
      <w:bookmarkStart w:id="32" w:name="OLE_LINK40"/>
      <w:r>
        <w:rPr>
          <w:rFonts w:hint="eastAsia" w:ascii="仿宋" w:hAnsi="仿宋" w:eastAsia="仿宋" w:cs="仿宋"/>
          <w:color w:val="auto"/>
          <w:sz w:val="24"/>
          <w:szCs w:val="24"/>
        </w:rPr>
        <w:t>×</w:t>
      </w:r>
      <w:bookmarkEnd w:id="31"/>
      <w:bookmarkEnd w:id="32"/>
      <w:bookmarkStart w:id="33" w:name="OLE_LINK38"/>
      <w:bookmarkStart w:id="34" w:name="OLE_LINK37"/>
      <w:r>
        <w:rPr>
          <w:rFonts w:hint="eastAsia" w:ascii="仿宋" w:hAnsi="仿宋" w:eastAsia="仿宋" w:cs="仿宋"/>
          <w:color w:val="auto"/>
          <w:sz w:val="24"/>
          <w:szCs w:val="24"/>
        </w:rPr>
        <w:t>物镜：</w:t>
      </w:r>
      <w:bookmarkEnd w:id="33"/>
      <w:bookmarkEnd w:id="34"/>
      <w:r>
        <w:rPr>
          <w:rFonts w:hint="eastAsia" w:ascii="仿宋" w:hAnsi="仿宋" w:eastAsia="仿宋" w:cs="仿宋"/>
          <w:bCs/>
          <w:color w:val="auto"/>
          <w:sz w:val="24"/>
          <w:szCs w:val="24"/>
          <w:lang w:val="zh-CN"/>
        </w:rPr>
        <w:t>数值孔径≥0.</w:t>
      </w:r>
      <w:r>
        <w:rPr>
          <w:rFonts w:hint="eastAsia" w:ascii="仿宋" w:hAnsi="仿宋" w:eastAsia="仿宋" w:cs="仿宋"/>
          <w:bCs/>
          <w:color w:val="auto"/>
          <w:sz w:val="24"/>
          <w:szCs w:val="24"/>
        </w:rPr>
        <w:t>8</w:t>
      </w:r>
      <w:r>
        <w:rPr>
          <w:rFonts w:hint="eastAsia" w:ascii="仿宋" w:hAnsi="仿宋" w:eastAsia="仿宋" w:cs="仿宋"/>
          <w:bCs/>
          <w:color w:val="auto"/>
          <w:sz w:val="24"/>
          <w:szCs w:val="24"/>
          <w:lang w:val="zh-CN"/>
        </w:rPr>
        <w:t>；工作距离≥</w:t>
      </w:r>
      <w:r>
        <w:rPr>
          <w:rFonts w:hint="eastAsia" w:ascii="仿宋" w:hAnsi="仿宋" w:eastAsia="仿宋" w:cs="仿宋"/>
          <w:bCs/>
          <w:color w:val="auto"/>
          <w:sz w:val="24"/>
          <w:szCs w:val="24"/>
        </w:rPr>
        <w:t>0.8</w:t>
      </w:r>
      <w:r>
        <w:rPr>
          <w:rFonts w:hint="eastAsia" w:ascii="仿宋" w:hAnsi="仿宋" w:eastAsia="仿宋" w:cs="仿宋"/>
          <w:bCs/>
          <w:color w:val="auto"/>
          <w:sz w:val="24"/>
          <w:szCs w:val="24"/>
          <w:lang w:val="zh-CN"/>
        </w:rPr>
        <w:t>mm。</w:t>
      </w:r>
    </w:p>
    <w:p w14:paraId="3416DC60">
      <w:pPr>
        <w:keepNext w:val="0"/>
        <w:keepLines w:val="0"/>
        <w:pageBreakBefore w:val="0"/>
        <w:widowControl w:val="0"/>
        <w:kinsoku/>
        <w:wordWrap/>
        <w:overflowPunct/>
        <w:topLinePunct w:val="0"/>
        <w:autoSpaceDE/>
        <w:autoSpaceDN/>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lang w:val="zh-CN"/>
        </w:rPr>
        <w:t>.4、40</w:t>
      </w:r>
      <w:r>
        <w:rPr>
          <w:rFonts w:hint="eastAsia" w:ascii="仿宋" w:hAnsi="仿宋" w:eastAsia="仿宋" w:cs="仿宋"/>
          <w:color w:val="auto"/>
          <w:sz w:val="24"/>
          <w:szCs w:val="24"/>
        </w:rPr>
        <w:t>×</w:t>
      </w:r>
      <w:bookmarkStart w:id="35" w:name="OLE_LINK41"/>
      <w:bookmarkStart w:id="36" w:name="OLE_LINK42"/>
      <w:r>
        <w:rPr>
          <w:rFonts w:hint="eastAsia" w:ascii="仿宋" w:hAnsi="仿宋" w:eastAsia="仿宋" w:cs="仿宋"/>
          <w:color w:val="auto"/>
          <w:sz w:val="24"/>
          <w:szCs w:val="24"/>
        </w:rPr>
        <w:t>物镜：</w:t>
      </w:r>
      <w:bookmarkEnd w:id="35"/>
      <w:bookmarkEnd w:id="36"/>
      <w:r>
        <w:rPr>
          <w:rFonts w:hint="eastAsia" w:ascii="仿宋" w:hAnsi="仿宋" w:eastAsia="仿宋" w:cs="仿宋"/>
          <w:bCs/>
          <w:color w:val="auto"/>
          <w:sz w:val="24"/>
          <w:szCs w:val="24"/>
          <w:lang w:val="zh-CN"/>
        </w:rPr>
        <w:t>数值孔径≥0.95；工作距离≥0.21mm。</w:t>
      </w:r>
    </w:p>
    <w:p w14:paraId="6EA9B705">
      <w:pPr>
        <w:keepNext w:val="0"/>
        <w:keepLines w:val="0"/>
        <w:pageBreakBefore w:val="0"/>
        <w:widowControl w:val="0"/>
        <w:kinsoku/>
        <w:wordWrap/>
        <w:overflowPunct/>
        <w:topLinePunct w:val="0"/>
        <w:autoSpaceDE/>
        <w:autoSpaceDN/>
        <w:bidi w:val="0"/>
        <w:spacing w:line="360" w:lineRule="auto"/>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lang w:val="zh-CN"/>
        </w:rPr>
        <w:t>.5、60</w:t>
      </w:r>
      <w:r>
        <w:rPr>
          <w:rFonts w:hint="eastAsia" w:ascii="仿宋" w:hAnsi="仿宋" w:eastAsia="仿宋" w:cs="仿宋"/>
          <w:color w:val="auto"/>
          <w:sz w:val="24"/>
          <w:szCs w:val="24"/>
        </w:rPr>
        <w:t>×物镜：</w:t>
      </w:r>
      <w:bookmarkStart w:id="37" w:name="OLE_LINK27"/>
      <w:bookmarkStart w:id="38" w:name="OLE_LINK28"/>
      <w:r>
        <w:rPr>
          <w:rFonts w:hint="eastAsia" w:ascii="仿宋" w:hAnsi="仿宋" w:eastAsia="仿宋" w:cs="仿宋"/>
          <w:bCs/>
          <w:color w:val="auto"/>
          <w:sz w:val="24"/>
          <w:szCs w:val="24"/>
          <w:lang w:val="zh-CN"/>
        </w:rPr>
        <w:t>油镜</w:t>
      </w:r>
      <w:bookmarkEnd w:id="37"/>
      <w:bookmarkEnd w:id="38"/>
      <w:r>
        <w:rPr>
          <w:rFonts w:hint="eastAsia" w:ascii="仿宋" w:hAnsi="仿宋" w:eastAsia="仿宋" w:cs="仿宋"/>
          <w:bCs/>
          <w:color w:val="auto"/>
          <w:sz w:val="24"/>
          <w:szCs w:val="24"/>
          <w:lang w:val="zh-CN"/>
        </w:rPr>
        <w:t>，数值孔径≥1.4</w:t>
      </w:r>
      <w:r>
        <w:rPr>
          <w:rFonts w:hint="eastAsia" w:ascii="仿宋" w:hAnsi="仿宋" w:eastAsia="仿宋" w:cs="仿宋"/>
          <w:bCs/>
          <w:color w:val="auto"/>
          <w:sz w:val="24"/>
          <w:szCs w:val="24"/>
          <w:lang w:val="en-US" w:eastAsia="zh-CN"/>
        </w:rPr>
        <w:t>2</w:t>
      </w:r>
      <w:r>
        <w:rPr>
          <w:rFonts w:hint="eastAsia" w:ascii="仿宋" w:hAnsi="仿宋" w:eastAsia="仿宋" w:cs="仿宋"/>
          <w:bCs/>
          <w:color w:val="auto"/>
          <w:sz w:val="24"/>
          <w:szCs w:val="24"/>
          <w:lang w:val="zh-CN"/>
        </w:rPr>
        <w:t>；工作距离≥0.1</w:t>
      </w:r>
      <w:r>
        <w:rPr>
          <w:rFonts w:hint="eastAsia" w:ascii="仿宋" w:hAnsi="仿宋" w:eastAsia="仿宋" w:cs="仿宋"/>
          <w:bCs/>
          <w:color w:val="auto"/>
          <w:sz w:val="24"/>
          <w:szCs w:val="24"/>
          <w:lang w:val="en-US" w:eastAsia="zh-CN"/>
        </w:rPr>
        <w:t>5</w:t>
      </w:r>
      <w:r>
        <w:rPr>
          <w:rFonts w:hint="eastAsia" w:ascii="仿宋" w:hAnsi="仿宋" w:eastAsia="仿宋" w:cs="仿宋"/>
          <w:bCs/>
          <w:color w:val="auto"/>
          <w:sz w:val="24"/>
          <w:szCs w:val="24"/>
          <w:lang w:val="zh-CN"/>
        </w:rPr>
        <w:t>mm。</w:t>
      </w:r>
    </w:p>
    <w:p w14:paraId="67680B68">
      <w:pPr>
        <w:keepNext w:val="0"/>
        <w:keepLines w:val="0"/>
        <w:pageBreakBefore w:val="0"/>
        <w:widowControl w:val="0"/>
        <w:kinsoku/>
        <w:wordWrap/>
        <w:overflowPunct/>
        <w:topLinePunct w:val="0"/>
        <w:autoSpaceDE/>
        <w:autoSpaceDN/>
        <w:bidi w:val="0"/>
        <w:spacing w:line="360" w:lineRule="auto"/>
        <w:jc w:val="left"/>
        <w:textAlignment w:val="auto"/>
        <w:rPr>
          <w:rFonts w:hint="eastAsia" w:ascii="仿宋" w:hAnsi="仿宋" w:eastAsia="仿宋" w:cs="仿宋"/>
          <w:bCs/>
          <w:color w:val="auto"/>
          <w:sz w:val="24"/>
          <w:szCs w:val="24"/>
          <w:lang w:val="zh-CN"/>
        </w:rPr>
      </w:pPr>
      <w:bookmarkStart w:id="39" w:name="OLE_LINK31"/>
      <w:bookmarkStart w:id="40" w:name="OLE_LINK32"/>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lang w:val="zh-CN"/>
        </w:rPr>
        <w:t>.6、100×</w:t>
      </w:r>
      <w:bookmarkEnd w:id="39"/>
      <w:bookmarkEnd w:id="40"/>
      <w:bookmarkStart w:id="41" w:name="OLE_LINK29"/>
      <w:bookmarkStart w:id="42" w:name="OLE_LINK30"/>
      <w:r>
        <w:rPr>
          <w:rFonts w:hint="eastAsia" w:ascii="仿宋" w:hAnsi="仿宋" w:eastAsia="仿宋" w:cs="仿宋"/>
          <w:bCs/>
          <w:color w:val="auto"/>
          <w:sz w:val="24"/>
          <w:szCs w:val="24"/>
          <w:lang w:val="zh-CN"/>
        </w:rPr>
        <w:t>TIRF物镜</w:t>
      </w:r>
      <w:bookmarkEnd w:id="41"/>
      <w:bookmarkEnd w:id="42"/>
      <w:r>
        <w:rPr>
          <w:rFonts w:hint="eastAsia" w:ascii="仿宋" w:hAnsi="仿宋" w:eastAsia="仿宋" w:cs="仿宋"/>
          <w:bCs/>
          <w:color w:val="auto"/>
          <w:sz w:val="24"/>
          <w:szCs w:val="24"/>
          <w:lang w:val="zh-CN"/>
        </w:rPr>
        <w:t xml:space="preserve">：NA≥1.49，工作距离≥0.12mm。 </w:t>
      </w:r>
    </w:p>
    <w:p w14:paraId="576BC58C">
      <w:pPr>
        <w:keepNext w:val="0"/>
        <w:keepLines w:val="0"/>
        <w:pageBreakBefore w:val="0"/>
        <w:kinsoku/>
        <w:wordWrap/>
        <w:overflowPunct/>
        <w:topLinePunct w:val="0"/>
        <w:bidi w:val="0"/>
        <w:spacing w:line="360" w:lineRule="auto"/>
        <w:ind w:right="0" w:rightChars="0"/>
        <w:jc w:val="left"/>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9</w:t>
      </w:r>
      <w:r>
        <w:rPr>
          <w:rFonts w:hint="eastAsia" w:ascii="仿宋" w:hAnsi="仿宋" w:eastAsia="仿宋" w:cs="仿宋"/>
          <w:bCs/>
          <w:color w:val="auto"/>
          <w:sz w:val="24"/>
          <w:szCs w:val="24"/>
        </w:rPr>
        <w:t>、</w:t>
      </w:r>
      <w:r>
        <w:rPr>
          <w:rFonts w:hint="eastAsia" w:ascii="仿宋" w:hAnsi="仿宋" w:eastAsia="仿宋" w:cs="仿宋"/>
          <w:color w:val="auto"/>
          <w:sz w:val="24"/>
          <w:szCs w:val="24"/>
        </w:rPr>
        <w:t>实时焦平面跟踪对焦系统：波长范围，800～900nm之间，可全程实时锁定样品焦平面</w:t>
      </w:r>
    </w:p>
    <w:p w14:paraId="6CDCCF65">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（二）、共聚焦超高分辨率模块：</w:t>
      </w:r>
    </w:p>
    <w:p w14:paraId="6782A727">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1、激光光源</w:t>
      </w:r>
      <w:r>
        <w:rPr>
          <w:rFonts w:hint="eastAsia" w:ascii="仿宋" w:hAnsi="仿宋" w:eastAsia="仿宋" w:cs="仿宋"/>
          <w:bCs/>
          <w:color w:val="auto"/>
          <w:sz w:val="24"/>
          <w:szCs w:val="24"/>
          <w:lang w:eastAsia="zh-CN"/>
        </w:rPr>
        <w:t>：</w:t>
      </w:r>
    </w:p>
    <w:p w14:paraId="07C94BBB">
      <w:pPr>
        <w:keepNext w:val="0"/>
        <w:keepLines w:val="0"/>
        <w:pageBreakBefore w:val="0"/>
        <w:kinsoku/>
        <w:wordWrap/>
        <w:overflowPunct/>
        <w:topLinePunct w:val="0"/>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rPr>
        <w:t>▲1.1、固体激光器≥8个。</w:t>
      </w:r>
      <w:r>
        <w:rPr>
          <w:rFonts w:hint="eastAsia" w:ascii="仿宋" w:hAnsi="仿宋" w:eastAsia="仿宋" w:cs="仿宋"/>
          <w:bCs/>
          <w:color w:val="auto"/>
          <w:sz w:val="24"/>
          <w:szCs w:val="24"/>
          <w:lang w:val="en-US" w:eastAsia="zh-CN"/>
        </w:rPr>
        <w:t>配备激光扫描</w:t>
      </w:r>
      <w:r>
        <w:rPr>
          <w:rFonts w:hint="eastAsia" w:ascii="仿宋" w:hAnsi="仿宋" w:eastAsia="仿宋" w:cs="仿宋"/>
          <w:bCs/>
          <w:color w:val="auto"/>
          <w:sz w:val="24"/>
          <w:szCs w:val="24"/>
        </w:rPr>
        <w:t>共聚焦反射</w:t>
      </w:r>
      <w:r>
        <w:rPr>
          <w:rFonts w:hint="eastAsia" w:ascii="仿宋" w:hAnsi="仿宋" w:eastAsia="仿宋" w:cs="仿宋"/>
          <w:bCs/>
          <w:color w:val="auto"/>
          <w:sz w:val="24"/>
          <w:szCs w:val="24"/>
          <w:lang w:val="en-US" w:eastAsia="zh-CN"/>
        </w:rPr>
        <w:t>成像</w:t>
      </w:r>
      <w:r>
        <w:rPr>
          <w:rFonts w:hint="eastAsia" w:ascii="仿宋" w:hAnsi="仿宋" w:eastAsia="仿宋" w:cs="仿宋"/>
          <w:bCs/>
          <w:color w:val="auto"/>
          <w:sz w:val="24"/>
          <w:szCs w:val="24"/>
        </w:rPr>
        <w:t>模式，</w:t>
      </w:r>
      <w:r>
        <w:rPr>
          <w:rFonts w:hint="eastAsia" w:ascii="仿宋" w:hAnsi="仿宋" w:eastAsia="仿宋" w:cs="仿宋"/>
          <w:bCs/>
          <w:color w:val="auto"/>
          <w:sz w:val="24"/>
          <w:szCs w:val="24"/>
          <w:lang w:val="en-US" w:eastAsia="zh-CN"/>
        </w:rPr>
        <w:t>具备</w:t>
      </w:r>
      <w:r>
        <w:rPr>
          <w:rFonts w:hint="eastAsia" w:ascii="仿宋" w:hAnsi="仿宋" w:eastAsia="仿宋" w:cs="仿宋"/>
          <w:bCs/>
          <w:color w:val="auto"/>
          <w:sz w:val="24"/>
          <w:szCs w:val="24"/>
        </w:rPr>
        <w:t>免标记的成像方法，可对样品进行无标记的共聚焦成像</w:t>
      </w:r>
      <w:r>
        <w:rPr>
          <w:rFonts w:hint="eastAsia" w:ascii="仿宋" w:hAnsi="仿宋" w:eastAsia="仿宋" w:cs="仿宋"/>
          <w:color w:val="auto"/>
          <w:sz w:val="24"/>
          <w:szCs w:val="24"/>
        </w:rPr>
        <w:t>。</w:t>
      </w:r>
    </w:p>
    <w:p w14:paraId="32C80695">
      <w:pPr>
        <w:keepNext w:val="0"/>
        <w:keepLines w:val="0"/>
        <w:pageBreakBefore w:val="0"/>
        <w:kinsoku/>
        <w:wordWrap/>
        <w:overflowPunct/>
        <w:topLinePunct w:val="0"/>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rPr>
        <w:t>1.2、激光波长：至少包括405nm</w:t>
      </w:r>
      <w:bookmarkStart w:id="43" w:name="OLE_LINK47"/>
      <w:r>
        <w:rPr>
          <w:rFonts w:hint="eastAsia" w:ascii="仿宋" w:hAnsi="仿宋" w:eastAsia="仿宋" w:cs="仿宋"/>
          <w:bCs/>
          <w:color w:val="auto"/>
          <w:sz w:val="24"/>
          <w:szCs w:val="24"/>
        </w:rPr>
        <w:t>±5nm</w:t>
      </w:r>
      <w:bookmarkEnd w:id="43"/>
      <w:r>
        <w:rPr>
          <w:rFonts w:hint="eastAsia" w:ascii="仿宋" w:hAnsi="仿宋" w:eastAsia="仿宋" w:cs="仿宋"/>
          <w:bCs/>
          <w:color w:val="auto"/>
          <w:sz w:val="24"/>
          <w:szCs w:val="24"/>
        </w:rPr>
        <w:t>、488nm</w:t>
      </w:r>
      <w:bookmarkStart w:id="44" w:name="OLE_LINK50"/>
      <w:r>
        <w:rPr>
          <w:rFonts w:hint="eastAsia" w:ascii="仿宋" w:hAnsi="仿宋" w:eastAsia="仿宋" w:cs="仿宋"/>
          <w:bCs/>
          <w:color w:val="auto"/>
          <w:sz w:val="24"/>
          <w:szCs w:val="24"/>
        </w:rPr>
        <w:t>±</w:t>
      </w:r>
      <w:bookmarkEnd w:id="44"/>
      <w:bookmarkStart w:id="45" w:name="OLE_LINK49"/>
      <w:bookmarkStart w:id="46" w:name="OLE_LINK48"/>
      <w:r>
        <w:rPr>
          <w:rFonts w:hint="eastAsia" w:ascii="仿宋" w:hAnsi="仿宋" w:eastAsia="仿宋" w:cs="仿宋"/>
          <w:bCs/>
          <w:color w:val="auto"/>
          <w:sz w:val="24"/>
          <w:szCs w:val="24"/>
        </w:rPr>
        <w:t>5nm</w:t>
      </w:r>
      <w:bookmarkEnd w:id="45"/>
      <w:bookmarkEnd w:id="46"/>
      <w:r>
        <w:rPr>
          <w:rFonts w:hint="eastAsia" w:ascii="仿宋" w:hAnsi="仿宋" w:eastAsia="仿宋" w:cs="仿宋"/>
          <w:bCs/>
          <w:color w:val="auto"/>
          <w:sz w:val="24"/>
          <w:szCs w:val="24"/>
        </w:rPr>
        <w:t>、561nm±5nm和640nm±5nm。1.3、激光器功率：</w:t>
      </w:r>
      <w:r>
        <w:rPr>
          <w:rFonts w:hint="eastAsia" w:ascii="仿宋" w:hAnsi="仿宋" w:eastAsia="仿宋" w:cs="仿宋"/>
          <w:color w:val="auto"/>
          <w:sz w:val="24"/>
          <w:szCs w:val="24"/>
        </w:rPr>
        <w:t>≥</w:t>
      </w:r>
      <w:r>
        <w:rPr>
          <w:rFonts w:hint="eastAsia" w:ascii="仿宋" w:hAnsi="仿宋" w:eastAsia="仿宋" w:cs="仿宋"/>
          <w:bCs/>
          <w:color w:val="auto"/>
          <w:sz w:val="24"/>
          <w:szCs w:val="24"/>
        </w:rPr>
        <w:t>30mW；光纤末端输</w:t>
      </w:r>
      <w:r>
        <w:rPr>
          <w:rFonts w:hint="eastAsia" w:ascii="仿宋" w:hAnsi="仿宋" w:eastAsia="仿宋" w:cs="仿宋"/>
          <w:color w:val="auto"/>
          <w:sz w:val="24"/>
          <w:szCs w:val="24"/>
        </w:rPr>
        <w:t>出功率：≥15mW。</w:t>
      </w:r>
    </w:p>
    <w:p w14:paraId="4E311856">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lang w:val="zh-CN"/>
        </w:rPr>
        <w:t>2、全光谱探测</w:t>
      </w:r>
    </w:p>
    <w:p w14:paraId="4F8DD6F1">
      <w:pPr>
        <w:keepNext w:val="0"/>
        <w:keepLines w:val="0"/>
        <w:pageBreakBefore w:val="0"/>
        <w:tabs>
          <w:tab w:val="left" w:pos="3360"/>
        </w:tabs>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zh-CN"/>
        </w:rPr>
        <w:t>扫描模式至少包括：点扫描、矩形扫描、旋转扫描、任意线扫描、任意区域扫描、任意角度扫描和X、Y、Z、T、波长，任意结合扫描模式。</w:t>
      </w:r>
    </w:p>
    <w:p w14:paraId="707E167E">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2.</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lang w:val="zh-CN"/>
        </w:rPr>
        <w:t>、扫描矩阵：≥8192×8192@最高扫描分辨率。</w:t>
      </w:r>
    </w:p>
    <w:p w14:paraId="5FF187A9">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zh-CN"/>
        </w:rPr>
        <w:t>扫描视野：视场对角线≥25mm。</w:t>
      </w:r>
    </w:p>
    <w:p w14:paraId="283D8D2D">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、可用于活细胞和荧光蛋白超分辨成像，无需抗漂白荧光探针标记。光学分辨率：X、Y≤</w:t>
      </w:r>
      <w:r>
        <w:rPr>
          <w:rFonts w:hint="eastAsia" w:ascii="仿宋" w:hAnsi="仿宋" w:eastAsia="仿宋" w:cs="仿宋"/>
          <w:bCs/>
          <w:color w:val="auto"/>
          <w:sz w:val="24"/>
          <w:szCs w:val="24"/>
          <w:highlight w:val="none"/>
          <w:lang w:val="en-US" w:eastAsia="zh-CN"/>
        </w:rPr>
        <w:t>86</w:t>
      </w:r>
      <w:r>
        <w:rPr>
          <w:rFonts w:hint="eastAsia" w:ascii="仿宋" w:hAnsi="仿宋" w:eastAsia="仿宋" w:cs="仿宋"/>
          <w:bCs/>
          <w:color w:val="auto"/>
          <w:sz w:val="24"/>
          <w:szCs w:val="24"/>
          <w:highlight w:val="none"/>
        </w:rPr>
        <w:t>nm，Z≤300nm。</w:t>
      </w:r>
      <w:r>
        <w:rPr>
          <w:rFonts w:hint="eastAsia" w:ascii="仿宋" w:hAnsi="仿宋" w:eastAsia="仿宋" w:cs="仿宋"/>
          <w:bCs/>
          <w:color w:val="auto"/>
          <w:sz w:val="24"/>
          <w:szCs w:val="24"/>
          <w:highlight w:val="none"/>
          <w:lang w:val="en-US" w:eastAsia="zh-CN"/>
        </w:rPr>
        <w:t>超分辨成像模式下单次扫描像素</w:t>
      </w:r>
      <w:r>
        <w:rPr>
          <w:rFonts w:hint="eastAsia" w:ascii="仿宋" w:hAnsi="仿宋" w:eastAsia="仿宋" w:cs="仿宋"/>
          <w:bCs/>
          <w:color w:val="auto"/>
          <w:sz w:val="24"/>
          <w:szCs w:val="24"/>
          <w:highlight w:val="none"/>
          <w:lang w:val="zh-CN"/>
        </w:rPr>
        <w:t>≥8192×8192。</w:t>
      </w:r>
    </w:p>
    <w:p w14:paraId="79E4EAB2">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2.4.1超高分辨率检测器由≥20个光子计数检测器或GaAsp检测器组成的超分辨阵列检测器；</w:t>
      </w:r>
    </w:p>
    <w:p w14:paraId="40E76A08">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2.4.2在确保荧光收集效率的情况下，超分辨成像深度可达500μm及以上。</w:t>
      </w:r>
    </w:p>
    <w:p w14:paraId="3EB49840">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 xml:space="preserve">4.3 </w:t>
      </w:r>
      <w:r>
        <w:rPr>
          <w:rFonts w:hint="eastAsia" w:ascii="仿宋" w:hAnsi="仿宋" w:eastAsia="仿宋" w:cs="仿宋"/>
          <w:bCs/>
          <w:color w:val="auto"/>
          <w:sz w:val="24"/>
          <w:szCs w:val="24"/>
          <w:highlight w:val="none"/>
        </w:rPr>
        <w:t>成像速度：≥10帧/秒@512×512（光学分辨率：XY≤</w:t>
      </w:r>
      <w:r>
        <w:rPr>
          <w:rFonts w:hint="eastAsia" w:ascii="仿宋" w:hAnsi="仿宋" w:eastAsia="仿宋" w:cs="仿宋"/>
          <w:bCs/>
          <w:color w:val="auto"/>
          <w:sz w:val="24"/>
          <w:szCs w:val="24"/>
          <w:highlight w:val="none"/>
          <w:lang w:val="en-US" w:eastAsia="zh-CN"/>
        </w:rPr>
        <w:t>86</w:t>
      </w:r>
      <w:r>
        <w:rPr>
          <w:rFonts w:hint="eastAsia" w:ascii="仿宋" w:hAnsi="仿宋" w:eastAsia="仿宋" w:cs="仿宋"/>
          <w:bCs/>
          <w:color w:val="auto"/>
          <w:sz w:val="24"/>
          <w:szCs w:val="24"/>
          <w:highlight w:val="none"/>
        </w:rPr>
        <w:t>nm，Z ≤300nm模式）；</w:t>
      </w:r>
    </w:p>
    <w:p w14:paraId="5E1ECE6E">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zh-CN"/>
        </w:rPr>
        <w:t>检流计</w:t>
      </w:r>
    </w:p>
    <w:p w14:paraId="2D8D8EA8">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3.1、高分辨检流计扫描振镜视野：≥25mm；</w:t>
      </w:r>
    </w:p>
    <w:p w14:paraId="3A3D7E32">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rPr>
        <w:t>▲3.2、</w:t>
      </w:r>
      <w:r>
        <w:rPr>
          <w:rFonts w:hint="eastAsia" w:ascii="仿宋" w:hAnsi="仿宋" w:eastAsia="仿宋" w:cs="仿宋"/>
          <w:bCs/>
          <w:color w:val="auto"/>
          <w:sz w:val="24"/>
          <w:szCs w:val="24"/>
          <w:highlight w:val="none"/>
          <w:lang w:val="zh-CN"/>
        </w:rPr>
        <w:t>检流计扫描振镜速度：</w:t>
      </w:r>
      <w:r>
        <w:rPr>
          <w:rFonts w:hint="eastAsia" w:ascii="仿宋" w:hAnsi="仿宋" w:eastAsia="仿宋" w:cs="仿宋"/>
          <w:bCs/>
          <w:color w:val="auto"/>
          <w:sz w:val="24"/>
          <w:szCs w:val="24"/>
          <w:highlight w:val="none"/>
          <w:lang w:val="zh-CN" w:eastAsia="zh-CN"/>
        </w:rPr>
        <w:t>扫描视野</w:t>
      </w:r>
      <w:r>
        <w:rPr>
          <w:rFonts w:hint="eastAsia" w:ascii="仿宋" w:hAnsi="仿宋" w:eastAsia="仿宋" w:cs="仿宋"/>
          <w:bCs/>
          <w:color w:val="auto"/>
          <w:sz w:val="24"/>
          <w:szCs w:val="24"/>
          <w:highlight w:val="none"/>
          <w:lang w:val="zh-CN"/>
        </w:rPr>
        <w:t>≥</w:t>
      </w:r>
      <w:r>
        <w:rPr>
          <w:rFonts w:hint="eastAsia" w:ascii="仿宋" w:hAnsi="仿宋" w:eastAsia="仿宋" w:cs="仿宋"/>
          <w:bCs/>
          <w:color w:val="auto"/>
          <w:sz w:val="24"/>
          <w:szCs w:val="24"/>
          <w:highlight w:val="none"/>
          <w:lang w:val="zh-CN" w:eastAsia="zh-CN"/>
        </w:rPr>
        <w:t>25mm，</w:t>
      </w:r>
      <w:r>
        <w:rPr>
          <w:rFonts w:hint="eastAsia" w:ascii="仿宋" w:hAnsi="仿宋" w:eastAsia="仿宋" w:cs="仿宋"/>
          <w:bCs/>
          <w:color w:val="auto"/>
          <w:sz w:val="24"/>
          <w:szCs w:val="24"/>
          <w:highlight w:val="none"/>
          <w:lang w:val="zh-CN"/>
        </w:rPr>
        <w:t>≥10帧/秒@512x512分辨率，≥200帧/秒@512x16分辨率；</w:t>
      </w:r>
      <w:r>
        <w:rPr>
          <w:rFonts w:hint="eastAsia" w:ascii="仿宋" w:hAnsi="仿宋" w:eastAsia="仿宋" w:cs="仿宋"/>
          <w:color w:val="auto"/>
          <w:sz w:val="24"/>
          <w:szCs w:val="24"/>
          <w:highlight w:val="none"/>
        </w:rPr>
        <w:t>提供软件中</w:t>
      </w:r>
      <w:r>
        <w:rPr>
          <w:rFonts w:hint="eastAsia" w:ascii="仿宋" w:hAnsi="仿宋" w:eastAsia="仿宋" w:cs="仿宋"/>
          <w:color w:val="auto"/>
          <w:sz w:val="24"/>
          <w:szCs w:val="24"/>
          <w:highlight w:val="none"/>
          <w:lang w:val="en-US" w:eastAsia="zh-CN"/>
        </w:rPr>
        <w:t>上述帧/秒速度指标</w:t>
      </w:r>
      <w:r>
        <w:rPr>
          <w:rFonts w:hint="eastAsia" w:ascii="仿宋" w:hAnsi="仿宋" w:eastAsia="仿宋" w:cs="仿宋"/>
          <w:color w:val="auto"/>
          <w:sz w:val="24"/>
          <w:szCs w:val="24"/>
          <w:highlight w:val="none"/>
        </w:rPr>
        <w:t>实现的软件界面截屏佐证，佐证包含功能使用步骤和使用后的实现结果截屏，图像及字体清晰可见，无法佐证视为不满足。</w:t>
      </w:r>
    </w:p>
    <w:p w14:paraId="6661D8AD">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▲3.3、超分辨成像检测波长范围：400～900nm。</w:t>
      </w:r>
    </w:p>
    <w:p w14:paraId="4B57FEAE">
      <w:pPr>
        <w:pStyle w:val="6"/>
        <w:keepNext w:val="0"/>
        <w:keepLines w:val="0"/>
        <w:pageBreakBefore w:val="0"/>
        <w:widowControl w:val="0"/>
        <w:kinsoku/>
        <w:wordWrap/>
        <w:overflowPunct/>
        <w:topLinePunct w:val="0"/>
        <w:bidi w:val="0"/>
        <w:spacing w:before="0" w:beforeAutospacing="0" w:after="0" w:afterAutospacing="0" w:line="360" w:lineRule="auto"/>
        <w:textAlignment w:val="auto"/>
        <w:rPr>
          <w:rFonts w:hint="eastAsia" w:ascii="仿宋" w:hAnsi="仿宋" w:eastAsia="仿宋" w:cs="仿宋"/>
          <w:bCs/>
          <w:strike w:val="0"/>
          <w:color w:val="auto"/>
          <w:kern w:val="2"/>
          <w:sz w:val="24"/>
          <w:szCs w:val="24"/>
          <w:highlight w:val="none"/>
          <w:lang w:val="zh-CN"/>
        </w:rPr>
      </w:pPr>
      <w:r>
        <w:rPr>
          <w:rFonts w:hint="eastAsia" w:ascii="仿宋" w:hAnsi="仿宋" w:eastAsia="仿宋" w:cs="仿宋"/>
          <w:bCs/>
          <w:color w:val="auto"/>
          <w:kern w:val="2"/>
          <w:sz w:val="24"/>
          <w:szCs w:val="24"/>
          <w:highlight w:val="none"/>
          <w:lang w:val="zh-CN"/>
        </w:rPr>
        <w:t>▲</w:t>
      </w:r>
      <w:r>
        <w:rPr>
          <w:rFonts w:hint="eastAsia" w:ascii="仿宋" w:hAnsi="仿宋" w:eastAsia="仿宋" w:cs="仿宋"/>
          <w:bCs/>
          <w:strike w:val="0"/>
          <w:color w:val="auto"/>
          <w:kern w:val="2"/>
          <w:sz w:val="24"/>
          <w:szCs w:val="24"/>
          <w:highlight w:val="none"/>
          <w:lang w:val="zh-CN"/>
        </w:rPr>
        <w:t>3.4、小针孔高分辨率模块：XY分辨率≤120nm，Z轴≤300nm。采用≥25个检测器单元的阵列检测器无针孔超分辨成像模式，高效率收集荧光信号，实现光学分辨XY≤100nm，Z ≤300nm。</w:t>
      </w:r>
    </w:p>
    <w:p w14:paraId="129921D8">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rPr>
        <w:t>（三）、</w:t>
      </w:r>
      <w:r>
        <w:rPr>
          <w:rFonts w:hint="eastAsia" w:ascii="仿宋" w:hAnsi="仿宋" w:eastAsia="仿宋" w:cs="仿宋"/>
          <w:bCs/>
          <w:color w:val="auto"/>
          <w:sz w:val="24"/>
          <w:szCs w:val="24"/>
          <w:highlight w:val="none"/>
          <w:lang w:val="zh-CN"/>
        </w:rPr>
        <w:t>内反射单分子模块：</w:t>
      </w:r>
    </w:p>
    <w:p w14:paraId="11EFA13F">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1、激光光源</w:t>
      </w:r>
      <w:r>
        <w:rPr>
          <w:rFonts w:hint="eastAsia" w:ascii="仿宋" w:hAnsi="仿宋" w:eastAsia="仿宋" w:cs="仿宋"/>
          <w:bCs/>
          <w:color w:val="auto"/>
          <w:sz w:val="24"/>
          <w:szCs w:val="24"/>
          <w:highlight w:val="none"/>
          <w:lang w:eastAsia="zh-CN"/>
        </w:rPr>
        <w:t>：</w:t>
      </w:r>
    </w:p>
    <w:p w14:paraId="7423C93A">
      <w:pPr>
        <w:keepNext w:val="0"/>
        <w:keepLines w:val="0"/>
        <w:pageBreakBefore w:val="0"/>
        <w:kinsoku/>
        <w:wordWrap/>
        <w:overflowPunct/>
        <w:topLinePunct w:val="0"/>
        <w:bidi w:val="0"/>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▲1.1、固体激光器≥</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个。</w:t>
      </w:r>
    </w:p>
    <w:p w14:paraId="67EBC5B2">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strike/>
          <w:color w:val="auto"/>
          <w:sz w:val="24"/>
          <w:szCs w:val="24"/>
          <w:highlight w:val="none"/>
          <w:lang w:val="zh-CN"/>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bCs/>
          <w:color w:val="auto"/>
          <w:sz w:val="24"/>
          <w:szCs w:val="24"/>
          <w:highlight w:val="none"/>
        </w:rPr>
        <w:t>激光波长：至少包括405nm±5nm、488nm±5nm、561nm±5nm和640nm±5nm。1.3、激光器功率：</w:t>
      </w:r>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lang w:val="en-US" w:eastAsia="zh-CN"/>
        </w:rPr>
        <w:t>50</w:t>
      </w:r>
      <w:r>
        <w:rPr>
          <w:rFonts w:hint="eastAsia" w:ascii="仿宋" w:hAnsi="仿宋" w:eastAsia="仿宋" w:cs="仿宋"/>
          <w:bCs/>
          <w:color w:val="auto"/>
          <w:sz w:val="24"/>
          <w:szCs w:val="24"/>
          <w:highlight w:val="none"/>
        </w:rPr>
        <w:t>mW</w:t>
      </w:r>
      <w:r>
        <w:rPr>
          <w:rFonts w:hint="eastAsia" w:ascii="仿宋" w:hAnsi="仿宋" w:eastAsia="仿宋" w:cs="仿宋"/>
          <w:bCs/>
          <w:color w:val="auto"/>
          <w:sz w:val="24"/>
          <w:szCs w:val="24"/>
          <w:highlight w:val="none"/>
          <w:lang w:eastAsia="zh-CN"/>
        </w:rPr>
        <w:t>。</w:t>
      </w:r>
    </w:p>
    <w:p w14:paraId="67D238A2">
      <w:pPr>
        <w:pStyle w:val="6"/>
        <w:keepNext w:val="0"/>
        <w:keepLines w:val="0"/>
        <w:pageBreakBefore w:val="0"/>
        <w:widowControl w:val="0"/>
        <w:kinsoku/>
        <w:wordWrap/>
        <w:overflowPunct/>
        <w:topLinePunct w:val="0"/>
        <w:bidi w:val="0"/>
        <w:spacing w:before="0" w:beforeAutospacing="0" w:after="0" w:afterAutospacing="0" w:line="360" w:lineRule="auto"/>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kern w:val="2"/>
          <w:sz w:val="24"/>
          <w:szCs w:val="24"/>
          <w:highlight w:val="none"/>
          <w:lang w:val="zh-CN"/>
        </w:rPr>
        <w:t>2、配备电动全内反射荧光荧光成像模块，电动调节入射角，可以通过鼠标或者操作杆控制。</w:t>
      </w:r>
    </w:p>
    <w:p w14:paraId="1DDB6C9A">
      <w:pPr>
        <w:pStyle w:val="6"/>
        <w:keepNext w:val="0"/>
        <w:keepLines w:val="0"/>
        <w:pageBreakBefore w:val="0"/>
        <w:widowControl w:val="0"/>
        <w:kinsoku/>
        <w:wordWrap/>
        <w:overflowPunct/>
        <w:topLinePunct w:val="0"/>
        <w:bidi w:val="0"/>
        <w:spacing w:before="0" w:beforeAutospacing="0" w:after="0" w:afterAutospacing="0" w:line="360" w:lineRule="auto"/>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kern w:val="2"/>
          <w:sz w:val="24"/>
          <w:szCs w:val="24"/>
          <w:highlight w:val="none"/>
          <w:lang w:val="zh-CN"/>
        </w:rPr>
        <w:t>3、成像视野：≥14 mm。</w:t>
      </w:r>
    </w:p>
    <w:p w14:paraId="38DC5187">
      <w:pPr>
        <w:pStyle w:val="6"/>
        <w:keepNext w:val="0"/>
        <w:keepLines w:val="0"/>
        <w:pageBreakBefore w:val="0"/>
        <w:widowControl w:val="0"/>
        <w:kinsoku/>
        <w:wordWrap/>
        <w:overflowPunct/>
        <w:topLinePunct w:val="0"/>
        <w:bidi w:val="0"/>
        <w:spacing w:before="0" w:beforeAutospacing="0" w:after="0" w:afterAutospacing="0" w:line="360" w:lineRule="auto"/>
        <w:textAlignment w:val="auto"/>
        <w:rPr>
          <w:rFonts w:hint="eastAsia" w:ascii="仿宋" w:hAnsi="仿宋" w:eastAsia="仿宋" w:cs="仿宋"/>
          <w:bCs/>
          <w:color w:val="auto"/>
          <w:kern w:val="2"/>
          <w:sz w:val="24"/>
          <w:szCs w:val="24"/>
          <w:highlight w:val="none"/>
          <w:lang w:val="zh-CN"/>
        </w:rPr>
      </w:pPr>
      <w:r>
        <w:rPr>
          <w:rFonts w:hint="eastAsia" w:ascii="仿宋" w:hAnsi="仿宋" w:eastAsia="仿宋" w:cs="仿宋"/>
          <w:bCs/>
          <w:color w:val="auto"/>
          <w:kern w:val="2"/>
          <w:sz w:val="24"/>
          <w:szCs w:val="24"/>
          <w:highlight w:val="none"/>
          <w:lang w:val="zh-CN"/>
        </w:rPr>
        <w:t>4、可以自动对不同波长的激光调节入射角度</w:t>
      </w:r>
    </w:p>
    <w:p w14:paraId="08D1C851">
      <w:pPr>
        <w:pStyle w:val="6"/>
        <w:keepNext w:val="0"/>
        <w:keepLines w:val="0"/>
        <w:pageBreakBefore w:val="0"/>
        <w:widowControl w:val="0"/>
        <w:kinsoku/>
        <w:wordWrap/>
        <w:overflowPunct/>
        <w:topLinePunct w:val="0"/>
        <w:bidi w:val="0"/>
        <w:spacing w:before="0" w:beforeAutospacing="0" w:after="0" w:afterAutospacing="0" w:line="360" w:lineRule="auto"/>
        <w:textAlignment w:val="auto"/>
        <w:rPr>
          <w:rFonts w:hint="eastAsia" w:ascii="仿宋" w:hAnsi="仿宋" w:eastAsia="仿宋" w:cs="仿宋"/>
          <w:bCs/>
          <w:color w:val="auto"/>
          <w:kern w:val="2"/>
          <w:sz w:val="24"/>
          <w:szCs w:val="24"/>
          <w:highlight w:val="none"/>
          <w:lang w:val="zh-CN"/>
        </w:rPr>
      </w:pPr>
      <w:r>
        <w:rPr>
          <w:rFonts w:hint="eastAsia" w:ascii="仿宋" w:hAnsi="仿宋" w:eastAsia="仿宋" w:cs="仿宋"/>
          <w:bCs/>
          <w:color w:val="auto"/>
          <w:kern w:val="2"/>
          <w:sz w:val="24"/>
          <w:szCs w:val="24"/>
          <w:highlight w:val="none"/>
          <w:lang w:val="zh-CN"/>
        </w:rPr>
        <w:t>5、可电动切换宽场照明方式和</w:t>
      </w:r>
      <w:r>
        <w:rPr>
          <w:rFonts w:hint="eastAsia" w:ascii="仿宋" w:hAnsi="仿宋" w:eastAsia="仿宋" w:cs="仿宋"/>
          <w:bCs/>
          <w:color w:val="auto"/>
          <w:sz w:val="24"/>
          <w:szCs w:val="24"/>
          <w:highlight w:val="none"/>
          <w:lang w:val="zh-CN"/>
        </w:rPr>
        <w:t>内反射单分子</w:t>
      </w:r>
      <w:r>
        <w:rPr>
          <w:rFonts w:hint="eastAsia" w:ascii="仿宋" w:hAnsi="仿宋" w:eastAsia="仿宋" w:cs="仿宋"/>
          <w:bCs/>
          <w:color w:val="auto"/>
          <w:kern w:val="2"/>
          <w:sz w:val="24"/>
          <w:szCs w:val="24"/>
          <w:highlight w:val="none"/>
          <w:lang w:val="zh-CN"/>
        </w:rPr>
        <w:t>照明方式。</w:t>
      </w:r>
    </w:p>
    <w:p w14:paraId="78B54E56">
      <w:pPr>
        <w:pStyle w:val="6"/>
        <w:keepNext w:val="0"/>
        <w:keepLines w:val="0"/>
        <w:pageBreakBefore w:val="0"/>
        <w:widowControl w:val="0"/>
        <w:kinsoku/>
        <w:wordWrap/>
        <w:overflowPunct/>
        <w:topLinePunct w:val="0"/>
        <w:bidi w:val="0"/>
        <w:spacing w:before="0" w:beforeAutospacing="0" w:after="0" w:afterAutospacing="0" w:line="360" w:lineRule="auto"/>
        <w:textAlignment w:val="auto"/>
        <w:rPr>
          <w:rFonts w:hint="eastAsia" w:ascii="仿宋" w:hAnsi="仿宋" w:eastAsia="仿宋" w:cs="仿宋"/>
          <w:bCs/>
          <w:color w:val="auto"/>
          <w:kern w:val="2"/>
          <w:sz w:val="24"/>
          <w:szCs w:val="24"/>
          <w:highlight w:val="none"/>
          <w:lang w:val="zh-CN"/>
        </w:rPr>
      </w:pPr>
      <w:r>
        <w:rPr>
          <w:rFonts w:hint="eastAsia" w:ascii="仿宋" w:hAnsi="仿宋" w:eastAsia="仿宋" w:cs="仿宋"/>
          <w:bCs/>
          <w:color w:val="auto"/>
          <w:kern w:val="2"/>
          <w:sz w:val="24"/>
          <w:szCs w:val="24"/>
          <w:highlight w:val="none"/>
          <w:lang w:val="zh-CN"/>
        </w:rPr>
        <w:t>6、激光共聚焦光刺激模式与</w:t>
      </w:r>
      <w:r>
        <w:rPr>
          <w:rFonts w:hint="eastAsia" w:ascii="仿宋" w:hAnsi="仿宋" w:eastAsia="仿宋" w:cs="仿宋"/>
          <w:bCs/>
          <w:color w:val="auto"/>
          <w:sz w:val="24"/>
          <w:szCs w:val="24"/>
          <w:highlight w:val="none"/>
          <w:lang w:val="zh-CN"/>
        </w:rPr>
        <w:t>内反射单分子</w:t>
      </w:r>
      <w:r>
        <w:rPr>
          <w:rFonts w:hint="eastAsia" w:ascii="仿宋" w:hAnsi="仿宋" w:eastAsia="仿宋" w:cs="仿宋"/>
          <w:bCs/>
          <w:color w:val="auto"/>
          <w:kern w:val="2"/>
          <w:sz w:val="24"/>
          <w:szCs w:val="24"/>
          <w:highlight w:val="none"/>
          <w:lang w:val="zh-CN"/>
        </w:rPr>
        <w:t>成像模式可通过软件实现自动切换。</w:t>
      </w:r>
    </w:p>
    <w:p w14:paraId="44D6BB4E">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rPr>
        <w:t>（四）</w:t>
      </w:r>
      <w:r>
        <w:rPr>
          <w:rFonts w:hint="eastAsia" w:ascii="仿宋" w:hAnsi="仿宋" w:eastAsia="仿宋" w:cs="仿宋"/>
          <w:bCs/>
          <w:color w:val="auto"/>
          <w:sz w:val="24"/>
          <w:szCs w:val="24"/>
          <w:highlight w:val="none"/>
          <w:lang w:val="zh-CN"/>
        </w:rPr>
        <w:t>活细胞培养系统：</w:t>
      </w:r>
    </w:p>
    <w:p w14:paraId="2D2C9372">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1、可放置各种规格培养皿、各种规格细胞培养板、载片型培养板等常用细胞培养器皿。</w:t>
      </w:r>
    </w:p>
    <w:p w14:paraId="11D1DA66">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zh-CN"/>
        </w:rPr>
        <w:t>2、流量控制单元：可对培养室顶部、底部、内部和物镜进行加热并可独立调节温度。</w:t>
      </w:r>
    </w:p>
    <w:p w14:paraId="3BC83AE0">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（四）、</w:t>
      </w:r>
      <w:r>
        <w:rPr>
          <w:rFonts w:hint="eastAsia" w:ascii="仿宋" w:hAnsi="仿宋" w:eastAsia="仿宋" w:cs="仿宋"/>
          <w:bCs/>
          <w:color w:val="auto"/>
          <w:sz w:val="24"/>
          <w:szCs w:val="24"/>
          <w:highlight w:val="none"/>
          <w:lang w:val="zh-CN"/>
        </w:rPr>
        <w:t>相机</w:t>
      </w:r>
      <w:r>
        <w:rPr>
          <w:rFonts w:hint="eastAsia" w:ascii="仿宋" w:hAnsi="仿宋" w:eastAsia="仿宋" w:cs="仿宋"/>
          <w:bCs/>
          <w:color w:val="auto"/>
          <w:sz w:val="24"/>
          <w:szCs w:val="24"/>
          <w:highlight w:val="none"/>
        </w:rPr>
        <w:t>：</w:t>
      </w:r>
    </w:p>
    <w:p w14:paraId="32BB570D">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1、CMOS传感器，</w:t>
      </w:r>
      <w:r>
        <w:rPr>
          <w:rFonts w:hint="eastAsia" w:ascii="仿宋" w:hAnsi="仿宋" w:eastAsia="仿宋" w:cs="仿宋"/>
          <w:bCs/>
          <w:color w:val="auto"/>
          <w:sz w:val="24"/>
          <w:szCs w:val="24"/>
          <w:highlight w:val="none"/>
          <w:lang w:val="zh-CN"/>
        </w:rPr>
        <w:t>芯片尺寸</w:t>
      </w:r>
      <w:r>
        <w:rPr>
          <w:rFonts w:hint="eastAsia" w:ascii="仿宋" w:hAnsi="仿宋" w:eastAsia="仿宋" w:cs="仿宋"/>
          <w:bCs/>
          <w:color w:val="auto"/>
          <w:sz w:val="24"/>
          <w:szCs w:val="24"/>
          <w:highlight w:val="none"/>
        </w:rPr>
        <w:t>≥13mm×13 mm；</w:t>
      </w:r>
      <w:r>
        <w:rPr>
          <w:rFonts w:hint="eastAsia" w:ascii="仿宋" w:hAnsi="仿宋" w:eastAsia="仿宋" w:cs="仿宋"/>
          <w:bCs/>
          <w:color w:val="auto"/>
          <w:sz w:val="24"/>
          <w:szCs w:val="24"/>
          <w:highlight w:val="none"/>
          <w:lang w:val="zh-CN"/>
        </w:rPr>
        <w:t>物理像素</w:t>
      </w:r>
      <w:r>
        <w:rPr>
          <w:rFonts w:hint="eastAsia" w:ascii="仿宋" w:hAnsi="仿宋" w:eastAsia="仿宋" w:cs="仿宋"/>
          <w:bCs/>
          <w:color w:val="auto"/>
          <w:sz w:val="24"/>
          <w:szCs w:val="24"/>
          <w:highlight w:val="none"/>
        </w:rPr>
        <w:t>≥420</w:t>
      </w:r>
      <w:r>
        <w:rPr>
          <w:rFonts w:hint="eastAsia" w:ascii="仿宋" w:hAnsi="仿宋" w:eastAsia="仿宋" w:cs="仿宋"/>
          <w:bCs/>
          <w:color w:val="auto"/>
          <w:sz w:val="24"/>
          <w:szCs w:val="24"/>
          <w:highlight w:val="none"/>
          <w:lang w:val="zh-CN"/>
        </w:rPr>
        <w:t>万像素</w:t>
      </w:r>
      <w:r>
        <w:rPr>
          <w:rFonts w:hint="eastAsia" w:ascii="仿宋" w:hAnsi="仿宋" w:eastAsia="仿宋" w:cs="仿宋"/>
          <w:bCs/>
          <w:color w:val="auto"/>
          <w:sz w:val="24"/>
          <w:szCs w:val="24"/>
          <w:highlight w:val="none"/>
        </w:rPr>
        <w:t>。</w:t>
      </w:r>
    </w:p>
    <w:p w14:paraId="63399529">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2、芯片量子效率：≥95%。</w:t>
      </w:r>
    </w:p>
    <w:p w14:paraId="36795E14">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3、全幅成像速度：≥40 帧/秒。</w:t>
      </w:r>
    </w:p>
    <w:p w14:paraId="3067A8B3">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4、光学变倍调节范围：1X～100X。</w:t>
      </w:r>
    </w:p>
    <w:p w14:paraId="5916D346">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（五）</w:t>
      </w:r>
      <w:r>
        <w:rPr>
          <w:rFonts w:hint="eastAsia" w:ascii="仿宋" w:hAnsi="仿宋" w:eastAsia="仿宋" w:cs="仿宋"/>
          <w:color w:val="auto"/>
          <w:sz w:val="24"/>
          <w:szCs w:val="24"/>
          <w:highlight w:val="none"/>
        </w:rPr>
        <w:t>图像采集处理工作站</w:t>
      </w:r>
      <w:r>
        <w:rPr>
          <w:rFonts w:hint="eastAsia" w:ascii="仿宋" w:hAnsi="仿宋" w:eastAsia="仿宋" w:cs="仿宋"/>
          <w:bCs/>
          <w:color w:val="auto"/>
          <w:sz w:val="24"/>
          <w:szCs w:val="24"/>
          <w:highlight w:val="none"/>
        </w:rPr>
        <w:t>：</w:t>
      </w:r>
    </w:p>
    <w:p w14:paraId="690681D7">
      <w:pPr>
        <w:keepNext w:val="0"/>
        <w:keepLines w:val="0"/>
        <w:pageBreakBefore w:val="0"/>
        <w:kinsoku/>
        <w:wordWrap/>
        <w:overflowPunct/>
        <w:topLinePunct w:val="0"/>
        <w:bidi w:val="0"/>
        <w:spacing w:line="360" w:lineRule="auto"/>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1、处理器：≥6 核，主频≥3.0GHz；内存：≥128GB；固态</w:t>
      </w:r>
      <w:bookmarkStart w:id="47" w:name="OLE_LINK82"/>
      <w:bookmarkStart w:id="48" w:name="OLE_LINK83"/>
      <w:r>
        <w:rPr>
          <w:rFonts w:hint="eastAsia" w:ascii="仿宋" w:hAnsi="仿宋" w:eastAsia="仿宋" w:cs="仿宋"/>
          <w:bCs/>
          <w:color w:val="auto"/>
          <w:sz w:val="24"/>
          <w:szCs w:val="24"/>
          <w:highlight w:val="none"/>
        </w:rPr>
        <w:t>硬盘</w:t>
      </w:r>
      <w:bookmarkEnd w:id="47"/>
      <w:bookmarkEnd w:id="48"/>
      <w:r>
        <w:rPr>
          <w:rFonts w:hint="eastAsia" w:ascii="仿宋" w:hAnsi="仿宋" w:eastAsia="仿宋" w:cs="仿宋"/>
          <w:bCs/>
          <w:color w:val="auto"/>
          <w:sz w:val="24"/>
          <w:szCs w:val="24"/>
          <w:highlight w:val="none"/>
        </w:rPr>
        <w:t>≥1TB，机械硬盘≥8TB；独立显卡，显存≥16GB；彩色液晶显示器≥32 英寸</w:t>
      </w:r>
    </w:p>
    <w:p w14:paraId="784B3F91">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2、</w:t>
      </w:r>
      <w:r>
        <w:rPr>
          <w:rFonts w:hint="eastAsia" w:ascii="仿宋" w:hAnsi="仿宋" w:eastAsia="仿宋" w:cs="仿宋"/>
          <w:color w:val="auto"/>
          <w:sz w:val="24"/>
          <w:szCs w:val="24"/>
          <w:highlight w:val="none"/>
          <w:lang w:val="zh-CN"/>
        </w:rPr>
        <w:t>同一软件控制显微镜、激光器、扫描器。</w:t>
      </w:r>
    </w:p>
    <w:p w14:paraId="06F1799A">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3、具备</w:t>
      </w:r>
      <w:r>
        <w:rPr>
          <w:rFonts w:hint="eastAsia" w:ascii="仿宋" w:hAnsi="仿宋" w:eastAsia="仿宋" w:cs="仿宋"/>
          <w:color w:val="auto"/>
          <w:sz w:val="24"/>
          <w:szCs w:val="24"/>
          <w:highlight w:val="none"/>
          <w:lang w:val="zh-CN"/>
        </w:rPr>
        <w:t>自动预扫描功能，可以自动、快速设定扫描参数。</w:t>
      </w:r>
    </w:p>
    <w:p w14:paraId="500BD494">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4、具备</w:t>
      </w:r>
      <w:r>
        <w:rPr>
          <w:rFonts w:hint="eastAsia" w:ascii="仿宋" w:hAnsi="仿宋" w:eastAsia="仿宋" w:cs="仿宋"/>
          <w:color w:val="auto"/>
          <w:sz w:val="24"/>
          <w:szCs w:val="24"/>
          <w:highlight w:val="none"/>
          <w:lang w:val="zh-CN"/>
        </w:rPr>
        <w:t>图像浏览软件，可用于共聚焦系统以外的任意计算机。</w:t>
      </w:r>
    </w:p>
    <w:p w14:paraId="58D2EB4A">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val="zh-CN"/>
        </w:rPr>
        <w:t>多功能测量分析软件：具有自动测量、记数、统计、测量功能。</w:t>
      </w:r>
    </w:p>
    <w:p w14:paraId="462CAA8C">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6、具备3D共定位分析功能模块，用于3D成像、旋转、不同切面观察，电影制作等。</w:t>
      </w:r>
    </w:p>
    <w:p w14:paraId="0EC01FF1">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7、具备大图拼接和分析功能，可进行不规则区域的拼图，可设定焦点地图。</w:t>
      </w:r>
    </w:p>
    <w:p w14:paraId="647180CC">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4"/>
          <w:highlight w:val="none"/>
          <w:lang w:val="zh-CN"/>
        </w:rPr>
        <w:t>具备图像实时采集、多通道荧光采集叠加、6维分析、面积、长度等自动测量, 时间分段测量</w:t>
      </w:r>
    </w:p>
    <w:p w14:paraId="657C72D0">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rPr>
        <w:t>9、具备报告生成器。</w:t>
      </w:r>
      <w:r>
        <w:rPr>
          <w:rFonts w:hint="eastAsia" w:ascii="仿宋" w:hAnsi="仿宋" w:eastAsia="仿宋" w:cs="仿宋"/>
          <w:color w:val="auto"/>
          <w:sz w:val="24"/>
          <w:szCs w:val="24"/>
          <w:highlight w:val="none"/>
          <w:lang w:val="en-US" w:eastAsia="zh-CN"/>
        </w:rPr>
        <w:t>具备共定位分析、实时动态分析及FRAP分析功能。</w:t>
      </w:r>
    </w:p>
    <w:p w14:paraId="25D48CBF">
      <w:pPr>
        <w:keepNext w:val="0"/>
        <w:keepLines w:val="0"/>
        <w:pageBreakBefore w:val="0"/>
        <w:kinsoku/>
        <w:wordWrap/>
        <w:overflowPunct/>
        <w:topLinePunct w:val="0"/>
        <w:bidi w:val="0"/>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rPr>
        <w:t>10、可一键自动设置</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四</w:t>
      </w:r>
      <w:r>
        <w:rPr>
          <w:rFonts w:hint="eastAsia" w:ascii="仿宋" w:hAnsi="仿宋" w:eastAsia="仿宋" w:cs="仿宋"/>
          <w:color w:val="auto"/>
          <w:sz w:val="24"/>
          <w:szCs w:val="24"/>
          <w:highlight w:val="none"/>
        </w:rPr>
        <w:t>通道参数、</w:t>
      </w:r>
      <w:r>
        <w:rPr>
          <w:rFonts w:hint="eastAsia" w:ascii="仿宋" w:hAnsi="仿宋" w:eastAsia="仿宋" w:cs="仿宋"/>
          <w:color w:val="auto"/>
          <w:sz w:val="24"/>
          <w:szCs w:val="24"/>
          <w:highlight w:val="none"/>
          <w:lang w:val="en-US" w:eastAsia="zh-CN"/>
        </w:rPr>
        <w:t>≥四个激光强度、增益值、</w:t>
      </w:r>
      <w:r>
        <w:rPr>
          <w:rFonts w:hint="eastAsia" w:ascii="仿宋" w:hAnsi="仿宋" w:eastAsia="仿宋" w:cs="仿宋"/>
          <w:color w:val="auto"/>
          <w:sz w:val="24"/>
          <w:szCs w:val="24"/>
          <w:highlight w:val="none"/>
        </w:rPr>
        <w:t>实时 AI 降噪（非后处理）、实时自动对焦、激光自动启停保护（响应≤1s）。提供软件中</w:t>
      </w:r>
      <w:r>
        <w:rPr>
          <w:rFonts w:hint="eastAsia" w:ascii="仿宋" w:hAnsi="仿宋" w:eastAsia="仿宋" w:cs="仿宋"/>
          <w:color w:val="auto"/>
          <w:sz w:val="24"/>
          <w:szCs w:val="24"/>
          <w:highlight w:val="none"/>
          <w:lang w:val="en-US" w:eastAsia="zh-CN"/>
        </w:rPr>
        <w:t>上述</w:t>
      </w:r>
      <w:r>
        <w:rPr>
          <w:rFonts w:hint="eastAsia" w:ascii="仿宋" w:hAnsi="仿宋" w:eastAsia="仿宋" w:cs="仿宋"/>
          <w:color w:val="auto"/>
          <w:sz w:val="24"/>
          <w:szCs w:val="24"/>
          <w:highlight w:val="none"/>
        </w:rPr>
        <w:t>功能</w:t>
      </w:r>
      <w:r>
        <w:rPr>
          <w:rFonts w:hint="eastAsia" w:ascii="仿宋" w:hAnsi="仿宋" w:eastAsia="仿宋" w:cs="仿宋"/>
          <w:color w:val="auto"/>
          <w:sz w:val="24"/>
          <w:szCs w:val="24"/>
          <w:highlight w:val="none"/>
          <w:lang w:val="en-US" w:eastAsia="zh-CN"/>
        </w:rPr>
        <w:t>一键自动</w:t>
      </w:r>
      <w:r>
        <w:rPr>
          <w:rFonts w:hint="eastAsia" w:ascii="仿宋" w:hAnsi="仿宋" w:eastAsia="仿宋" w:cs="仿宋"/>
          <w:color w:val="auto"/>
          <w:sz w:val="24"/>
          <w:szCs w:val="24"/>
          <w:highlight w:val="none"/>
        </w:rPr>
        <w:t>实现的软件界面截屏佐证，佐证包含功能使用步骤和使用后的实现结果截屏，图像及字体清晰可见，无法佐证视为不满足。</w:t>
      </w:r>
    </w:p>
    <w:p w14:paraId="57BB3A4E">
      <w:pPr>
        <w:rPr>
          <w:rFonts w:ascii="仿宋" w:hAnsi="仿宋" w:eastAsia="仿宋"/>
          <w:b/>
          <w:color w:val="auto"/>
          <w:sz w:val="24"/>
        </w:rPr>
      </w:pPr>
      <w:r>
        <w:rPr>
          <w:rFonts w:ascii="仿宋" w:hAnsi="仿宋" w:eastAsia="仿宋"/>
          <w:b/>
          <w:color w:val="auto"/>
          <w:sz w:val="24"/>
        </w:rPr>
        <w:br w:type="page"/>
      </w:r>
    </w:p>
    <w:p w14:paraId="5564BDF7">
      <w:pPr>
        <w:widowControl/>
        <w:jc w:val="left"/>
        <w:rPr>
          <w:rFonts w:ascii="仿宋" w:hAnsi="仿宋" w:eastAsia="仿宋"/>
          <w:b/>
          <w:color w:val="auto"/>
          <w:sz w:val="24"/>
        </w:rPr>
      </w:pPr>
    </w:p>
    <w:bookmarkEnd w:id="20"/>
    <w:p w14:paraId="577EC542">
      <w:pPr>
        <w:snapToGrid w:val="0"/>
        <w:spacing w:line="360" w:lineRule="auto"/>
        <w:ind w:firstLine="480" w:firstLineChars="200"/>
        <w:rPr>
          <w:rFonts w:ascii="仿宋" w:hAnsi="仿宋" w:eastAsia="仿宋" w:cs="仿宋"/>
          <w:bCs/>
          <w:color w:val="auto"/>
          <w:sz w:val="24"/>
        </w:rPr>
      </w:pPr>
      <w:bookmarkStart w:id="49" w:name="OLE_LINK371"/>
      <w:bookmarkStart w:id="50" w:name="OLE_LINK372"/>
      <w:r>
        <w:rPr>
          <w:rFonts w:hint="eastAsia" w:ascii="仿宋" w:hAnsi="仿宋" w:eastAsia="仿宋" w:cs="仿宋"/>
          <w:bCs/>
          <w:color w:val="auto"/>
          <w:sz w:val="24"/>
        </w:rPr>
        <w:t>2、采购标的需满足的服务标准、期限、效率等要求；</w:t>
      </w:r>
    </w:p>
    <w:bookmarkEnd w:id="49"/>
    <w:bookmarkEnd w:id="50"/>
    <w:p w14:paraId="2E37AB2F">
      <w:pPr>
        <w:pStyle w:val="3"/>
        <w:tabs>
          <w:tab w:val="left" w:pos="420"/>
          <w:tab w:val="left" w:pos="900"/>
        </w:tabs>
        <w:spacing w:line="360" w:lineRule="auto"/>
        <w:ind w:left="420" w:leftChars="200"/>
        <w:contextualSpacing/>
        <w:rPr>
          <w:rFonts w:hint="default" w:ascii="仿宋" w:hAnsi="仿宋" w:eastAsia="仿宋" w:cs="仿宋"/>
          <w:bCs/>
          <w:color w:val="auto"/>
          <w:sz w:val="24"/>
          <w:szCs w:val="24"/>
        </w:rPr>
      </w:pPr>
      <w:r>
        <w:rPr>
          <w:rFonts w:ascii="仿宋" w:hAnsi="仿宋" w:eastAsia="仿宋" w:cs="仿宋"/>
          <w:bCs/>
          <w:color w:val="auto"/>
          <w:sz w:val="24"/>
          <w:szCs w:val="24"/>
        </w:rPr>
        <w:t>2.1、投标人应有能力做好售后服务工作和提供技术保障。投标人或投标产品制造商应设有专业的售后服务维修机构，有充足的零件储备和能力相当的技术服务人员，并保证投标产品停产后8年的备件供应。</w:t>
      </w:r>
    </w:p>
    <w:p w14:paraId="394D6342">
      <w:pPr>
        <w:pStyle w:val="2"/>
        <w:rPr>
          <w:color w:val="auto"/>
        </w:rPr>
      </w:pPr>
    </w:p>
    <w:p w14:paraId="37FD086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3、为落实政府采购政策需满足的要求；</w:t>
      </w:r>
    </w:p>
    <w:p w14:paraId="2FC318A2">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52F419EA">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38395817">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4C4BA74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020C9D84">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04D69F7C">
      <w:pPr>
        <w:snapToGrid w:val="0"/>
        <w:spacing w:line="360" w:lineRule="auto"/>
        <w:ind w:firstLine="480" w:firstLineChars="200"/>
        <w:rPr>
          <w:rFonts w:ascii="仿宋" w:hAnsi="仿宋" w:eastAsia="仿宋" w:cs="仿宋"/>
          <w:bCs/>
          <w:color w:val="auto"/>
          <w:sz w:val="24"/>
        </w:rPr>
      </w:pPr>
      <w:bookmarkStart w:id="51" w:name="OLE_LINK113"/>
      <w:r>
        <w:rPr>
          <w:rFonts w:hint="eastAsia" w:ascii="仿宋" w:hAnsi="仿宋" w:eastAsia="仿宋" w:cs="仿宋"/>
          <w:bCs/>
          <w:color w:val="auto"/>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52" w:name="OLE_LINK56"/>
      <w:bookmarkStart w:id="53" w:name="OLE_LINK55"/>
      <w:r>
        <w:rPr>
          <w:rFonts w:hint="eastAsia" w:ascii="仿宋" w:hAnsi="仿宋" w:eastAsia="仿宋" w:cs="仿宋"/>
          <w:b/>
          <w:bCs/>
          <w:color w:val="auto"/>
          <w:sz w:val="24"/>
        </w:rPr>
        <w:t>投标人</w:t>
      </w:r>
      <w:bookmarkEnd w:id="52"/>
      <w:bookmarkEnd w:id="53"/>
      <w:r>
        <w:rPr>
          <w:rFonts w:hint="eastAsia" w:ascii="仿宋" w:hAnsi="仿宋" w:eastAsia="仿宋" w:cs="仿宋"/>
          <w:b/>
          <w:bCs/>
          <w:color w:val="auto"/>
          <w:sz w:val="24"/>
        </w:rPr>
        <w:t>应出具招标文件要求的证明材料给予证明，否则评标时不予认可。投标人应对提交的证明材料真实性负责，</w:t>
      </w:r>
      <w:r>
        <w:rPr>
          <w:rFonts w:hint="eastAsia" w:ascii="仿宋" w:hAnsi="仿宋" w:eastAsia="仿宋" w:cs="仿宋"/>
          <w:bCs/>
          <w:color w:val="auto"/>
          <w:sz w:val="24"/>
        </w:rPr>
        <w:t>提交证明材料不真实的，应承担相应的法律责任。</w:t>
      </w:r>
      <w:bookmarkEnd w:id="51"/>
    </w:p>
    <w:p w14:paraId="36C3FA82">
      <w:pPr>
        <w:pStyle w:val="2"/>
        <w:rPr>
          <w:color w:val="auto"/>
        </w:rPr>
      </w:pPr>
    </w:p>
    <w:p w14:paraId="6508D273">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4、采购标的的其他技术、服务等要求；</w:t>
      </w:r>
    </w:p>
    <w:p w14:paraId="01F7CEFA">
      <w:pPr>
        <w:snapToGrid w:val="0"/>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4.1、技术证明支持材料</w:t>
      </w:r>
    </w:p>
    <w:p w14:paraId="5566D9C8">
      <w:pPr>
        <w:snapToGrid w:val="0"/>
        <w:spacing w:line="360" w:lineRule="auto"/>
        <w:ind w:firstLine="480" w:firstLineChars="200"/>
        <w:rPr>
          <w:rFonts w:ascii="仿宋" w:hAnsi="仿宋" w:eastAsia="仿宋" w:cs="仿宋"/>
          <w:bCs/>
          <w:color w:val="auto"/>
          <w:sz w:val="24"/>
        </w:rPr>
      </w:pPr>
      <w:bookmarkStart w:id="54" w:name="OLE_LINK200"/>
      <w:bookmarkStart w:id="55" w:name="OLE_LINK201"/>
      <w:r>
        <w:rPr>
          <w:rFonts w:hint="eastAsia" w:ascii="仿宋" w:hAnsi="仿宋" w:eastAsia="仿宋" w:cs="仿宋"/>
          <w:bCs/>
          <w:color w:val="auto"/>
          <w:sz w:val="24"/>
        </w:rPr>
        <w:t>4.1.</w:t>
      </w:r>
      <w:bookmarkEnd w:id="54"/>
      <w:bookmarkEnd w:id="55"/>
      <w:r>
        <w:rPr>
          <w:rFonts w:hint="eastAsia" w:ascii="仿宋" w:hAnsi="仿宋" w:eastAsia="仿宋" w:cs="仿宋"/>
          <w:bCs/>
          <w:color w:val="auto"/>
          <w:sz w:val="24"/>
        </w:rPr>
        <w:t>1、对于技术规格中标注“★”号的技术参数代表实质性指标，不满足该指标项将直接导致投标被拒绝。</w:t>
      </w:r>
    </w:p>
    <w:p w14:paraId="7B79F53A">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4.1.2、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02226B5B">
      <w:pPr>
        <w:snapToGrid w:val="0"/>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4.2、供货及安装要求</w:t>
      </w:r>
      <w:r>
        <w:rPr>
          <w:rFonts w:hint="eastAsia" w:ascii="仿宋" w:hAnsi="仿宋" w:eastAsia="仿宋" w:cs="仿宋"/>
          <w:b/>
          <w:bCs/>
          <w:color w:val="auto"/>
          <w:sz w:val="24"/>
        </w:rPr>
        <w:tab/>
      </w:r>
    </w:p>
    <w:p w14:paraId="6A13E683">
      <w:pPr>
        <w:snapToGrid w:val="0"/>
        <w:spacing w:line="360" w:lineRule="auto"/>
        <w:ind w:firstLine="480" w:firstLineChars="200"/>
        <w:rPr>
          <w:rFonts w:ascii="仿宋" w:hAnsi="仿宋" w:eastAsia="仿宋" w:cs="仿宋"/>
          <w:bCs/>
          <w:color w:val="auto"/>
          <w:sz w:val="24"/>
        </w:rPr>
      </w:pPr>
      <w:bookmarkStart w:id="56" w:name="OLE_LINK202"/>
      <w:bookmarkStart w:id="57" w:name="OLE_LINK203"/>
      <w:r>
        <w:rPr>
          <w:rFonts w:hint="eastAsia" w:ascii="仿宋" w:hAnsi="仿宋" w:eastAsia="仿宋" w:cs="仿宋"/>
          <w:bCs/>
          <w:color w:val="auto"/>
          <w:sz w:val="24"/>
        </w:rPr>
        <w:t>4.2.1、</w:t>
      </w:r>
      <w:bookmarkEnd w:id="56"/>
      <w:bookmarkEnd w:id="57"/>
      <w:r>
        <w:rPr>
          <w:rFonts w:hint="eastAsia" w:ascii="仿宋" w:hAnsi="仿宋" w:eastAsia="仿宋" w:cs="仿宋"/>
          <w:bCs/>
          <w:color w:val="auto"/>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638B5A07">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6C957AB8">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4.2.3、投标人所提供的部件之间及设备之间的连线或接插件均视为设备内部部件，应包含在相应的配置中。</w:t>
      </w:r>
    </w:p>
    <w:p w14:paraId="4D713568">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4.2.4、工作条件：除了在技术规格中另有规定外，投标人提供的一切仪器、设备和系统，应符合下列条件：</w:t>
      </w:r>
    </w:p>
    <w:p w14:paraId="69DAB72C">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1）仪器设备的插头要符合中国电工标准。如不符合，则应提供适合仪器插头的插座，必须要有接地。</w:t>
      </w:r>
    </w:p>
    <w:p w14:paraId="15225D7F">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2）如果仪器设备需特殊的工作条件（如：水、电源、磁场强度、特殊温度、湿度、震动强度等），投标人应在有关投标文件中加以说明。</w:t>
      </w:r>
    </w:p>
    <w:p w14:paraId="666AD1D9">
      <w:pPr>
        <w:snapToGrid w:val="0"/>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4.3、</w:t>
      </w:r>
      <w:bookmarkStart w:id="58" w:name="OLE_LINK65"/>
      <w:r>
        <w:rPr>
          <w:rFonts w:hint="eastAsia" w:ascii="仿宋" w:hAnsi="仿宋" w:eastAsia="仿宋" w:cs="仿宋"/>
          <w:b/>
          <w:bCs/>
          <w:color w:val="auto"/>
          <w:sz w:val="24"/>
        </w:rPr>
        <w:t>培训要求</w:t>
      </w:r>
      <w:bookmarkEnd w:id="58"/>
      <w:r>
        <w:rPr>
          <w:rFonts w:hint="eastAsia" w:ascii="仿宋" w:hAnsi="仿宋" w:eastAsia="仿宋" w:cs="仿宋"/>
          <w:b/>
          <w:bCs/>
          <w:color w:val="auto"/>
          <w:sz w:val="24"/>
        </w:rPr>
        <w:t>：</w:t>
      </w:r>
    </w:p>
    <w:p w14:paraId="18492F50">
      <w:pPr>
        <w:tabs>
          <w:tab w:val="left" w:pos="900"/>
        </w:tabs>
        <w:spacing w:line="360" w:lineRule="auto"/>
        <w:ind w:firstLine="480" w:firstLineChars="200"/>
        <w:rPr>
          <w:rFonts w:ascii="仿宋" w:hAnsi="仿宋" w:eastAsia="仿宋"/>
          <w:color w:val="auto"/>
          <w:sz w:val="24"/>
        </w:rPr>
      </w:pPr>
      <w:r>
        <w:rPr>
          <w:rFonts w:hint="eastAsia" w:ascii="仿宋" w:hAnsi="仿宋" w:eastAsia="仿宋"/>
          <w:color w:val="auto"/>
          <w:sz w:val="24"/>
        </w:rPr>
        <w:t>培训是指涉及产品基本原理、安装、调试、操作使用和保养维修等有关内容的学习</w:t>
      </w:r>
      <w:r>
        <w:rPr>
          <w:rFonts w:hint="eastAsia" w:ascii="仿宋" w:hAnsi="仿宋" w:eastAsia="仿宋"/>
          <w:b/>
          <w:color w:val="auto"/>
          <w:sz w:val="24"/>
        </w:rPr>
        <w:t>。</w:t>
      </w:r>
      <w:r>
        <w:rPr>
          <w:rFonts w:hint="eastAsia" w:ascii="仿宋" w:hAnsi="仿宋" w:eastAsia="仿宋"/>
          <w:color w:val="auto"/>
          <w:sz w:val="24"/>
        </w:rPr>
        <w:t>投标人应保证在采购人指定交货地点对每包（品目）最终用户设备操作人员提供不少于1天的免费培训。投标人投标时应提供详细的培训方案（</w:t>
      </w:r>
      <w:r>
        <w:rPr>
          <w:rFonts w:hint="eastAsia" w:ascii="仿宋" w:hAnsi="仿宋" w:eastAsia="仿宋"/>
          <w:b/>
          <w:color w:val="auto"/>
          <w:sz w:val="24"/>
        </w:rPr>
        <w:t>应包括对培训内容、培训对象、培训时间做出计划，包括培训时间、地点、人次、方式、预计培训结果等</w:t>
      </w:r>
      <w:r>
        <w:rPr>
          <w:rFonts w:hint="eastAsia" w:ascii="仿宋" w:hAnsi="仿宋" w:eastAsia="仿宋"/>
          <w:color w:val="auto"/>
          <w:sz w:val="24"/>
        </w:rPr>
        <w:t>）。培训教员的差旅费、食宿费、培训教材等费用，应计入投标报价。</w:t>
      </w:r>
    </w:p>
    <w:p w14:paraId="20E70700">
      <w:pPr>
        <w:pStyle w:val="2"/>
        <w:rPr>
          <w:color w:val="auto"/>
        </w:rPr>
      </w:pPr>
    </w:p>
    <w:p w14:paraId="353B2A73">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5、需由投标人提供设计方案、解决方案或者组织方案的采购项目，应当说明采购标的的功能、应用场景、目标等基本要求</w:t>
      </w:r>
    </w:p>
    <w:p w14:paraId="0E2B5FDB">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无</w:t>
      </w:r>
    </w:p>
    <w:p w14:paraId="40A4248C">
      <w:pPr>
        <w:pStyle w:val="2"/>
        <w:rPr>
          <w:rFonts w:ascii="仿宋" w:hAnsi="仿宋" w:eastAsia="仿宋"/>
          <w:color w:val="auto"/>
        </w:rPr>
      </w:pPr>
    </w:p>
    <w:p w14:paraId="53C8E9D3">
      <w:pPr>
        <w:snapToGrid w:val="0"/>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（三）验收标准</w:t>
      </w:r>
    </w:p>
    <w:p w14:paraId="63A4312D">
      <w:pPr>
        <w:numPr>
          <w:ilvl w:val="255"/>
          <w:numId w:val="0"/>
        </w:num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2167DA49">
      <w:pPr>
        <w:numPr>
          <w:ilvl w:val="255"/>
          <w:numId w:val="0"/>
        </w:num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2、货物运抵采购项目（标的）交付的地点后，采购人将在</w:t>
      </w:r>
      <w:r>
        <w:rPr>
          <w:rFonts w:hint="eastAsia" w:ascii="仿宋" w:hAnsi="仿宋" w:eastAsia="仿宋" w:cs="仿宋"/>
          <w:bCs/>
          <w:color w:val="auto"/>
          <w:sz w:val="24"/>
          <w:u w:val="single"/>
        </w:rPr>
        <w:t>30个工作日</w:t>
      </w:r>
      <w:r>
        <w:rPr>
          <w:rFonts w:hint="eastAsia" w:ascii="仿宋" w:hAnsi="仿宋" w:eastAsia="仿宋" w:cs="仿宋"/>
          <w:bCs/>
          <w:color w:val="auto"/>
          <w:sz w:val="24"/>
        </w:rPr>
        <w:t>内组织验收，由采购人组织验收小组，对货物的数量、外观、包装、质量、安全、功能及性能等进行验收，项目验收依据为采购合同、招标文件和投标文件。验收小组将根据验收情况制作验收备忘录并签署验收意见。</w:t>
      </w:r>
    </w:p>
    <w:p w14:paraId="0D0BC350">
      <w:pPr>
        <w:numPr>
          <w:ilvl w:val="255"/>
          <w:numId w:val="0"/>
        </w:num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3、投标人应负责使所供计量仪器通过计量部门的验收，并承担相关费用（包括运费）。若需要，应在检测期间提供备用仪器，以便不影响采购人的使用。</w:t>
      </w:r>
    </w:p>
    <w:p w14:paraId="4A78D1FD">
      <w:pPr>
        <w:pStyle w:val="2"/>
        <w:rPr>
          <w:rFonts w:ascii="仿宋" w:hAnsi="仿宋" w:eastAsia="仿宋" w:cs="仿宋"/>
          <w:bCs/>
          <w:color w:val="auto"/>
        </w:rPr>
      </w:pPr>
      <w:r>
        <w:rPr>
          <w:rFonts w:hint="eastAsia" w:ascii="仿宋" w:hAnsi="仿宋" w:eastAsia="仿宋" w:cs="仿宋"/>
          <w:bCs/>
          <w:color w:val="auto"/>
        </w:rPr>
        <w:t>4. 货物验收时，如投标产品为进口产品，投标人须提供相应的进口产品报关单。</w:t>
      </w:r>
    </w:p>
    <w:p w14:paraId="28B6C9B2">
      <w:pPr>
        <w:pStyle w:val="2"/>
        <w:rPr>
          <w:rFonts w:ascii="仿宋" w:hAnsi="仿宋" w:eastAsia="仿宋" w:cs="仿宋"/>
          <w:bCs/>
          <w:color w:val="auto"/>
        </w:rPr>
      </w:pPr>
    </w:p>
    <w:p w14:paraId="79695A46">
      <w:pPr>
        <w:numPr>
          <w:ilvl w:val="255"/>
          <w:numId w:val="0"/>
        </w:numPr>
        <w:snapToGrid w:val="0"/>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（四）其他要求</w:t>
      </w:r>
    </w:p>
    <w:p w14:paraId="04C016EE">
      <w:pPr>
        <w:numPr>
          <w:ilvl w:val="255"/>
          <w:numId w:val="0"/>
        </w:numPr>
        <w:snapToGrid w:val="0"/>
        <w:spacing w:line="360" w:lineRule="auto"/>
        <w:ind w:firstLine="480" w:firstLineChars="200"/>
        <w:rPr>
          <w:color w:val="auto"/>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Cs/>
          <w:color w:val="auto"/>
          <w:sz w:val="24"/>
        </w:rPr>
        <w:t>无</w:t>
      </w:r>
      <w:bookmarkEnd w:id="0"/>
      <w:bookmarkEnd w:id="1"/>
      <w:bookmarkStart w:id="59" w:name="_GoBack"/>
      <w:bookmarkEnd w:id="59"/>
    </w:p>
    <w:p w14:paraId="4EEA78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0129E"/>
    <w:multiLevelType w:val="multilevel"/>
    <w:tmpl w:val="1260129E"/>
    <w:lvl w:ilvl="0" w:tentative="0">
      <w:start w:val="2"/>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78"/>
    <w:rsid w:val="00194426"/>
    <w:rsid w:val="00620078"/>
    <w:rsid w:val="00C33840"/>
    <w:rsid w:val="57254656"/>
    <w:rsid w:val="62E07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link w:val="14"/>
    <w:qFormat/>
    <w:uiPriority w:val="0"/>
    <w:pPr>
      <w:autoSpaceDE w:val="0"/>
      <w:autoSpaceDN w:val="0"/>
      <w:adjustRightInd w:val="0"/>
      <w:ind w:firstLine="420"/>
      <w:jc w:val="left"/>
    </w:pPr>
    <w:rPr>
      <w:rFonts w:ascii="宋体"/>
      <w:sz w:val="24"/>
    </w:rPr>
  </w:style>
  <w:style w:type="paragraph" w:styleId="3">
    <w:name w:val="Plain Text"/>
    <w:basedOn w:val="1"/>
    <w:link w:val="15"/>
    <w:qFormat/>
    <w:uiPriority w:val="0"/>
    <w:rPr>
      <w:rFonts w:hint="eastAsia" w:ascii="宋体" w:hAnsi="Courier New"/>
      <w:szCs w:val="20"/>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annotation reference"/>
    <w:unhideWhenUsed/>
    <w:qFormat/>
    <w:uiPriority w:val="0"/>
    <w:rPr>
      <w:sz w:val="21"/>
      <w:szCs w:val="21"/>
    </w:rPr>
  </w:style>
  <w:style w:type="paragraph" w:customStyle="1" w:styleId="10">
    <w:name w:val="pf0"/>
    <w:basedOn w:val="1"/>
    <w:qFormat/>
    <w:uiPriority w:val="0"/>
    <w:pPr>
      <w:widowControl/>
      <w:spacing w:before="100" w:beforeAutospacing="1" w:after="100" w:afterAutospacing="1"/>
      <w:jc w:val="left"/>
    </w:pPr>
    <w:rPr>
      <w:rFonts w:ascii="宋体" w:hAnsi="宋体" w:cs="宋体"/>
      <w:kern w:val="0"/>
      <w:sz w:val="24"/>
    </w:rPr>
  </w:style>
  <w:style w:type="paragraph" w:styleId="11">
    <w:name w:val="List Paragraph"/>
    <w:basedOn w:val="1"/>
    <w:link w:val="16"/>
    <w:qFormat/>
    <w:uiPriority w:val="34"/>
    <w:pPr>
      <w:ind w:firstLine="420" w:firstLineChars="200"/>
    </w:pPr>
    <w:rPr>
      <w:rFonts w:ascii="Calibri" w:hAnsi="Calibri"/>
      <w:szCs w:val="22"/>
    </w:rPr>
  </w:style>
  <w:style w:type="character" w:customStyle="1" w:styleId="12">
    <w:name w:val="页眉 Char"/>
    <w:basedOn w:val="8"/>
    <w:link w:val="5"/>
    <w:uiPriority w:val="0"/>
    <w:rPr>
      <w:rFonts w:ascii="Times New Roman" w:hAnsi="Times New Roman" w:eastAsia="宋体" w:cs="Times New Roman"/>
      <w:kern w:val="2"/>
      <w:sz w:val="18"/>
      <w:szCs w:val="18"/>
    </w:rPr>
  </w:style>
  <w:style w:type="character" w:customStyle="1" w:styleId="13">
    <w:name w:val="页脚 Char"/>
    <w:basedOn w:val="8"/>
    <w:link w:val="4"/>
    <w:qFormat/>
    <w:uiPriority w:val="0"/>
    <w:rPr>
      <w:rFonts w:ascii="Times New Roman" w:hAnsi="Times New Roman" w:eastAsia="宋体" w:cs="Times New Roman"/>
      <w:kern w:val="2"/>
      <w:sz w:val="18"/>
      <w:szCs w:val="18"/>
    </w:rPr>
  </w:style>
  <w:style w:type="character" w:customStyle="1" w:styleId="14">
    <w:name w:val="正文缩进 Char"/>
    <w:link w:val="2"/>
    <w:qFormat/>
    <w:locked/>
    <w:uiPriority w:val="0"/>
    <w:rPr>
      <w:rFonts w:ascii="宋体" w:hAnsi="Times New Roman" w:eastAsia="宋体" w:cs="Times New Roman"/>
      <w:kern w:val="2"/>
      <w:sz w:val="24"/>
      <w:szCs w:val="24"/>
    </w:rPr>
  </w:style>
  <w:style w:type="character" w:customStyle="1" w:styleId="15">
    <w:name w:val="纯文本 Char"/>
    <w:basedOn w:val="8"/>
    <w:link w:val="3"/>
    <w:qFormat/>
    <w:uiPriority w:val="0"/>
    <w:rPr>
      <w:rFonts w:ascii="宋体" w:hAnsi="Courier New" w:eastAsia="宋体" w:cs="Times New Roman"/>
      <w:kern w:val="2"/>
      <w:sz w:val="21"/>
    </w:rPr>
  </w:style>
  <w:style w:type="character" w:customStyle="1" w:styleId="16">
    <w:name w:val="列出段落 Char"/>
    <w:link w:val="11"/>
    <w:qFormat/>
    <w:locked/>
    <w:uiPriority w:val="34"/>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6248</Words>
  <Characters>6623</Characters>
  <Lines>48</Lines>
  <Paragraphs>13</Paragraphs>
  <TotalTime>0</TotalTime>
  <ScaleCrop>false</ScaleCrop>
  <LinksUpToDate>false</LinksUpToDate>
  <CharactersWithSpaces>6631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2026-06-11T03:28:00Z</dcterms:created>
  <dc:creator>Lenovo</dc:creator>
  <cp:lastModifiedBy>赵雨辰</cp:lastModifiedBy>
  <dcterms:modified xsi:type="dcterms:W3CDTF">2026-07-27T04:03:00Z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eyJoZGlkIjoiMTJlMmE1ZmVlMGMzNDY5NTEwMjNlZTBmYzc4M2ZiN2YiLCJ1c2VySWQiOiIxMTc2MjU1NDAwIn0=</vt:lpwstr>
  </property>
  <property fmtid="{D5CDD505-2E9C-101B-9397-08002B2CF9AE}" pid="4" name="ICV">
    <vt:lpwstr>8573F0B8F81C48B2B1F2B2B4C0370886_12</vt:lpwstr>
  </property>
</Properties>
</file>