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eastAsiaTheme="minorEastAsia"/>
          <w:b/>
          <w:sz w:val="36"/>
          <w:szCs w:val="36"/>
          <w:highlight w:val="none"/>
        </w:rPr>
      </w:pPr>
      <w:bookmarkStart w:id="0" w:name="_Toc97371945"/>
      <w:r>
        <w:rPr>
          <w:rFonts w:eastAsiaTheme="minorEastAsia"/>
          <w:b/>
          <w:sz w:val="36"/>
          <w:szCs w:val="36"/>
          <w:highlight w:val="none"/>
        </w:rPr>
        <w:t>采购需求</w:t>
      </w:r>
      <w:bookmarkEnd w:id="0"/>
    </w:p>
    <w:p>
      <w:pPr>
        <w:spacing w:line="360" w:lineRule="auto"/>
        <w:contextualSpacing/>
        <w:rPr>
          <w:sz w:val="24"/>
          <w:highlight w:val="none"/>
        </w:rPr>
      </w:pPr>
    </w:p>
    <w:p>
      <w:pPr>
        <w:pStyle w:val="2"/>
        <w:rPr>
          <w:rFonts w:hint="eastAsia" w:ascii="楷体" w:hAnsi="楷体" w:eastAsia="楷体" w:cs="楷体"/>
          <w:color w:val="auto"/>
          <w:sz w:val="24"/>
          <w:highlight w:val="none"/>
        </w:rPr>
      </w:pPr>
      <w:r>
        <w:rPr>
          <w:rFonts w:hint="eastAsia" w:ascii="Times New Roman" w:hAnsi="Times New Roman" w:eastAsia="楷体" w:cs="楷体"/>
          <w:color w:val="auto"/>
          <w:sz w:val="24"/>
          <w:highlight w:val="none"/>
        </w:rPr>
        <w:t>第</w:t>
      </w:r>
      <w:r>
        <w:rPr>
          <w:rFonts w:hint="eastAsia" w:ascii="Times New Roman" w:hAnsi="Times New Roman" w:eastAsia="楷体" w:cs="楷体"/>
          <w:color w:val="auto"/>
          <w:sz w:val="24"/>
          <w:highlight w:val="none"/>
          <w:lang w:val="en-US" w:eastAsia="zh-CN"/>
        </w:rPr>
        <w:t>1</w:t>
      </w:r>
      <w:r>
        <w:rPr>
          <w:rFonts w:hint="eastAsia" w:ascii="Times New Roman" w:hAnsi="Times New Roman" w:eastAsia="楷体" w:cs="楷体"/>
          <w:color w:val="auto"/>
          <w:sz w:val="24"/>
          <w:highlight w:val="none"/>
        </w:rPr>
        <w:t>包：</w:t>
      </w:r>
    </w:p>
    <w:p>
      <w:pPr>
        <w:pStyle w:val="3"/>
        <w:numPr>
          <w:ilvl w:val="0"/>
          <w:numId w:val="1"/>
        </w:numPr>
        <w:ind w:left="0" w:firstLine="0"/>
        <w:jc w:val="both"/>
        <w:rPr>
          <w:rFonts w:hint="eastAsia" w:ascii="黑体" w:hAnsi="黑体" w:eastAsia="黑体" w:cs="黑体"/>
          <w:b w:val="0"/>
          <w:bCs/>
          <w:color w:val="auto"/>
          <w:sz w:val="24"/>
          <w:highlight w:val="none"/>
          <w:lang w:val="en-US" w:eastAsia="zh-CN"/>
        </w:rPr>
      </w:pPr>
      <w:r>
        <w:rPr>
          <w:rFonts w:hint="eastAsia" w:ascii="黑体" w:hAnsi="黑体" w:eastAsia="黑体" w:cs="黑体"/>
          <w:b w:val="0"/>
          <w:bCs/>
          <w:color w:val="auto"/>
          <w:sz w:val="24"/>
          <w:highlight w:val="none"/>
        </w:rPr>
        <w:t>采购</w:t>
      </w:r>
      <w:r>
        <w:rPr>
          <w:rFonts w:hint="eastAsia" w:ascii="黑体" w:hAnsi="黑体" w:eastAsia="黑体" w:cs="黑体"/>
          <w:b w:val="0"/>
          <w:bCs/>
          <w:color w:val="auto"/>
          <w:sz w:val="24"/>
          <w:highlight w:val="none"/>
          <w:lang w:val="en-US" w:eastAsia="zh-CN"/>
        </w:rPr>
        <w:t>标的</w:t>
      </w:r>
    </w:p>
    <w:p>
      <w:pPr>
        <w:pStyle w:val="3"/>
        <w:spacing w:before="0" w:after="0" w:line="240" w:lineRule="auto"/>
        <w:jc w:val="both"/>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
        </w:rPr>
        <w:t>1.</w:t>
      </w:r>
      <w:r>
        <w:rPr>
          <w:rFonts w:hint="eastAsia" w:ascii="宋体" w:hAnsi="宋体" w:eastAsia="宋体" w:cs="宋体"/>
          <w:color w:val="auto"/>
          <w:sz w:val="24"/>
          <w:highlight w:val="none"/>
          <w:lang w:val="en-US" w:eastAsia="zh-CN"/>
        </w:rPr>
        <w:t>采购标的</w:t>
      </w:r>
    </w:p>
    <w:tbl>
      <w:tblPr>
        <w:tblStyle w:val="9"/>
        <w:tblpPr w:leftFromText="180" w:rightFromText="180" w:vertAnchor="text" w:horzAnchor="page" w:tblpX="1003" w:tblpY="156"/>
        <w:tblOverlap w:val="never"/>
        <w:tblW w:w="10277" w:type="dxa"/>
        <w:tblInd w:w="0" w:type="dxa"/>
        <w:tblLayout w:type="fixed"/>
        <w:tblCellMar>
          <w:top w:w="0" w:type="dxa"/>
          <w:left w:w="108" w:type="dxa"/>
          <w:bottom w:w="0" w:type="dxa"/>
          <w:right w:w="108" w:type="dxa"/>
        </w:tblCellMar>
      </w:tblPr>
      <w:tblGrid>
        <w:gridCol w:w="1341"/>
        <w:gridCol w:w="1836"/>
        <w:gridCol w:w="3282"/>
        <w:gridCol w:w="1007"/>
        <w:gridCol w:w="997"/>
        <w:gridCol w:w="954"/>
        <w:gridCol w:w="860"/>
      </w:tblGrid>
      <w:tr>
        <w:tblPrEx>
          <w:tblLayout w:type="fixed"/>
          <w:tblCellMar>
            <w:top w:w="0" w:type="dxa"/>
            <w:left w:w="108" w:type="dxa"/>
            <w:bottom w:w="0" w:type="dxa"/>
            <w:right w:w="108" w:type="dxa"/>
          </w:tblCellMar>
        </w:tblPrEx>
        <w:trPr>
          <w:trHeight w:val="780" w:hRule="atLeast"/>
        </w:trPr>
        <w:tc>
          <w:tcPr>
            <w:tcW w:w="1341" w:type="dxa"/>
            <w:tcBorders>
              <w:top w:val="single" w:color="000000" w:sz="4" w:space="0"/>
              <w:left w:val="single" w:color="000000" w:sz="4" w:space="0"/>
              <w:bottom w:val="single" w:color="auto"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服务类别</w:t>
            </w:r>
          </w:p>
        </w:tc>
        <w:tc>
          <w:tcPr>
            <w:tcW w:w="1836" w:type="dxa"/>
            <w:tcBorders>
              <w:top w:val="single" w:color="000000" w:sz="4" w:space="0"/>
              <w:left w:val="single" w:color="000000" w:sz="4" w:space="0"/>
              <w:bottom w:val="single" w:color="auto"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服务子类</w:t>
            </w:r>
          </w:p>
        </w:tc>
        <w:tc>
          <w:tcPr>
            <w:tcW w:w="3282"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服务项</w:t>
            </w:r>
          </w:p>
        </w:tc>
        <w:tc>
          <w:tcPr>
            <w:tcW w:w="1007"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计价单位</w:t>
            </w:r>
          </w:p>
        </w:tc>
        <w:tc>
          <w:tcPr>
            <w:tcW w:w="997"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报价单位</w:t>
            </w:r>
          </w:p>
        </w:tc>
        <w:tc>
          <w:tcPr>
            <w:tcW w:w="954"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数量</w:t>
            </w:r>
          </w:p>
        </w:tc>
        <w:tc>
          <w:tcPr>
            <w:tcW w:w="860"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期限（月）</w:t>
            </w:r>
          </w:p>
        </w:tc>
      </w:tr>
      <w:tr>
        <w:tblPrEx>
          <w:tblLayout w:type="fixed"/>
          <w:tblCellMar>
            <w:top w:w="0" w:type="dxa"/>
            <w:left w:w="108" w:type="dxa"/>
            <w:bottom w:w="0" w:type="dxa"/>
            <w:right w:w="108" w:type="dxa"/>
          </w:tblCellMar>
        </w:tblPrEx>
        <w:trPr>
          <w:trHeight w:val="349" w:hRule="atLeast"/>
        </w:trPr>
        <w:tc>
          <w:tcPr>
            <w:tcW w:w="13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计算服务</w:t>
            </w:r>
          </w:p>
        </w:tc>
        <w:tc>
          <w:tcPr>
            <w:tcW w:w="18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云主机服务</w:t>
            </w: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vCPU（vCPU ARM架构主频不低于2.4GHz，C86和x86主频不低于2.2GHz）</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1CPU</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仿宋_GB2312"/>
                <w:color w:val="auto"/>
                <w:sz w:val="24"/>
                <w:szCs w:val="24"/>
                <w:highlight w:val="none"/>
                <w:lang w:val="en-US" w:eastAsia="zh-CN"/>
              </w:rPr>
            </w:pPr>
            <w:r>
              <w:rPr>
                <w:rFonts w:hint="eastAsia" w:ascii="Times New Roman" w:hAnsi="Times New Roman" w:eastAsia="仿宋_GB2312" w:cs="仿宋_GB2312"/>
                <w:color w:val="auto"/>
                <w:sz w:val="24"/>
                <w:szCs w:val="24"/>
                <w:highlight w:val="none"/>
                <w:lang w:val="en-US" w:eastAsia="zh-CN"/>
              </w:rPr>
              <w:t>44</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12</w:t>
            </w:r>
          </w:p>
        </w:tc>
      </w:tr>
      <w:tr>
        <w:tblPrEx>
          <w:tblLayout w:type="fixed"/>
          <w:tblCellMar>
            <w:top w:w="0" w:type="dxa"/>
            <w:left w:w="108" w:type="dxa"/>
            <w:bottom w:w="0" w:type="dxa"/>
            <w:right w:w="108" w:type="dxa"/>
          </w:tblCellMar>
        </w:tblPrEx>
        <w:trPr>
          <w:trHeight w:val="325" w:hRule="atLeast"/>
        </w:trPr>
        <w:tc>
          <w:tcPr>
            <w:tcW w:w="13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vCPU（vCPU ARM架构主频不低于2.4GHz，C86和x86主频不低于2.2GHz）</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lang w:bidi="ar"/>
              </w:rPr>
              <w:t>1CPU</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仿宋_GB2312"/>
                <w:color w:val="auto"/>
                <w:sz w:val="24"/>
                <w:szCs w:val="24"/>
                <w:highlight w:val="none"/>
                <w:lang w:val="en-US" w:eastAsia="zh-CN"/>
              </w:rPr>
            </w:pPr>
            <w:r>
              <w:rPr>
                <w:rFonts w:hint="eastAsia" w:ascii="Times New Roman" w:hAnsi="Times New Roman" w:eastAsia="仿宋_GB2312" w:cs="仿宋_GB2312"/>
                <w:color w:val="auto"/>
                <w:sz w:val="24"/>
                <w:szCs w:val="24"/>
                <w:highlight w:val="none"/>
                <w:lang w:val="en-US" w:eastAsia="zh-CN"/>
              </w:rPr>
              <w:t>100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6</w:t>
            </w:r>
          </w:p>
        </w:tc>
      </w:tr>
      <w:tr>
        <w:tblPrEx>
          <w:tblLayout w:type="fixed"/>
          <w:tblCellMar>
            <w:top w:w="0" w:type="dxa"/>
            <w:left w:w="108" w:type="dxa"/>
            <w:bottom w:w="0" w:type="dxa"/>
            <w:right w:w="108" w:type="dxa"/>
          </w:tblCellMar>
        </w:tblPrEx>
        <w:trPr>
          <w:trHeight w:val="325" w:hRule="atLeast"/>
        </w:trPr>
        <w:tc>
          <w:tcPr>
            <w:tcW w:w="13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内存</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156</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12</w:t>
            </w:r>
          </w:p>
        </w:tc>
      </w:tr>
      <w:tr>
        <w:tblPrEx>
          <w:tblLayout w:type="fixed"/>
          <w:tblCellMar>
            <w:top w:w="0" w:type="dxa"/>
            <w:left w:w="108" w:type="dxa"/>
            <w:bottom w:w="0" w:type="dxa"/>
            <w:right w:w="108" w:type="dxa"/>
          </w:tblCellMar>
        </w:tblPrEx>
        <w:trPr>
          <w:trHeight w:val="325" w:hRule="atLeast"/>
        </w:trPr>
        <w:tc>
          <w:tcPr>
            <w:tcW w:w="13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内存</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424</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kern w:val="0"/>
                <w:sz w:val="24"/>
                <w:szCs w:val="24"/>
                <w:highlight w:val="none"/>
                <w:lang w:val="en-US" w:eastAsia="zh-CN" w:bidi="ar"/>
              </w:rPr>
              <w:t>6</w:t>
            </w:r>
          </w:p>
        </w:tc>
      </w:tr>
      <w:tr>
        <w:tblPrEx>
          <w:tblLayout w:type="fixed"/>
          <w:tblCellMar>
            <w:top w:w="0" w:type="dxa"/>
            <w:left w:w="108" w:type="dxa"/>
            <w:bottom w:w="0" w:type="dxa"/>
            <w:right w:w="108" w:type="dxa"/>
          </w:tblCellMar>
        </w:tblPrEx>
        <w:trPr>
          <w:trHeight w:val="525" w:hRule="atLeast"/>
        </w:trPr>
        <w:tc>
          <w:tcPr>
            <w:tcW w:w="13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r>
              <w:rPr>
                <w:rFonts w:hint="eastAsia" w:ascii="仿宋_GB2312" w:hAnsi="仿宋_GB2312" w:eastAsia="仿宋_GB2312" w:cs="仿宋_GB2312"/>
                <w:i w:val="0"/>
                <w:iCs w:val="0"/>
                <w:color w:val="000000"/>
                <w:sz w:val="24"/>
                <w:szCs w:val="24"/>
                <w:u w:val="none"/>
                <w:lang w:val="en-US" w:eastAsia="zh-CN"/>
              </w:rPr>
              <w:t>存储服务</w:t>
            </w:r>
          </w:p>
        </w:tc>
        <w:tc>
          <w:tcPr>
            <w:tcW w:w="1836" w:type="dxa"/>
            <w:vMerge w:val="restart"/>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高性能存储</w:t>
            </w: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color w:val="000000"/>
                <w:kern w:val="2"/>
                <w:sz w:val="24"/>
                <w:szCs w:val="24"/>
                <w:u w:val="none"/>
                <w:lang w:val="en-US" w:eastAsia="zh-CN" w:bidi="ar-SA"/>
              </w:rPr>
            </w:pPr>
            <w:r>
              <w:rPr>
                <w:rFonts w:hint="eastAsia" w:ascii="Times New Roman" w:hAnsi="Times New Roman" w:eastAsia="仿宋_GB2312" w:cs="仿宋_GB2312"/>
                <w:color w:val="auto"/>
                <w:kern w:val="0"/>
                <w:sz w:val="24"/>
                <w:szCs w:val="24"/>
                <w:highlight w:val="none"/>
                <w:lang w:val="en-US" w:eastAsia="zh-CN" w:bidi="ar"/>
              </w:rPr>
              <w:t>高性能存储（单盘技术指标:单盘IOPS10000-25000）</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100GB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65</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12</w:t>
            </w:r>
          </w:p>
        </w:tc>
      </w:tr>
      <w:tr>
        <w:tblPrEx>
          <w:tblLayout w:type="fixed"/>
          <w:tblCellMar>
            <w:top w:w="0" w:type="dxa"/>
            <w:left w:w="108" w:type="dxa"/>
            <w:bottom w:w="0" w:type="dxa"/>
            <w:right w:w="108" w:type="dxa"/>
          </w:tblCellMar>
        </w:tblPrEx>
        <w:trPr>
          <w:trHeight w:val="525" w:hRule="atLeast"/>
        </w:trPr>
        <w:tc>
          <w:tcPr>
            <w:tcW w:w="13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p>
        </w:tc>
        <w:tc>
          <w:tcPr>
            <w:tcW w:w="1836"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i w:val="0"/>
                <w:color w:val="000000"/>
                <w:kern w:val="2"/>
                <w:sz w:val="24"/>
                <w:szCs w:val="24"/>
                <w:u w:val="none"/>
                <w:lang w:val="en-US" w:eastAsia="zh-CN" w:bidi="ar-SA"/>
              </w:rPr>
            </w:pPr>
            <w:r>
              <w:rPr>
                <w:rFonts w:hint="eastAsia" w:ascii="Times New Roman" w:hAnsi="Times New Roman" w:eastAsia="仿宋_GB2312" w:cs="仿宋_GB2312"/>
                <w:color w:val="auto"/>
                <w:kern w:val="0"/>
                <w:sz w:val="24"/>
                <w:szCs w:val="24"/>
                <w:highlight w:val="none"/>
                <w:lang w:val="en-US" w:eastAsia="zh-CN" w:bidi="ar"/>
              </w:rPr>
              <w:t>高性能存储（单盘技术指标:单盘IOPS10000-25000）</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100GB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52</w:t>
            </w:r>
            <w:r>
              <w:rPr>
                <w:rFonts w:hint="eastAsia" w:ascii="Times New Roman" w:hAnsi="Times New Roman" w:eastAsia="宋体"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1</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6</w:t>
            </w:r>
          </w:p>
        </w:tc>
      </w:tr>
      <w:tr>
        <w:tblPrEx>
          <w:tblLayout w:type="fixed"/>
          <w:tblCellMar>
            <w:top w:w="0" w:type="dxa"/>
            <w:left w:w="108" w:type="dxa"/>
            <w:bottom w:w="0" w:type="dxa"/>
            <w:right w:w="108" w:type="dxa"/>
          </w:tblCellMar>
        </w:tblPrEx>
        <w:trPr>
          <w:trHeight w:val="568" w:hRule="atLeast"/>
        </w:trPr>
        <w:tc>
          <w:tcPr>
            <w:tcW w:w="1341"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网络服务</w:t>
            </w:r>
          </w:p>
        </w:tc>
        <w:tc>
          <w:tcPr>
            <w:tcW w:w="1836"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互联网链路服务</w:t>
            </w: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互联网链路带宽</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1Mb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300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12</w:t>
            </w:r>
          </w:p>
        </w:tc>
      </w:tr>
      <w:tr>
        <w:tblPrEx>
          <w:tblLayout w:type="fixed"/>
          <w:tblCellMar>
            <w:top w:w="0" w:type="dxa"/>
            <w:left w:w="108" w:type="dxa"/>
            <w:bottom w:w="0" w:type="dxa"/>
            <w:right w:w="108" w:type="dxa"/>
          </w:tblCellMar>
        </w:tblPrEx>
        <w:trPr>
          <w:trHeight w:val="600" w:hRule="atLeast"/>
        </w:trPr>
        <w:tc>
          <w:tcPr>
            <w:tcW w:w="1341"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1836"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互联网IP地址租用服务、并提供备案服务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1IP</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kern w:val="0"/>
                <w:sz w:val="24"/>
                <w:szCs w:val="24"/>
                <w:u w:val="none"/>
                <w:lang w:val="en-US" w:eastAsia="zh-CN" w:bidi="ar"/>
              </w:rPr>
              <w:t>5</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12</w:t>
            </w:r>
          </w:p>
        </w:tc>
      </w:tr>
      <w:tr>
        <w:tblPrEx>
          <w:tblLayout w:type="fixed"/>
          <w:tblCellMar>
            <w:top w:w="0" w:type="dxa"/>
            <w:left w:w="108" w:type="dxa"/>
            <w:bottom w:w="0" w:type="dxa"/>
            <w:right w:w="108" w:type="dxa"/>
          </w:tblCellMar>
        </w:tblPrEx>
        <w:trPr>
          <w:trHeight w:val="640" w:hRule="atLeast"/>
        </w:trPr>
        <w:tc>
          <w:tcPr>
            <w:tcW w:w="1341"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sz w:val="24"/>
                <w:szCs w:val="24"/>
                <w:highlight w:val="none"/>
                <w:lang w:bidi="ar"/>
              </w:rPr>
              <w:t>主机负载均衡服务</w:t>
            </w: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sz w:val="24"/>
                <w:szCs w:val="24"/>
                <w:highlight w:val="none"/>
                <w:lang w:bidi="ar"/>
              </w:rPr>
              <w:t>主机负载均衡服务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1IP</w:t>
            </w:r>
            <w:r>
              <w:rPr>
                <w:rFonts w:hint="eastAsia" w:ascii="Times New Roman" w:hAnsi="Times New Roman" w:eastAsia="仿宋_GB2312" w:cs="仿宋_GB2312"/>
                <w:color w:val="auto"/>
                <w:sz w:val="24"/>
                <w:szCs w:val="24"/>
                <w:highlight w:val="none"/>
                <w:lang w:bidi="ar"/>
              </w:rPr>
              <w:t>（内网）</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5</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12</w:t>
            </w:r>
          </w:p>
        </w:tc>
      </w:tr>
      <w:tr>
        <w:tblPrEx>
          <w:tblLayout w:type="fixed"/>
          <w:tblCellMar>
            <w:top w:w="0" w:type="dxa"/>
            <w:left w:w="108" w:type="dxa"/>
            <w:bottom w:w="0" w:type="dxa"/>
            <w:right w:w="108" w:type="dxa"/>
          </w:tblCellMar>
        </w:tblPrEx>
        <w:trPr>
          <w:trHeight w:val="640" w:hRule="atLeast"/>
        </w:trPr>
        <w:tc>
          <w:tcPr>
            <w:tcW w:w="1341"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远程接入服务</w:t>
            </w: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远程接入服务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1账号</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sz w:val="24"/>
                <w:szCs w:val="24"/>
                <w:highlight w:val="none"/>
                <w:lang w:val="en-US" w:eastAsia="zh-CN"/>
              </w:rPr>
            </w:pPr>
            <w:r>
              <w:rPr>
                <w:rFonts w:hint="eastAsia" w:ascii="Times New Roman" w:hAnsi="Times New Roman" w:eastAsia="仿宋_GB2312" w:cs="仿宋_GB2312"/>
                <w:color w:val="auto"/>
                <w:sz w:val="24"/>
                <w:szCs w:val="24"/>
                <w:highlight w:val="none"/>
                <w:lang w:val="en-US" w:eastAsia="zh-CN"/>
              </w:rPr>
              <w:t>5</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12</w:t>
            </w:r>
          </w:p>
        </w:tc>
      </w:tr>
      <w:tr>
        <w:tblPrEx>
          <w:tblLayout w:type="fixed"/>
          <w:tblCellMar>
            <w:top w:w="0" w:type="dxa"/>
            <w:left w:w="108" w:type="dxa"/>
            <w:bottom w:w="0" w:type="dxa"/>
            <w:right w:w="108" w:type="dxa"/>
          </w:tblCellMar>
        </w:tblPrEx>
        <w:trPr>
          <w:trHeight w:val="640" w:hRule="atLeast"/>
        </w:trPr>
        <w:tc>
          <w:tcPr>
            <w:tcW w:w="1341"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sz w:val="24"/>
                <w:szCs w:val="24"/>
                <w:highlight w:val="none"/>
                <w:lang w:bidi="ar"/>
              </w:rPr>
              <w:t>VPN服务</w:t>
            </w: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sz w:val="24"/>
                <w:szCs w:val="24"/>
                <w:highlight w:val="none"/>
                <w:lang w:bidi="ar"/>
              </w:rPr>
              <w:t>SSL VPN接入</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1套</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sz w:val="24"/>
                <w:szCs w:val="24"/>
                <w:highlight w:val="none"/>
                <w:lang w:val="en-US" w:eastAsia="zh-CN"/>
              </w:rPr>
              <w:t>5</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12</w:t>
            </w:r>
          </w:p>
        </w:tc>
      </w:tr>
      <w:tr>
        <w:tblPrEx>
          <w:tblLayout w:type="fixed"/>
          <w:tblCellMar>
            <w:top w:w="0" w:type="dxa"/>
            <w:left w:w="108" w:type="dxa"/>
            <w:bottom w:w="0" w:type="dxa"/>
            <w:right w:w="108" w:type="dxa"/>
          </w:tblCellMar>
        </w:tblPrEx>
        <w:trPr>
          <w:trHeight w:val="640" w:hRule="atLeast"/>
        </w:trPr>
        <w:tc>
          <w:tcPr>
            <w:tcW w:w="1341"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ascii="Times New Roman" w:hAnsi="Times New Roman" w:eastAsia="仿宋_GB2312" w:cs="仿宋_GB2312"/>
                <w:color w:val="auto"/>
                <w:sz w:val="24"/>
                <w:szCs w:val="24"/>
                <w:highlight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Web 应用防火墙（WAF）</w:t>
            </w: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针对网站及 Web应用系统提供应用层安全防护，支持各类 SQL注入、XSS 攻击、网页木马、WEBSHELL 等 Web威胁防护 （200Mbps）</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1套</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lang w:val="en-US" w:eastAsia="zh-CN"/>
              </w:rPr>
              <w:t>5</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12</w:t>
            </w:r>
          </w:p>
        </w:tc>
      </w:tr>
    </w:tbl>
    <w:p>
      <w:pPr>
        <w:pStyle w:val="3"/>
        <w:spacing w:before="0" w:after="0" w:line="240" w:lineRule="auto"/>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项目背景或概况</w:t>
      </w:r>
    </w:p>
    <w:p>
      <w:pPr>
        <w:snapToGrid w:val="0"/>
        <w:spacing w:line="240" w:lineRule="auto"/>
        <w:ind w:firstLine="480" w:firstLineChars="200"/>
        <w:rPr>
          <w:rFonts w:ascii="宋体" w:hAnsi="宋体" w:cs="宋体"/>
          <w:color w:val="auto"/>
          <w:sz w:val="24"/>
          <w:highlight w:val="none"/>
        </w:rPr>
      </w:pPr>
      <w:r>
        <w:rPr>
          <w:rFonts w:hint="eastAsia" w:ascii="Times New Roman" w:hAnsi="Times New Roman" w:eastAsia="宋体" w:cs="宋体"/>
          <w:bCs/>
          <w:color w:val="auto"/>
          <w:sz w:val="24"/>
          <w:highlight w:val="none"/>
        </w:rPr>
        <w:t>为贯彻落实北京市经济和信息化局关于印发《北京市市级政务云管理办法的通知》（京经信委函（2019）150号）文件的要求，北京市人大常委会机关互联网系统自2018年起迁入市政务云。本项目通过租用政务云平台基础服务，对系统运行环境进行持续优化，提供可靠、稳定、安全的政务云基础服务。</w:t>
      </w:r>
    </w:p>
    <w:p>
      <w:pPr>
        <w:pStyle w:val="3"/>
        <w:spacing w:before="0" w:after="0" w:line="240" w:lineRule="auto"/>
        <w:jc w:val="left"/>
        <w:rPr>
          <w:rFonts w:ascii="黑体" w:hAnsi="黑体" w:eastAsia="黑体" w:cs="黑体"/>
          <w:color w:val="auto"/>
          <w:sz w:val="24"/>
          <w:highlight w:val="none"/>
        </w:rPr>
      </w:pPr>
      <w:r>
        <w:rPr>
          <w:rFonts w:hint="eastAsia" w:ascii="黑体" w:hAnsi="黑体" w:eastAsia="黑体" w:cs="黑体"/>
          <w:color w:val="auto"/>
          <w:sz w:val="24"/>
          <w:highlight w:val="none"/>
          <w:lang w:eastAsia="zh-CN"/>
        </w:rPr>
        <w:t>二</w:t>
      </w:r>
      <w:r>
        <w:rPr>
          <w:rFonts w:hint="eastAsia" w:ascii="黑体" w:hAnsi="黑体" w:eastAsia="黑体" w:cs="黑体"/>
          <w:color w:val="auto"/>
          <w:sz w:val="24"/>
          <w:highlight w:val="none"/>
        </w:rPr>
        <w:t>、商务要求</w:t>
      </w:r>
    </w:p>
    <w:p>
      <w:pPr>
        <w:pStyle w:val="2"/>
        <w:spacing w:before="0" w:line="240" w:lineRule="auto"/>
        <w:jc w:val="both"/>
        <w:rPr>
          <w:rFonts w:ascii="楷体" w:hAnsi="楷体" w:eastAsia="楷体" w:cs="楷体"/>
          <w:color w:val="auto"/>
          <w:sz w:val="24"/>
          <w:highlight w:val="none"/>
        </w:rPr>
      </w:pPr>
      <w:r>
        <w:rPr>
          <w:rFonts w:hint="eastAsia" w:ascii="楷体" w:hAnsi="楷体" w:eastAsia="楷体" w:cs="楷体"/>
          <w:color w:val="auto"/>
          <w:sz w:val="24"/>
          <w:highlight w:val="none"/>
        </w:rPr>
        <w:t>（一）服务地点</w:t>
      </w:r>
    </w:p>
    <w:p>
      <w:pPr>
        <w:pStyle w:val="6"/>
        <w:adjustRightInd w:val="0"/>
        <w:snapToGrid w:val="0"/>
        <w:spacing w:before="0" w:line="240" w:lineRule="auto"/>
        <w:ind w:firstLine="480" w:firstLineChars="200"/>
        <w:textAlignment w:val="baseline"/>
        <w:rPr>
          <w:rFonts w:cs="宋体"/>
          <w:color w:val="auto"/>
          <w:highlight w:val="none"/>
        </w:rPr>
      </w:pPr>
      <w:r>
        <w:rPr>
          <w:rFonts w:hint="eastAsia" w:cs="宋体"/>
          <w:color w:val="auto"/>
          <w:highlight w:val="none"/>
        </w:rPr>
        <w:t>北京市政务云机房</w:t>
      </w:r>
    </w:p>
    <w:p>
      <w:pPr>
        <w:pStyle w:val="2"/>
        <w:spacing w:before="0" w:line="240" w:lineRule="auto"/>
        <w:jc w:val="both"/>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rPr>
        <w:t>（二）服务期限</w:t>
      </w:r>
    </w:p>
    <w:p>
      <w:pPr>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自合同签订之日起</w:t>
      </w:r>
      <w:r>
        <w:rPr>
          <w:rFonts w:hint="eastAsia" w:ascii="宋体" w:hAnsi="宋体" w:cs="宋体"/>
          <w:color w:val="auto"/>
          <w:sz w:val="24"/>
          <w:highlight w:val="none"/>
        </w:rPr>
        <w:t>12个月</w:t>
      </w:r>
    </w:p>
    <w:p>
      <w:pPr>
        <w:pStyle w:val="2"/>
        <w:spacing w:before="0" w:line="240" w:lineRule="auto"/>
        <w:jc w:val="left"/>
        <w:rPr>
          <w:rFonts w:ascii="楷体" w:hAnsi="楷体" w:eastAsia="楷体" w:cs="楷体"/>
          <w:color w:val="auto"/>
          <w:sz w:val="24"/>
          <w:highlight w:val="none"/>
        </w:rPr>
      </w:pPr>
      <w:r>
        <w:rPr>
          <w:rFonts w:hint="eastAsia" w:ascii="楷体" w:hAnsi="楷体" w:eastAsia="楷体" w:cs="楷体"/>
          <w:color w:val="auto"/>
          <w:sz w:val="24"/>
          <w:highlight w:val="none"/>
        </w:rPr>
        <w:t>（三）支付方式</w:t>
      </w:r>
    </w:p>
    <w:p>
      <w:pPr>
        <w:snapToGrid w:val="0"/>
        <w:spacing w:line="240" w:lineRule="auto"/>
        <w:ind w:firstLine="480" w:firstLineChars="200"/>
        <w:rPr>
          <w:rFonts w:hint="eastAsia" w:ascii="Times New Roman" w:hAnsi="Times New Roman" w:eastAsia="宋体" w:cs="宋体"/>
          <w:bCs/>
          <w:color w:val="auto"/>
          <w:sz w:val="24"/>
          <w:highlight w:val="none"/>
        </w:rPr>
      </w:pPr>
      <w:r>
        <w:rPr>
          <w:rFonts w:hint="eastAsia" w:ascii="Times New Roman" w:hAnsi="Times New Roman" w:eastAsia="宋体" w:cs="宋体"/>
          <w:bCs/>
          <w:color w:val="auto"/>
          <w:sz w:val="24"/>
          <w:highlight w:val="none"/>
        </w:rPr>
        <w:t>服务费用分</w:t>
      </w:r>
      <w:r>
        <w:rPr>
          <w:rFonts w:hint="eastAsia" w:ascii="Times New Roman" w:hAnsi="Times New Roman" w:eastAsia="宋体" w:cs="宋体"/>
          <w:bCs/>
          <w:color w:val="auto"/>
          <w:sz w:val="24"/>
          <w:highlight w:val="none"/>
          <w:lang w:eastAsia="zh-CN"/>
        </w:rPr>
        <w:t>两</w:t>
      </w:r>
      <w:r>
        <w:rPr>
          <w:rFonts w:hint="eastAsia" w:ascii="Times New Roman" w:hAnsi="Times New Roman" w:eastAsia="宋体" w:cs="宋体"/>
          <w:bCs/>
          <w:color w:val="auto"/>
          <w:sz w:val="24"/>
          <w:highlight w:val="none"/>
        </w:rPr>
        <w:t>笔支付：</w:t>
      </w:r>
    </w:p>
    <w:p>
      <w:pPr>
        <w:snapToGrid w:val="0"/>
        <w:spacing w:line="240" w:lineRule="auto"/>
        <w:ind w:firstLine="480" w:firstLineChars="200"/>
        <w:rPr>
          <w:rFonts w:hint="eastAsia" w:ascii="Times New Roman" w:hAnsi="Times New Roman" w:eastAsia="宋体" w:cs="宋体"/>
          <w:bCs/>
          <w:color w:val="auto"/>
          <w:sz w:val="24"/>
          <w:highlight w:val="none"/>
        </w:rPr>
      </w:pPr>
      <w:r>
        <w:rPr>
          <w:rFonts w:hint="eastAsia" w:ascii="Times New Roman" w:hAnsi="Times New Roman" w:eastAsia="宋体" w:cs="宋体"/>
          <w:bCs/>
          <w:color w:val="auto"/>
          <w:sz w:val="24"/>
          <w:highlight w:val="none"/>
        </w:rPr>
        <w:t>第一笔：双方签订合同且财政资金下达（具体时间以采购人确认的情况为准）后30个工作日内，支付合同总额的</w:t>
      </w:r>
      <w:r>
        <w:rPr>
          <w:rFonts w:hint="eastAsia" w:ascii="Times New Roman" w:hAnsi="Times New Roman" w:eastAsia="宋体" w:cs="宋体"/>
          <w:bCs/>
          <w:color w:val="auto"/>
          <w:sz w:val="24"/>
          <w:highlight w:val="none"/>
          <w:lang w:val="en-US" w:eastAsia="zh-CN"/>
        </w:rPr>
        <w:t>50</w:t>
      </w:r>
      <w:r>
        <w:rPr>
          <w:rFonts w:hint="eastAsia" w:ascii="Times New Roman" w:hAnsi="Times New Roman" w:eastAsia="宋体" w:cs="宋体"/>
          <w:bCs/>
          <w:color w:val="auto"/>
          <w:sz w:val="24"/>
          <w:highlight w:val="none"/>
        </w:rPr>
        <w:t>%；</w:t>
      </w:r>
    </w:p>
    <w:p>
      <w:pPr>
        <w:snapToGrid w:val="0"/>
        <w:spacing w:line="240" w:lineRule="auto"/>
        <w:ind w:firstLine="480" w:firstLineChars="200"/>
        <w:rPr>
          <w:rFonts w:hint="eastAsia" w:ascii="Times New Roman" w:hAnsi="Times New Roman" w:eastAsia="宋体" w:cs="宋体"/>
          <w:bCs/>
          <w:color w:val="auto"/>
          <w:sz w:val="24"/>
          <w:highlight w:val="none"/>
        </w:rPr>
      </w:pPr>
      <w:r>
        <w:rPr>
          <w:rFonts w:hint="eastAsia" w:ascii="Times New Roman" w:hAnsi="Times New Roman" w:eastAsia="宋体" w:cs="宋体"/>
          <w:bCs/>
          <w:color w:val="auto"/>
          <w:sz w:val="24"/>
          <w:highlight w:val="none"/>
        </w:rPr>
        <w:t>第二笔：服务期满，采购人对项目进行竣工验收，验收通过后支付合同总额的</w:t>
      </w:r>
      <w:r>
        <w:rPr>
          <w:rFonts w:hint="eastAsia" w:ascii="Times New Roman" w:hAnsi="Times New Roman" w:eastAsia="宋体" w:cs="宋体"/>
          <w:bCs/>
          <w:color w:val="auto"/>
          <w:sz w:val="24"/>
          <w:highlight w:val="none"/>
          <w:lang w:val="en-US" w:eastAsia="zh-CN"/>
        </w:rPr>
        <w:t>5</w:t>
      </w:r>
      <w:r>
        <w:rPr>
          <w:rFonts w:hint="eastAsia" w:ascii="Times New Roman" w:hAnsi="Times New Roman" w:eastAsia="宋体" w:cs="宋体"/>
          <w:bCs/>
          <w:color w:val="auto"/>
          <w:sz w:val="24"/>
          <w:highlight w:val="none"/>
        </w:rPr>
        <w:t>0%。</w:t>
      </w:r>
    </w:p>
    <w:p>
      <w:pPr>
        <w:pStyle w:val="3"/>
        <w:spacing w:before="0" w:after="0" w:line="240" w:lineRule="auto"/>
        <w:jc w:val="left"/>
        <w:rPr>
          <w:rFonts w:hint="eastAsia" w:ascii="黑体" w:hAnsi="黑体" w:eastAsia="黑体" w:cs="黑体"/>
          <w:color w:val="auto"/>
          <w:sz w:val="24"/>
          <w:highlight w:val="none"/>
          <w:lang w:eastAsia="zh-CN"/>
        </w:rPr>
      </w:pPr>
      <w:r>
        <w:rPr>
          <w:rFonts w:hint="eastAsia" w:ascii="黑体" w:hAnsi="黑体" w:eastAsia="黑体" w:cs="黑体"/>
          <w:color w:val="auto"/>
          <w:sz w:val="24"/>
          <w:highlight w:val="none"/>
          <w:lang w:eastAsia="zh-CN"/>
        </w:rPr>
        <w:t>三</w:t>
      </w:r>
      <w:r>
        <w:rPr>
          <w:rFonts w:hint="eastAsia" w:ascii="黑体" w:hAnsi="黑体" w:eastAsia="黑体" w:cs="黑体"/>
          <w:color w:val="auto"/>
          <w:sz w:val="24"/>
          <w:highlight w:val="none"/>
        </w:rPr>
        <w:t>、</w:t>
      </w:r>
      <w:r>
        <w:rPr>
          <w:rFonts w:hint="eastAsia" w:ascii="黑体" w:hAnsi="黑体" w:eastAsia="黑体" w:cs="黑体"/>
          <w:color w:val="auto"/>
          <w:sz w:val="24"/>
          <w:highlight w:val="none"/>
          <w:lang w:eastAsia="zh-CN"/>
        </w:rPr>
        <w:t>技术要求</w:t>
      </w:r>
    </w:p>
    <w:p>
      <w:pPr>
        <w:pStyle w:val="2"/>
        <w:spacing w:before="0" w:line="240" w:lineRule="auto"/>
        <w:jc w:val="both"/>
        <w:rPr>
          <w:rFonts w:ascii="楷体" w:hAnsi="楷体" w:eastAsia="楷体" w:cs="楷体"/>
          <w:color w:val="auto"/>
          <w:sz w:val="24"/>
          <w:highlight w:val="none"/>
        </w:rPr>
      </w:pPr>
      <w:r>
        <w:rPr>
          <w:rFonts w:hint="eastAsia" w:ascii="楷体" w:hAnsi="楷体" w:eastAsia="楷体" w:cs="楷体"/>
          <w:color w:val="auto"/>
          <w:sz w:val="24"/>
          <w:highlight w:val="none"/>
        </w:rPr>
        <w:t>（一）云主机服务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1.1服务内容</w:t>
      </w:r>
    </w:p>
    <w:p>
      <w:pPr>
        <w:snapToGrid w:val="0"/>
        <w:spacing w:line="240" w:lineRule="auto"/>
        <w:ind w:firstLine="480" w:firstLineChars="200"/>
        <w:rPr>
          <w:rFonts w:hint="eastAsia" w:ascii="Times New Roman" w:hAnsi="Times New Roman" w:eastAsia="宋体" w:cs="宋体"/>
          <w:bCs/>
          <w:color w:val="auto"/>
          <w:sz w:val="24"/>
          <w:highlight w:val="none"/>
        </w:rPr>
      </w:pPr>
      <w:r>
        <w:rPr>
          <w:rFonts w:hint="eastAsia" w:ascii="Times New Roman" w:hAnsi="Times New Roman" w:eastAsia="宋体" w:cs="宋体"/>
          <w:bCs/>
          <w:color w:val="auto"/>
          <w:sz w:val="24"/>
          <w:highlight w:val="none"/>
        </w:rPr>
        <w:t>按照采购人的具体需求，提供云主机服务，须按照“一云多芯”模式建设，按需提供鲲鹏、飞腾、海光等各技术路线的计算资源，按需求对CPU及内存进行动态调整，实现合理的计算资源配置。在提供政务云主机的服务过程中做好与采购人和对应项目应用开发厂商的协调沟通工作。</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1.2服务标准</w:t>
      </w:r>
    </w:p>
    <w:tbl>
      <w:tblPr>
        <w:tblStyle w:val="9"/>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21"/>
        <w:gridCol w:w="6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指标项</w:t>
            </w:r>
          </w:p>
        </w:tc>
        <w:tc>
          <w:tcPr>
            <w:tcW w:w="66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性能限制</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按内存不复用方式分配资源，要求ARM架构CPU主频≥2.4GHz，C86和x86架构CPU主频≥2.2GHz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性能范围</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CPU核数可选范围1-16核，内存可选范围1-64G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操作系统兼容性</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支持主流操作系统，如windows server系列、Linux发行版、国产Linux等，需正版授权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top w:val="single" w:color="000000" w:sz="4" w:space="0"/>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扩展性</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用户可以灵活调整云主机CPU、内存、硬盘规格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云主机隔离</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对不同用户的虚拟主机提供安全组和VLAN级别的隔离，确保不同用户之间数据互不可见；云主机之间可以做到隔离保护，其中每一个云主机发生故障都不会影响同一个物理机上的其它云主机运行，每个云主机上的用户权限只限于本云主机之内，以保障系统平台的安全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管理权限</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用户对云主机有完全的控制权，具有管理员权限，使用方式与传统物理主机完全一致。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vMerge w:val="restart"/>
            <w:tcBorders>
              <w:top w:val="single" w:color="000000" w:sz="4" w:space="0"/>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HA功能</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虚拟化管理节点须支持双机热备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vMerge w:val="continue"/>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虚拟化管理系统支持虚拟机的HA功能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vMerge w:val="continue"/>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硬件设备出现故障时，云主机会自动进行HA切换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备份功能</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支持云主机备份功能，可以实现云主机的全量备份、增量备份，支持备份周期、备份策略的设定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可操作性</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支持通过云管理平台，实现申请部署与使用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安全防护</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提供防ARP欺骗、自定义防火墙功能，支持防DDos攻击；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弹性网络</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支持虚拟路由、虚拟交换机和弹性IP，用户可自定义虚拟主机的网络拓扑和IP地址；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镜像快照</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创建虚拟主机时，可指定用户预先配置好的镜像文件作为模板。虚拟主机支持增量快照备份功能，提高备份效率，减小备份占用空间，并支持公共镜像、私有镜像以及共享镜像等多种方式。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数据存储</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虚拟主机底层采用分布式块存储，每个虚拟主机的镜像存储达到多副本可靠性，数据可靠性不低于99.9999%；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高可用性</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虚拟主机服务采用全冗余架构，无单点故障，平均可用性不低于99.99%；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921" w:type="dxa"/>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扩展性</w:t>
            </w:r>
          </w:p>
        </w:tc>
        <w:tc>
          <w:tcPr>
            <w:tcW w:w="66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支持计算能力的垂直伸缩，支持对CPU和内存的升级与降级操作，支持增加、减少磁盘和带宽；</w:t>
            </w:r>
          </w:p>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支持计算能力的水平伸缩，通过与负载均衡配合实现水平伸缩；</w:t>
            </w:r>
          </w:p>
        </w:tc>
      </w:tr>
    </w:tbl>
    <w:p>
      <w:pPr>
        <w:pStyle w:val="2"/>
        <w:spacing w:before="0" w:line="240" w:lineRule="auto"/>
        <w:jc w:val="left"/>
        <w:rPr>
          <w:rFonts w:ascii="楷体" w:hAnsi="楷体" w:eastAsia="楷体" w:cs="楷体"/>
          <w:color w:val="auto"/>
          <w:sz w:val="24"/>
          <w:highlight w:val="none"/>
        </w:rPr>
      </w:pPr>
      <w:r>
        <w:rPr>
          <w:rFonts w:hint="eastAsia" w:ascii="楷体" w:hAnsi="楷体" w:eastAsia="楷体" w:cs="楷体"/>
          <w:color w:val="auto"/>
          <w:sz w:val="24"/>
          <w:highlight w:val="none"/>
        </w:rPr>
        <w:t>（二）存储服务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2.1服务内容</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按照采购人的具体需求，提供存储服务，包括：高性能存储</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实现合理的存储资源配置。在提供政务云存储的服务过程中需做好采购人和对应项目应用开发厂商的协调沟通工作。</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2.2服务标准</w:t>
      </w: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15"/>
        <w:gridCol w:w="6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指标项</w:t>
            </w:r>
          </w:p>
        </w:tc>
        <w:tc>
          <w:tcPr>
            <w:tcW w:w="6507" w:type="dxa"/>
            <w:tcMar>
              <w:top w:w="0" w:type="dxa"/>
              <w:left w:w="108" w:type="dxa"/>
              <w:bottom w:w="0" w:type="dxa"/>
              <w:right w:w="108" w:type="dxa"/>
            </w:tcMar>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可靠性要求</w:t>
            </w:r>
          </w:p>
        </w:tc>
        <w:tc>
          <w:tcPr>
            <w:tcW w:w="6507" w:type="dxa"/>
            <w:tcMar>
              <w:top w:w="0" w:type="dxa"/>
              <w:left w:w="108" w:type="dxa"/>
              <w:bottom w:w="0" w:type="dxa"/>
              <w:right w:w="108" w:type="dxa"/>
            </w:tcMa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要求稳定可靠，不会因单一部件故障、单一路径故障等原因导致业务停用、数据丢失，系统可靠性99.9999%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性能要求</w:t>
            </w:r>
          </w:p>
        </w:tc>
        <w:tc>
          <w:tcPr>
            <w:tcW w:w="6507" w:type="dxa"/>
            <w:tcMar>
              <w:top w:w="0" w:type="dxa"/>
              <w:left w:w="108" w:type="dxa"/>
              <w:bottom w:w="0" w:type="dxa"/>
              <w:right w:w="108" w:type="dxa"/>
            </w:tcMa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单盘技术指标满足IOPS 10000-25000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使用要求</w:t>
            </w:r>
          </w:p>
        </w:tc>
        <w:tc>
          <w:tcPr>
            <w:tcW w:w="6507" w:type="dxa"/>
            <w:tcMar>
              <w:top w:w="0" w:type="dxa"/>
              <w:left w:w="108" w:type="dxa"/>
              <w:bottom w:w="0" w:type="dxa"/>
              <w:right w:w="108" w:type="dxa"/>
            </w:tcMa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用户可以以1G为最小单位进行容量申请，并可以申请直接挂载给云主机使用，同时用户可以将申请到的磁盘空间分配给一台或者多台虚拟机/物理机使用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架构要求</w:t>
            </w:r>
          </w:p>
        </w:tc>
        <w:tc>
          <w:tcPr>
            <w:tcW w:w="6507" w:type="dxa"/>
            <w:tcMar>
              <w:top w:w="0" w:type="dxa"/>
              <w:left w:w="108" w:type="dxa"/>
              <w:bottom w:w="0" w:type="dxa"/>
              <w:right w:w="108" w:type="dxa"/>
            </w:tcMa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系统整体架构无单点故障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015" w:type="dxa"/>
            <w:tcMar>
              <w:top w:w="0" w:type="dxa"/>
              <w:left w:w="108" w:type="dxa"/>
              <w:bottom w:w="0" w:type="dxa"/>
              <w:right w:w="108" w:type="dxa"/>
            </w:tcMar>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可操作性</w:t>
            </w:r>
          </w:p>
        </w:tc>
        <w:tc>
          <w:tcPr>
            <w:tcW w:w="6507" w:type="dxa"/>
            <w:tcMar>
              <w:top w:w="0" w:type="dxa"/>
              <w:left w:w="108" w:type="dxa"/>
              <w:bottom w:w="0" w:type="dxa"/>
              <w:right w:w="108" w:type="dxa"/>
            </w:tcMa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支持通过云管理平台，实现申请部署与使用</w:t>
            </w:r>
          </w:p>
        </w:tc>
      </w:tr>
    </w:tbl>
    <w:p>
      <w:pPr>
        <w:pStyle w:val="2"/>
        <w:spacing w:before="0" w:line="240" w:lineRule="auto"/>
        <w:jc w:val="left"/>
        <w:rPr>
          <w:rFonts w:ascii="楷体" w:hAnsi="楷体" w:eastAsia="楷体" w:cs="楷体"/>
          <w:color w:val="auto"/>
          <w:sz w:val="24"/>
          <w:highlight w:val="none"/>
        </w:rPr>
      </w:pPr>
      <w:r>
        <w:rPr>
          <w:rFonts w:hint="eastAsia" w:ascii="楷体" w:hAnsi="楷体" w:eastAsia="楷体" w:cs="楷体"/>
          <w:color w:val="auto"/>
          <w:sz w:val="24"/>
          <w:highlight w:val="none"/>
        </w:rPr>
        <w:t>（三）网络服务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3.1服务内容</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3.1.1 提供互联网链路带宽服务、互联网IP地址租用服务，并提供相应的网络域名备案服务，配合应用开发厂商提供网络策略配置服务。</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3.1.2 主机负载均衡服务，通过云管理平台实现针每租户按需自动分配负载均衡服务的能力。</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3.1.3 远程接入服务，提供互联网远程接入服务，每个账号结合身份验证接入堡垒机维护应用系统。</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3.1.4 VPN服务，含SSL VPN接入服务。</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3.1.5 Web 应用防火墙（WAF），针对网站及 Web应用系统提供应用层安全防护，支持各类 SQL注入、XSS 攻击、网页木马、WEBSHELL 等 Web威胁防护 （200Mbps）</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3.2服务标准</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网络系统提供稳定的数据传输能力，一般要求如下：</w:t>
      </w:r>
    </w:p>
    <w:p>
      <w:pPr>
        <w:pStyle w:val="4"/>
        <w:snapToGrid w:val="0"/>
        <w:ind w:firstLine="480"/>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3.2.1互联网链路服务</w:t>
      </w: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6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105" w:type="dxa"/>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指标项</w:t>
            </w:r>
          </w:p>
        </w:tc>
        <w:tc>
          <w:tcPr>
            <w:tcW w:w="6417" w:type="dxa"/>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5"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带宽租用服务</w:t>
            </w:r>
          </w:p>
        </w:tc>
        <w:tc>
          <w:tcPr>
            <w:tcW w:w="6417"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提供互联网带宽租用服务，带宽提供方应为一级运营商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5"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可靠性要求</w:t>
            </w:r>
          </w:p>
        </w:tc>
        <w:tc>
          <w:tcPr>
            <w:tcW w:w="6417"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须提供多线运营商接入服务，保证服务稳定可靠。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5" w:type="dxa"/>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可操作性</w:t>
            </w:r>
          </w:p>
        </w:tc>
        <w:tc>
          <w:tcPr>
            <w:tcW w:w="6417"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支持通过云管理平台，实现申请部署与使用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5"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互联网IP地址租用服务</w:t>
            </w:r>
          </w:p>
        </w:tc>
        <w:tc>
          <w:tcPr>
            <w:tcW w:w="6417"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可提供IPV4/IPV6互联网IP 地址租用服务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5"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网站域名备案服务</w:t>
            </w:r>
          </w:p>
        </w:tc>
        <w:tc>
          <w:tcPr>
            <w:tcW w:w="6417"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配合使用单位完成网站域名备案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5" w:type="dxa"/>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可操作性</w:t>
            </w:r>
          </w:p>
        </w:tc>
        <w:tc>
          <w:tcPr>
            <w:tcW w:w="6417" w:type="dxa"/>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支持通过云管理平台，实现申请部署与使用</w:t>
            </w:r>
          </w:p>
        </w:tc>
      </w:tr>
    </w:tbl>
    <w:p>
      <w:pPr>
        <w:pStyle w:val="4"/>
        <w:snapToGrid w:val="0"/>
        <w:ind w:firstLine="480"/>
        <w:rPr>
          <w:rFonts w:hint="eastAsia" w:ascii="Times New Roman" w:hAnsi="Times New Roman" w:eastAsia="宋体" w:cs="宋体"/>
          <w:color w:val="auto"/>
          <w:sz w:val="24"/>
          <w:highlight w:val="none"/>
          <w:lang w:val="en-US" w:eastAsia="zh-CN"/>
        </w:rPr>
      </w:pPr>
    </w:p>
    <w:p>
      <w:pPr>
        <w:pStyle w:val="4"/>
        <w:snapToGrid w:val="0"/>
        <w:ind w:firstLine="480"/>
        <w:rPr>
          <w:rFonts w:hint="default"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3.2.2主机负载均衡服务</w:t>
      </w:r>
    </w:p>
    <w:tbl>
      <w:tblPr>
        <w:tblStyle w:val="9"/>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21"/>
        <w:gridCol w:w="63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4"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指标项</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9"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服务能力</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通过云管理平台实现针每租户按需自动分配负载均衡服务的能力。总体峰值可支持每秒新建链接数不少于40万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4"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均衡策略</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支持加权轮询(Weighted Round Robin)、加权最小连接数调度(Weighted Least-Connection Scheduling)等流量分发策略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9"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健康检查</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可以按照指定规则对配置的虚拟主机进行健康检查，自动隔离异常状态虚拟主机，确保可用性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6"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会话（Session）保持</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可对虚拟主机提供TCP/HTTP协议的负载均衡服务，并提供会话保持功能，在会话生命周期内，将同一会话请求转发到同一台后端虚拟主机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4"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高可用性</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采用全冗余或集群架构，无单点故障；平均可用性不低于99.99%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9"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转发规则</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提供多种转发规则，满足不同业务场景的要求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9"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扩展性</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支持在线平滑升级，承载能力和网络总带宽同步线性扩容；可与虚拟主机配合提供三层架构系统的弹性扩展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可操作性</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支持通过云管理平台，实现申请部署与使用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协议支持</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提供 4 层（TCP 协议）和 7 层（HTTP 和 HTTPS 协议）的负载均衡服务</w:t>
            </w:r>
          </w:p>
        </w:tc>
      </w:tr>
    </w:tbl>
    <w:p>
      <w:pPr>
        <w:pStyle w:val="4"/>
        <w:snapToGrid w:val="0"/>
        <w:ind w:firstLine="480"/>
        <w:rPr>
          <w:rFonts w:hint="eastAsia" w:ascii="Times New Roman" w:hAnsi="Times New Roman" w:eastAsia="宋体" w:cs="宋体"/>
          <w:color w:val="auto"/>
          <w:sz w:val="24"/>
          <w:highlight w:val="none"/>
          <w:lang w:val="en-US" w:eastAsia="zh-CN"/>
        </w:rPr>
      </w:pPr>
    </w:p>
    <w:p>
      <w:pPr>
        <w:pStyle w:val="4"/>
        <w:snapToGrid w:val="0"/>
        <w:ind w:firstLine="480"/>
        <w:rPr>
          <w:rFonts w:hint="default"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3.2.3远程接入服务</w:t>
      </w:r>
    </w:p>
    <w:tbl>
      <w:tblPr>
        <w:tblStyle w:val="9"/>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13"/>
        <w:gridCol w:w="6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8" w:hRule="atLeast"/>
          <w:jc w:val="center"/>
        </w:trPr>
        <w:tc>
          <w:tcPr>
            <w:tcW w:w="211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指标项</w:t>
            </w:r>
          </w:p>
        </w:tc>
        <w:tc>
          <w:tcPr>
            <w:tcW w:w="6409"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6" w:hRule="atLeast"/>
          <w:jc w:val="center"/>
        </w:trPr>
        <w:tc>
          <w:tcPr>
            <w:tcW w:w="211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功能要求</w:t>
            </w:r>
          </w:p>
        </w:tc>
        <w:tc>
          <w:tcPr>
            <w:tcW w:w="6409"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提供堡垒机远程接入服务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9" w:hRule="atLeast"/>
          <w:jc w:val="center"/>
        </w:trPr>
        <w:tc>
          <w:tcPr>
            <w:tcW w:w="211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运维审计</w:t>
            </w:r>
          </w:p>
        </w:tc>
        <w:tc>
          <w:tcPr>
            <w:tcW w:w="6409"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字符操作审计、图形操作审计、文件操作审计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8" w:hRule="atLeast"/>
          <w:jc w:val="center"/>
        </w:trPr>
        <w:tc>
          <w:tcPr>
            <w:tcW w:w="2113" w:type="dxa"/>
            <w:vMerge w:val="restart"/>
            <w:tcBorders>
              <w:top w:val="single" w:color="000000" w:sz="4" w:space="0"/>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访问控制</w:t>
            </w:r>
          </w:p>
        </w:tc>
        <w:tc>
          <w:tcPr>
            <w:tcW w:w="6409"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支持基于IP/IP段、用户/用户组、资产/资产组、协议、危险级别等组合策略进行访问控制，对于不合法的行为予以阻断；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8" w:hRule="atLeast"/>
          <w:jc w:val="center"/>
        </w:trPr>
        <w:tc>
          <w:tcPr>
            <w:tcW w:w="2113" w:type="dxa"/>
            <w:vMerge w:val="continue"/>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p>
        </w:tc>
        <w:tc>
          <w:tcPr>
            <w:tcW w:w="6409"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可基于运维账号的登陆时间和资产登陆时间进行访问控制；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8" w:hRule="atLeast"/>
          <w:jc w:val="center"/>
        </w:trPr>
        <w:tc>
          <w:tcPr>
            <w:tcW w:w="2113" w:type="dxa"/>
            <w:vMerge w:val="continue"/>
            <w:tcBorders>
              <w:left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p>
        </w:tc>
        <w:tc>
          <w:tcPr>
            <w:tcW w:w="6409"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可基于运维操作命令进行访问控制；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8" w:hRule="atLeast"/>
          <w:jc w:val="center"/>
        </w:trPr>
        <w:tc>
          <w:tcPr>
            <w:tcW w:w="2113" w:type="dxa"/>
            <w:vMerge w:val="continue"/>
            <w:tcBorders>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p>
        </w:tc>
        <w:tc>
          <w:tcPr>
            <w:tcW w:w="6409"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可基于主机、用户、IP地址控制审计日志的访问权限；</w:t>
            </w:r>
          </w:p>
        </w:tc>
      </w:tr>
    </w:tbl>
    <w:p>
      <w:pPr>
        <w:pStyle w:val="4"/>
        <w:snapToGrid w:val="0"/>
        <w:ind w:firstLine="480"/>
        <w:rPr>
          <w:rFonts w:hint="default" w:ascii="Times New Roman" w:hAnsi="Times New Roman" w:eastAsia="宋体" w:cs="宋体"/>
          <w:color w:val="auto"/>
          <w:sz w:val="24"/>
          <w:highlight w:val="none"/>
          <w:lang w:val="en-US" w:eastAsia="zh-CN"/>
        </w:rPr>
      </w:pPr>
    </w:p>
    <w:p>
      <w:pPr>
        <w:pStyle w:val="4"/>
        <w:snapToGrid w:val="0"/>
        <w:ind w:firstLine="480"/>
        <w:rPr>
          <w:rFonts w:hint="default"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3.2.4 SSL VPN接入</w:t>
      </w:r>
    </w:p>
    <w:tbl>
      <w:tblPr>
        <w:tblStyle w:val="9"/>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4"/>
        <w:gridCol w:w="70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7" w:hRule="atLeast"/>
          <w:jc w:val="center"/>
        </w:trPr>
        <w:tc>
          <w:tcPr>
            <w:tcW w:w="145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指标项</w:t>
            </w:r>
          </w:p>
        </w:tc>
        <w:tc>
          <w:tcPr>
            <w:tcW w:w="7068"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9" w:hRule="atLeast"/>
          <w:jc w:val="center"/>
        </w:trPr>
        <w:tc>
          <w:tcPr>
            <w:tcW w:w="145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接入方式</w:t>
            </w:r>
          </w:p>
        </w:tc>
        <w:tc>
          <w:tcPr>
            <w:tcW w:w="7068"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实现Web接入，TCP接入，IP接入等多种方式，记录完整的用户访问日志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02" w:hRule="atLeast"/>
          <w:jc w:val="center"/>
        </w:trPr>
        <w:tc>
          <w:tcPr>
            <w:tcW w:w="145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身份管理</w:t>
            </w:r>
          </w:p>
        </w:tc>
        <w:tc>
          <w:tcPr>
            <w:tcW w:w="7068"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支持基于用户身份的管理，实现不同身份的用户拥有不同的命令执行权限，并且支持用户视图分级，对于不同级别的用户赋予不同的管理配置权限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9" w:hRule="atLeast"/>
          <w:jc w:val="center"/>
        </w:trPr>
        <w:tc>
          <w:tcPr>
            <w:tcW w:w="145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访问控制策略</w:t>
            </w:r>
          </w:p>
        </w:tc>
        <w:tc>
          <w:tcPr>
            <w:tcW w:w="7068"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可以根据请求报文的目的IP地址和目的端口号、源IP地址和源端口号进行过滤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9" w:hRule="atLeast"/>
          <w:jc w:val="center"/>
        </w:trPr>
        <w:tc>
          <w:tcPr>
            <w:tcW w:w="145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密码要求</w:t>
            </w:r>
          </w:p>
        </w:tc>
        <w:tc>
          <w:tcPr>
            <w:tcW w:w="7068"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采用通过商用密码产品认证的SSL VPN产品</w:t>
            </w:r>
          </w:p>
        </w:tc>
      </w:tr>
    </w:tbl>
    <w:p>
      <w:pPr>
        <w:pStyle w:val="4"/>
        <w:snapToGrid w:val="0"/>
        <w:ind w:firstLine="480"/>
        <w:rPr>
          <w:rFonts w:ascii="Times New Roman" w:hAnsi="Times New Roman" w:eastAsia="宋体" w:cs="宋体"/>
          <w:color w:val="auto"/>
          <w:sz w:val="24"/>
          <w:highlight w:val="none"/>
        </w:rPr>
      </w:pPr>
    </w:p>
    <w:p>
      <w:pPr>
        <w:pStyle w:val="4"/>
        <w:snapToGrid w:val="0"/>
        <w:ind w:firstLine="480"/>
        <w:rPr>
          <w:rFonts w:hint="default"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3.2.5 WAF防护</w:t>
      </w:r>
    </w:p>
    <w:tbl>
      <w:tblPr>
        <w:tblStyle w:val="9"/>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21"/>
        <w:gridCol w:w="63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8"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指标项</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2"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检测算法</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可精确识别包括注入、XSS等OWASP Top 10 WEB通用攻击，有效应对盗链、跨站请求伪造等WEB特殊攻击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2"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部署方式</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可以通过透明串接或反向代理、路由模式等方式接入网络中，即可对应用层HTTP流量进行安全防护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2"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黑名单</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通过预定义策略及自定义规则，进行规则匹配，阻断异常流量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7" w:hRule="atLeast"/>
          <w:jc w:val="center"/>
        </w:trPr>
        <w:tc>
          <w:tcPr>
            <w:tcW w:w="222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可操作性</w:t>
            </w:r>
          </w:p>
        </w:tc>
        <w:tc>
          <w:tcPr>
            <w:tcW w:w="6301" w:type="dxa"/>
            <w:tcBorders>
              <w:top w:val="single" w:color="000000" w:sz="4" w:space="0"/>
              <w:left w:val="single" w:color="000000" w:sz="4" w:space="0"/>
              <w:bottom w:val="single" w:color="000000" w:sz="4" w:space="0"/>
              <w:right w:val="single" w:color="000000" w:sz="4" w:space="0"/>
            </w:tcBorders>
          </w:tcPr>
          <w:p>
            <w:pPr>
              <w:spacing w:line="400" w:lineRule="exact"/>
              <w:jc w:val="center"/>
              <w:rPr>
                <w:rFonts w:hint="eastAsia" w:ascii="Times New Roman" w:hAnsi="Times New Roman" w:eastAsia="宋体" w:cs="宋体"/>
                <w:b w:val="0"/>
                <w:bCs w:val="0"/>
                <w:color w:val="auto"/>
                <w:kern w:val="2"/>
                <w:sz w:val="24"/>
                <w:szCs w:val="24"/>
                <w:highlight w:val="none"/>
                <w:lang w:val="en-US" w:eastAsia="zh-CN" w:bidi="ar-SA"/>
              </w:rPr>
            </w:pPr>
            <w:r>
              <w:rPr>
                <w:rFonts w:hint="eastAsia" w:ascii="Times New Roman" w:hAnsi="Times New Roman" w:eastAsia="宋体" w:cs="宋体"/>
                <w:b w:val="0"/>
                <w:bCs w:val="0"/>
                <w:color w:val="auto"/>
                <w:kern w:val="2"/>
                <w:sz w:val="24"/>
                <w:szCs w:val="24"/>
                <w:highlight w:val="none"/>
                <w:lang w:val="en-US" w:eastAsia="zh-CN" w:bidi="ar-SA"/>
              </w:rPr>
              <w:t>支持通过云管理平台，实现申请部署与使用</w:t>
            </w:r>
          </w:p>
        </w:tc>
      </w:tr>
    </w:tbl>
    <w:p>
      <w:pPr>
        <w:pStyle w:val="2"/>
        <w:spacing w:before="0" w:line="240" w:lineRule="auto"/>
        <w:jc w:val="left"/>
        <w:rPr>
          <w:rFonts w:ascii="楷体" w:hAnsi="楷体" w:eastAsia="楷体" w:cs="楷体"/>
          <w:color w:val="auto"/>
          <w:sz w:val="24"/>
          <w:highlight w:val="none"/>
        </w:rPr>
      </w:pPr>
      <w:r>
        <w:rPr>
          <w:rFonts w:hint="eastAsia" w:ascii="楷体" w:hAnsi="楷体" w:eastAsia="楷体" w:cs="楷体"/>
          <w:color w:val="auto"/>
          <w:sz w:val="24"/>
          <w:highlight w:val="none"/>
        </w:rPr>
        <w:t>（四）运维服务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4.1服务内容</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4.1.1 负责机房环境资源、云平台硬件资产、虚拟化资产的管理工作；</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4.1.2 信息系统入云、上线、变更、退出等各阶段的备案与信息变更等工作；</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4.1.3 执行云平台变更申请、审批流程；</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4.1.4 云平台网络资源管理，针对内部地址使用情况、云平台专线接入情况、政务外网资源使用情况等做好统计工作；</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4.1.5</w:t>
      </w:r>
      <w:r>
        <w:rPr>
          <w:rFonts w:hint="eastAsia" w:ascii="Times New Roman" w:hAnsi="Times New Roman" w:eastAsia="宋体" w:cs="宋体"/>
          <w:color w:val="auto"/>
          <w:sz w:val="24"/>
          <w:highlight w:val="none"/>
          <w:lang w:val="en-US" w:eastAsia="zh-CN"/>
        </w:rPr>
        <w:t xml:space="preserve"> </w:t>
      </w:r>
      <w:r>
        <w:rPr>
          <w:rFonts w:hint="eastAsia" w:ascii="Times New Roman" w:hAnsi="Times New Roman" w:eastAsia="宋体" w:cs="宋体"/>
          <w:color w:val="auto"/>
          <w:sz w:val="24"/>
          <w:highlight w:val="none"/>
        </w:rPr>
        <w:t>提供特定云主机深度监控及运维保障服务（7*24小时值守）；</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w:t>
      </w: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 xml:space="preserve"> 服务期内，</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须配备运维团队，提供可靠的售后服务保障。</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针对采购人要求的云平台运维服务相关内容，需指定专业技术能力较强的工程师，根据采购人要求配合开展相关维护服务。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4.2服务标准</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4.2.1 依据《北京市市级政务云管理办法》，</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当提供高效的系统维护服务，有效防范系统风险，系统对应负责人7*24小时电话畅通，能够在系统发生除宕机外的其他故障问题时，能够协调人力资源在1小时内到达政务云机房现场提供服务。系统发生宕机问题时，</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应在30分钟内响应，能够协调人力资源在1小时内到达运维现场定位、排除故障，在4个小时之内使系统恢复正常，故障处理完毕后提供相关系统宕机报告。</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4.2.2 为保障业务高峰期内系统平稳运行，缓解系统高峰期内因业务发生量增大而带来系统压力风险，要求</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根据业务周期性特点，加大运维保障力度，保证在业务高峰期内系统平稳运行。</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3</w:t>
      </w:r>
      <w:r>
        <w:rPr>
          <w:rFonts w:hint="eastAsia" w:ascii="Times New Roman" w:hAnsi="Times New Roman" w:eastAsia="宋体" w:cs="宋体"/>
          <w:color w:val="auto"/>
          <w:sz w:val="24"/>
          <w:highlight w:val="none"/>
        </w:rPr>
        <w:t xml:space="preserve"> 重点保障时期重要信息系统云主机资源调整时间不超过</w:t>
      </w:r>
      <w:r>
        <w:rPr>
          <w:rFonts w:hint="eastAsia" w:ascii="Times New Roman" w:hAnsi="Times New Roman" w:eastAsia="宋体" w:cs="宋体"/>
          <w:color w:val="auto"/>
          <w:sz w:val="24"/>
          <w:highlight w:val="none"/>
          <w:lang w:val="en-US" w:eastAsia="zh-CN"/>
        </w:rPr>
        <w:t>1</w:t>
      </w:r>
      <w:r>
        <w:rPr>
          <w:rFonts w:hint="eastAsia" w:ascii="Times New Roman" w:hAnsi="Times New Roman" w:eastAsia="宋体" w:cs="宋体"/>
          <w:color w:val="auto"/>
          <w:sz w:val="24"/>
          <w:highlight w:val="none"/>
        </w:rPr>
        <w:t>小时，针对重点保障时期的重要信息系统重要云主机，</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应按采购人要求进行实时监控，超过预警阈值时主动上调云资源，并第一时间通知采购人进行相应操作，确保系统平稳运行。</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4</w:t>
      </w:r>
      <w:r>
        <w:rPr>
          <w:rFonts w:hint="eastAsia" w:ascii="Times New Roman" w:hAnsi="Times New Roman" w:eastAsia="宋体" w:cs="宋体"/>
          <w:color w:val="auto"/>
          <w:sz w:val="24"/>
          <w:highlight w:val="none"/>
        </w:rPr>
        <w:t xml:space="preserve"> 按照国家、北京市相关规定和信息安全技术标准及规范要求, 落实安全保障措施, 通过信息安全测评机构的测评和政务云安全审查 。</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5</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明确运维操作规范和工作流程。定期开展文档查阅、漏洞扫描、渗透测试等多种形式的安全自查，排查政务网络和信息系统可能存在的安全漏洞，以及木马、后门、病毒等隐患风险，及时进行整改加固，切实防范安全风险。</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6</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建立政务网络和数据安全监测通报机制，加强网络和数据安全监测，及时发布预警信息，开展政务网络和数据安全应急保障工作。发现其网络产品或服务存在安全漏洞等隐患风险时，应当立即采取补救措施，按照规定及时告知采购人并向有关监管部门报告。</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7</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应保障政务云规范运行。入云系统应开展网络安全测评及备案。应对数据进行分类分级管理，根据数据分级保护要求采取相应级别的安全防护措施；应按相关要求对重要数据进行异地备份。</w:t>
      </w:r>
    </w:p>
    <w:p>
      <w:pPr>
        <w:pStyle w:val="4"/>
        <w:snapToGrid w:val="0"/>
        <w:ind w:firstLine="480"/>
        <w:rPr>
          <w:rFonts w:hAnsi="宋体" w:cs="宋体"/>
          <w:color w:val="auto"/>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8</w:t>
      </w:r>
      <w:r>
        <w:rPr>
          <w:rFonts w:hint="eastAsia" w:ascii="Times New Roman" w:hAnsi="Times New Roman" w:eastAsia="宋体" w:cs="宋体"/>
          <w:color w:val="auto"/>
          <w:sz w:val="24"/>
          <w:highlight w:val="none"/>
        </w:rPr>
        <w:t>除不可抗力或计划内维护作业造成的政务云服务中断外,政务云实行24小时不间断运行。</w:t>
      </w:r>
    </w:p>
    <w:p>
      <w:pPr>
        <w:pStyle w:val="2"/>
        <w:spacing w:before="0" w:line="240" w:lineRule="auto"/>
        <w:jc w:val="left"/>
        <w:rPr>
          <w:rFonts w:hint="eastAsia" w:ascii="楷体" w:hAnsi="楷体" w:eastAsia="楷体" w:cs="楷体"/>
          <w:color w:val="auto"/>
          <w:sz w:val="24"/>
          <w:highlight w:val="none"/>
        </w:rPr>
      </w:pPr>
      <w:bookmarkStart w:id="1" w:name="_Toc28153"/>
      <w:r>
        <w:rPr>
          <w:rFonts w:hint="eastAsia" w:ascii="楷体" w:hAnsi="楷体" w:eastAsia="楷体" w:cs="楷体"/>
          <w:color w:val="auto"/>
          <w:sz w:val="24"/>
          <w:highlight w:val="none"/>
        </w:rPr>
        <w:t>（</w:t>
      </w:r>
      <w:r>
        <w:rPr>
          <w:rFonts w:hint="eastAsia" w:ascii="楷体" w:hAnsi="楷体" w:eastAsia="楷体" w:cs="楷体"/>
          <w:color w:val="auto"/>
          <w:sz w:val="24"/>
          <w:highlight w:val="none"/>
          <w:lang w:eastAsia="zh-CN"/>
        </w:rPr>
        <w:t>五</w:t>
      </w:r>
      <w:r>
        <w:rPr>
          <w:rFonts w:hint="eastAsia" w:ascii="楷体" w:hAnsi="楷体" w:eastAsia="楷体" w:cs="楷体"/>
          <w:color w:val="auto"/>
          <w:sz w:val="24"/>
          <w:highlight w:val="none"/>
        </w:rPr>
        <w:t>）迁移服务</w:t>
      </w:r>
      <w:bookmarkEnd w:id="1"/>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lang w:val="en-US" w:eastAsia="zh-CN"/>
        </w:rPr>
        <w:t>5</w:t>
      </w:r>
      <w:r>
        <w:rPr>
          <w:rFonts w:hint="eastAsia" w:ascii="Times New Roman" w:hAnsi="Times New Roman" w:eastAsia="宋体" w:cs="宋体"/>
          <w:b/>
          <w:bCs/>
          <w:color w:val="auto"/>
          <w:sz w:val="24"/>
          <w:highlight w:val="none"/>
        </w:rPr>
        <w:t>.1服务内容</w:t>
      </w:r>
    </w:p>
    <w:p>
      <w:pPr>
        <w:ind w:firstLine="480" w:firstLineChars="200"/>
        <w:rPr>
          <w:rFonts w:hint="eastAsia" w:ascii="Times New Roman" w:hAnsi="Times New Roman" w:eastAsia="宋体" w:cs="宋体"/>
          <w:color w:val="auto"/>
          <w:sz w:val="24"/>
          <w:highlight w:val="none"/>
        </w:rPr>
      </w:pPr>
      <w:r>
        <w:rPr>
          <w:rFonts w:hint="eastAsia" w:cs="宋体"/>
          <w:color w:val="auto"/>
          <w:sz w:val="24"/>
          <w:highlight w:val="none"/>
          <w:lang w:eastAsia="zh-CN"/>
        </w:rPr>
        <w:t>报价人</w:t>
      </w:r>
      <w:r>
        <w:rPr>
          <w:rFonts w:hint="eastAsia" w:ascii="Times New Roman" w:hAnsi="Times New Roman" w:eastAsia="宋体" w:cs="宋体"/>
          <w:color w:val="auto"/>
          <w:sz w:val="24"/>
          <w:highlight w:val="none"/>
        </w:rPr>
        <w:t>需提供整体的业务上云迁移服务，应支持（包含X86、ARM、C86）云主机迁移、（包含X86、ARM、C86）物理主机迁移、单机数据库迁移、高可用数据库迁移等迁移场景。负责需求调研、架构规划设计、应用迁移部署等工作。</w:t>
      </w:r>
    </w:p>
    <w:p>
      <w:pPr>
        <w:ind w:firstLine="482" w:firstLineChars="200"/>
        <w:rPr>
          <w:rFonts w:ascii="Times New Roman" w:hAnsi="Times New Roman" w:eastAsia="宋体" w:cs="宋体"/>
          <w:bCs/>
          <w:color w:val="auto"/>
          <w:sz w:val="24"/>
          <w:highlight w:val="none"/>
          <w:lang w:bidi="ar"/>
        </w:rPr>
      </w:pPr>
      <w:r>
        <w:rPr>
          <w:rFonts w:hint="eastAsia" w:ascii="Times New Roman" w:hAnsi="Times New Roman" w:eastAsia="宋体" w:cs="宋体"/>
          <w:b/>
          <w:bCs/>
          <w:color w:val="auto"/>
          <w:sz w:val="24"/>
          <w:highlight w:val="none"/>
          <w:lang w:val="en-US" w:eastAsia="zh-CN"/>
        </w:rPr>
        <w:t>5</w:t>
      </w:r>
      <w:r>
        <w:rPr>
          <w:rFonts w:hint="eastAsia" w:ascii="Times New Roman" w:hAnsi="Times New Roman" w:eastAsia="宋体" w:cs="宋体"/>
          <w:b/>
          <w:bCs/>
          <w:color w:val="auto"/>
          <w:sz w:val="24"/>
          <w:highlight w:val="none"/>
        </w:rPr>
        <w:t>.2服务标准</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本项目涉及的业务系统为采购人在用的生产系统，目前在政务云上平稳运行，因此保障业务连续性是重要的保障需求。迁移服务具体要求如下：</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 xml:space="preserve">5.2.1 </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需编制业务连续性服务方案。</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5.2.2 本项目如涉及系统迁移，在连续性服务方案中需提供确实可行的迁移部署服务子方案，迁移部署服务子方案应包括（但不限于）迁移部署流程（包含但不限于应用、虚拟机和数据类迁移）、业务系统部署迁移方案。迁移部署服务子方案应明确需要采购人配合的具体工作内容及时长，针对系统迁移过程中容易造成业务系统中断的环节，包含但不限于互联网及政务外网IP变更割接、业务数据同步及切换上线、应急回退方案等，进行风险评估，提出详细解决方案。</w:t>
      </w:r>
    </w:p>
    <w:p>
      <w:pPr>
        <w:pStyle w:val="4"/>
        <w:snapToGrid w:val="0"/>
        <w:ind w:firstLine="480"/>
        <w:rPr>
          <w:rFonts w:hAnsi="宋体" w:cs="宋体"/>
          <w:color w:val="auto"/>
          <w:highlight w:val="none"/>
        </w:rPr>
      </w:pPr>
      <w:r>
        <w:rPr>
          <w:rFonts w:hint="eastAsia" w:ascii="Times New Roman" w:hAnsi="Times New Roman" w:eastAsia="宋体" w:cs="宋体"/>
          <w:color w:val="auto"/>
          <w:sz w:val="24"/>
          <w:highlight w:val="none"/>
        </w:rPr>
        <w:t>5.2.3 本项目如涉及系统迁移，为保障业务系统的连续性，</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应承诺自中标之日起，积极与原服务商对接，在1个工作日内，完成系统迁移平滑过渡，且因此产生的各项费用（包括但不限于测试阶段的云资源费用，系统开发商对业务系统的部署、调试费用等），应包含在</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的报价中，提供“承诺函”并加盖</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公章。</w:t>
      </w:r>
    </w:p>
    <w:p>
      <w:pPr>
        <w:pStyle w:val="2"/>
        <w:spacing w:before="0" w:line="240" w:lineRule="auto"/>
        <w:jc w:val="left"/>
        <w:rPr>
          <w:rFonts w:hint="eastAsia" w:ascii="楷体" w:hAnsi="楷体" w:eastAsia="楷体" w:cs="楷体"/>
          <w:color w:val="auto"/>
          <w:sz w:val="24"/>
          <w:highlight w:val="none"/>
        </w:rPr>
      </w:pPr>
      <w:bookmarkStart w:id="2" w:name="_Toc4542"/>
      <w:r>
        <w:rPr>
          <w:rFonts w:hint="eastAsia" w:ascii="楷体" w:hAnsi="楷体" w:eastAsia="楷体" w:cs="楷体"/>
          <w:color w:val="auto"/>
          <w:sz w:val="24"/>
          <w:highlight w:val="none"/>
        </w:rPr>
        <w:t>（</w:t>
      </w:r>
      <w:r>
        <w:rPr>
          <w:rFonts w:hint="eastAsia" w:ascii="楷体" w:hAnsi="楷体" w:eastAsia="楷体" w:cs="楷体"/>
          <w:color w:val="auto"/>
          <w:sz w:val="24"/>
          <w:highlight w:val="none"/>
          <w:lang w:eastAsia="zh-CN"/>
        </w:rPr>
        <w:t>六</w:t>
      </w:r>
      <w:r>
        <w:rPr>
          <w:rFonts w:hint="eastAsia" w:ascii="楷体" w:hAnsi="楷体" w:eastAsia="楷体" w:cs="楷体"/>
          <w:color w:val="auto"/>
          <w:sz w:val="24"/>
          <w:highlight w:val="none"/>
        </w:rPr>
        <w:t>）培训服务</w:t>
      </w:r>
      <w:bookmarkEnd w:id="2"/>
    </w:p>
    <w:p>
      <w:pPr>
        <w:pStyle w:val="4"/>
        <w:snapToGrid w:val="0"/>
        <w:ind w:firstLine="480"/>
        <w:rPr>
          <w:rFonts w:hint="eastAsia"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提供云服务操作手册，并为采购人提供必要的使用培训，至少提供以下内容：</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6.1内部培训</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内部培训旨在提高云平台运维能力，规范运维管理。内容包括但不限于：</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6.1.1 面向项目管理人员、系统管理人员的培训，确保此类人员能清晰地了解云平台的设计理念和设计方法，掌握云平台的整体结构，以及各类云资源的申请、审核、开通、回收等管理流程。</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6.1.2 面向系统维护人员的培训，确保此类人员能理解和掌握云平台的相关技术知识，能够熟练地维护云平台，快速定位和解决系统出现的问题，保证云平台服务期间正常运转，并持续提高运维服务质量。</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6.1.3 本单位人员的安全培训教育，确保工作人员符合岗位要求。</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6.1.4 云平台维护人员的定期业务培训和保密培训，重保前的业务培训和应急保障培训等。</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6.1.5 面向管理单位的培训，确保此类人员充分了解云平台的技术架构、服务水平等。</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6.2外部培训</w:t>
      </w:r>
    </w:p>
    <w:p>
      <w:pPr>
        <w:pStyle w:val="4"/>
        <w:snapToGrid w:val="0"/>
        <w:ind w:firstLine="480"/>
        <w:rPr>
          <w:rFonts w:hint="eastAsia"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应根据本项目的特点制定培训方案并提供培训，负责安排专业培训讲师授课，并提供全套培训教材和培训课程计划表，培训课程涵盖云平台使用和管理培训，采购人在培训后能够独立使用相关服务功能。</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每年应组织安排至少一次针对采购人的系统入云及用户培训。</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应将所有培训费用（含培训教材费）及各项支出计入资源租赁费用中，不单独报价。内容包括但不限于：</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6.2.1 面向采购人和开发人员的技术交流，包括云架构规划咨询、应用系统部署、迁移，云平台运维及其他技术服务。</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6.2.2 面向采购人的培训，确保云平台最终用户能理解和掌握各类云服务的使用方法和操作技巧，能够高效、熟练地基于云平台部署上层业务应用，最终使采购人在培训后能够独立使用相关服务功能，而不必依赖</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现场指导。</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6.2.3 面向开发人员的培训，确保其能理解和掌握基于云平台的开发规范，针对具体的业务应用场景能够充分发挥云平台的技术优势，合理地设计上层业务应用的技术架构，制订部署、迁移方案，评估云资源的容量需求。</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6.2.4 定期对系统相关的人员进行应急预案培训，并进行应急预案的演练；每年至少开展1次云平台应急演练。</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 xml:space="preserve">6.2.5 </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应在此基础上制定针对本单位的培训方案。</w:t>
      </w:r>
    </w:p>
    <w:p>
      <w:pPr>
        <w:pStyle w:val="2"/>
        <w:spacing w:before="0" w:line="240" w:lineRule="auto"/>
        <w:jc w:val="left"/>
        <w:rPr>
          <w:rFonts w:hint="eastAsia" w:ascii="楷体" w:hAnsi="楷体" w:eastAsia="楷体" w:cs="楷体"/>
          <w:color w:val="auto"/>
          <w:sz w:val="24"/>
          <w:highlight w:val="none"/>
        </w:rPr>
      </w:pPr>
      <w:bookmarkStart w:id="3" w:name="_Toc9644"/>
      <w:r>
        <w:rPr>
          <w:rFonts w:hint="eastAsia" w:ascii="楷体" w:hAnsi="楷体" w:eastAsia="楷体" w:cs="楷体"/>
          <w:color w:val="auto"/>
          <w:sz w:val="24"/>
          <w:highlight w:val="none"/>
        </w:rPr>
        <w:t>（</w:t>
      </w:r>
      <w:r>
        <w:rPr>
          <w:rFonts w:hint="eastAsia" w:ascii="楷体" w:hAnsi="楷体" w:eastAsia="楷体" w:cs="楷体"/>
          <w:color w:val="auto"/>
          <w:sz w:val="24"/>
          <w:highlight w:val="none"/>
          <w:lang w:eastAsia="zh-CN"/>
        </w:rPr>
        <w:t>七</w:t>
      </w:r>
      <w:r>
        <w:rPr>
          <w:rFonts w:hint="eastAsia" w:ascii="楷体" w:hAnsi="楷体" w:eastAsia="楷体" w:cs="楷体"/>
          <w:color w:val="auto"/>
          <w:sz w:val="24"/>
          <w:highlight w:val="none"/>
        </w:rPr>
        <w:t>）其他服务</w:t>
      </w:r>
      <w:bookmarkEnd w:id="3"/>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按照采购人的有关管理规定及具体需求提供个性化服务，包括数据库租用服务、数据库安全加固服务、网站安全管理服务、安全隔离网闸租赁服务、网站监测服务-网站页面访问性能监控、等保测评、业务拓展保障服务。</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7</w:t>
      </w:r>
      <w:r>
        <w:rPr>
          <w:rFonts w:hint="eastAsia" w:ascii="Times New Roman" w:hAnsi="Times New Roman" w:eastAsia="宋体" w:cs="宋体"/>
          <w:color w:val="auto"/>
          <w:sz w:val="24"/>
          <w:highlight w:val="none"/>
        </w:rPr>
        <w:t>.1服务规范</w:t>
      </w:r>
    </w:p>
    <w:p>
      <w:pPr>
        <w:pStyle w:val="4"/>
        <w:snapToGrid w:val="0"/>
        <w:ind w:firstLine="480"/>
        <w:rPr>
          <w:rFonts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须严格按照采购人制定的管理办法、流程及其他汇报制度、应急制度、文档管理、资产管理、基线管理、人员管理、培训与考试、知识库管理、安全管理等相关制度，开展标准化运维工作。</w:t>
      </w:r>
    </w:p>
    <w:p>
      <w:pPr>
        <w:pStyle w:val="4"/>
        <w:snapToGrid w:val="0"/>
        <w:ind w:firstLine="480"/>
        <w:rPr>
          <w:rFonts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应遵从政务云管理单位的日常管理要求，包括但不限于应使用政务云管理单位指定的安全通信工具，确保通信和协调信息处于可控范围。</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7</w:t>
      </w:r>
      <w:r>
        <w:rPr>
          <w:rFonts w:hint="eastAsia" w:ascii="Times New Roman" w:hAnsi="Times New Roman" w:eastAsia="宋体" w:cs="宋体"/>
          <w:color w:val="auto"/>
          <w:sz w:val="24"/>
          <w:highlight w:val="none"/>
        </w:rPr>
        <w:t>.2支撑保障服务</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按照采购人有关国产数据库改造、国产密码应用改造等相关需求，提供咨询、评估、论证、使用等支撑保障服务。</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7</w:t>
      </w:r>
      <w:r>
        <w:rPr>
          <w:rFonts w:hint="eastAsia" w:ascii="Times New Roman" w:hAnsi="Times New Roman" w:eastAsia="宋体" w:cs="宋体"/>
          <w:color w:val="auto"/>
          <w:sz w:val="24"/>
          <w:highlight w:val="none"/>
        </w:rPr>
        <w:t>.3其他技术服务</w:t>
      </w:r>
    </w:p>
    <w:p>
      <w:pPr>
        <w:pStyle w:val="4"/>
        <w:snapToGrid w:val="0"/>
        <w:ind w:firstLine="480"/>
        <w:rPr>
          <w:rFonts w:hint="eastAsia" w:hAnsi="宋体" w:cs="宋体"/>
          <w:color w:val="auto"/>
          <w:highlight w:val="none"/>
          <w:lang w:eastAsia="zh-CN"/>
        </w:rPr>
      </w:pPr>
      <w:r>
        <w:rPr>
          <w:rFonts w:hint="eastAsia" w:ascii="Times New Roman" w:hAnsi="Times New Roman" w:eastAsia="宋体" w:cs="宋体"/>
          <w:color w:val="auto"/>
          <w:sz w:val="24"/>
          <w:highlight w:val="none"/>
        </w:rPr>
        <w:t>提供</w:t>
      </w:r>
      <w:r>
        <w:rPr>
          <w:rFonts w:hint="eastAsia" w:cs="宋体" w:asciiTheme="minorEastAsia" w:hAnsiTheme="minorEastAsia" w:eastAsiaTheme="minorEastAsia"/>
          <w:color w:val="auto"/>
          <w:sz w:val="24"/>
          <w:highlight w:val="none"/>
        </w:rPr>
        <w:t>网络安全预警方案</w:t>
      </w:r>
      <w:r>
        <w:rPr>
          <w:rFonts w:hint="eastAsia" w:cs="宋体" w:asciiTheme="minorEastAsia" w:hAnsiTheme="minorEastAsia" w:eastAsiaTheme="minorEastAsia"/>
          <w:color w:val="auto"/>
          <w:sz w:val="24"/>
          <w:highlight w:val="none"/>
          <w:lang w:eastAsia="zh-CN"/>
        </w:rPr>
        <w:t>、</w:t>
      </w:r>
      <w:r>
        <w:rPr>
          <w:rFonts w:hint="eastAsia" w:ascii="Times New Roman" w:hAnsi="Times New Roman" w:eastAsia="宋体" w:cs="宋体"/>
          <w:color w:val="auto"/>
          <w:sz w:val="24"/>
          <w:highlight w:val="none"/>
        </w:rPr>
        <w:t>性能测试、性能调优、深度巡检、重保护航、全链路压测、专项咨询等服务</w:t>
      </w:r>
      <w:r>
        <w:rPr>
          <w:rFonts w:hint="eastAsia" w:ascii="Times New Roman" w:hAnsi="Times New Roman" w:eastAsia="宋体" w:cs="宋体"/>
          <w:color w:val="auto"/>
          <w:sz w:val="24"/>
          <w:highlight w:val="none"/>
          <w:lang w:eastAsia="zh-CN"/>
        </w:rPr>
        <w:t>。</w:t>
      </w:r>
    </w:p>
    <w:p>
      <w:pPr>
        <w:pStyle w:val="2"/>
        <w:spacing w:before="0" w:line="240" w:lineRule="auto"/>
        <w:jc w:val="left"/>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八</w:t>
      </w:r>
      <w:r>
        <w:rPr>
          <w:rFonts w:hint="eastAsia" w:ascii="楷体" w:hAnsi="楷体" w:eastAsia="楷体" w:cs="楷体"/>
          <w:color w:val="auto"/>
          <w:sz w:val="24"/>
          <w:highlight w:val="none"/>
        </w:rPr>
        <w:t>）验收</w:t>
      </w:r>
      <w:r>
        <w:rPr>
          <w:rFonts w:hint="eastAsia" w:ascii="楷体" w:hAnsi="楷体" w:eastAsia="楷体" w:cs="楷体"/>
          <w:color w:val="auto"/>
          <w:sz w:val="24"/>
          <w:highlight w:val="none"/>
          <w:lang w:val="en-US" w:eastAsia="zh-CN"/>
        </w:rPr>
        <w:t>要求</w:t>
      </w:r>
    </w:p>
    <w:p>
      <w:pPr>
        <w:snapToGrid/>
        <w:spacing w:line="240" w:lineRule="auto"/>
        <w:ind w:firstLine="482" w:firstLineChars="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服务绩效指标</w:t>
      </w:r>
    </w:p>
    <w:p>
      <w:pPr>
        <w:pStyle w:val="4"/>
        <w:snapToGrid w:val="0"/>
        <w:ind w:firstLine="480"/>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（1）云服务全年整体可用性≥99.9%；</w:t>
      </w:r>
    </w:p>
    <w:p>
      <w:pPr>
        <w:pStyle w:val="4"/>
        <w:snapToGrid w:val="0"/>
        <w:ind w:firstLine="480"/>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（2）数据可靠性应不低于 99.9999 %</w:t>
      </w:r>
    </w:p>
    <w:p>
      <w:pPr>
        <w:pStyle w:val="4"/>
        <w:snapToGrid w:val="0"/>
        <w:ind w:firstLine="480"/>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（3）故障响应率100%；</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（4）应急响应时间≤5分钟（云主机停止运行、网络无法连接等重大事件1</w:t>
      </w:r>
      <w:r>
        <w:rPr>
          <w:rFonts w:hint="eastAsia" w:ascii="Times New Roman" w:hAnsi="Times New Roman" w:eastAsia="宋体" w:cs="宋体"/>
          <w:color w:val="auto"/>
          <w:sz w:val="24"/>
          <w:highlight w:val="none"/>
        </w:rPr>
        <w:t>分钟内响应）；</w:t>
      </w:r>
    </w:p>
    <w:p>
      <w:pPr>
        <w:snapToGrid/>
        <w:spacing w:line="240" w:lineRule="auto"/>
        <w:ind w:firstLine="482" w:firstLineChars="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项目验收要求</w:t>
      </w:r>
    </w:p>
    <w:p>
      <w:pPr>
        <w:pStyle w:val="4"/>
        <w:snapToGrid w:val="0"/>
        <w:ind w:firstLine="480"/>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（1）</w:t>
      </w:r>
      <w:r>
        <w:rPr>
          <w:rFonts w:hint="eastAsia" w:ascii="Times New Roman" w:cs="宋体"/>
          <w:color w:val="auto"/>
          <w:sz w:val="24"/>
          <w:highlight w:val="none"/>
          <w:lang w:val="en-US" w:eastAsia="zh-CN"/>
        </w:rPr>
        <w:t>报价人</w:t>
      </w:r>
      <w:r>
        <w:rPr>
          <w:rFonts w:hint="eastAsia" w:ascii="Times New Roman" w:hAnsi="Times New Roman" w:eastAsia="宋体" w:cs="宋体"/>
          <w:color w:val="auto"/>
          <w:sz w:val="24"/>
          <w:highlight w:val="none"/>
          <w:lang w:val="en-US" w:eastAsia="zh-CN"/>
        </w:rPr>
        <w:t>所提供的北京市市级政务云基础资源服务应遵循客观、科学、合理的原则，符合《北京市市级政务云管理办法》的相关标准及要求。</w:t>
      </w:r>
    </w:p>
    <w:p>
      <w:pPr>
        <w:pStyle w:val="4"/>
        <w:snapToGrid w:val="0"/>
        <w:ind w:firstLine="480"/>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（2）</w:t>
      </w:r>
      <w:r>
        <w:rPr>
          <w:rFonts w:hint="eastAsia" w:ascii="Times New Roman" w:cs="宋体"/>
          <w:color w:val="auto"/>
          <w:sz w:val="24"/>
          <w:highlight w:val="none"/>
          <w:lang w:val="en-US" w:eastAsia="zh-CN"/>
        </w:rPr>
        <w:t>报价人</w:t>
      </w:r>
      <w:r>
        <w:rPr>
          <w:rFonts w:hint="eastAsia" w:ascii="Times New Roman" w:hAnsi="Times New Roman" w:eastAsia="宋体" w:cs="宋体"/>
          <w:color w:val="auto"/>
          <w:sz w:val="24"/>
          <w:highlight w:val="none"/>
          <w:lang w:val="en-US" w:eastAsia="zh-CN"/>
        </w:rPr>
        <w:t>所提供资源应满足采购文件规定的要求。保证合同期内系统安全稳定运行，不因硬件故障导致服务中断2小时及以上。</w:t>
      </w:r>
    </w:p>
    <w:p>
      <w:pPr>
        <w:pStyle w:val="4"/>
        <w:snapToGrid w:val="0"/>
        <w:ind w:firstLine="480"/>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（3）服务期满后5个工作日开始对合同项目进行验收，</w:t>
      </w:r>
      <w:r>
        <w:rPr>
          <w:rFonts w:hint="eastAsia" w:ascii="Times New Roman" w:cs="宋体"/>
          <w:color w:val="auto"/>
          <w:sz w:val="24"/>
          <w:highlight w:val="none"/>
          <w:lang w:val="en-US" w:eastAsia="zh-CN"/>
        </w:rPr>
        <w:t>报价人</w:t>
      </w:r>
      <w:r>
        <w:rPr>
          <w:rFonts w:hint="eastAsia" w:ascii="Times New Roman" w:hAnsi="Times New Roman" w:eastAsia="宋体" w:cs="宋体"/>
          <w:color w:val="auto"/>
          <w:sz w:val="24"/>
          <w:highlight w:val="none"/>
          <w:lang w:val="en-US" w:eastAsia="zh-CN"/>
        </w:rPr>
        <w:t>应当在采购人指定的验收日前向采购人提交验收报告。验收报告的内容包括但不限于，合同规定的各项服务清单，各系统设备运行情况。</w:t>
      </w:r>
    </w:p>
    <w:p>
      <w:pPr>
        <w:pStyle w:val="4"/>
        <w:snapToGrid w:val="0"/>
        <w:ind w:firstLine="480"/>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（4）服务期届满，</w:t>
      </w:r>
      <w:r>
        <w:rPr>
          <w:rFonts w:hint="eastAsia" w:ascii="Times New Roman" w:cs="宋体"/>
          <w:color w:val="auto"/>
          <w:sz w:val="24"/>
          <w:highlight w:val="none"/>
          <w:lang w:val="en-US" w:eastAsia="zh-CN"/>
        </w:rPr>
        <w:t>报价人</w:t>
      </w:r>
      <w:r>
        <w:rPr>
          <w:rFonts w:hint="eastAsia" w:ascii="Times New Roman" w:hAnsi="Times New Roman" w:eastAsia="宋体" w:cs="宋体"/>
          <w:color w:val="auto"/>
          <w:sz w:val="24"/>
          <w:highlight w:val="none"/>
          <w:lang w:val="en-US" w:eastAsia="zh-CN"/>
        </w:rPr>
        <w:t>按照采购人要求完成所有项目，各项记录、报告等文档齐全，无任何系统遗留问题，并通过由采购人组织的验收评审，方可通过验收。</w:t>
      </w:r>
    </w:p>
    <w:p>
      <w:pPr>
        <w:pStyle w:val="3"/>
        <w:spacing w:before="0" w:after="0" w:line="240" w:lineRule="auto"/>
        <w:jc w:val="left"/>
        <w:rPr>
          <w:rFonts w:ascii="黑体" w:hAnsi="黑体" w:eastAsia="黑体" w:cs="黑体"/>
          <w:color w:val="auto"/>
          <w:sz w:val="24"/>
          <w:highlight w:val="none"/>
        </w:rPr>
      </w:pPr>
      <w:r>
        <w:rPr>
          <w:rFonts w:hint="eastAsia" w:ascii="黑体" w:hAnsi="黑体" w:eastAsia="黑体" w:cs="黑体"/>
          <w:color w:val="auto"/>
          <w:sz w:val="24"/>
          <w:highlight w:val="none"/>
          <w:lang w:eastAsia="zh-CN"/>
        </w:rPr>
        <w:t>四</w:t>
      </w:r>
      <w:r>
        <w:rPr>
          <w:rFonts w:hint="eastAsia" w:ascii="黑体" w:hAnsi="黑体" w:eastAsia="黑体" w:cs="黑体"/>
          <w:color w:val="auto"/>
          <w:sz w:val="24"/>
          <w:highlight w:val="none"/>
        </w:rPr>
        <w:t>、团队要求</w:t>
      </w:r>
    </w:p>
    <w:p>
      <w:pPr>
        <w:pStyle w:val="6"/>
        <w:adjustRightInd w:val="0"/>
        <w:snapToGrid w:val="0"/>
        <w:spacing w:before="0" w:line="240" w:lineRule="auto"/>
        <w:ind w:firstLine="480"/>
        <w:textAlignment w:val="baseline"/>
        <w:rPr>
          <w:rFonts w:hint="eastAsia" w:cs="宋体"/>
          <w:color w:val="auto"/>
          <w:highlight w:val="none"/>
        </w:rPr>
      </w:pPr>
      <w:r>
        <w:rPr>
          <w:rFonts w:hint="eastAsia" w:cs="宋体"/>
          <w:color w:val="auto"/>
          <w:highlight w:val="none"/>
          <w:lang w:eastAsia="zh-CN"/>
        </w:rPr>
        <w:t>报价人</w:t>
      </w:r>
      <w:r>
        <w:rPr>
          <w:rFonts w:hint="eastAsia" w:cs="宋体"/>
          <w:color w:val="auto"/>
          <w:highlight w:val="none"/>
        </w:rPr>
        <w:t>须根据项目要求安排具备相应资质和经验的专业人员从事本项目工作，提供不少于10人的服务团队，须确保项目实施队伍的稳定。</w:t>
      </w:r>
      <w:r>
        <w:rPr>
          <w:rFonts w:hint="eastAsia" w:cs="宋体"/>
          <w:color w:val="auto"/>
          <w:highlight w:val="none"/>
          <w:lang w:eastAsia="zh-CN"/>
        </w:rPr>
        <w:t>报价人</w:t>
      </w:r>
      <w:r>
        <w:rPr>
          <w:rFonts w:hint="eastAsia" w:cs="宋体"/>
          <w:color w:val="auto"/>
          <w:highlight w:val="none"/>
        </w:rPr>
        <w:t>需提供项目团队组织架构、成员名单、成员职责，保证担任重要岗位的人员具备相应专业资质。</w:t>
      </w:r>
    </w:p>
    <w:p>
      <w:pPr>
        <w:pStyle w:val="6"/>
        <w:adjustRightInd w:val="0"/>
        <w:snapToGrid w:val="0"/>
        <w:spacing w:before="0" w:line="240" w:lineRule="auto"/>
        <w:ind w:firstLine="480"/>
        <w:textAlignment w:val="baseline"/>
        <w:rPr>
          <w:rFonts w:hint="eastAsia" w:cs="宋体"/>
          <w:color w:val="auto"/>
          <w:highlight w:val="none"/>
        </w:rPr>
      </w:pPr>
      <w:r>
        <w:rPr>
          <w:rFonts w:hint="eastAsia" w:cs="宋体"/>
          <w:color w:val="auto"/>
          <w:highlight w:val="none"/>
        </w:rPr>
        <w:t>项目经理1名，需具有5年及以上项目管理工作经验（提供个人简历、项目经历），需具备有效期内的高级信息系统项目管理师证书（计算机技术与软件专业技术资格）、信息安全保障人员认证证书（安全运维专业级或以上、信息安全保障人员认证证书（应急服务专业级或以上）等。</w:t>
      </w:r>
    </w:p>
    <w:p>
      <w:pPr>
        <w:pStyle w:val="6"/>
        <w:adjustRightInd w:val="0"/>
        <w:snapToGrid w:val="0"/>
        <w:spacing w:before="0" w:line="240" w:lineRule="auto"/>
        <w:ind w:firstLine="480"/>
        <w:textAlignment w:val="baseline"/>
        <w:rPr>
          <w:rFonts w:hint="eastAsia" w:cs="宋体"/>
          <w:color w:val="auto"/>
          <w:highlight w:val="none"/>
        </w:rPr>
      </w:pPr>
      <w:r>
        <w:rPr>
          <w:rFonts w:hint="eastAsia" w:cs="宋体"/>
          <w:color w:val="auto"/>
          <w:highlight w:val="none"/>
        </w:rPr>
        <w:t>安全（技术）负责人员1名（不能与项目经理为同一人），需具有五年以上工作经验，需具有在有效期内的信息安全保障人员认证证书（安全集成专业级或以上）、信息安全保障人员认证证书（应急服务专业级或以上）、注册信息安全工程师（CISE）认证证书等。</w:t>
      </w:r>
    </w:p>
    <w:p>
      <w:pPr>
        <w:pStyle w:val="6"/>
        <w:adjustRightInd w:val="0"/>
        <w:snapToGrid w:val="0"/>
        <w:spacing w:before="0" w:line="240" w:lineRule="auto"/>
        <w:ind w:firstLine="480"/>
        <w:textAlignment w:val="baseline"/>
        <w:rPr>
          <w:rFonts w:cs="宋体"/>
          <w:color w:val="auto"/>
          <w:highlight w:val="none"/>
        </w:rPr>
      </w:pPr>
      <w:r>
        <w:rPr>
          <w:rFonts w:hint="eastAsia" w:cs="宋体"/>
          <w:color w:val="auto"/>
          <w:highlight w:val="none"/>
        </w:rPr>
        <w:t>其他项目团队成员：不少于8名（不包含项目经理和安全（技术）负责人），团队人员须具备以下证书：系统规划与管理师资质证书（高级）、系统分析师资质证书（高级）、系统架构设计师认证证书（高级）、CISP证书。</w:t>
      </w:r>
    </w:p>
    <w:p>
      <w:pPr>
        <w:pStyle w:val="3"/>
        <w:spacing w:before="0" w:after="0" w:line="240" w:lineRule="auto"/>
        <w:jc w:val="both"/>
        <w:rPr>
          <w:rFonts w:ascii="黑体" w:hAnsi="黑体" w:eastAsia="黑体" w:cs="黑体"/>
          <w:color w:val="auto"/>
          <w:sz w:val="24"/>
          <w:highlight w:val="none"/>
        </w:rPr>
      </w:pPr>
      <w:r>
        <w:rPr>
          <w:rFonts w:hint="eastAsia" w:ascii="黑体" w:hAnsi="黑体" w:eastAsia="黑体" w:cs="黑体"/>
          <w:color w:val="auto"/>
          <w:sz w:val="24"/>
          <w:highlight w:val="none"/>
        </w:rPr>
        <w:t>五、 保密要求</w:t>
      </w:r>
    </w:p>
    <w:p>
      <w:pPr>
        <w:pStyle w:val="4"/>
        <w:snapToGrid w:val="0"/>
        <w:ind w:firstLine="480"/>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lang w:eastAsia="zh-CN"/>
        </w:rPr>
        <w:t>报价人</w:t>
      </w:r>
      <w:r>
        <w:rPr>
          <w:rFonts w:hint="eastAsia" w:hAnsi="宋体" w:cs="宋体"/>
          <w:color w:val="auto"/>
          <w:highlight w:val="none"/>
        </w:rPr>
        <w:t>因承接本合同约定项目所知悉的该项目信息或采购人信息，以及在项目实施过程中所产生的与该项目有关的全部信息均为采购人的保密信息，</w:t>
      </w:r>
      <w:r>
        <w:rPr>
          <w:rFonts w:hint="eastAsia" w:hAnsi="宋体" w:cs="宋体"/>
          <w:color w:val="auto"/>
          <w:highlight w:val="none"/>
          <w:lang w:eastAsia="zh-CN"/>
        </w:rPr>
        <w:t>报价人</w:t>
      </w:r>
      <w:r>
        <w:rPr>
          <w:rFonts w:hint="eastAsia" w:hAnsi="宋体" w:cs="宋体"/>
          <w:color w:val="auto"/>
          <w:highlight w:val="none"/>
        </w:rPr>
        <w:t>应按照采购人关于保密工作的相关要求，对上述保密信息承担保密义务。</w:t>
      </w:r>
      <w:r>
        <w:rPr>
          <w:rFonts w:hint="eastAsia" w:hAnsi="宋体" w:cs="宋体"/>
          <w:color w:val="auto"/>
          <w:highlight w:val="none"/>
          <w:lang w:eastAsia="zh-CN"/>
        </w:rPr>
        <w:t>报价人</w:t>
      </w:r>
      <w:r>
        <w:rPr>
          <w:rFonts w:hint="eastAsia" w:hAnsi="宋体" w:cs="宋体"/>
          <w:color w:val="auto"/>
          <w:highlight w:val="none"/>
        </w:rPr>
        <w:t>须严格遵守信息安全规定，不得利用系统维护服务时的便利对采购人数据及其他信息擅自修改或透漏给第三方。</w:t>
      </w:r>
    </w:p>
    <w:p>
      <w:pPr>
        <w:pStyle w:val="4"/>
        <w:snapToGrid w:val="0"/>
        <w:ind w:firstLine="480"/>
        <w:rPr>
          <w:rFonts w:hint="eastAsia" w:hAnsi="宋体" w:cs="宋体"/>
          <w:color w:val="auto"/>
          <w:highlight w:val="none"/>
        </w:rPr>
      </w:pPr>
      <w:r>
        <w:rPr>
          <w:rFonts w:hint="eastAsia" w:hAnsi="宋体" w:cs="宋体"/>
          <w:color w:val="auto"/>
          <w:highlight w:val="none"/>
        </w:rPr>
        <w:t>（2）</w:t>
      </w:r>
      <w:r>
        <w:rPr>
          <w:rFonts w:hint="eastAsia" w:hAnsi="宋体" w:cs="宋体"/>
          <w:color w:val="auto"/>
          <w:highlight w:val="none"/>
          <w:lang w:eastAsia="zh-CN"/>
        </w:rPr>
        <w:t>报价人</w:t>
      </w:r>
      <w:r>
        <w:rPr>
          <w:rFonts w:hint="eastAsia" w:hAnsi="宋体" w:cs="宋体"/>
          <w:color w:val="auto"/>
          <w:highlight w:val="none"/>
        </w:rPr>
        <w:t>应对上述保密信息予以妥善保存，并保证仅将其用于与完成本合同项下约定项目实施有关的用途或目的。在缺少相关保密条款约定时，对上述保密信息,</w:t>
      </w:r>
      <w:r>
        <w:rPr>
          <w:rFonts w:hint="eastAsia" w:hAnsi="宋体" w:cs="宋体"/>
          <w:color w:val="auto"/>
          <w:highlight w:val="none"/>
          <w:lang w:eastAsia="zh-CN"/>
        </w:rPr>
        <w:t>报价人</w:t>
      </w:r>
      <w:r>
        <w:rPr>
          <w:rFonts w:hint="eastAsia" w:hAnsi="宋体" w:cs="宋体"/>
          <w:color w:val="auto"/>
          <w:highlight w:val="none"/>
        </w:rPr>
        <w:t>应至少采取适用于对自己商业秘密进行保护的同等保护措施和审慎程度进行保密。</w:t>
      </w:r>
    </w:p>
    <w:p>
      <w:pPr>
        <w:pStyle w:val="4"/>
        <w:snapToGrid w:val="0"/>
        <w:ind w:firstLine="480"/>
        <w:rPr>
          <w:rFonts w:hint="eastAsia" w:hAnsi="宋体" w:cs="宋体"/>
          <w:color w:val="auto"/>
          <w:highlight w:val="none"/>
        </w:rPr>
      </w:pPr>
      <w:r>
        <w:rPr>
          <w:rFonts w:hint="eastAsia" w:hAnsi="宋体" w:cs="宋体"/>
          <w:color w:val="auto"/>
          <w:highlight w:val="none"/>
        </w:rPr>
        <w:t>（3）</w:t>
      </w:r>
      <w:r>
        <w:rPr>
          <w:rFonts w:hint="eastAsia" w:hAnsi="宋体" w:cs="宋体"/>
          <w:color w:val="auto"/>
          <w:highlight w:val="none"/>
          <w:lang w:eastAsia="zh-CN"/>
        </w:rPr>
        <w:t>报价人</w:t>
      </w:r>
      <w:r>
        <w:rPr>
          <w:rFonts w:hint="eastAsia" w:hAnsi="宋体" w:cs="宋体"/>
          <w:color w:val="auto"/>
          <w:highlight w:val="none"/>
        </w:rPr>
        <w:t>保证将保密信息的披露范围严格控制在直接从事该项目工作且因工作需要有必要知悉保密信息的工作人员范围内,对</w:t>
      </w:r>
      <w:r>
        <w:rPr>
          <w:rFonts w:hint="eastAsia" w:hAnsi="宋体" w:cs="宋体"/>
          <w:color w:val="auto"/>
          <w:highlight w:val="none"/>
          <w:lang w:eastAsia="zh-CN"/>
        </w:rPr>
        <w:t>报价人</w:t>
      </w:r>
      <w:r>
        <w:rPr>
          <w:rFonts w:hint="eastAsia" w:hAnsi="宋体" w:cs="宋体"/>
          <w:color w:val="auto"/>
          <w:highlight w:val="none"/>
        </w:rPr>
        <w:t>非从事该项目的人员一律严格保密。</w:t>
      </w:r>
    </w:p>
    <w:p>
      <w:pPr>
        <w:pStyle w:val="4"/>
        <w:snapToGrid w:val="0"/>
        <w:ind w:firstLine="480"/>
        <w:rPr>
          <w:rFonts w:hint="eastAsia" w:hAnsi="宋体" w:cs="宋体"/>
          <w:color w:val="auto"/>
          <w:highlight w:val="none"/>
        </w:rPr>
      </w:pPr>
      <w:r>
        <w:rPr>
          <w:rFonts w:hint="eastAsia" w:hAnsi="宋体" w:cs="宋体"/>
          <w:color w:val="auto"/>
          <w:highlight w:val="none"/>
        </w:rPr>
        <w:t>（4）</w:t>
      </w:r>
      <w:r>
        <w:rPr>
          <w:rFonts w:hint="eastAsia" w:hAnsi="宋体" w:cs="宋体"/>
          <w:color w:val="auto"/>
          <w:highlight w:val="none"/>
          <w:lang w:eastAsia="zh-CN"/>
        </w:rPr>
        <w:t>报价人</w:t>
      </w:r>
      <w:r>
        <w:rPr>
          <w:rFonts w:hint="eastAsia" w:hAnsi="宋体" w:cs="宋体"/>
          <w:color w:val="auto"/>
          <w:highlight w:val="none"/>
        </w:rPr>
        <w:t>应保证在向其工作人员披露采购人的保密信息前，认真做好员工的保密教育工作，明确告知其将知悉的为采购人的保密信息，并明确告知其需承担的保密义务及泄密所应承担的法律责任，并要求全体参与该项目的人员签署书面《保密协议》。</w:t>
      </w:r>
    </w:p>
    <w:p>
      <w:pPr>
        <w:pStyle w:val="4"/>
        <w:snapToGrid w:val="0"/>
        <w:ind w:firstLine="480"/>
        <w:rPr>
          <w:rFonts w:hint="eastAsia" w:hAnsi="宋体" w:cs="宋体"/>
          <w:color w:val="auto"/>
          <w:highlight w:val="none"/>
        </w:rPr>
      </w:pPr>
      <w:r>
        <w:rPr>
          <w:rFonts w:hint="eastAsia" w:hAnsi="宋体" w:cs="宋体"/>
          <w:color w:val="auto"/>
          <w:highlight w:val="none"/>
        </w:rPr>
        <w:t>（5）任何时间内，一经采购人提出要求，</w:t>
      </w:r>
      <w:r>
        <w:rPr>
          <w:rFonts w:hint="eastAsia" w:hAnsi="宋体" w:cs="宋体"/>
          <w:color w:val="auto"/>
          <w:highlight w:val="none"/>
          <w:lang w:eastAsia="zh-CN"/>
        </w:rPr>
        <w:t>报价人</w:t>
      </w:r>
      <w:r>
        <w:rPr>
          <w:rFonts w:hint="eastAsia" w:hAnsi="宋体" w:cs="宋体"/>
          <w:color w:val="auto"/>
          <w:highlight w:val="none"/>
        </w:rPr>
        <w:t>应按照采购人指示在收到采购人书面通知后 5 日内将含有保密信息的所有文件或其他资料归还采购人，且不得擅自复制留存。</w:t>
      </w:r>
    </w:p>
    <w:p>
      <w:pPr>
        <w:pStyle w:val="4"/>
        <w:snapToGrid w:val="0"/>
        <w:ind w:firstLine="480"/>
        <w:rPr>
          <w:rFonts w:hint="eastAsia" w:hAnsi="宋体" w:cs="宋体"/>
          <w:color w:val="auto"/>
          <w:highlight w:val="none"/>
        </w:rPr>
      </w:pPr>
      <w:r>
        <w:rPr>
          <w:rFonts w:hint="eastAsia" w:hAnsi="宋体" w:cs="宋体"/>
          <w:color w:val="auto"/>
          <w:highlight w:val="none"/>
        </w:rPr>
        <w:t>（6）非经采购人特别授权，采购人向</w:t>
      </w:r>
      <w:r>
        <w:rPr>
          <w:rFonts w:hint="eastAsia" w:hAnsi="宋体" w:cs="宋体"/>
          <w:color w:val="auto"/>
          <w:highlight w:val="none"/>
          <w:lang w:eastAsia="zh-CN"/>
        </w:rPr>
        <w:t>报价人</w:t>
      </w:r>
      <w:r>
        <w:rPr>
          <w:rFonts w:hint="eastAsia" w:hAnsi="宋体" w:cs="宋体"/>
          <w:color w:val="auto"/>
          <w:highlight w:val="none"/>
        </w:rPr>
        <w:t>提供的任何保密信息并不包括授予</w:t>
      </w:r>
      <w:r>
        <w:rPr>
          <w:rFonts w:hint="eastAsia" w:hAnsi="宋体" w:cs="宋体"/>
          <w:color w:val="auto"/>
          <w:highlight w:val="none"/>
          <w:lang w:eastAsia="zh-CN"/>
        </w:rPr>
        <w:t>报价人</w:t>
      </w:r>
      <w:r>
        <w:rPr>
          <w:rFonts w:hint="eastAsia" w:hAnsi="宋体" w:cs="宋体"/>
          <w:color w:val="auto"/>
          <w:highlight w:val="none"/>
        </w:rPr>
        <w:t>该保密信息包含的任何专利权、商标权、著作权、商业秘密或其它类型的知识产权。</w:t>
      </w:r>
    </w:p>
    <w:p>
      <w:pPr>
        <w:pStyle w:val="4"/>
        <w:snapToGrid w:val="0"/>
        <w:ind w:firstLine="480"/>
        <w:rPr>
          <w:rFonts w:hint="eastAsia" w:hAnsi="宋体" w:cs="宋体"/>
          <w:color w:val="auto"/>
          <w:highlight w:val="none"/>
        </w:rPr>
      </w:pPr>
      <w:r>
        <w:rPr>
          <w:rFonts w:hint="eastAsia" w:hAnsi="宋体" w:cs="宋体"/>
          <w:color w:val="auto"/>
          <w:highlight w:val="none"/>
        </w:rPr>
        <w:t>（7）</w:t>
      </w:r>
      <w:r>
        <w:rPr>
          <w:rFonts w:hint="eastAsia" w:hAnsi="宋体" w:cs="宋体"/>
          <w:color w:val="auto"/>
          <w:highlight w:val="none"/>
          <w:lang w:eastAsia="zh-CN"/>
        </w:rPr>
        <w:t>报价人</w:t>
      </w:r>
      <w:r>
        <w:rPr>
          <w:rFonts w:hint="eastAsia" w:hAnsi="宋体" w:cs="宋体"/>
          <w:color w:val="auto"/>
          <w:highlight w:val="none"/>
        </w:rPr>
        <w:t>承担上述保密义务的期限为合同有效期间及合同终止后2年，承担上述保密义务的责任主体为</w:t>
      </w:r>
      <w:r>
        <w:rPr>
          <w:rFonts w:hint="eastAsia" w:hAnsi="宋体" w:cs="宋体"/>
          <w:color w:val="auto"/>
          <w:highlight w:val="none"/>
          <w:lang w:eastAsia="zh-CN"/>
        </w:rPr>
        <w:t>报价人</w:t>
      </w:r>
      <w:r>
        <w:rPr>
          <w:rFonts w:hint="eastAsia" w:hAnsi="宋体" w:cs="宋体"/>
          <w:color w:val="auto"/>
          <w:highlight w:val="none"/>
        </w:rPr>
        <w:t>（含</w:t>
      </w:r>
      <w:r>
        <w:rPr>
          <w:rFonts w:hint="eastAsia" w:hAnsi="宋体" w:cs="宋体"/>
          <w:color w:val="auto"/>
          <w:highlight w:val="none"/>
          <w:lang w:eastAsia="zh-CN"/>
        </w:rPr>
        <w:t>报价人</w:t>
      </w:r>
      <w:r>
        <w:rPr>
          <w:rFonts w:hint="eastAsia" w:hAnsi="宋体" w:cs="宋体"/>
          <w:color w:val="auto"/>
          <w:highlight w:val="none"/>
        </w:rPr>
        <w:t>服务人员）。</w:t>
      </w:r>
    </w:p>
    <w:p>
      <w:pPr>
        <w:pStyle w:val="4"/>
        <w:snapToGrid w:val="0"/>
        <w:ind w:firstLine="480"/>
        <w:rPr>
          <w:rFonts w:hint="eastAsia" w:hAnsi="宋体" w:cs="宋体"/>
          <w:color w:val="auto"/>
          <w:highlight w:val="none"/>
        </w:rPr>
      </w:pPr>
      <w:r>
        <w:rPr>
          <w:rFonts w:hint="eastAsia" w:hAnsi="宋体" w:cs="宋体"/>
          <w:color w:val="auto"/>
          <w:highlight w:val="none"/>
        </w:rPr>
        <w:t>（8）在签订和履行合同过程中从采购人处获知的技术和商业秘密，无论在合同期限内亦或是合同终止后，均应遵守国家有关版权、专利、商标等知识产权方面的法律规定，尊重需求方的知识产权，对所知悉的采购人的技术秘密和商业秘密负有保密责任。</w:t>
      </w:r>
    </w:p>
    <w:p>
      <w:pPr>
        <w:pStyle w:val="4"/>
        <w:snapToGrid w:val="0"/>
        <w:ind w:firstLine="480"/>
        <w:rPr>
          <w:rFonts w:hAnsi="宋体" w:cs="宋体"/>
          <w:color w:val="auto"/>
          <w:highlight w:val="none"/>
        </w:rPr>
      </w:pPr>
      <w:r>
        <w:rPr>
          <w:rFonts w:hint="eastAsia" w:hAnsi="宋体" w:cs="宋体"/>
          <w:color w:val="auto"/>
          <w:highlight w:val="none"/>
        </w:rPr>
        <w:t>（9）</w:t>
      </w:r>
      <w:r>
        <w:rPr>
          <w:rFonts w:hint="eastAsia" w:hAnsi="宋体" w:cs="宋体"/>
          <w:color w:val="auto"/>
          <w:highlight w:val="none"/>
          <w:lang w:eastAsia="zh-CN"/>
        </w:rPr>
        <w:t>报价人</w:t>
      </w:r>
      <w:r>
        <w:rPr>
          <w:rFonts w:hint="eastAsia" w:hAnsi="宋体" w:cs="宋体"/>
          <w:color w:val="auto"/>
          <w:highlight w:val="none"/>
        </w:rPr>
        <w:t>应当对获悉的政务数据、个人信息等予以保密，不得用于其他用途，不得泄露、出售或者非法向他人提供。</w:t>
      </w:r>
    </w:p>
    <w:p>
      <w:pPr>
        <w:pStyle w:val="2"/>
        <w:rPr>
          <w:rFonts w:ascii="楷体" w:hAnsi="楷体" w:eastAsia="楷体" w:cs="楷体"/>
          <w:color w:val="auto"/>
          <w:sz w:val="24"/>
          <w:highlight w:val="none"/>
        </w:rPr>
      </w:pPr>
      <w:r>
        <w:rPr>
          <w:rFonts w:hint="eastAsia" w:ascii="Times New Roman" w:hAnsi="Times New Roman" w:eastAsia="楷体" w:cs="楷体"/>
          <w:color w:val="auto"/>
          <w:sz w:val="24"/>
          <w:highlight w:val="none"/>
        </w:rPr>
        <w:t>第</w:t>
      </w:r>
      <w:r>
        <w:rPr>
          <w:rFonts w:hint="eastAsia" w:ascii="Times New Roman" w:hAnsi="Times New Roman" w:eastAsia="楷体" w:cs="楷体"/>
          <w:color w:val="auto"/>
          <w:sz w:val="24"/>
          <w:highlight w:val="none"/>
          <w:lang w:val="en-US" w:eastAsia="zh-CN"/>
        </w:rPr>
        <w:t>2</w:t>
      </w:r>
      <w:r>
        <w:rPr>
          <w:rFonts w:hint="eastAsia" w:ascii="Times New Roman" w:hAnsi="Times New Roman" w:eastAsia="楷体" w:cs="楷体"/>
          <w:color w:val="auto"/>
          <w:sz w:val="24"/>
          <w:highlight w:val="none"/>
        </w:rPr>
        <w:t>包：</w:t>
      </w:r>
    </w:p>
    <w:p>
      <w:pPr>
        <w:pStyle w:val="3"/>
        <w:numPr>
          <w:ilvl w:val="0"/>
          <w:numId w:val="0"/>
        </w:numPr>
        <w:ind w:left="0" w:firstLine="0"/>
        <w:jc w:val="both"/>
        <w:rPr>
          <w:rFonts w:hint="eastAsia" w:ascii="黑体" w:hAnsi="黑体" w:eastAsia="黑体" w:cs="黑体"/>
          <w:b w:val="0"/>
          <w:bCs/>
          <w:color w:val="auto"/>
          <w:sz w:val="24"/>
          <w:highlight w:val="none"/>
        </w:rPr>
      </w:pPr>
      <w:r>
        <w:rPr>
          <w:rFonts w:hint="eastAsia" w:ascii="黑体" w:hAnsi="黑体" w:eastAsia="黑体" w:cs="黑体"/>
          <w:b w:val="0"/>
          <w:bCs/>
          <w:color w:val="auto"/>
          <w:sz w:val="24"/>
          <w:highlight w:val="none"/>
          <w:lang w:val="en-US" w:eastAsia="zh-CN"/>
        </w:rPr>
        <w:t>一、</w:t>
      </w:r>
      <w:r>
        <w:rPr>
          <w:rFonts w:hint="eastAsia" w:ascii="黑体" w:hAnsi="黑体" w:eastAsia="黑体" w:cs="黑体"/>
          <w:b w:val="0"/>
          <w:bCs/>
          <w:color w:val="auto"/>
          <w:sz w:val="24"/>
          <w:highlight w:val="none"/>
        </w:rPr>
        <w:t>采购</w:t>
      </w:r>
      <w:r>
        <w:rPr>
          <w:rFonts w:hint="eastAsia" w:ascii="黑体" w:hAnsi="黑体" w:eastAsia="黑体" w:cs="黑体"/>
          <w:b w:val="0"/>
          <w:bCs/>
          <w:color w:val="auto"/>
          <w:sz w:val="24"/>
          <w:highlight w:val="none"/>
          <w:lang w:val="en-US" w:eastAsia="zh-CN"/>
        </w:rPr>
        <w:t>标的</w:t>
      </w:r>
      <w:bookmarkStart w:id="11" w:name="_GoBack"/>
      <w:bookmarkEnd w:id="11"/>
    </w:p>
    <w:p>
      <w:pPr>
        <w:pStyle w:val="3"/>
        <w:numPr>
          <w:ilvl w:val="0"/>
          <w:numId w:val="0"/>
        </w:numPr>
        <w:ind w:left="0" w:firstLine="480" w:firstLineChars="200"/>
        <w:jc w:val="both"/>
        <w:rPr>
          <w:rFonts w:hint="eastAsia" w:ascii="黑体" w:hAnsi="黑体" w:eastAsia="黑体" w:cs="黑体"/>
          <w:b w:val="0"/>
          <w:bCs/>
          <w:color w:val="auto"/>
          <w:sz w:val="24"/>
          <w:highlight w:val="none"/>
          <w:lang w:val="en-US" w:eastAsia="zh-CN"/>
        </w:rPr>
      </w:pPr>
      <w:r>
        <w:rPr>
          <w:rFonts w:hint="eastAsia" w:ascii="黑体" w:hAnsi="黑体" w:eastAsia="黑体" w:cs="黑体"/>
          <w:b w:val="0"/>
          <w:bCs/>
          <w:color w:val="auto"/>
          <w:sz w:val="24"/>
          <w:highlight w:val="none"/>
          <w:lang w:val="en-US" w:eastAsia="zh-CN"/>
        </w:rPr>
        <w:t>1.采购标的</w:t>
      </w:r>
    </w:p>
    <w:tbl>
      <w:tblPr>
        <w:tblStyle w:val="9"/>
        <w:tblpPr w:leftFromText="180" w:rightFromText="180" w:vertAnchor="text" w:horzAnchor="page" w:tblpX="1003" w:tblpY="156"/>
        <w:tblOverlap w:val="never"/>
        <w:tblW w:w="10277" w:type="dxa"/>
        <w:tblInd w:w="0" w:type="dxa"/>
        <w:tblLayout w:type="fixed"/>
        <w:tblCellMar>
          <w:top w:w="0" w:type="dxa"/>
          <w:left w:w="108" w:type="dxa"/>
          <w:bottom w:w="0" w:type="dxa"/>
          <w:right w:w="108" w:type="dxa"/>
        </w:tblCellMar>
      </w:tblPr>
      <w:tblGrid>
        <w:gridCol w:w="1341"/>
        <w:gridCol w:w="1836"/>
        <w:gridCol w:w="3282"/>
        <w:gridCol w:w="1007"/>
        <w:gridCol w:w="997"/>
        <w:gridCol w:w="954"/>
        <w:gridCol w:w="860"/>
      </w:tblGrid>
      <w:tr>
        <w:tblPrEx>
          <w:tblLayout w:type="fixed"/>
          <w:tblCellMar>
            <w:top w:w="0" w:type="dxa"/>
            <w:left w:w="108" w:type="dxa"/>
            <w:bottom w:w="0" w:type="dxa"/>
            <w:right w:w="108" w:type="dxa"/>
          </w:tblCellMar>
        </w:tblPrEx>
        <w:trPr>
          <w:trHeight w:val="780" w:hRule="atLeast"/>
        </w:trPr>
        <w:tc>
          <w:tcPr>
            <w:tcW w:w="1341"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服务类别</w:t>
            </w:r>
          </w:p>
        </w:tc>
        <w:tc>
          <w:tcPr>
            <w:tcW w:w="1836" w:type="dxa"/>
            <w:tcBorders>
              <w:top w:val="single" w:color="000000" w:sz="4" w:space="0"/>
              <w:left w:val="single" w:color="000000" w:sz="4" w:space="0"/>
              <w:bottom w:val="single" w:color="auto"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服务子类</w:t>
            </w:r>
          </w:p>
        </w:tc>
        <w:tc>
          <w:tcPr>
            <w:tcW w:w="3282"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服务项</w:t>
            </w:r>
          </w:p>
        </w:tc>
        <w:tc>
          <w:tcPr>
            <w:tcW w:w="1007"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计价单位</w:t>
            </w:r>
          </w:p>
        </w:tc>
        <w:tc>
          <w:tcPr>
            <w:tcW w:w="997"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报价单位</w:t>
            </w:r>
          </w:p>
        </w:tc>
        <w:tc>
          <w:tcPr>
            <w:tcW w:w="954"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数量</w:t>
            </w:r>
          </w:p>
        </w:tc>
        <w:tc>
          <w:tcPr>
            <w:tcW w:w="860" w:type="dxa"/>
            <w:tcBorders>
              <w:top w:val="single" w:color="000000" w:sz="4" w:space="0"/>
              <w:left w:val="single" w:color="000000" w:sz="4" w:space="0"/>
              <w:bottom w:val="single" w:color="000000" w:sz="4" w:space="0"/>
              <w:right w:val="single" w:color="000000" w:sz="4" w:space="0"/>
            </w:tcBorders>
            <w:shd w:val="clear" w:color="auto" w:fill="D9D9D9"/>
            <w:vAlign w:val="center"/>
          </w:tcPr>
          <w:p>
            <w:pPr>
              <w:widowControl/>
              <w:jc w:val="center"/>
              <w:textAlignment w:val="center"/>
              <w:rPr>
                <w:rFonts w:ascii="Times New Roman" w:hAnsi="Times New Roman" w:eastAsia="楷体_GB2312" w:cs="楷体_GB2312"/>
                <w:color w:val="auto"/>
                <w:sz w:val="24"/>
                <w:highlight w:val="none"/>
              </w:rPr>
            </w:pPr>
            <w:r>
              <w:rPr>
                <w:rFonts w:hint="eastAsia" w:ascii="Times New Roman" w:hAnsi="Times New Roman" w:eastAsia="楷体_GB2312" w:cs="楷体_GB2312"/>
                <w:color w:val="auto"/>
                <w:kern w:val="0"/>
                <w:sz w:val="24"/>
                <w:highlight w:val="none"/>
                <w:lang w:bidi="ar"/>
              </w:rPr>
              <w:t>期限（月）</w:t>
            </w:r>
          </w:p>
        </w:tc>
      </w:tr>
      <w:tr>
        <w:tblPrEx>
          <w:tblLayout w:type="fixed"/>
          <w:tblCellMar>
            <w:top w:w="0" w:type="dxa"/>
            <w:left w:w="108" w:type="dxa"/>
            <w:bottom w:w="0" w:type="dxa"/>
            <w:right w:w="108" w:type="dxa"/>
          </w:tblCellMar>
        </w:tblPrEx>
        <w:trPr>
          <w:trHeight w:val="349" w:hRule="atLeast"/>
        </w:trPr>
        <w:tc>
          <w:tcPr>
            <w:tcW w:w="1341" w:type="dxa"/>
            <w:vMerge w:val="restart"/>
            <w:tcBorders>
              <w:top w:val="single" w:color="000000" w:sz="4" w:space="0"/>
              <w:left w:val="single" w:color="000000" w:sz="4" w:space="0"/>
              <w:right w:val="single" w:color="auto"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计算服务</w:t>
            </w:r>
          </w:p>
        </w:tc>
        <w:tc>
          <w:tcPr>
            <w:tcW w:w="18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x86平台云主机服务</w:t>
            </w: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vCPU（主频不低于2.4GHz）</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1CPU</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268</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325" w:hRule="atLeast"/>
        </w:trPr>
        <w:tc>
          <w:tcPr>
            <w:tcW w:w="1341" w:type="dxa"/>
            <w:vMerge w:val="continue"/>
            <w:tcBorders>
              <w:left w:val="single" w:color="000000"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vCPU（主频不低于2.4GHz）</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1CPU</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120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6</w:t>
            </w:r>
          </w:p>
        </w:tc>
      </w:tr>
      <w:tr>
        <w:tblPrEx>
          <w:tblLayout w:type="fixed"/>
          <w:tblCellMar>
            <w:top w:w="0" w:type="dxa"/>
            <w:left w:w="108" w:type="dxa"/>
            <w:bottom w:w="0" w:type="dxa"/>
            <w:right w:w="108" w:type="dxa"/>
          </w:tblCellMar>
        </w:tblPrEx>
        <w:trPr>
          <w:trHeight w:val="325" w:hRule="atLeast"/>
        </w:trPr>
        <w:tc>
          <w:tcPr>
            <w:tcW w:w="1341" w:type="dxa"/>
            <w:vMerge w:val="continue"/>
            <w:tcBorders>
              <w:left w:val="single" w:color="000000"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vCPU（主频不低于2.4GHz）</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1CPU</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120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3</w:t>
            </w:r>
          </w:p>
        </w:tc>
      </w:tr>
      <w:tr>
        <w:tblPrEx>
          <w:tblLayout w:type="fixed"/>
          <w:tblCellMar>
            <w:top w:w="0" w:type="dxa"/>
            <w:left w:w="108" w:type="dxa"/>
            <w:bottom w:w="0" w:type="dxa"/>
            <w:right w:w="108" w:type="dxa"/>
          </w:tblCellMar>
        </w:tblPrEx>
        <w:trPr>
          <w:trHeight w:val="325" w:hRule="atLeast"/>
        </w:trPr>
        <w:tc>
          <w:tcPr>
            <w:tcW w:w="1341" w:type="dxa"/>
            <w:vMerge w:val="continue"/>
            <w:tcBorders>
              <w:left w:val="single" w:color="000000"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vCPU（主频不低于2.4GHz）</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1CPU</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24</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2</w:t>
            </w:r>
          </w:p>
        </w:tc>
      </w:tr>
      <w:tr>
        <w:tblPrEx>
          <w:tblLayout w:type="fixed"/>
          <w:tblCellMar>
            <w:top w:w="0" w:type="dxa"/>
            <w:left w:w="108" w:type="dxa"/>
            <w:bottom w:w="0" w:type="dxa"/>
            <w:right w:w="108" w:type="dxa"/>
          </w:tblCellMar>
        </w:tblPrEx>
        <w:trPr>
          <w:trHeight w:val="325" w:hRule="atLeast"/>
        </w:trPr>
        <w:tc>
          <w:tcPr>
            <w:tcW w:w="1341" w:type="dxa"/>
            <w:vMerge w:val="continue"/>
            <w:tcBorders>
              <w:left w:val="single" w:color="000000"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内存</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仿宋_GB2312"/>
                <w:color w:val="auto"/>
                <w:kern w:val="0"/>
                <w:sz w:val="24"/>
                <w:highlight w:val="none"/>
                <w:lang w:val="en-US" w:eastAsia="zh-CN" w:bidi="ar"/>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856</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325" w:hRule="atLeast"/>
        </w:trPr>
        <w:tc>
          <w:tcPr>
            <w:tcW w:w="1341" w:type="dxa"/>
            <w:vMerge w:val="continue"/>
            <w:tcBorders>
              <w:left w:val="single" w:color="000000"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内存</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368</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6</w:t>
            </w:r>
          </w:p>
        </w:tc>
      </w:tr>
      <w:tr>
        <w:tblPrEx>
          <w:tblLayout w:type="fixed"/>
          <w:tblCellMar>
            <w:top w:w="0" w:type="dxa"/>
            <w:left w:w="108" w:type="dxa"/>
            <w:bottom w:w="0" w:type="dxa"/>
            <w:right w:w="108" w:type="dxa"/>
          </w:tblCellMar>
        </w:tblPrEx>
        <w:trPr>
          <w:trHeight w:val="325" w:hRule="atLeast"/>
        </w:trPr>
        <w:tc>
          <w:tcPr>
            <w:tcW w:w="1341" w:type="dxa"/>
            <w:vMerge w:val="continue"/>
            <w:tcBorders>
              <w:left w:val="single" w:color="000000"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内存</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464</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3</w:t>
            </w:r>
          </w:p>
        </w:tc>
      </w:tr>
      <w:tr>
        <w:tblPrEx>
          <w:tblLayout w:type="fixed"/>
          <w:tblCellMar>
            <w:top w:w="0" w:type="dxa"/>
            <w:left w:w="108" w:type="dxa"/>
            <w:bottom w:w="0" w:type="dxa"/>
            <w:right w:w="108" w:type="dxa"/>
          </w:tblCellMar>
        </w:tblPrEx>
        <w:trPr>
          <w:trHeight w:val="325" w:hRule="atLeast"/>
        </w:trPr>
        <w:tc>
          <w:tcPr>
            <w:tcW w:w="1341" w:type="dxa"/>
            <w:vMerge w:val="continue"/>
            <w:tcBorders>
              <w:left w:val="single" w:color="000000"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18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内存</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96</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2</w:t>
            </w:r>
          </w:p>
        </w:tc>
      </w:tr>
      <w:tr>
        <w:tblPrEx>
          <w:tblLayout w:type="fixed"/>
          <w:tblCellMar>
            <w:top w:w="0" w:type="dxa"/>
            <w:left w:w="108" w:type="dxa"/>
            <w:bottom w:w="0" w:type="dxa"/>
            <w:right w:w="108" w:type="dxa"/>
          </w:tblCellMar>
        </w:tblPrEx>
        <w:trPr>
          <w:trHeight w:val="525" w:hRule="atLeast"/>
        </w:trPr>
        <w:tc>
          <w:tcPr>
            <w:tcW w:w="1341" w:type="dxa"/>
            <w:vMerge w:val="continue"/>
            <w:tcBorders>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p>
        </w:tc>
        <w:tc>
          <w:tcPr>
            <w:tcW w:w="1836"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2"/>
                <w:szCs w:val="22"/>
                <w:u w:val="none"/>
                <w:lang w:val="en-US" w:eastAsia="zh-CN" w:bidi="ar-SA"/>
              </w:rPr>
            </w:pPr>
            <w:r>
              <w:rPr>
                <w:rFonts w:hint="eastAsia" w:ascii="Times New Roman" w:hAnsi="Times New Roman" w:eastAsia="仿宋_GB2312" w:cs="仿宋_GB2312"/>
                <w:color w:val="auto"/>
                <w:kern w:val="0"/>
                <w:sz w:val="24"/>
                <w:highlight w:val="none"/>
                <w:lang w:bidi="ar"/>
              </w:rPr>
              <w:t>图形图像计算服务</w:t>
            </w:r>
          </w:p>
        </w:tc>
        <w:tc>
          <w:tcPr>
            <w:tcW w:w="328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2"/>
                <w:szCs w:val="22"/>
                <w:u w:val="none"/>
                <w:lang w:val="en-US" w:eastAsia="zh-CN" w:bidi="ar-SA"/>
              </w:rPr>
            </w:pPr>
            <w:r>
              <w:rPr>
                <w:rStyle w:val="23"/>
                <w:rFonts w:hint="default" w:ascii="Times New Roman" w:hAnsi="Times New Roman" w:eastAsia="仿宋_GB2312" w:cs="仿宋_GB2312"/>
                <w:color w:val="auto"/>
                <w:sz w:val="24"/>
                <w:szCs w:val="24"/>
                <w:highlight w:val="none"/>
                <w:lang w:bidi="ar"/>
              </w:rPr>
              <w:t>GPU显存不低于12G，最大单精度浮点计算能力不低于5TFLOPS</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Style w:val="23"/>
                <w:rFonts w:hint="default" w:ascii="Times New Roman" w:hAnsi="Times New Roman" w:eastAsia="仿宋_GB2312" w:cs="仿宋_GB2312"/>
                <w:color w:val="auto"/>
                <w:sz w:val="24"/>
                <w:szCs w:val="24"/>
                <w:highlight w:val="none"/>
                <w:lang w:bidi="ar"/>
              </w:rPr>
              <w:t>1GPU</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Style w:val="23"/>
                <w:rFonts w:hint="default" w:ascii="Times New Roman" w:hAnsi="Times New Roman" w:eastAsia="仿宋_GB2312" w:cs="仿宋_GB2312"/>
                <w:color w:val="auto"/>
                <w:sz w:val="24"/>
                <w:szCs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48</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6</w:t>
            </w:r>
          </w:p>
        </w:tc>
      </w:tr>
      <w:tr>
        <w:tblPrEx>
          <w:tblLayout w:type="fixed"/>
          <w:tblCellMar>
            <w:top w:w="0" w:type="dxa"/>
            <w:left w:w="108" w:type="dxa"/>
            <w:bottom w:w="0" w:type="dxa"/>
            <w:right w:w="108" w:type="dxa"/>
          </w:tblCellMar>
        </w:tblPrEx>
        <w:trPr>
          <w:trHeight w:val="568" w:hRule="atLeast"/>
        </w:trPr>
        <w:tc>
          <w:tcPr>
            <w:tcW w:w="1341"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仿宋_GB2312"/>
                <w:color w:val="auto"/>
                <w:sz w:val="24"/>
                <w:highlight w:val="none"/>
                <w:lang w:val="en-US"/>
              </w:rPr>
            </w:pPr>
            <w:r>
              <w:rPr>
                <w:rFonts w:hint="eastAsia" w:ascii="Times New Roman" w:hAnsi="Times New Roman" w:eastAsia="仿宋_GB2312" w:cs="仿宋_GB2312"/>
                <w:color w:val="auto"/>
                <w:sz w:val="24"/>
                <w:highlight w:val="none"/>
                <w:lang w:val="en-US" w:eastAsia="zh-CN"/>
              </w:rPr>
              <w:t>存储服务</w:t>
            </w:r>
          </w:p>
        </w:tc>
        <w:tc>
          <w:tcPr>
            <w:tcW w:w="1836"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仿宋_GB2312"/>
                <w:color w:val="auto"/>
                <w:sz w:val="24"/>
                <w:highlight w:val="none"/>
                <w:lang w:val="en-US" w:eastAsia="zh-CN"/>
              </w:rPr>
            </w:pPr>
            <w:r>
              <w:rPr>
                <w:rFonts w:hint="eastAsia" w:ascii="Times New Roman" w:hAnsi="Times New Roman" w:eastAsia="仿宋_GB2312" w:cs="仿宋_GB2312"/>
                <w:color w:val="auto"/>
                <w:sz w:val="24"/>
                <w:highlight w:val="none"/>
                <w:lang w:val="en-US" w:eastAsia="zh-CN"/>
              </w:rPr>
              <w:t>高性能存储</w:t>
            </w: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高性能存储（单盘技术指标：单盘IOPS 10000-25000）</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20280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600" w:hRule="atLeast"/>
        </w:trPr>
        <w:tc>
          <w:tcPr>
            <w:tcW w:w="1341" w:type="dxa"/>
            <w:vMerge w:val="continue"/>
            <w:tcBorders>
              <w:left w:val="single" w:color="000000" w:sz="4" w:space="0"/>
              <w:right w:val="single" w:color="000000"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1836" w:type="dxa"/>
            <w:vMerge w:val="continue"/>
            <w:tcBorders>
              <w:left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高性能存储（单盘技术指标：单盘IOPS 10000-25000）</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8990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6</w:t>
            </w:r>
          </w:p>
        </w:tc>
      </w:tr>
      <w:tr>
        <w:tblPrEx>
          <w:tblLayout w:type="fixed"/>
          <w:tblCellMar>
            <w:top w:w="0" w:type="dxa"/>
            <w:left w:w="108" w:type="dxa"/>
            <w:bottom w:w="0" w:type="dxa"/>
            <w:right w:w="108" w:type="dxa"/>
          </w:tblCellMar>
        </w:tblPrEx>
        <w:trPr>
          <w:trHeight w:val="640" w:hRule="atLeast"/>
        </w:trPr>
        <w:tc>
          <w:tcPr>
            <w:tcW w:w="1341" w:type="dxa"/>
            <w:vMerge w:val="continue"/>
            <w:tcBorders>
              <w:left w:val="single" w:color="000000" w:sz="4" w:space="0"/>
              <w:right w:val="single" w:color="000000" w:sz="4" w:space="0"/>
            </w:tcBorders>
            <w:shd w:val="clear" w:color="auto" w:fill="auto"/>
            <w:vAlign w:val="center"/>
          </w:tcPr>
          <w:p>
            <w:pPr>
              <w:jc w:val="center"/>
              <w:rPr>
                <w:rFonts w:ascii="Times New Roman" w:hAnsi="Times New Roman" w:eastAsia="仿宋_GB2312" w:cs="仿宋_GB2312"/>
                <w:color w:val="auto"/>
                <w:sz w:val="24"/>
                <w:highlight w:val="none"/>
              </w:rPr>
            </w:pPr>
          </w:p>
        </w:tc>
        <w:tc>
          <w:tcPr>
            <w:tcW w:w="1836" w:type="dxa"/>
            <w:vMerge w:val="continue"/>
            <w:tcBorders>
              <w:left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highlight w:val="none"/>
                <w:lang w:bidi="ar"/>
              </w:rPr>
            </w:pP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高性能存储（单盘技术指标：单盘IOPS 10000-25000）</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8900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3</w:t>
            </w:r>
          </w:p>
        </w:tc>
      </w:tr>
      <w:tr>
        <w:tblPrEx>
          <w:tblLayout w:type="fixed"/>
          <w:tblCellMar>
            <w:top w:w="0" w:type="dxa"/>
            <w:left w:w="108" w:type="dxa"/>
            <w:bottom w:w="0" w:type="dxa"/>
            <w:right w:w="108" w:type="dxa"/>
          </w:tblCellMar>
        </w:tblPrEx>
        <w:trPr>
          <w:trHeight w:val="640" w:hRule="atLeast"/>
        </w:trPr>
        <w:tc>
          <w:tcPr>
            <w:tcW w:w="1341" w:type="dxa"/>
            <w:vMerge w:val="continue"/>
            <w:tcBorders>
              <w:left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2"/>
                <w:sz w:val="24"/>
                <w:szCs w:val="24"/>
                <w:highlight w:val="none"/>
                <w:lang w:val="en-US" w:eastAsia="zh-CN" w:bidi="ar-SA"/>
              </w:rPr>
            </w:pPr>
          </w:p>
        </w:tc>
        <w:tc>
          <w:tcPr>
            <w:tcW w:w="1836"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高性能存储（单盘技术指标：单盘IOPS 10000-25000）</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1GB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2650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2</w:t>
            </w:r>
          </w:p>
        </w:tc>
      </w:tr>
      <w:tr>
        <w:tblPrEx>
          <w:tblLayout w:type="fixed"/>
          <w:tblCellMar>
            <w:top w:w="0" w:type="dxa"/>
            <w:left w:w="108" w:type="dxa"/>
            <w:bottom w:w="0" w:type="dxa"/>
            <w:right w:w="108" w:type="dxa"/>
          </w:tblCellMar>
        </w:tblPrEx>
        <w:trPr>
          <w:trHeight w:val="640" w:hRule="atLeast"/>
        </w:trPr>
        <w:tc>
          <w:tcPr>
            <w:tcW w:w="1341" w:type="dxa"/>
            <w:vMerge w:val="restart"/>
            <w:tcBorders>
              <w:top w:val="single" w:color="000000" w:sz="4" w:space="0"/>
              <w:left w:val="single" w:color="000000" w:sz="4" w:space="0"/>
              <w:right w:val="single" w:color="000000" w:sz="4" w:space="0"/>
            </w:tcBorders>
            <w:shd w:val="clear" w:color="auto" w:fill="auto"/>
            <w:vAlign w:val="center"/>
          </w:tcPr>
          <w:p>
            <w:pPr>
              <w:jc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网络服务</w:t>
            </w:r>
          </w:p>
        </w:tc>
        <w:tc>
          <w:tcPr>
            <w:tcW w:w="1836"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sz w:val="24"/>
                <w:highlight w:val="none"/>
              </w:rPr>
            </w:pPr>
            <w:r>
              <w:rPr>
                <w:rFonts w:hint="eastAsia" w:ascii="Times New Roman" w:hAnsi="Times New Roman" w:eastAsia="仿宋_GB2312" w:cs="仿宋_GB2312"/>
                <w:color w:val="auto"/>
                <w:kern w:val="0"/>
                <w:sz w:val="24"/>
                <w:highlight w:val="none"/>
                <w:lang w:bidi="ar"/>
              </w:rPr>
              <w:t>互联网链路服务</w:t>
            </w: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互联网链路带宽（共享）</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1Mb</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640" w:hRule="atLeast"/>
        </w:trPr>
        <w:tc>
          <w:tcPr>
            <w:tcW w:w="1341" w:type="dxa"/>
            <w:vMerge w:val="continue"/>
            <w:tcBorders>
              <w:left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color w:val="auto"/>
                <w:kern w:val="0"/>
                <w:sz w:val="24"/>
                <w:highlight w:val="none"/>
                <w:lang w:bidi="ar"/>
              </w:rPr>
            </w:pPr>
          </w:p>
        </w:tc>
        <w:tc>
          <w:tcPr>
            <w:tcW w:w="1836"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0"/>
                <w:sz w:val="24"/>
                <w:highlight w:val="none"/>
                <w:lang w:bidi="ar"/>
              </w:rPr>
            </w:pPr>
            <w:r>
              <w:rPr>
                <w:rFonts w:hint="eastAsia" w:ascii="Times New Roman" w:hAnsi="Times New Roman" w:eastAsia="仿宋_GB2312" w:cs="仿宋_GB2312"/>
                <w:color w:val="auto"/>
                <w:kern w:val="0"/>
                <w:sz w:val="24"/>
                <w:highlight w:val="none"/>
                <w:lang w:bidi="ar"/>
              </w:rPr>
              <w:t>互联网IP地址租用服务、并提供备案服务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1IP</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5</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640" w:hRule="atLeast"/>
        </w:trPr>
        <w:tc>
          <w:tcPr>
            <w:tcW w:w="1341" w:type="dxa"/>
            <w:vMerge w:val="continue"/>
            <w:tcBorders>
              <w:left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color w:val="auto"/>
                <w:kern w:val="0"/>
                <w:sz w:val="24"/>
                <w:highlight w:val="none"/>
                <w:lang w:bidi="ar"/>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远程接入服务</w:t>
            </w: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远程接入服务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1账号</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640" w:hRule="atLeast"/>
        </w:trPr>
        <w:tc>
          <w:tcPr>
            <w:tcW w:w="134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仿宋_GB2312"/>
                <w:color w:val="auto"/>
                <w:kern w:val="0"/>
                <w:sz w:val="24"/>
                <w:highlight w:val="none"/>
                <w:lang w:bidi="ar"/>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WAF防护</w:t>
            </w:r>
          </w:p>
        </w:tc>
        <w:tc>
          <w:tcPr>
            <w:tcW w:w="32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0"/>
                <w:sz w:val="24"/>
                <w:highlight w:val="none"/>
                <w:lang w:bidi="ar"/>
              </w:rPr>
              <w:t>互联网web应用防火墙服务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yellow"/>
                <w:lang w:val="en-US" w:eastAsia="zh-CN" w:bidi="ar-SA"/>
              </w:rPr>
            </w:pPr>
            <w:r>
              <w:rPr>
                <w:rFonts w:hint="eastAsia" w:ascii="Times New Roman" w:hAnsi="Times New Roman" w:eastAsia="仿宋_GB2312" w:cs="仿宋_GB2312"/>
                <w:color w:val="auto"/>
                <w:kern w:val="0"/>
                <w:sz w:val="24"/>
                <w:highlight w:val="none"/>
                <w:lang w:bidi="ar"/>
              </w:rPr>
              <w:t>1IP</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仿宋_GB2312"/>
                <w:color w:val="auto"/>
                <w:kern w:val="2"/>
                <w:sz w:val="24"/>
                <w:szCs w:val="24"/>
                <w:highlight w:val="yellow"/>
                <w:lang w:val="en-US" w:eastAsia="zh-CN" w:bidi="ar-SA"/>
              </w:rPr>
            </w:pPr>
            <w:r>
              <w:rPr>
                <w:rFonts w:hint="eastAsia" w:ascii="Times New Roman" w:hAnsi="Times New Roman" w:eastAsia="仿宋_GB2312" w:cs="仿宋_GB2312"/>
                <w:color w:val="auto"/>
                <w:kern w:val="0"/>
                <w:sz w:val="24"/>
                <w:highlight w:val="none"/>
                <w:lang w:bidi="ar"/>
              </w:rPr>
              <w:t>元/月</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5</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eastAsia="宋体" w:cs="Times New Roman"/>
                <w:i w:val="0"/>
                <w:color w:val="000000"/>
                <w:kern w:val="0"/>
                <w:sz w:val="22"/>
                <w:szCs w:val="22"/>
                <w:u w:val="none"/>
                <w:lang w:val="en-US" w:eastAsia="zh-CN" w:bidi="ar"/>
              </w:rPr>
              <w:t>12</w:t>
            </w:r>
          </w:p>
        </w:tc>
      </w:tr>
    </w:tbl>
    <w:p>
      <w:pPr>
        <w:rPr>
          <w:rFonts w:ascii="宋体" w:hAnsi="宋体" w:cs="宋体"/>
          <w:color w:val="auto"/>
          <w:sz w:val="24"/>
          <w:highlight w:val="none"/>
        </w:rPr>
      </w:pPr>
    </w:p>
    <w:p>
      <w:pPr>
        <w:pStyle w:val="3"/>
        <w:spacing w:before="0" w:after="0" w:line="240" w:lineRule="auto"/>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项目背景或概况</w:t>
      </w:r>
    </w:p>
    <w:p>
      <w:pPr>
        <w:adjustRightInd w:val="0"/>
        <w:snapToGrid w:val="0"/>
        <w:spacing w:line="240" w:lineRule="auto"/>
        <w:ind w:firstLine="480" w:firstLineChars="200"/>
        <w:contextualSpacing/>
        <w:textAlignment w:val="baseline"/>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为贯彻落实北京市经济和信息化局关于印发《北京市市级政务云管理办法的通知》（京经信委函（2019）150号）文件的要求，北京市人大常委会机关政务外网系统自2018年起迁入市政务云。</w:t>
      </w:r>
      <w:r>
        <w:rPr>
          <w:rFonts w:hint="eastAsia" w:ascii="宋体" w:hAnsi="宋体" w:eastAsia="宋体" w:cs="宋体"/>
          <w:bCs/>
          <w:color w:val="auto"/>
          <w:sz w:val="24"/>
          <w:highlight w:val="none"/>
          <w:lang w:val="en-US" w:eastAsia="zh-CN"/>
        </w:rPr>
        <w:t>本项目</w:t>
      </w:r>
      <w:r>
        <w:rPr>
          <w:rFonts w:hint="eastAsia" w:ascii="宋体" w:hAnsi="宋体" w:eastAsia="宋体" w:cs="宋体"/>
          <w:bCs/>
          <w:color w:val="auto"/>
          <w:sz w:val="24"/>
          <w:highlight w:val="none"/>
        </w:rPr>
        <w:t>通过租用政务云平台基础服务，</w:t>
      </w:r>
      <w:r>
        <w:rPr>
          <w:rFonts w:hint="eastAsia" w:ascii="宋体" w:hAnsi="宋体" w:eastAsia="宋体" w:cs="宋体"/>
          <w:bCs/>
          <w:color w:val="auto"/>
          <w:sz w:val="24"/>
          <w:highlight w:val="none"/>
          <w:lang w:val="en-US" w:eastAsia="zh-CN"/>
        </w:rPr>
        <w:t>对系统</w:t>
      </w:r>
      <w:r>
        <w:rPr>
          <w:rFonts w:hint="eastAsia" w:ascii="宋体" w:hAnsi="宋体" w:eastAsia="宋体" w:cs="宋体"/>
          <w:bCs/>
          <w:color w:val="auto"/>
          <w:sz w:val="24"/>
          <w:highlight w:val="none"/>
        </w:rPr>
        <w:t>运行环境进行持续优化，提供可靠、稳定、安全的政务云基础服务</w:t>
      </w:r>
      <w:r>
        <w:rPr>
          <w:rFonts w:hint="eastAsia" w:ascii="宋体" w:hAnsi="宋体" w:eastAsia="宋体" w:cs="宋体"/>
          <w:bCs/>
          <w:color w:val="auto"/>
          <w:sz w:val="24"/>
          <w:highlight w:val="none"/>
          <w:lang w:eastAsia="zh-CN"/>
        </w:rPr>
        <w:t>。</w:t>
      </w:r>
    </w:p>
    <w:p>
      <w:pPr>
        <w:pStyle w:val="3"/>
        <w:numPr>
          <w:ilvl w:val="0"/>
          <w:numId w:val="0"/>
        </w:numPr>
        <w:spacing w:before="0" w:after="0" w:line="240" w:lineRule="auto"/>
        <w:ind w:leftChars="0"/>
        <w:jc w:val="both"/>
        <w:rPr>
          <w:rFonts w:ascii="黑体" w:hAnsi="黑体" w:eastAsia="黑体" w:cs="黑体"/>
          <w:color w:val="auto"/>
          <w:sz w:val="24"/>
          <w:highlight w:val="none"/>
        </w:rPr>
      </w:pPr>
      <w:r>
        <w:rPr>
          <w:rFonts w:hint="eastAsia" w:ascii="黑体" w:hAnsi="黑体" w:eastAsia="黑体" w:cs="黑体"/>
          <w:color w:val="auto"/>
          <w:sz w:val="24"/>
          <w:highlight w:val="none"/>
          <w:lang w:val="en-US" w:eastAsia="zh-CN"/>
        </w:rPr>
        <w:t>二、</w:t>
      </w:r>
      <w:r>
        <w:rPr>
          <w:rFonts w:hint="eastAsia" w:ascii="黑体" w:hAnsi="黑体" w:eastAsia="黑体" w:cs="黑体"/>
          <w:color w:val="auto"/>
          <w:sz w:val="24"/>
          <w:highlight w:val="none"/>
        </w:rPr>
        <w:t>商务要求</w:t>
      </w:r>
    </w:p>
    <w:p>
      <w:pPr>
        <w:pStyle w:val="2"/>
        <w:spacing w:before="0" w:line="240" w:lineRule="auto"/>
        <w:jc w:val="both"/>
        <w:rPr>
          <w:rFonts w:ascii="楷体" w:hAnsi="楷体" w:eastAsia="楷体" w:cs="楷体"/>
          <w:color w:val="auto"/>
          <w:sz w:val="24"/>
          <w:highlight w:val="none"/>
        </w:rPr>
      </w:pPr>
      <w:r>
        <w:rPr>
          <w:rFonts w:hint="eastAsia" w:ascii="楷体" w:hAnsi="楷体" w:eastAsia="楷体" w:cs="楷体"/>
          <w:color w:val="auto"/>
          <w:sz w:val="24"/>
          <w:highlight w:val="none"/>
        </w:rPr>
        <w:t>（一）服务地点</w:t>
      </w:r>
    </w:p>
    <w:p>
      <w:pPr>
        <w:pStyle w:val="6"/>
        <w:adjustRightInd w:val="0"/>
        <w:snapToGrid w:val="0"/>
        <w:spacing w:before="0" w:line="240" w:lineRule="auto"/>
        <w:ind w:firstLine="480"/>
        <w:textAlignment w:val="baseline"/>
        <w:rPr>
          <w:rFonts w:cs="宋体"/>
          <w:color w:val="auto"/>
          <w:highlight w:val="none"/>
        </w:rPr>
      </w:pPr>
      <w:r>
        <w:rPr>
          <w:rFonts w:hint="eastAsia" w:cs="宋体"/>
          <w:color w:val="auto"/>
          <w:highlight w:val="none"/>
        </w:rPr>
        <w:t>北京市政务云机房</w:t>
      </w:r>
    </w:p>
    <w:p>
      <w:pPr>
        <w:pStyle w:val="2"/>
        <w:spacing w:before="0" w:line="240" w:lineRule="auto"/>
        <w:jc w:val="both"/>
        <w:rPr>
          <w:rFonts w:ascii="楷体" w:hAnsi="楷体" w:eastAsia="楷体" w:cs="楷体"/>
          <w:color w:val="auto"/>
          <w:sz w:val="24"/>
          <w:highlight w:val="none"/>
        </w:rPr>
      </w:pPr>
      <w:r>
        <w:rPr>
          <w:rFonts w:hint="eastAsia" w:ascii="楷体" w:hAnsi="楷体" w:eastAsia="楷体" w:cs="楷体"/>
          <w:color w:val="auto"/>
          <w:sz w:val="24"/>
          <w:highlight w:val="none"/>
        </w:rPr>
        <w:t>（二）服务期限</w:t>
      </w:r>
    </w:p>
    <w:p>
      <w:pPr>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自合同签订之日起</w:t>
      </w:r>
      <w:r>
        <w:rPr>
          <w:rFonts w:hint="eastAsia" w:ascii="宋体" w:hAnsi="宋体" w:cs="宋体"/>
          <w:color w:val="auto"/>
          <w:sz w:val="24"/>
          <w:highlight w:val="none"/>
        </w:rPr>
        <w:t>12个月</w:t>
      </w:r>
    </w:p>
    <w:p>
      <w:pPr>
        <w:pStyle w:val="2"/>
        <w:spacing w:before="0" w:line="240" w:lineRule="auto"/>
        <w:jc w:val="both"/>
        <w:rPr>
          <w:rFonts w:ascii="楷体" w:hAnsi="楷体" w:eastAsia="楷体" w:cs="楷体"/>
          <w:color w:val="auto"/>
          <w:sz w:val="24"/>
          <w:highlight w:val="none"/>
        </w:rPr>
      </w:pPr>
      <w:r>
        <w:rPr>
          <w:rFonts w:hint="eastAsia" w:ascii="楷体" w:hAnsi="楷体" w:eastAsia="楷体" w:cs="楷体"/>
          <w:color w:val="auto"/>
          <w:sz w:val="24"/>
          <w:highlight w:val="none"/>
        </w:rPr>
        <w:t>（三）支付方式</w:t>
      </w:r>
    </w:p>
    <w:p>
      <w:pPr>
        <w:adjustRightInd w:val="0"/>
        <w:snapToGrid w:val="0"/>
        <w:spacing w:line="240" w:lineRule="auto"/>
        <w:ind w:firstLine="480" w:firstLineChars="200"/>
        <w:contextualSpacing/>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服务费用分</w:t>
      </w:r>
      <w:r>
        <w:rPr>
          <w:rFonts w:hint="eastAsia" w:ascii="宋体" w:hAnsi="宋体" w:eastAsia="宋体" w:cs="宋体"/>
          <w:bCs/>
          <w:color w:val="auto"/>
          <w:sz w:val="24"/>
          <w:highlight w:val="none"/>
          <w:lang w:eastAsia="zh-CN"/>
        </w:rPr>
        <w:t>两</w:t>
      </w:r>
      <w:r>
        <w:rPr>
          <w:rFonts w:hint="eastAsia" w:ascii="宋体" w:hAnsi="宋体" w:eastAsia="宋体" w:cs="宋体"/>
          <w:bCs/>
          <w:color w:val="auto"/>
          <w:sz w:val="24"/>
          <w:highlight w:val="none"/>
        </w:rPr>
        <w:t>笔支付：</w:t>
      </w:r>
    </w:p>
    <w:p>
      <w:pPr>
        <w:adjustRightInd w:val="0"/>
        <w:snapToGrid w:val="0"/>
        <w:spacing w:line="240" w:lineRule="auto"/>
        <w:ind w:firstLine="480" w:firstLineChars="200"/>
        <w:contextualSpacing/>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第一笔：双方签订合同且财政资金下达（具体时间以采购人确认的情况为准）后30个工作日内，支付合同总额的</w:t>
      </w:r>
      <w:r>
        <w:rPr>
          <w:rFonts w:hint="eastAsia" w:ascii="宋体" w:hAnsi="宋体" w:eastAsia="宋体" w:cs="宋体"/>
          <w:bCs/>
          <w:color w:val="auto"/>
          <w:sz w:val="24"/>
          <w:highlight w:val="none"/>
          <w:lang w:val="en-US" w:eastAsia="zh-CN"/>
        </w:rPr>
        <w:t>50</w:t>
      </w:r>
      <w:r>
        <w:rPr>
          <w:rFonts w:hint="eastAsia" w:ascii="宋体" w:hAnsi="宋体" w:eastAsia="宋体" w:cs="宋体"/>
          <w:bCs/>
          <w:color w:val="auto"/>
          <w:sz w:val="24"/>
          <w:highlight w:val="none"/>
        </w:rPr>
        <w:t>%；</w:t>
      </w:r>
    </w:p>
    <w:p>
      <w:pPr>
        <w:adjustRightInd w:val="0"/>
        <w:snapToGrid w:val="0"/>
        <w:spacing w:line="240" w:lineRule="auto"/>
        <w:ind w:firstLine="480" w:firstLineChars="200"/>
        <w:contextualSpacing/>
        <w:textAlignment w:val="baseline"/>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第二笔：服务期满，采购人对项目进行竣工验收，验收通过后支付合同总额的</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0%。</w:t>
      </w:r>
    </w:p>
    <w:p>
      <w:pPr>
        <w:pStyle w:val="3"/>
        <w:numPr>
          <w:ilvl w:val="0"/>
          <w:numId w:val="0"/>
        </w:numPr>
        <w:spacing w:before="0" w:after="0" w:line="240" w:lineRule="auto"/>
        <w:ind w:left="0" w:firstLine="0"/>
        <w:jc w:val="both"/>
        <w:rPr>
          <w:rFonts w:ascii="黑体" w:hAnsi="黑体" w:eastAsia="黑体" w:cs="黑体"/>
          <w:color w:val="auto"/>
          <w:sz w:val="24"/>
          <w:highlight w:val="none"/>
        </w:rPr>
      </w:pPr>
      <w:r>
        <w:rPr>
          <w:rFonts w:hint="eastAsia" w:ascii="黑体" w:hAnsi="黑体" w:eastAsia="黑体" w:cs="黑体"/>
          <w:color w:val="auto"/>
          <w:sz w:val="24"/>
          <w:highlight w:val="none"/>
          <w:lang w:val="en-US" w:eastAsia="zh-CN"/>
        </w:rPr>
        <w:t>三、技术要求</w:t>
      </w:r>
    </w:p>
    <w:p>
      <w:pPr>
        <w:pStyle w:val="2"/>
        <w:spacing w:before="0" w:line="240" w:lineRule="auto"/>
        <w:jc w:val="both"/>
        <w:rPr>
          <w:rFonts w:ascii="楷体" w:hAnsi="楷体" w:eastAsia="楷体" w:cs="楷体"/>
          <w:color w:val="auto"/>
          <w:sz w:val="24"/>
          <w:highlight w:val="none"/>
        </w:rPr>
      </w:pPr>
      <w:r>
        <w:rPr>
          <w:rFonts w:hint="eastAsia" w:ascii="楷体" w:hAnsi="楷体" w:eastAsia="楷体" w:cs="楷体"/>
          <w:color w:val="auto"/>
          <w:sz w:val="24"/>
          <w:highlight w:val="none"/>
        </w:rPr>
        <w:t>（一）云主机服务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1.1服务内容</w:t>
      </w:r>
    </w:p>
    <w:p>
      <w:pPr>
        <w:snapToGrid w:val="0"/>
        <w:spacing w:line="360" w:lineRule="auto"/>
        <w:ind w:firstLine="480" w:firstLineChars="200"/>
        <w:rPr>
          <w:rFonts w:ascii="Times New Roman" w:hAnsi="Times New Roman" w:eastAsia="宋体" w:cs="宋体"/>
          <w:bCs/>
          <w:color w:val="auto"/>
          <w:sz w:val="24"/>
          <w:highlight w:val="none"/>
        </w:rPr>
      </w:pPr>
      <w:r>
        <w:rPr>
          <w:rFonts w:hint="eastAsia" w:ascii="Times New Roman" w:hAnsi="Times New Roman" w:eastAsia="宋体" w:cs="宋体"/>
          <w:bCs/>
          <w:color w:val="auto"/>
          <w:sz w:val="24"/>
          <w:highlight w:val="none"/>
        </w:rPr>
        <w:t>按照采购人的具体需求，提供云主机服务，按需求对CPU及内存进行动态调整，实现合理的计算资源配置。在提供政务云主机的服务过程中做好与采购人和对应项目应用开发厂商的协调沟通工作。</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1.2服务标准</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1.2.1 云主机应实现物理机的全部功能，如具有CPU、存储、内存、网卡等资源，可以指定单独的IP地址等；</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1.2.2 支持存储裸设备映射（RDM），可以将存储设备上的LUN直接映射给虚拟机使用，并且支持SCSI指令使用透传模式或者非透传模式；</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1.2.3 云主机提供基于GPU图形图像计算服务；</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1.2.4 应满足云主机之间、CPU之间隔离保护要求；</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1.2.5 支持资源的动态调整，根据业务的负载情况实现业务系统虚拟机的动态扩展和回收；</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1.2.6 支持在线进行虚拟化软件版本升级，不同版本之间可以相互兼容；</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1.2.7 支持异构虚拟化能力，如KVM等多种虚拟化技术；</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1.2.8 云主机出现故障时，支持自动重启或者迁移，保障业务连续性；</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1.2.9 支持虚拟机热迁移，可在不同代CPU资源池中进行虚拟机热迁移；</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1.2.10 云计算资源性能要求包括但不限于如下：</w:t>
      </w:r>
    </w:p>
    <w:p>
      <w:pPr>
        <w:pStyle w:val="4"/>
        <w:snapToGrid w:val="0"/>
        <w:ind w:firstLine="480"/>
        <w:rPr>
          <w:rFonts w:ascii="Times New Roman" w:hAnsi="Times New Roman" w:eastAsia="宋体" w:cs="宋体"/>
          <w:color w:val="auto"/>
          <w:sz w:val="24"/>
          <w:highlight w:val="none"/>
        </w:rPr>
      </w:pPr>
      <w:bookmarkStart w:id="4" w:name="OLE_LINK1"/>
      <w:r>
        <w:rPr>
          <w:rFonts w:hint="eastAsia" w:ascii="Times New Roman" w:hAnsi="Times New Roman" w:eastAsia="宋体" w:cs="宋体"/>
          <w:color w:val="auto"/>
          <w:sz w:val="24"/>
          <w:highlight w:val="none"/>
        </w:rPr>
        <w:t>1.2.10.1 主机</w:t>
      </w:r>
      <w:bookmarkEnd w:id="4"/>
      <w:r>
        <w:rPr>
          <w:rFonts w:hint="eastAsia" w:ascii="Times New Roman" w:hAnsi="Times New Roman" w:eastAsia="宋体" w:cs="宋体"/>
          <w:color w:val="auto"/>
          <w:sz w:val="24"/>
          <w:highlight w:val="none"/>
        </w:rPr>
        <w:t>CPU主频不低于2.40 GHz；</w:t>
      </w:r>
    </w:p>
    <w:p>
      <w:pPr>
        <w:pStyle w:val="4"/>
        <w:snapToGrid w:val="0"/>
        <w:ind w:firstLine="480"/>
        <w:rPr>
          <w:rFonts w:hAnsi="宋体" w:cs="宋体"/>
          <w:color w:val="auto"/>
          <w:highlight w:val="none"/>
        </w:rPr>
      </w:pPr>
      <w:r>
        <w:rPr>
          <w:rFonts w:hint="eastAsia" w:ascii="Times New Roman" w:hAnsi="Times New Roman" w:eastAsia="宋体" w:cs="宋体"/>
          <w:color w:val="auto"/>
          <w:sz w:val="24"/>
          <w:highlight w:val="none"/>
        </w:rPr>
        <w:t>1.2.10.2 主机内存硬件配置不低于DDR4-2400MHz；</w:t>
      </w:r>
    </w:p>
    <w:p>
      <w:pPr>
        <w:pStyle w:val="2"/>
        <w:spacing w:before="0" w:line="240" w:lineRule="auto"/>
        <w:jc w:val="both"/>
        <w:rPr>
          <w:rFonts w:ascii="楷体" w:hAnsi="楷体" w:eastAsia="楷体" w:cs="楷体"/>
          <w:color w:val="auto"/>
          <w:sz w:val="24"/>
          <w:highlight w:val="none"/>
        </w:rPr>
      </w:pPr>
      <w:r>
        <w:rPr>
          <w:rFonts w:hint="eastAsia" w:ascii="楷体" w:hAnsi="楷体" w:eastAsia="楷体" w:cs="楷体"/>
          <w:color w:val="auto"/>
          <w:sz w:val="24"/>
          <w:highlight w:val="none"/>
        </w:rPr>
        <w:t>（二）存储服务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2.1服务内容</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按照采购人的具体需求，提供存储服务，包括：普通性能存储、高性能存储和本地备份服务，实现合理的存储资源配置。在提供政务云存储的服务过程中需做好采购人和对应项目应用开发厂商的协调沟通工作。</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2.2服务标准</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2.2.1 支持结构化数据、半结构化数据和非结构化数据等多种数据类型存储；</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2.2.2 支持块存储、对象存储、文件存储等多种存储方法，满足数据备份、视频存储等不同应用场景使用要求；</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2.2.3 支持存储资源扩展能力，例如：PB级扩展；</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2.2.4 支持磁盘容错技术，如磁盘故障后节点的自动平衡和重构、硬盘故障检测和处理、集群节点出现单盘故障时不影响业务运行等；</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2.2.5 支持加密存储，使用的密码算法应符合法律、法规的规定和密码相关国家标准、行业标准的有关要求；</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2.2.6 存储资源性能要求包括但不限于如下：</w:t>
      </w:r>
    </w:p>
    <w:p>
      <w:pPr>
        <w:pStyle w:val="4"/>
        <w:snapToGrid w:val="0"/>
        <w:ind w:firstLine="480"/>
        <w:rPr>
          <w:rFonts w:hAnsi="宋体" w:cs="宋体"/>
          <w:color w:val="auto"/>
          <w:highlight w:val="none"/>
        </w:rPr>
      </w:pPr>
      <w:r>
        <w:rPr>
          <w:rFonts w:hint="eastAsia" w:ascii="Times New Roman" w:hAnsi="Times New Roman" w:eastAsia="宋体" w:cs="宋体"/>
          <w:color w:val="auto"/>
          <w:sz w:val="24"/>
          <w:highlight w:val="none"/>
        </w:rPr>
        <w:t>2.2.6.1 吞吐量：</w:t>
      </w:r>
      <w:bookmarkStart w:id="5" w:name="OLE_LINK2"/>
      <w:r>
        <w:rPr>
          <w:rFonts w:hint="eastAsia" w:ascii="Times New Roman" w:hAnsi="Times New Roman" w:eastAsia="宋体" w:cs="宋体"/>
          <w:color w:val="auto"/>
          <w:sz w:val="24"/>
          <w:highlight w:val="none"/>
        </w:rPr>
        <w:t>高性能存储系统的读写带宽应不低于1000MB/s</w:t>
      </w:r>
      <w:bookmarkEnd w:id="5"/>
      <w:r>
        <w:rPr>
          <w:rFonts w:hint="eastAsia" w:ascii="Times New Roman" w:hAnsi="Times New Roman" w:eastAsia="宋体" w:cs="宋体"/>
          <w:color w:val="auto"/>
          <w:sz w:val="24"/>
          <w:highlight w:val="none"/>
        </w:rPr>
        <w:t>,IOPS不低于20000;普通性能存储系统的读写带宽应不低于200MB/s，IOPS不低于1000。</w:t>
      </w:r>
    </w:p>
    <w:p>
      <w:pPr>
        <w:pStyle w:val="2"/>
        <w:spacing w:before="0" w:line="240" w:lineRule="auto"/>
        <w:jc w:val="both"/>
        <w:rPr>
          <w:rFonts w:ascii="楷体" w:hAnsi="楷体" w:eastAsia="楷体" w:cs="楷体"/>
          <w:color w:val="auto"/>
          <w:sz w:val="24"/>
          <w:highlight w:val="none"/>
        </w:rPr>
      </w:pPr>
      <w:r>
        <w:rPr>
          <w:rFonts w:hint="eastAsia" w:ascii="楷体" w:hAnsi="楷体" w:eastAsia="楷体" w:cs="楷体"/>
          <w:color w:val="auto"/>
          <w:sz w:val="24"/>
          <w:highlight w:val="none"/>
        </w:rPr>
        <w:t>（三）网络服务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3.1服务内容</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3.1.1 提供互联网链路带宽服务、互联网IP地址租用服务，并提供相应的网络域名备案服务，配合应用开发厂商提供网络策略配置服务。</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3.1.2 主机负载均衡服务，通过云管理平台实现针每租户按需自动分配负载均衡服务的能力。</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3.1.3 远程接入服务，提供互联网远程接入服务，每个账号结合身份验证接入堡垒机维护应用系统。</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3.2服务标准</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网络系统提供稳定的数据传输能力，一般要求如下：</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3.2.1 具备多运营商网络接入服务的能力；</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3.2.2 数据中心组网架构设计可采用大二层网络架构，支持云主机无障碍动态迁移；</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3.2.3 应采用集群部署网络控制，以保障升级时业务不中断；</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3.2.4 应实现自动化动态网络资源调配和隔离，支持与互联网、电子政务外网及行业部门专网的连接；</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3.2.5 支持IPv6地址分配，满足业务系统IPv6要求；</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3.2.6 具备边界防火墙和VPC防火墙隔离能力，分别针对不同的流量进行安全策略防护与配置；</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3.2.7 具备高可用虚拟IP能力，在集群或主备场景下，云主机可绑定高可用虚拟IP，达到高可用访问效果；</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3.2.8 采用双活网络架构，降低单点故障带来的稳定风险；为入云系统划分安全区域，合理制定访问规则。</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3.2.9 网络系统性能要求包括但不限于如下：</w:t>
      </w:r>
    </w:p>
    <w:p>
      <w:pPr>
        <w:pStyle w:val="4"/>
        <w:snapToGrid w:val="0"/>
        <w:ind w:firstLine="480"/>
        <w:rPr>
          <w:rFonts w:ascii="Times New Roman" w:hAnsi="Times New Roman" w:eastAsia="宋体" w:cs="宋体"/>
          <w:color w:val="auto"/>
          <w:sz w:val="24"/>
          <w:highlight w:val="none"/>
        </w:rPr>
      </w:pPr>
      <w:bookmarkStart w:id="6" w:name="OLE_LINK4"/>
      <w:r>
        <w:rPr>
          <w:rFonts w:hint="eastAsia" w:ascii="Times New Roman" w:hAnsi="Times New Roman" w:eastAsia="宋体" w:cs="宋体"/>
          <w:color w:val="auto"/>
          <w:sz w:val="24"/>
          <w:highlight w:val="none"/>
        </w:rPr>
        <w:t xml:space="preserve">3.2.9.1 </w:t>
      </w:r>
      <w:bookmarkEnd w:id="6"/>
      <w:bookmarkStart w:id="7" w:name="OLE_LINK3"/>
      <w:r>
        <w:rPr>
          <w:rFonts w:hint="eastAsia" w:ascii="Times New Roman" w:hAnsi="Times New Roman" w:eastAsia="宋体" w:cs="宋体"/>
          <w:color w:val="auto"/>
          <w:sz w:val="24"/>
          <w:highlight w:val="none"/>
        </w:rPr>
        <w:t>政</w:t>
      </w:r>
      <w:bookmarkEnd w:id="7"/>
      <w:r>
        <w:rPr>
          <w:rFonts w:hint="eastAsia" w:ascii="Times New Roman" w:hAnsi="Times New Roman" w:eastAsia="宋体" w:cs="宋体"/>
          <w:color w:val="auto"/>
          <w:sz w:val="24"/>
          <w:highlight w:val="none"/>
        </w:rPr>
        <w:t>务云政务外网出口总带宽10Gbps；</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3.2.9.2 政务云互联网出口总带宽5Gbps；</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3.2.9.3 云主机云内相互调用带宽不低于1Gb/s；</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3.2.9.4 数据传输中的丢包比例低于0.01%。</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3.2.10 远程接入服务支持基于IP/IP段、用户/用户组、资产/资产组、协议、危险级别等组合策略进行访问控制，对于不合法的行为予以阻断；可基于运维账号的登陆时间和资产登陆时间进行访问控制；可基于运维操作命令进行访问控制；可基于主机、用户、IP地址控制审计日志的访问权限；</w:t>
      </w:r>
    </w:p>
    <w:p>
      <w:pPr>
        <w:pStyle w:val="4"/>
        <w:snapToGrid w:val="0"/>
        <w:ind w:firstLine="480"/>
        <w:rPr>
          <w:rFonts w:hAnsi="宋体" w:cs="宋体"/>
          <w:color w:val="auto"/>
          <w:highlight w:val="none"/>
        </w:rPr>
      </w:pPr>
      <w:r>
        <w:rPr>
          <w:rFonts w:hint="eastAsia" w:ascii="Times New Roman" w:hAnsi="Times New Roman" w:eastAsia="宋体" w:cs="宋体"/>
          <w:color w:val="auto"/>
          <w:sz w:val="24"/>
          <w:highlight w:val="none"/>
        </w:rPr>
        <w:t>3.2.11 供应商应强化远程运维管理，因业务确需通过互联网远程运维的，应当采取安全管控措施，向采购提供安全管控方案。重要保障时期可以做到远程接入账号禁用操作，根据需求随时执行远程接入账号管控操作，并根据需求导出运维录屏操作记录。</w:t>
      </w:r>
    </w:p>
    <w:p>
      <w:pPr>
        <w:pStyle w:val="2"/>
        <w:spacing w:before="0" w:line="240" w:lineRule="auto"/>
        <w:jc w:val="both"/>
        <w:rPr>
          <w:rFonts w:ascii="楷体" w:hAnsi="楷体" w:eastAsia="楷体" w:cs="楷体"/>
          <w:color w:val="auto"/>
          <w:sz w:val="24"/>
          <w:highlight w:val="none"/>
        </w:rPr>
      </w:pPr>
      <w:r>
        <w:rPr>
          <w:rFonts w:hint="eastAsia" w:ascii="楷体" w:hAnsi="楷体" w:eastAsia="楷体" w:cs="楷体"/>
          <w:color w:val="auto"/>
          <w:sz w:val="24"/>
          <w:highlight w:val="none"/>
        </w:rPr>
        <w:t>（四）运维服务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4.1服务内容</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4.1.1 负责机房环境资源、云平台硬件资产、虚拟化资产的管理工作；</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4.1.2 信息系统入云、上线、变更、退出等各阶段的备案与信息变更等工作；</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4.1.3 执行云平台变更申请、审批流程；</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4.1.4 云平台网络资源管理，针对内部地址使用情况、云平台专线接入情况、政务外网资源使用情况等做好统计工作；</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4.1.5 服务期内，</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须配备运维团队，提供可靠的售后服务保障。</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针对采购人要求的云平台运维服务相关内容，需指定专业技术能力较强的工程师，根据采购人要求配合开展相关维护服务。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4.2服务标准</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4.2.1 依据《北京市市级政务云管理办法》，</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当提供高效的系统维护服务，有效防范系统风险，系统对应负责人7*24小时电话畅通，能够在系统发生除宕机外的其他故障问题时，能够协调人力资源在1小时内到达政务云机房现场提供服务。系统发生宕机问题时，</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应在15分钟内响应，能够协调人力资源在2小时内到达运维现场定位、排除故障，在4个小时之内使系统恢复正常，故障处理完毕后提供相关系统宕机报告。</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4.2.2 为保障业务高峰期内系统平稳运行，缓解系统高峰期内因业务发生量增大而带来系统压力风险，要求</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根据业务周期性特点，加大运维保障力度，保证在业务高峰期内系统平稳运行。</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3</w:t>
      </w:r>
      <w:r>
        <w:rPr>
          <w:rFonts w:hint="eastAsia" w:ascii="Times New Roman" w:hAnsi="Times New Roman" w:eastAsia="宋体" w:cs="宋体"/>
          <w:color w:val="auto"/>
          <w:sz w:val="24"/>
          <w:highlight w:val="none"/>
        </w:rPr>
        <w:t xml:space="preserve"> 重点保障时期重要信息系统云主机资源调整时间不超过1小时，针对重点保障时期的重要信息系统重要云主机，</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应按采购人要求进行实时监控，超过预警阈值时主动上调云资源，并第一时间通知采购人进行相应操作，确保系统平稳运行。</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4</w:t>
      </w:r>
      <w:r>
        <w:rPr>
          <w:rFonts w:hint="eastAsia" w:ascii="Times New Roman" w:hAnsi="Times New Roman" w:eastAsia="宋体" w:cs="宋体"/>
          <w:color w:val="auto"/>
          <w:sz w:val="24"/>
          <w:highlight w:val="none"/>
        </w:rPr>
        <w:t xml:space="preserve"> 按照国家、北京市相关规定和信息安全技术标准及规范要求, 落实安全保障措施, 通过信息安全测评机构的测评和政务云安全审查 。</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5</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明确运维操作规范和工作流程。定期开展文档查阅、漏洞扫描、渗透测试等多种形式的安全自查，排查政务网络和信息系统可能存在的安全漏洞，以及木马、后门、病毒等隐患风险，及时进行整改加固，切实防范安全风险。</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6</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建立政务网络和数据安全监测通报机制，加强网络和数据安全监测，及时发布预警信息，开展政务网络和数据安全应急保障工作。发现其网络产品或服务存在安全漏洞等隐患风险时，应当立即采取补救措施，按照规定及时告知采购人并向有关监管部门报告。</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7</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应保障政务云规范运行。入云系统应开展网络安全测评及备案。应对数据进行分类分级管理，根据数据分级保护要求采取相应级别的安全防护措施；应按相关要求对重要数据进行异地备份。</w:t>
      </w:r>
    </w:p>
    <w:p>
      <w:pPr>
        <w:pStyle w:val="4"/>
        <w:snapToGrid w:val="0"/>
        <w:ind w:firstLine="480"/>
        <w:rPr>
          <w:rFonts w:hAnsi="宋体" w:cs="宋体"/>
          <w:color w:val="auto"/>
          <w:highlight w:val="none"/>
        </w:rPr>
      </w:pPr>
      <w:r>
        <w:rPr>
          <w:rFonts w:hint="eastAsia" w:ascii="Times New Roman" w:hAnsi="Times New Roman" w:eastAsia="宋体" w:cs="宋体"/>
          <w:color w:val="auto"/>
          <w:sz w:val="24"/>
          <w:highlight w:val="none"/>
        </w:rPr>
        <w:t>4.2.</w:t>
      </w:r>
      <w:r>
        <w:rPr>
          <w:rFonts w:ascii="Times New Roman" w:hAnsi="Times New Roman" w:eastAsia="宋体" w:cs="宋体"/>
          <w:color w:val="auto"/>
          <w:sz w:val="24"/>
          <w:highlight w:val="none"/>
        </w:rPr>
        <w:t>8</w:t>
      </w:r>
      <w:r>
        <w:rPr>
          <w:rFonts w:hint="eastAsia" w:ascii="Times New Roman" w:hAnsi="Times New Roman" w:eastAsia="宋体" w:cs="宋体"/>
          <w:color w:val="auto"/>
          <w:sz w:val="24"/>
          <w:highlight w:val="none"/>
        </w:rPr>
        <w:t>除不可抗力或计划内维护作业造成的政务云服务中断外,政务云实行24小时不间断运行。</w:t>
      </w:r>
    </w:p>
    <w:p>
      <w:pPr>
        <w:pStyle w:val="2"/>
        <w:spacing w:before="0" w:line="240" w:lineRule="auto"/>
        <w:jc w:val="both"/>
        <w:rPr>
          <w:rFonts w:hint="eastAsia" w:ascii="楷体" w:hAnsi="楷体" w:eastAsia="楷体" w:cs="楷体"/>
          <w:color w:val="auto"/>
          <w:sz w:val="24"/>
          <w:highlight w:val="none"/>
        </w:rPr>
      </w:pPr>
      <w:bookmarkStart w:id="8" w:name="_Toc1619642417"/>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五</w:t>
      </w:r>
      <w:r>
        <w:rPr>
          <w:rFonts w:hint="eastAsia" w:ascii="楷体" w:hAnsi="楷体" w:eastAsia="楷体" w:cs="楷体"/>
          <w:color w:val="auto"/>
          <w:sz w:val="24"/>
          <w:highlight w:val="none"/>
        </w:rPr>
        <w:t>）迁移服务</w:t>
      </w:r>
      <w:bookmarkEnd w:id="8"/>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lang w:val="en-US" w:eastAsia="zh-CN"/>
        </w:rPr>
        <w:t>5</w:t>
      </w:r>
      <w:r>
        <w:rPr>
          <w:rFonts w:hint="eastAsia" w:ascii="Times New Roman" w:hAnsi="Times New Roman" w:eastAsia="宋体" w:cs="宋体"/>
          <w:b/>
          <w:bCs/>
          <w:color w:val="auto"/>
          <w:sz w:val="24"/>
          <w:highlight w:val="none"/>
        </w:rPr>
        <w:t>.1服务内容</w:t>
      </w:r>
    </w:p>
    <w:p>
      <w:pPr>
        <w:pStyle w:val="4"/>
        <w:snapToGrid w:val="0"/>
        <w:ind w:firstLine="480"/>
        <w:rPr>
          <w:rFonts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需提供整体的业务上云迁移服务，应支持X86云主机迁移、X86物理主机迁移、单机数据库迁移、高可用数据库迁移等迁移场景。负责需求调研、架构规划设计、应用迁移部署等工作。</w:t>
      </w:r>
    </w:p>
    <w:p>
      <w:pPr>
        <w:ind w:firstLine="482" w:firstLineChars="200"/>
        <w:rPr>
          <w:rFonts w:ascii="Times New Roman" w:hAnsi="Times New Roman" w:eastAsia="宋体" w:cs="宋体"/>
          <w:bCs/>
          <w:color w:val="auto"/>
          <w:sz w:val="24"/>
          <w:highlight w:val="none"/>
          <w:lang w:bidi="ar"/>
        </w:rPr>
      </w:pPr>
      <w:r>
        <w:rPr>
          <w:rFonts w:hint="eastAsia" w:ascii="Times New Roman" w:hAnsi="Times New Roman" w:eastAsia="宋体" w:cs="宋体"/>
          <w:b/>
          <w:bCs/>
          <w:color w:val="auto"/>
          <w:sz w:val="24"/>
          <w:highlight w:val="none"/>
          <w:lang w:val="en-US" w:eastAsia="zh-CN"/>
        </w:rPr>
        <w:t>5</w:t>
      </w:r>
      <w:r>
        <w:rPr>
          <w:rFonts w:hint="eastAsia" w:ascii="Times New Roman" w:hAnsi="Times New Roman" w:eastAsia="宋体" w:cs="宋体"/>
          <w:b/>
          <w:bCs/>
          <w:color w:val="auto"/>
          <w:sz w:val="24"/>
          <w:highlight w:val="none"/>
        </w:rPr>
        <w:t>.2服务标准</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本项目涉及的业务系统为采购人在用的生产系统，目前在政务云上平稳运行，因此保障业务连续性是重要的保障需求。迁移服务具体要求如下：</w:t>
      </w:r>
    </w:p>
    <w:p>
      <w:pPr>
        <w:pStyle w:val="4"/>
        <w:snapToGrid w:val="0"/>
        <w:ind w:firstLine="480"/>
        <w:rPr>
          <w:rFonts w:ascii="Times New Roman" w:hAnsi="Times New Roman" w:eastAsia="宋体" w:cs="宋体"/>
          <w:b w:val="0"/>
          <w:bCs w:val="0"/>
          <w:color w:val="auto"/>
          <w:sz w:val="24"/>
          <w:highlight w:val="none"/>
        </w:rPr>
      </w:pPr>
      <w:r>
        <w:rPr>
          <w:rFonts w:hint="eastAsia" w:ascii="Times New Roman" w:hAnsi="Times New Roman" w:eastAsia="宋体" w:cs="宋体"/>
          <w:b w:val="0"/>
          <w:bCs w:val="0"/>
          <w:color w:val="auto"/>
          <w:sz w:val="24"/>
          <w:highlight w:val="none"/>
          <w:lang w:val="en-US" w:eastAsia="zh-CN"/>
        </w:rPr>
        <w:t>5</w:t>
      </w:r>
      <w:r>
        <w:rPr>
          <w:rFonts w:hint="eastAsia" w:ascii="Times New Roman" w:hAnsi="Times New Roman" w:eastAsia="宋体" w:cs="宋体"/>
          <w:b w:val="0"/>
          <w:bCs w:val="0"/>
          <w:color w:val="auto"/>
          <w:sz w:val="24"/>
          <w:highlight w:val="none"/>
        </w:rPr>
        <w:t xml:space="preserve">.2.1 </w:t>
      </w:r>
      <w:r>
        <w:rPr>
          <w:rFonts w:hint="eastAsia" w:ascii="Times New Roman" w:cs="宋体"/>
          <w:b w:val="0"/>
          <w:bCs w:val="0"/>
          <w:color w:val="auto"/>
          <w:sz w:val="24"/>
          <w:highlight w:val="none"/>
          <w:lang w:eastAsia="zh-CN"/>
        </w:rPr>
        <w:t>报价人</w:t>
      </w:r>
      <w:r>
        <w:rPr>
          <w:rFonts w:hint="eastAsia" w:ascii="Times New Roman" w:hAnsi="Times New Roman" w:eastAsia="宋体" w:cs="宋体"/>
          <w:b w:val="0"/>
          <w:bCs w:val="0"/>
          <w:color w:val="auto"/>
          <w:sz w:val="24"/>
          <w:highlight w:val="none"/>
        </w:rPr>
        <w:t>需编制业务连续性服务方案。</w:t>
      </w:r>
    </w:p>
    <w:p>
      <w:pPr>
        <w:pStyle w:val="4"/>
        <w:snapToGrid w:val="0"/>
        <w:ind w:firstLine="480"/>
        <w:rPr>
          <w:rFonts w:ascii="Times New Roman" w:hAnsi="Times New Roman" w:eastAsia="宋体" w:cs="宋体"/>
          <w:b w:val="0"/>
          <w:bCs w:val="0"/>
          <w:color w:val="auto"/>
          <w:sz w:val="24"/>
          <w:highlight w:val="none"/>
        </w:rPr>
      </w:pPr>
      <w:r>
        <w:rPr>
          <w:rFonts w:hint="eastAsia" w:ascii="Times New Roman" w:hAnsi="Times New Roman" w:eastAsia="宋体" w:cs="宋体"/>
          <w:b w:val="0"/>
          <w:bCs w:val="0"/>
          <w:color w:val="auto"/>
          <w:sz w:val="24"/>
          <w:highlight w:val="none"/>
          <w:lang w:val="en-US" w:eastAsia="zh-CN"/>
        </w:rPr>
        <w:t>5</w:t>
      </w:r>
      <w:r>
        <w:rPr>
          <w:rFonts w:hint="eastAsia" w:ascii="Times New Roman" w:hAnsi="Times New Roman" w:eastAsia="宋体" w:cs="宋体"/>
          <w:b w:val="0"/>
          <w:bCs w:val="0"/>
          <w:color w:val="auto"/>
          <w:sz w:val="24"/>
          <w:highlight w:val="none"/>
        </w:rPr>
        <w:t>.2.2 本项目如涉及系统迁移，在连续性服务方案中需提供确实可行的迁移部署服务子方案，迁移部署服务子方案应包括（但不限于）迁移部署流程（包含但不限于应用、虚拟机和数据类迁移）、业务系统部署迁移方案。迁移部署服务子方案应明确需要采购人配合的具体工作内容及时长，针对系统迁移过程中容易造成业务系统中断的环节，包含但不限于互联网及政务外网IP变更割接、业务数据同步及切换上线、应急回退方案等，进行风险评估，提出详细解决方案。</w:t>
      </w:r>
    </w:p>
    <w:p>
      <w:pPr>
        <w:pStyle w:val="4"/>
        <w:snapToGrid w:val="0"/>
        <w:ind w:firstLine="480"/>
        <w:rPr>
          <w:rFonts w:hAnsi="宋体" w:cs="宋体"/>
          <w:color w:val="auto"/>
          <w:highlight w:val="none"/>
        </w:rPr>
      </w:pPr>
      <w:r>
        <w:rPr>
          <w:rFonts w:hint="eastAsia" w:ascii="Times New Roman" w:hAnsi="Times New Roman" w:eastAsia="宋体" w:cs="宋体"/>
          <w:b w:val="0"/>
          <w:bCs w:val="0"/>
          <w:color w:val="auto"/>
          <w:sz w:val="24"/>
          <w:highlight w:val="none"/>
          <w:lang w:val="en-US" w:eastAsia="zh-CN"/>
        </w:rPr>
        <w:t>5</w:t>
      </w:r>
      <w:r>
        <w:rPr>
          <w:rFonts w:hint="eastAsia" w:ascii="Times New Roman" w:hAnsi="Times New Roman" w:eastAsia="宋体" w:cs="宋体"/>
          <w:b w:val="0"/>
          <w:bCs w:val="0"/>
          <w:color w:val="auto"/>
          <w:sz w:val="24"/>
          <w:highlight w:val="none"/>
        </w:rPr>
        <w:t>.2.3 本</w:t>
      </w:r>
      <w:r>
        <w:rPr>
          <w:rFonts w:hint="eastAsia" w:ascii="Times New Roman" w:hAnsi="Times New Roman" w:eastAsia="宋体" w:cs="宋体"/>
          <w:color w:val="auto"/>
          <w:sz w:val="24"/>
          <w:highlight w:val="none"/>
        </w:rPr>
        <w:t>项目如涉及系统迁移，为保障业务系统的连续性，</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应承诺自中标之日起，积极与原服务商对接，在5个工作日内，完成系统迁移平滑过渡，且因此产生的各项费用（包括但不限于测试阶段的云资源费用，系统开发商对业务系统的部署、调试费用等），应包含在</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的报价中，提供“承诺函”并加盖</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公章。</w:t>
      </w:r>
    </w:p>
    <w:p>
      <w:pPr>
        <w:pStyle w:val="2"/>
        <w:spacing w:before="0" w:line="240" w:lineRule="auto"/>
        <w:jc w:val="both"/>
        <w:rPr>
          <w:rFonts w:hint="eastAsia" w:ascii="楷体" w:hAnsi="楷体" w:eastAsia="楷体" w:cs="楷体"/>
          <w:color w:val="auto"/>
          <w:sz w:val="24"/>
          <w:highlight w:val="none"/>
        </w:rPr>
      </w:pPr>
      <w:r>
        <w:rPr>
          <w:rFonts w:hint="eastAsia" w:ascii="楷体" w:hAnsi="楷体" w:eastAsia="楷体" w:cs="楷体"/>
          <w:color w:val="auto"/>
          <w:sz w:val="24"/>
          <w:highlight w:val="none"/>
        </w:rPr>
        <w:t>（六）培训服务</w:t>
      </w:r>
    </w:p>
    <w:p>
      <w:pPr>
        <w:pStyle w:val="4"/>
        <w:snapToGrid w:val="0"/>
        <w:ind w:firstLine="480"/>
        <w:rPr>
          <w:rFonts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提供云服务操作手册，并为采购人提供必要的使用培训，至少提供以下内容：</w:t>
      </w:r>
    </w:p>
    <w:p>
      <w:pPr>
        <w:spacing w:line="360" w:lineRule="auto"/>
        <w:ind w:firstLine="482" w:firstLineChars="200"/>
        <w:rPr>
          <w:rFonts w:ascii="Times New Roman" w:hAnsi="Times New Roman" w:eastAsia="宋体" w:cs="宋体"/>
          <w:b/>
          <w:color w:val="auto"/>
          <w:sz w:val="24"/>
          <w:highlight w:val="none"/>
        </w:rPr>
      </w:pPr>
      <w:r>
        <w:rPr>
          <w:rFonts w:hint="eastAsia" w:ascii="Times New Roman" w:hAnsi="Times New Roman" w:eastAsia="宋体" w:cs="宋体"/>
          <w:b/>
          <w:color w:val="auto"/>
          <w:sz w:val="24"/>
          <w:highlight w:val="none"/>
          <w:lang w:val="en-US" w:eastAsia="zh-CN"/>
        </w:rPr>
        <w:t>6</w:t>
      </w:r>
      <w:r>
        <w:rPr>
          <w:rFonts w:hint="eastAsia" w:ascii="Times New Roman" w:hAnsi="Times New Roman" w:eastAsia="宋体" w:cs="宋体"/>
          <w:b/>
          <w:color w:val="auto"/>
          <w:sz w:val="24"/>
          <w:highlight w:val="none"/>
        </w:rPr>
        <w:t>.1内部培训</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内部培训旨在提高云平台运维能力，规范运维管理。内容包括但不限于：</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.1.1 面向项目管理人员、系统管理人员的培训，确保此类人员能清晰地了解云平台的设计理念和设计方法，掌握云平台的整体结构，以及各类云资源的申请、审核、开通、回收等管理流程。</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.1.2 面向系统维护人员的培训，确保此类人员能理解和掌握云平台的相关技术知识，能够熟练地维护云平台，快速定位和解决系统出现的问题，保证云平台服务期间正常运转，并持续提高运维服务质量。</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.1.3 本单位人员的安全培训教育，确保工作人员符合岗位要求。</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.1.4 云平台维护人员的定期业务培训和保密培训，重保前的业务培训和应急保障培训等。</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.1.5 面向管理单位的培训，确保此类人员充分了解云平台的技术架构、服务水平等。</w:t>
      </w:r>
    </w:p>
    <w:p>
      <w:pPr>
        <w:spacing w:line="360" w:lineRule="auto"/>
        <w:ind w:firstLine="482" w:firstLineChars="200"/>
        <w:rPr>
          <w:rFonts w:ascii="Times New Roman" w:hAnsi="Times New Roman" w:eastAsia="宋体" w:cs="宋体"/>
          <w:b/>
          <w:color w:val="auto"/>
          <w:sz w:val="24"/>
          <w:highlight w:val="none"/>
        </w:rPr>
      </w:pPr>
      <w:r>
        <w:rPr>
          <w:rFonts w:hint="eastAsia" w:ascii="Times New Roman" w:hAnsi="Times New Roman" w:eastAsia="宋体" w:cs="宋体"/>
          <w:b/>
          <w:color w:val="auto"/>
          <w:sz w:val="24"/>
          <w:highlight w:val="none"/>
          <w:lang w:val="en-US" w:eastAsia="zh-CN"/>
        </w:rPr>
        <w:t>6</w:t>
      </w:r>
      <w:r>
        <w:rPr>
          <w:rFonts w:hint="eastAsia" w:ascii="Times New Roman" w:hAnsi="Times New Roman" w:eastAsia="宋体" w:cs="宋体"/>
          <w:b/>
          <w:color w:val="auto"/>
          <w:sz w:val="24"/>
          <w:highlight w:val="none"/>
        </w:rPr>
        <w:t>.2外部培训</w:t>
      </w:r>
    </w:p>
    <w:p>
      <w:pPr>
        <w:pStyle w:val="4"/>
        <w:snapToGrid w:val="0"/>
        <w:ind w:firstLine="480"/>
        <w:rPr>
          <w:rFonts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应根据本项目的特点制定培训方案并提供培训，负责安排专业培训讲师授课，并提供全套培训教材和培训课程计划表，培训课程涵盖云平台使用和管理培训，采购人在培训后能够独立使用相关服务功能。</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每年应组织安排至少一次针对采购人的系统入云及用户培训，培训规模应至少10人次。</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应将所有培训费用（含培训教材费）及各项支出计入资源租赁费用中，不单独报价。内容包括但不限于：</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.2.1 面向采购人和开发人员的技术交流，包括云架构规划咨询、应用系统部署、迁移，云平台运维及其他技术服务。</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.2.2 面向采购人的培训，确保云平台最终用户能理解和掌握各类云服务的使用方法和操作技巧，能够高效、熟练地基于云平台部署上层业务应用，最终使采购人在培训后能够独立使用相关服务功能，而不必依赖</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现场指导。</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.2.3 面向开发人员的培训，确保其能理解和掌握基于云平台的开发规范，针对具体的业务应用场景能够充分发挥云平台的技术优势，合理地设计上层业务应用的技术架构，制订部署、迁移方案，评估云资源的容量需求。</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.2.4 定期对系统相关的人员进行应急预案培训，并进行应急预案的演练；每年至少开展1次云平台应急演练。</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 xml:space="preserve">.2.5 </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应在此基础上制定针对本单位的培训方案。</w:t>
      </w:r>
    </w:p>
    <w:p>
      <w:pPr>
        <w:pStyle w:val="2"/>
        <w:spacing w:before="0" w:line="240" w:lineRule="auto"/>
        <w:jc w:val="both"/>
        <w:rPr>
          <w:rFonts w:hint="eastAsia" w:ascii="楷体" w:hAnsi="楷体" w:eastAsia="楷体" w:cs="楷体"/>
          <w:color w:val="auto"/>
          <w:sz w:val="24"/>
          <w:highlight w:val="none"/>
        </w:rPr>
      </w:pPr>
      <w:bookmarkStart w:id="9" w:name="_Toc764936624"/>
      <w:r>
        <w:rPr>
          <w:rFonts w:hint="eastAsia" w:ascii="楷体" w:hAnsi="楷体" w:eastAsia="楷体" w:cs="楷体"/>
          <w:color w:val="auto"/>
          <w:sz w:val="24"/>
          <w:highlight w:val="none"/>
        </w:rPr>
        <w:t>（</w:t>
      </w:r>
      <w:r>
        <w:rPr>
          <w:rFonts w:hint="eastAsia" w:ascii="楷体" w:hAnsi="楷体" w:eastAsia="楷体" w:cs="楷体"/>
          <w:color w:val="auto"/>
          <w:sz w:val="24"/>
          <w:highlight w:val="none"/>
          <w:lang w:eastAsia="zh-CN"/>
        </w:rPr>
        <w:t>七</w:t>
      </w:r>
      <w:r>
        <w:rPr>
          <w:rFonts w:hint="eastAsia" w:ascii="楷体" w:hAnsi="楷体" w:eastAsia="楷体" w:cs="楷体"/>
          <w:color w:val="auto"/>
          <w:sz w:val="24"/>
          <w:highlight w:val="none"/>
        </w:rPr>
        <w:t>）其他服务</w:t>
      </w:r>
      <w:bookmarkEnd w:id="9"/>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lang w:val="en-US" w:eastAsia="zh-CN"/>
        </w:rPr>
        <w:t>7</w:t>
      </w:r>
      <w:r>
        <w:rPr>
          <w:rFonts w:hint="eastAsia" w:ascii="Times New Roman" w:hAnsi="Times New Roman" w:eastAsia="宋体" w:cs="宋体"/>
          <w:b/>
          <w:bCs/>
          <w:color w:val="auto"/>
          <w:sz w:val="24"/>
          <w:highlight w:val="none"/>
        </w:rPr>
        <w:t>.1服务规范</w:t>
      </w:r>
    </w:p>
    <w:p>
      <w:pPr>
        <w:pStyle w:val="4"/>
        <w:snapToGrid w:val="0"/>
        <w:ind w:firstLine="480"/>
        <w:rPr>
          <w:rFonts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须严格按照采购人制定的管理办法、流程及其他汇报制度、应急制度、文档管理、资产管理、基线管理、人员管理、培训与考试、知识库管理、安全管理等相关制度，开展标准化运维工作。</w:t>
      </w:r>
    </w:p>
    <w:p>
      <w:pPr>
        <w:pStyle w:val="4"/>
        <w:snapToGrid w:val="0"/>
        <w:ind w:firstLine="480"/>
        <w:rPr>
          <w:rFonts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应遵从政务云管理单位的日常管理要求，包括但不限于应使用政务云管理单位指定的安全通信工具，确保通信和协调信息处于可控范围。</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lang w:val="en-US" w:eastAsia="zh-CN"/>
        </w:rPr>
        <w:t>7</w:t>
      </w:r>
      <w:r>
        <w:rPr>
          <w:rFonts w:hint="eastAsia" w:ascii="Times New Roman" w:hAnsi="Times New Roman" w:eastAsia="宋体" w:cs="宋体"/>
          <w:b/>
          <w:bCs/>
          <w:color w:val="auto"/>
          <w:sz w:val="24"/>
          <w:highlight w:val="none"/>
        </w:rPr>
        <w:t>.2支撑保障服务</w:t>
      </w:r>
    </w:p>
    <w:p>
      <w:pPr>
        <w:pStyle w:val="4"/>
        <w:snapToGrid w:val="0"/>
        <w:ind w:firstLine="480"/>
        <w:rPr>
          <w:rFonts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按照采购人有关国产数据库改造、国产密码应用改造等相关需求，提供咨询、评估、论证、使用等支撑保障服务。</w:t>
      </w:r>
    </w:p>
    <w:p>
      <w:pPr>
        <w:ind w:firstLine="482" w:firstLineChars="200"/>
        <w:rPr>
          <w:rFonts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lang w:val="en-US" w:eastAsia="zh-CN"/>
        </w:rPr>
        <w:t>7</w:t>
      </w:r>
      <w:r>
        <w:rPr>
          <w:rFonts w:hint="eastAsia" w:ascii="Times New Roman" w:hAnsi="Times New Roman" w:eastAsia="宋体" w:cs="宋体"/>
          <w:b/>
          <w:bCs/>
          <w:color w:val="auto"/>
          <w:sz w:val="24"/>
          <w:highlight w:val="none"/>
        </w:rPr>
        <w:t>.4其他技术服务</w:t>
      </w:r>
    </w:p>
    <w:p>
      <w:pPr>
        <w:pStyle w:val="4"/>
        <w:snapToGrid w:val="0"/>
        <w:ind w:firstLine="480"/>
        <w:rPr>
          <w:rFonts w:ascii="Times New Roman" w:hAnsi="Times New Roman" w:eastAsia="宋体" w:cs="宋体"/>
          <w:color w:val="auto"/>
          <w:sz w:val="24"/>
          <w:highlight w:val="none"/>
        </w:rPr>
      </w:pP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可根据采购人具体需求提供</w:t>
      </w:r>
      <w:r>
        <w:rPr>
          <w:rFonts w:hint="eastAsia" w:cs="宋体" w:asciiTheme="minorEastAsia" w:hAnsiTheme="minorEastAsia" w:eastAsiaTheme="minorEastAsia"/>
          <w:color w:val="auto"/>
          <w:sz w:val="24"/>
          <w:highlight w:val="none"/>
        </w:rPr>
        <w:t>网络安全预警方案</w:t>
      </w:r>
      <w:r>
        <w:rPr>
          <w:rFonts w:hint="eastAsia" w:cs="宋体" w:asciiTheme="minorEastAsia" w:hAnsiTheme="minorEastAsia" w:eastAsiaTheme="minorEastAsia"/>
          <w:color w:val="auto"/>
          <w:sz w:val="24"/>
          <w:highlight w:val="none"/>
          <w:lang w:eastAsia="zh-CN"/>
        </w:rPr>
        <w:t>、</w:t>
      </w:r>
      <w:r>
        <w:rPr>
          <w:rFonts w:hint="eastAsia" w:ascii="Times New Roman" w:hAnsi="Times New Roman" w:eastAsia="宋体" w:cs="宋体"/>
          <w:color w:val="auto"/>
          <w:sz w:val="24"/>
          <w:highlight w:val="none"/>
        </w:rPr>
        <w:t>性能测试、性能调优、深度巡检、重保护航、全链路压测、专项咨询等服务。</w:t>
      </w:r>
    </w:p>
    <w:p>
      <w:pPr>
        <w:pStyle w:val="2"/>
        <w:spacing w:before="0" w:line="240" w:lineRule="auto"/>
        <w:jc w:val="both"/>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八</w:t>
      </w:r>
      <w:r>
        <w:rPr>
          <w:rFonts w:hint="eastAsia" w:ascii="楷体" w:hAnsi="楷体" w:eastAsia="楷体" w:cs="楷体"/>
          <w:color w:val="auto"/>
          <w:sz w:val="24"/>
          <w:highlight w:val="none"/>
        </w:rPr>
        <w:t>）验收</w:t>
      </w:r>
      <w:r>
        <w:rPr>
          <w:rFonts w:hint="eastAsia" w:ascii="楷体" w:hAnsi="楷体" w:eastAsia="楷体" w:cs="楷体"/>
          <w:color w:val="auto"/>
          <w:sz w:val="24"/>
          <w:highlight w:val="none"/>
          <w:lang w:val="en-US" w:eastAsia="zh-CN"/>
        </w:rPr>
        <w:t>要求</w:t>
      </w:r>
    </w:p>
    <w:p>
      <w:pPr>
        <w:snapToGrid/>
        <w:spacing w:line="240" w:lineRule="auto"/>
        <w:ind w:firstLine="482" w:firstLineChars="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服务绩效指标</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（1）云服务全年整体可用性≥99.9%；</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（2）故障响应率100%；</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（3）应急响应时间≤5分钟（重大事件1分钟内响应）；</w:t>
      </w:r>
    </w:p>
    <w:p>
      <w:pPr>
        <w:snapToGrid/>
        <w:spacing w:line="240" w:lineRule="auto"/>
        <w:ind w:firstLine="482" w:firstLineChars="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lang w:val="en-US" w:eastAsia="zh-CN"/>
        </w:rPr>
        <w:t>.</w:t>
      </w:r>
      <w:r>
        <w:rPr>
          <w:rFonts w:hint="eastAsia" w:ascii="宋体" w:hAnsi="宋体" w:eastAsia="宋体" w:cs="宋体"/>
          <w:b/>
          <w:bCs/>
          <w:color w:val="auto"/>
          <w:sz w:val="24"/>
          <w:highlight w:val="none"/>
        </w:rPr>
        <w:t>2项目验收要求</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所提供的北京市市级政务云基础资源服务应遵循客观、科学、合理的原则，符合《北京市市级政务云管理办法》的相关标准及要求。</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（2）</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所提供资源应满足采购文件规定的要求。保证合同期内系统安全稳定运行，不因硬件故障导致服务中断6小时及以上。</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（3）服务期满后5个工作日开始对合同项目进行验收，</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应当在采购人指定的验收日前向采购人提交验收报告。验收报告的内容包括但不限于，合同规定的各项服务清单，各系统设备运行情况。</w:t>
      </w:r>
    </w:p>
    <w:p>
      <w:pPr>
        <w:pStyle w:val="4"/>
        <w:snapToGrid w:val="0"/>
        <w:ind w:firstLine="48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（4）服务期届满，</w:t>
      </w:r>
      <w:r>
        <w:rPr>
          <w:rFonts w:hint="eastAsia" w:ascii="Times New Roman" w:cs="宋体"/>
          <w:color w:val="auto"/>
          <w:sz w:val="24"/>
          <w:highlight w:val="none"/>
          <w:lang w:eastAsia="zh-CN"/>
        </w:rPr>
        <w:t>报价人</w:t>
      </w:r>
      <w:r>
        <w:rPr>
          <w:rFonts w:hint="eastAsia" w:ascii="Times New Roman" w:hAnsi="Times New Roman" w:eastAsia="宋体" w:cs="宋体"/>
          <w:color w:val="auto"/>
          <w:sz w:val="24"/>
          <w:highlight w:val="none"/>
        </w:rPr>
        <w:t>按照采购人要求完成所有项目，各项记录、报告等文档齐全，无任何系统遗留问题，并通过由采购人组织的专家验收评审，方可通过验收。</w:t>
      </w:r>
    </w:p>
    <w:p>
      <w:pPr>
        <w:pStyle w:val="3"/>
        <w:numPr>
          <w:ilvl w:val="0"/>
          <w:numId w:val="0"/>
        </w:numPr>
        <w:spacing w:before="0" w:after="0" w:line="240" w:lineRule="auto"/>
        <w:ind w:left="0" w:firstLine="0"/>
        <w:jc w:val="both"/>
        <w:rPr>
          <w:rFonts w:ascii="黑体" w:hAnsi="黑体" w:eastAsia="黑体" w:cs="黑体"/>
          <w:color w:val="auto"/>
          <w:sz w:val="24"/>
          <w:highlight w:val="none"/>
        </w:rPr>
      </w:pPr>
      <w:r>
        <w:rPr>
          <w:rFonts w:hint="eastAsia" w:ascii="黑体" w:hAnsi="黑体" w:eastAsia="黑体" w:cs="黑体"/>
          <w:color w:val="auto"/>
          <w:sz w:val="24"/>
          <w:highlight w:val="none"/>
          <w:lang w:val="en-US" w:eastAsia="zh-CN"/>
        </w:rPr>
        <w:t>四、</w:t>
      </w:r>
      <w:r>
        <w:rPr>
          <w:rFonts w:hint="eastAsia" w:ascii="黑体" w:hAnsi="黑体" w:eastAsia="黑体" w:cs="黑体"/>
          <w:color w:val="auto"/>
          <w:sz w:val="24"/>
          <w:highlight w:val="none"/>
        </w:rPr>
        <w:t>团队要求</w:t>
      </w:r>
    </w:p>
    <w:p>
      <w:pPr>
        <w:pStyle w:val="4"/>
        <w:snapToGrid w:val="0"/>
        <w:ind w:firstLine="480"/>
        <w:rPr>
          <w:rFonts w:hint="eastAsia" w:ascii="宋体" w:hAnsi="宋体" w:eastAsia="宋体" w:cs="宋体"/>
          <w:color w:val="auto"/>
          <w:highlight w:val="none"/>
        </w:rPr>
      </w:pPr>
      <w:r>
        <w:rPr>
          <w:rFonts w:hint="eastAsia" w:ascii="宋体" w:hAnsi="宋体" w:eastAsia="宋体" w:cs="宋体"/>
          <w:color w:val="auto"/>
          <w:highlight w:val="none"/>
        </w:rPr>
        <w:t>1.服务期内，</w:t>
      </w:r>
      <w:r>
        <w:rPr>
          <w:rFonts w:hint="eastAsia" w:hAnsi="宋体" w:cs="宋体"/>
          <w:color w:val="auto"/>
          <w:highlight w:val="none"/>
          <w:lang w:eastAsia="zh-CN"/>
        </w:rPr>
        <w:t>报价人</w:t>
      </w:r>
      <w:r>
        <w:rPr>
          <w:rFonts w:hint="eastAsia" w:ascii="宋体" w:hAnsi="宋体" w:eastAsia="宋体" w:cs="宋体"/>
          <w:color w:val="auto"/>
          <w:highlight w:val="none"/>
        </w:rPr>
        <w:t>须设有7×24小时电话响应服务、具备运维团队，提供售后服务保障。团队成员应明确职责，架构清晰，岗位设置合理，且具备与本项目相关的项目经验。</w:t>
      </w:r>
    </w:p>
    <w:p>
      <w:pPr>
        <w:pStyle w:val="4"/>
        <w:snapToGrid w:val="0"/>
        <w:ind w:firstLine="480"/>
        <w:rPr>
          <w:rFonts w:hint="eastAsia" w:ascii="宋体" w:hAnsi="宋体" w:eastAsia="宋体" w:cs="宋体"/>
          <w:color w:val="auto"/>
          <w:highlight w:val="none"/>
        </w:rPr>
      </w:pPr>
      <w:r>
        <w:rPr>
          <w:rFonts w:hint="eastAsia" w:ascii="宋体" w:hAnsi="宋体" w:eastAsia="宋体" w:cs="宋体"/>
          <w:color w:val="auto"/>
          <w:highlight w:val="none"/>
        </w:rPr>
        <w:t>2.该项目服务团队要求配备项目经理1人、技术负责人1人以及相应实施人员，项目团队总人数不少于8人（含项目经理和技术负责人）。其中：</w:t>
      </w:r>
    </w:p>
    <w:p>
      <w:pPr>
        <w:pStyle w:val="4"/>
        <w:snapToGrid w:val="0"/>
        <w:ind w:firstLine="480"/>
        <w:rPr>
          <w:rFonts w:hint="eastAsia" w:ascii="宋体" w:hAnsi="宋体" w:eastAsia="宋体" w:cs="宋体"/>
          <w:color w:val="auto"/>
          <w:highlight w:val="none"/>
        </w:rPr>
      </w:pPr>
      <w:r>
        <w:rPr>
          <w:rFonts w:hint="eastAsia" w:ascii="宋体" w:hAnsi="宋体" w:eastAsia="宋体" w:cs="宋体"/>
          <w:color w:val="auto"/>
          <w:highlight w:val="none"/>
        </w:rPr>
        <w:t>项目经理：应5年以上相关工作经验，具有信息系统项目管理师（高级）证书和网络规划设计师（高级）证书，具有优秀的大型项目团队管理能力，善于协调各方资源，保证项目服务期保障要求。</w:t>
      </w:r>
    </w:p>
    <w:p>
      <w:pPr>
        <w:pStyle w:val="4"/>
        <w:snapToGrid w:val="0"/>
        <w:ind w:firstLine="480"/>
        <w:rPr>
          <w:rFonts w:hint="eastAsia" w:ascii="宋体" w:hAnsi="宋体" w:eastAsia="宋体" w:cs="宋体"/>
          <w:color w:val="auto"/>
          <w:highlight w:val="none"/>
        </w:rPr>
      </w:pPr>
      <w:r>
        <w:rPr>
          <w:rFonts w:hint="eastAsia" w:ascii="宋体" w:hAnsi="宋体" w:eastAsia="宋体" w:cs="宋体"/>
          <w:color w:val="auto"/>
          <w:highlight w:val="none"/>
        </w:rPr>
        <w:t>技术负责人：应具有5年以上相关工作经验，具有CISP(注册信息安全工程师)资格证书。</w:t>
      </w:r>
    </w:p>
    <w:p>
      <w:pPr>
        <w:pStyle w:val="4"/>
        <w:snapToGrid w:val="0"/>
        <w:ind w:firstLine="480"/>
        <w:rPr>
          <w:rFonts w:hint="eastAsia" w:ascii="宋体" w:hAnsi="宋体" w:eastAsia="宋体" w:cs="宋体"/>
          <w:color w:val="auto"/>
          <w:highlight w:val="none"/>
        </w:rPr>
      </w:pPr>
      <w:bookmarkStart w:id="10" w:name="OLE_LINK7"/>
      <w:r>
        <w:rPr>
          <w:rFonts w:hint="eastAsia" w:ascii="宋体" w:hAnsi="宋体" w:eastAsia="宋体" w:cs="宋体"/>
          <w:color w:val="auto"/>
          <w:highlight w:val="none"/>
        </w:rPr>
        <w:t>其他项目组成员：不少于</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名</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不含项目经理和技术负责人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具有5年以上相关工作经验</w:t>
      </w:r>
      <w:r>
        <w:rPr>
          <w:rFonts w:hint="eastAsia" w:ascii="宋体" w:hAnsi="宋体" w:eastAsia="宋体" w:cs="宋体"/>
          <w:color w:val="auto"/>
          <w:highlight w:val="none"/>
        </w:rPr>
        <w:t>。</w:t>
      </w:r>
    </w:p>
    <w:bookmarkEnd w:id="10"/>
    <w:p>
      <w:pPr>
        <w:pStyle w:val="4"/>
        <w:snapToGrid w:val="0"/>
        <w:ind w:firstLine="480"/>
        <w:rPr>
          <w:rFonts w:hint="eastAsia" w:ascii="宋体" w:hAnsi="宋体" w:eastAsia="宋体" w:cs="宋体"/>
          <w:color w:val="auto"/>
          <w:highlight w:val="none"/>
        </w:rPr>
      </w:pPr>
      <w:r>
        <w:rPr>
          <w:rFonts w:hint="eastAsia" w:ascii="宋体" w:hAnsi="宋体" w:eastAsia="宋体" w:cs="宋体"/>
          <w:color w:val="auto"/>
          <w:highlight w:val="none"/>
        </w:rPr>
        <w:t>项目经理应是专职负责人，在服务期内不可更换。项目成员保证60%以上为固定人员，项目成员如有变化，需提前10个工作日通知采购人，经采购人审批同意后方可更换。</w:t>
      </w:r>
    </w:p>
    <w:p>
      <w:pPr>
        <w:pStyle w:val="3"/>
        <w:numPr>
          <w:ilvl w:val="0"/>
          <w:numId w:val="0"/>
        </w:numPr>
        <w:spacing w:before="0" w:after="0" w:line="240" w:lineRule="auto"/>
        <w:ind w:left="0" w:firstLine="0"/>
        <w:jc w:val="both"/>
        <w:rPr>
          <w:rFonts w:ascii="黑体" w:hAnsi="黑体" w:eastAsia="黑体" w:cs="黑体"/>
          <w:color w:val="auto"/>
          <w:sz w:val="24"/>
          <w:highlight w:val="none"/>
        </w:rPr>
      </w:pPr>
      <w:r>
        <w:rPr>
          <w:rFonts w:hint="eastAsia" w:ascii="黑体" w:hAnsi="黑体" w:eastAsia="黑体" w:cs="黑体"/>
          <w:color w:val="auto"/>
          <w:sz w:val="24"/>
          <w:highlight w:val="none"/>
          <w:lang w:val="en-US" w:eastAsia="zh-CN"/>
        </w:rPr>
        <w:t>五、</w:t>
      </w:r>
      <w:r>
        <w:rPr>
          <w:rFonts w:hint="eastAsia" w:ascii="黑体" w:hAnsi="黑体" w:eastAsia="黑体" w:cs="黑体"/>
          <w:color w:val="auto"/>
          <w:sz w:val="24"/>
          <w:highlight w:val="none"/>
        </w:rPr>
        <w:t>保密要求</w:t>
      </w:r>
    </w:p>
    <w:p>
      <w:pPr>
        <w:pStyle w:val="4"/>
        <w:snapToGrid w:val="0"/>
        <w:ind w:firstLine="480"/>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lang w:eastAsia="zh-CN"/>
        </w:rPr>
        <w:t>报价人</w:t>
      </w:r>
      <w:r>
        <w:rPr>
          <w:rFonts w:hint="eastAsia" w:hAnsi="宋体" w:cs="宋体"/>
          <w:color w:val="auto"/>
          <w:highlight w:val="none"/>
        </w:rPr>
        <w:t>因承接本合同约定项目所知悉的该项目信息或采购人信息，以及在项目实施过程中所产生的与该项目有关的全部信息均为采购人的保密信息，</w:t>
      </w:r>
      <w:r>
        <w:rPr>
          <w:rFonts w:hint="eastAsia" w:hAnsi="宋体" w:cs="宋体"/>
          <w:color w:val="auto"/>
          <w:highlight w:val="none"/>
          <w:lang w:eastAsia="zh-CN"/>
        </w:rPr>
        <w:t>报价人</w:t>
      </w:r>
      <w:r>
        <w:rPr>
          <w:rFonts w:hint="eastAsia" w:hAnsi="宋体" w:cs="宋体"/>
          <w:color w:val="auto"/>
          <w:highlight w:val="none"/>
        </w:rPr>
        <w:t>应按照采购人关于保密工作的相关要求，对上述保密信息承担保密义务。</w:t>
      </w:r>
      <w:r>
        <w:rPr>
          <w:rFonts w:hint="eastAsia" w:hAnsi="宋体" w:cs="宋体"/>
          <w:color w:val="auto"/>
          <w:highlight w:val="none"/>
          <w:lang w:eastAsia="zh-CN"/>
        </w:rPr>
        <w:t>报价人</w:t>
      </w:r>
      <w:r>
        <w:rPr>
          <w:rFonts w:hint="eastAsia" w:hAnsi="宋体" w:cs="宋体"/>
          <w:color w:val="auto"/>
          <w:highlight w:val="none"/>
        </w:rPr>
        <w:t>须严格遵守信息安全规定，不得利用系统维护服务时的便利对采购人数据及其他信息擅自修改或透漏给第三方。</w:t>
      </w:r>
    </w:p>
    <w:p>
      <w:pPr>
        <w:pStyle w:val="4"/>
        <w:snapToGrid w:val="0"/>
        <w:ind w:firstLine="480"/>
        <w:rPr>
          <w:rFonts w:hint="eastAsia" w:hAnsi="宋体" w:cs="宋体"/>
          <w:color w:val="auto"/>
          <w:highlight w:val="none"/>
        </w:rPr>
      </w:pPr>
      <w:r>
        <w:rPr>
          <w:rFonts w:hint="eastAsia" w:hAnsi="宋体" w:cs="宋体"/>
          <w:color w:val="auto"/>
          <w:highlight w:val="none"/>
        </w:rPr>
        <w:t>（2）</w:t>
      </w:r>
      <w:r>
        <w:rPr>
          <w:rFonts w:hint="eastAsia" w:hAnsi="宋体" w:cs="宋体"/>
          <w:color w:val="auto"/>
          <w:highlight w:val="none"/>
          <w:lang w:eastAsia="zh-CN"/>
        </w:rPr>
        <w:t>报价人</w:t>
      </w:r>
      <w:r>
        <w:rPr>
          <w:rFonts w:hint="eastAsia" w:hAnsi="宋体" w:cs="宋体"/>
          <w:color w:val="auto"/>
          <w:highlight w:val="none"/>
        </w:rPr>
        <w:t>应对上述保密信息予以妥善保存，并保证仅将其用于与完成本合同项下约定项目实施有关的用途或目的。在缺少相关保密条款约定时，对上述保密信息,</w:t>
      </w:r>
      <w:r>
        <w:rPr>
          <w:rFonts w:hint="eastAsia" w:hAnsi="宋体" w:cs="宋体"/>
          <w:color w:val="auto"/>
          <w:highlight w:val="none"/>
          <w:lang w:eastAsia="zh-CN"/>
        </w:rPr>
        <w:t>报价人</w:t>
      </w:r>
      <w:r>
        <w:rPr>
          <w:rFonts w:hint="eastAsia" w:hAnsi="宋体" w:cs="宋体"/>
          <w:color w:val="auto"/>
          <w:highlight w:val="none"/>
        </w:rPr>
        <w:t>应至少采取适用于对自己商业秘密进行保护的同等保护措施和审慎程度进行保密。</w:t>
      </w:r>
    </w:p>
    <w:p>
      <w:pPr>
        <w:pStyle w:val="4"/>
        <w:snapToGrid w:val="0"/>
        <w:ind w:firstLine="480"/>
        <w:rPr>
          <w:rFonts w:hint="eastAsia" w:hAnsi="宋体" w:cs="宋体"/>
          <w:color w:val="auto"/>
          <w:highlight w:val="none"/>
        </w:rPr>
      </w:pPr>
      <w:r>
        <w:rPr>
          <w:rFonts w:hint="eastAsia" w:hAnsi="宋体" w:cs="宋体"/>
          <w:color w:val="auto"/>
          <w:highlight w:val="none"/>
        </w:rPr>
        <w:t>（3）</w:t>
      </w:r>
      <w:r>
        <w:rPr>
          <w:rFonts w:hint="eastAsia" w:hAnsi="宋体" w:cs="宋体"/>
          <w:color w:val="auto"/>
          <w:highlight w:val="none"/>
          <w:lang w:eastAsia="zh-CN"/>
        </w:rPr>
        <w:t>报价人</w:t>
      </w:r>
      <w:r>
        <w:rPr>
          <w:rFonts w:hint="eastAsia" w:hAnsi="宋体" w:cs="宋体"/>
          <w:color w:val="auto"/>
          <w:highlight w:val="none"/>
        </w:rPr>
        <w:t>保证将保密信息的披露范围严格控制在直接从事该项目工作且因工作需要有必要知悉保密信息的工作人员范围内,对</w:t>
      </w:r>
      <w:r>
        <w:rPr>
          <w:rFonts w:hint="eastAsia" w:hAnsi="宋体" w:cs="宋体"/>
          <w:color w:val="auto"/>
          <w:highlight w:val="none"/>
          <w:lang w:eastAsia="zh-CN"/>
        </w:rPr>
        <w:t>报价人</w:t>
      </w:r>
      <w:r>
        <w:rPr>
          <w:rFonts w:hint="eastAsia" w:hAnsi="宋体" w:cs="宋体"/>
          <w:color w:val="auto"/>
          <w:highlight w:val="none"/>
        </w:rPr>
        <w:t>非从事该项目的人员一律严格保密。</w:t>
      </w:r>
    </w:p>
    <w:p>
      <w:pPr>
        <w:pStyle w:val="4"/>
        <w:snapToGrid w:val="0"/>
        <w:ind w:firstLine="480"/>
        <w:rPr>
          <w:rFonts w:hint="eastAsia" w:hAnsi="宋体" w:cs="宋体"/>
          <w:color w:val="auto"/>
          <w:highlight w:val="none"/>
        </w:rPr>
      </w:pPr>
      <w:r>
        <w:rPr>
          <w:rFonts w:hint="eastAsia" w:hAnsi="宋体" w:cs="宋体"/>
          <w:color w:val="auto"/>
          <w:highlight w:val="none"/>
        </w:rPr>
        <w:t>（4）</w:t>
      </w:r>
      <w:r>
        <w:rPr>
          <w:rFonts w:hint="eastAsia" w:hAnsi="宋体" w:cs="宋体"/>
          <w:color w:val="auto"/>
          <w:highlight w:val="none"/>
          <w:lang w:eastAsia="zh-CN"/>
        </w:rPr>
        <w:t>报价人</w:t>
      </w:r>
      <w:r>
        <w:rPr>
          <w:rFonts w:hint="eastAsia" w:hAnsi="宋体" w:cs="宋体"/>
          <w:color w:val="auto"/>
          <w:highlight w:val="none"/>
        </w:rPr>
        <w:t>应保证在向其工作人员披露采购人的保密信息前，认真做好员工的保密教育工作，明确告知其将知悉的为采购人的保密信息，并明确告知其需承担的保密义务及泄密所应承担的法律责任，并要求全体参与该项目的人员签署书面《保密协议》。</w:t>
      </w:r>
    </w:p>
    <w:p>
      <w:pPr>
        <w:pStyle w:val="4"/>
        <w:snapToGrid w:val="0"/>
        <w:ind w:firstLine="480"/>
        <w:rPr>
          <w:rFonts w:hint="eastAsia" w:hAnsi="宋体" w:cs="宋体"/>
          <w:color w:val="auto"/>
          <w:highlight w:val="none"/>
        </w:rPr>
      </w:pPr>
      <w:r>
        <w:rPr>
          <w:rFonts w:hint="eastAsia" w:hAnsi="宋体" w:cs="宋体"/>
          <w:color w:val="auto"/>
          <w:highlight w:val="none"/>
        </w:rPr>
        <w:t>（5）任何时间内，一经采购人提出要求，</w:t>
      </w:r>
      <w:r>
        <w:rPr>
          <w:rFonts w:hint="eastAsia" w:hAnsi="宋体" w:cs="宋体"/>
          <w:color w:val="auto"/>
          <w:highlight w:val="none"/>
          <w:lang w:eastAsia="zh-CN"/>
        </w:rPr>
        <w:t>报价人</w:t>
      </w:r>
      <w:r>
        <w:rPr>
          <w:rFonts w:hint="eastAsia" w:hAnsi="宋体" w:cs="宋体"/>
          <w:color w:val="auto"/>
          <w:highlight w:val="none"/>
        </w:rPr>
        <w:t>应按照采购人指示在收到采购人书面通知后 5 日内将含有保密信息的所有文件或其他资料归还采购人，且不得擅自复制留存。</w:t>
      </w:r>
    </w:p>
    <w:p>
      <w:pPr>
        <w:pStyle w:val="4"/>
        <w:snapToGrid w:val="0"/>
        <w:ind w:firstLine="480"/>
        <w:rPr>
          <w:rFonts w:hint="eastAsia" w:hAnsi="宋体" w:cs="宋体"/>
          <w:color w:val="auto"/>
          <w:highlight w:val="none"/>
        </w:rPr>
      </w:pPr>
      <w:r>
        <w:rPr>
          <w:rFonts w:hint="eastAsia" w:hAnsi="宋体" w:cs="宋体"/>
          <w:color w:val="auto"/>
          <w:highlight w:val="none"/>
        </w:rPr>
        <w:t>（6）非经采购人特别授权，采购人向</w:t>
      </w:r>
      <w:r>
        <w:rPr>
          <w:rFonts w:hint="eastAsia" w:hAnsi="宋体" w:cs="宋体"/>
          <w:color w:val="auto"/>
          <w:highlight w:val="none"/>
          <w:lang w:eastAsia="zh-CN"/>
        </w:rPr>
        <w:t>报价人</w:t>
      </w:r>
      <w:r>
        <w:rPr>
          <w:rFonts w:hint="eastAsia" w:hAnsi="宋体" w:cs="宋体"/>
          <w:color w:val="auto"/>
          <w:highlight w:val="none"/>
        </w:rPr>
        <w:t>提供的任何保密信息并不包括授予</w:t>
      </w:r>
      <w:r>
        <w:rPr>
          <w:rFonts w:hint="eastAsia" w:hAnsi="宋体" w:cs="宋体"/>
          <w:color w:val="auto"/>
          <w:highlight w:val="none"/>
          <w:lang w:eastAsia="zh-CN"/>
        </w:rPr>
        <w:t>报价人</w:t>
      </w:r>
      <w:r>
        <w:rPr>
          <w:rFonts w:hint="eastAsia" w:hAnsi="宋体" w:cs="宋体"/>
          <w:color w:val="auto"/>
          <w:highlight w:val="none"/>
        </w:rPr>
        <w:t>该保密信息包含的任何专利权、商标权、著作权、商业秘密或其它类型的知识产权。</w:t>
      </w:r>
    </w:p>
    <w:p>
      <w:pPr>
        <w:pStyle w:val="4"/>
        <w:snapToGrid w:val="0"/>
        <w:ind w:firstLine="480"/>
        <w:rPr>
          <w:rFonts w:hint="eastAsia" w:hAnsi="宋体" w:cs="宋体"/>
          <w:color w:val="auto"/>
          <w:highlight w:val="none"/>
        </w:rPr>
      </w:pPr>
      <w:r>
        <w:rPr>
          <w:rFonts w:hint="eastAsia" w:hAnsi="宋体" w:cs="宋体"/>
          <w:color w:val="auto"/>
          <w:highlight w:val="none"/>
        </w:rPr>
        <w:t>（7）</w:t>
      </w:r>
      <w:r>
        <w:rPr>
          <w:rFonts w:hint="eastAsia" w:hAnsi="宋体" w:cs="宋体"/>
          <w:color w:val="auto"/>
          <w:highlight w:val="none"/>
          <w:lang w:eastAsia="zh-CN"/>
        </w:rPr>
        <w:t>报价人</w:t>
      </w:r>
      <w:r>
        <w:rPr>
          <w:rFonts w:hint="eastAsia" w:hAnsi="宋体" w:cs="宋体"/>
          <w:color w:val="auto"/>
          <w:highlight w:val="none"/>
        </w:rPr>
        <w:t>承担上述保密义务的期限为合同有效期间及合同终止后2年，承担上述保密义务的责任主体为</w:t>
      </w:r>
      <w:r>
        <w:rPr>
          <w:rFonts w:hint="eastAsia" w:hAnsi="宋体" w:cs="宋体"/>
          <w:color w:val="auto"/>
          <w:highlight w:val="none"/>
          <w:lang w:eastAsia="zh-CN"/>
        </w:rPr>
        <w:t>报价人</w:t>
      </w:r>
      <w:r>
        <w:rPr>
          <w:rFonts w:hint="eastAsia" w:hAnsi="宋体" w:cs="宋体"/>
          <w:color w:val="auto"/>
          <w:highlight w:val="none"/>
        </w:rPr>
        <w:t>（含</w:t>
      </w:r>
      <w:r>
        <w:rPr>
          <w:rFonts w:hint="eastAsia" w:hAnsi="宋体" w:cs="宋体"/>
          <w:color w:val="auto"/>
          <w:highlight w:val="none"/>
          <w:lang w:eastAsia="zh-CN"/>
        </w:rPr>
        <w:t>报价人</w:t>
      </w:r>
      <w:r>
        <w:rPr>
          <w:rFonts w:hint="eastAsia" w:hAnsi="宋体" w:cs="宋体"/>
          <w:color w:val="auto"/>
          <w:highlight w:val="none"/>
        </w:rPr>
        <w:t>服务人员）。</w:t>
      </w:r>
    </w:p>
    <w:p>
      <w:pPr>
        <w:pStyle w:val="4"/>
        <w:snapToGrid w:val="0"/>
        <w:ind w:firstLine="480"/>
        <w:rPr>
          <w:rFonts w:hint="eastAsia" w:hAnsi="宋体" w:cs="宋体"/>
          <w:color w:val="auto"/>
          <w:highlight w:val="none"/>
        </w:rPr>
      </w:pPr>
      <w:r>
        <w:rPr>
          <w:rFonts w:hint="eastAsia" w:hAnsi="宋体" w:cs="宋体"/>
          <w:color w:val="auto"/>
          <w:highlight w:val="none"/>
        </w:rPr>
        <w:t>（8）在签订和履行合同过程中从采购人处获知的技术和商业秘密，无论在合同期限内亦或是合同终止后，均应遵守国家有关版权、专利、商标等知识产权方面的法律规定，尊重需求方的知识产权，对所知悉的采购人的技术秘密和商业秘密负有保密责任。</w:t>
      </w:r>
    </w:p>
    <w:p>
      <w:pPr>
        <w:pStyle w:val="4"/>
        <w:snapToGrid w:val="0"/>
        <w:ind w:firstLine="480"/>
        <w:rPr>
          <w:rFonts w:hAnsi="宋体" w:cs="宋体"/>
          <w:color w:val="auto"/>
          <w:highlight w:val="none"/>
        </w:rPr>
      </w:pPr>
      <w:r>
        <w:rPr>
          <w:rFonts w:hint="eastAsia" w:hAnsi="宋体" w:cs="宋体"/>
          <w:color w:val="auto"/>
          <w:highlight w:val="none"/>
        </w:rPr>
        <w:t>（9）</w:t>
      </w:r>
      <w:r>
        <w:rPr>
          <w:rFonts w:hint="eastAsia" w:hAnsi="宋体" w:cs="宋体"/>
          <w:color w:val="auto"/>
          <w:highlight w:val="none"/>
          <w:lang w:eastAsia="zh-CN"/>
        </w:rPr>
        <w:t>报价人</w:t>
      </w:r>
      <w:r>
        <w:rPr>
          <w:rFonts w:hint="eastAsia" w:hAnsi="宋体" w:cs="宋体"/>
          <w:color w:val="auto"/>
          <w:highlight w:val="none"/>
        </w:rPr>
        <w:t>应当对获悉的政务数据、个人信息等予以保密，不得用于其他用途，不得泄露、出售或者非法向他人提供。</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B544DB"/>
    <w:multiLevelType w:val="singleLevel"/>
    <w:tmpl w:val="EDB544D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E7"/>
    <w:rsid w:val="00400231"/>
    <w:rsid w:val="00DD7BE7"/>
    <w:rsid w:val="00F4020F"/>
    <w:rsid w:val="02C07DC8"/>
    <w:rsid w:val="0470062A"/>
    <w:rsid w:val="195A3AD2"/>
    <w:rsid w:val="1EB26BE1"/>
    <w:rsid w:val="228E2702"/>
    <w:rsid w:val="23A12C1A"/>
    <w:rsid w:val="2A13794D"/>
    <w:rsid w:val="2CDE7417"/>
    <w:rsid w:val="2FD37776"/>
    <w:rsid w:val="4A3D3A30"/>
    <w:rsid w:val="4E3A16F0"/>
    <w:rsid w:val="4EB23642"/>
    <w:rsid w:val="50A23EF2"/>
    <w:rsid w:val="52A2470C"/>
    <w:rsid w:val="5360166A"/>
    <w:rsid w:val="67FB1A84"/>
    <w:rsid w:val="6E5A5C7A"/>
    <w:rsid w:val="727C256B"/>
    <w:rsid w:val="7B142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5">
    <w:name w:val="annotation text"/>
    <w:basedOn w:val="1"/>
    <w:link w:val="15"/>
    <w:qFormat/>
    <w:uiPriority w:val="99"/>
    <w:pPr>
      <w:jc w:val="left"/>
    </w:pPr>
  </w:style>
  <w:style w:type="paragraph" w:styleId="6">
    <w:name w:val="Body Text"/>
    <w:basedOn w:val="1"/>
    <w:next w:val="1"/>
    <w:qFormat/>
    <w:uiPriority w:val="0"/>
    <w:pPr>
      <w:tabs>
        <w:tab w:val="left" w:pos="567"/>
      </w:tabs>
      <w:spacing w:before="120" w:line="22" w:lineRule="atLeast"/>
    </w:pPr>
    <w:rPr>
      <w:rFonts w:ascii="宋体" w:hAnsi="宋体"/>
      <w:sz w:val="24"/>
    </w:rPr>
  </w:style>
  <w:style w:type="paragraph" w:styleId="7">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11">
    <w:name w:val="annotation reference"/>
    <w:qFormat/>
    <w:uiPriority w:val="99"/>
    <w:rPr>
      <w:sz w:val="21"/>
      <w:szCs w:val="21"/>
    </w:rPr>
  </w:style>
  <w:style w:type="character" w:customStyle="1" w:styleId="12">
    <w:name w:val="页眉 字符"/>
    <w:basedOn w:val="10"/>
    <w:link w:val="8"/>
    <w:qFormat/>
    <w:uiPriority w:val="99"/>
    <w:rPr>
      <w:sz w:val="18"/>
      <w:szCs w:val="18"/>
    </w:rPr>
  </w:style>
  <w:style w:type="character" w:customStyle="1" w:styleId="13">
    <w:name w:val="页脚 字符"/>
    <w:basedOn w:val="10"/>
    <w:link w:val="7"/>
    <w:qFormat/>
    <w:uiPriority w:val="99"/>
    <w:rPr>
      <w:sz w:val="18"/>
      <w:szCs w:val="18"/>
    </w:rPr>
  </w:style>
  <w:style w:type="character" w:customStyle="1" w:styleId="14">
    <w:name w:val="批注文字 字符"/>
    <w:basedOn w:val="10"/>
    <w:semiHidden/>
    <w:qFormat/>
    <w:uiPriority w:val="99"/>
    <w:rPr>
      <w:rFonts w:ascii="Times New Roman" w:hAnsi="Times New Roman" w:eastAsia="宋体" w:cs="Times New Roman"/>
      <w:szCs w:val="24"/>
    </w:rPr>
  </w:style>
  <w:style w:type="character" w:customStyle="1" w:styleId="15">
    <w:name w:val="批注文字 字符1"/>
    <w:link w:val="5"/>
    <w:qFormat/>
    <w:uiPriority w:val="99"/>
    <w:rPr>
      <w:rFonts w:ascii="Times New Roman" w:hAnsi="Times New Roman" w:eastAsia="宋体" w:cs="Times New Roman"/>
      <w:szCs w:val="24"/>
    </w:rPr>
  </w:style>
  <w:style w:type="character" w:customStyle="1" w:styleId="16">
    <w:name w:val="font11"/>
    <w:qFormat/>
    <w:uiPriority w:val="0"/>
    <w:rPr>
      <w:rFonts w:hint="default" w:ascii="Arial" w:hAnsi="Arial" w:cs="Arial"/>
      <w:color w:val="000000"/>
      <w:sz w:val="20"/>
      <w:szCs w:val="20"/>
      <w:u w:val="none"/>
    </w:rPr>
  </w:style>
  <w:style w:type="character" w:customStyle="1" w:styleId="17">
    <w:name w:val="font121"/>
    <w:qFormat/>
    <w:uiPriority w:val="0"/>
    <w:rPr>
      <w:rFonts w:hint="eastAsia" w:ascii="宋体" w:hAnsi="宋体" w:eastAsia="宋体" w:cs="宋体"/>
      <w:b/>
      <w:color w:val="000000"/>
      <w:sz w:val="21"/>
      <w:szCs w:val="21"/>
      <w:u w:val="none"/>
    </w:rPr>
  </w:style>
  <w:style w:type="character" w:customStyle="1" w:styleId="18">
    <w:name w:val="font51"/>
    <w:qFormat/>
    <w:uiPriority w:val="0"/>
    <w:rPr>
      <w:rFonts w:hint="eastAsia" w:ascii="宋体" w:hAnsi="宋体" w:eastAsia="宋体" w:cs="宋体"/>
      <w:color w:val="000000"/>
      <w:sz w:val="21"/>
      <w:szCs w:val="21"/>
      <w:u w:val="none"/>
    </w:rPr>
  </w:style>
  <w:style w:type="paragraph" w:customStyle="1" w:styleId="19">
    <w:name w:val="样式 标题 1 + 四号 居中 段前: 12 磅 段后: 12 磅 行距: 单倍行距"/>
    <w:basedOn w:val="3"/>
    <w:qFormat/>
    <w:uiPriority w:val="0"/>
    <w:pPr>
      <w:spacing w:before="240" w:after="240" w:line="240" w:lineRule="auto"/>
      <w:ind w:left="-288"/>
      <w:jc w:val="center"/>
    </w:pPr>
    <w:rPr>
      <w:rFonts w:cs="宋体"/>
      <w:sz w:val="28"/>
      <w:szCs w:val="20"/>
    </w:rPr>
  </w:style>
  <w:style w:type="paragraph" w:customStyle="1" w:styleId="20">
    <w:name w:val="标书正文"/>
    <w:basedOn w:val="1"/>
    <w:qFormat/>
    <w:uiPriority w:val="0"/>
    <w:pPr>
      <w:suppressAutoHyphens/>
      <w:adjustRightInd/>
      <w:spacing w:line="360" w:lineRule="auto"/>
      <w:ind w:firstLine="200" w:firstLineChars="200"/>
      <w:jc w:val="both"/>
      <w:textAlignment w:val="auto"/>
    </w:pPr>
    <w:rPr>
      <w:rFonts w:ascii="Calibri" w:hAnsi="Calibri"/>
      <w:kern w:val="2"/>
      <w:szCs w:val="24"/>
    </w:rPr>
  </w:style>
  <w:style w:type="table" w:customStyle="1" w:styleId="21">
    <w:name w:val="Table Normal"/>
    <w:semiHidden/>
    <w:qFormat/>
    <w:uiPriority w:val="2"/>
    <w:pPr>
      <w:widowControl w:val="0"/>
      <w:autoSpaceDE w:val="0"/>
      <w:autoSpaceDN w:val="0"/>
    </w:pPr>
    <w:rPr>
      <w:rFonts w:asciiTheme="minorHAnsi" w:hAnsiTheme="minorHAnsi" w:eastAsiaTheme="minorEastAsia" w:cstheme="minorBidi"/>
      <w:sz w:val="22"/>
      <w:szCs w:val="22"/>
      <w:lang w:eastAsia="en-US"/>
    </w:rPr>
    <w:tblPr>
      <w:tblLayout w:type="fixed"/>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4"/>
      <w:szCs w:val="24"/>
      <w:lang w:val="en-US" w:eastAsia="en-US" w:bidi="ar-SA"/>
    </w:rPr>
  </w:style>
  <w:style w:type="character" w:customStyle="1" w:styleId="23">
    <w:name w:val="font31"/>
    <w:basedOn w:val="1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295</Words>
  <Characters>1688</Characters>
  <Lines>14</Lines>
  <Paragraphs>3</Paragraphs>
  <TotalTime>0</TotalTime>
  <ScaleCrop>false</ScaleCrop>
  <LinksUpToDate>false</LinksUpToDate>
  <CharactersWithSpaces>1980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2025-05-30T06:32:00Z</dcterms:created>
  <dc:creator>Admin</dc:creator>
  <cp:lastModifiedBy>Admin</cp:lastModifiedBy>
  <dcterms:modified xsi:type="dcterms:W3CDTF">2026-07-28T08:42:04Z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