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71962">
      <w:pPr>
        <w:spacing w:line="360" w:lineRule="auto"/>
        <w:jc w:val="center"/>
        <w:outlineLvl w:val="0"/>
        <w:rPr>
          <w:b/>
          <w:sz w:val="36"/>
          <w:szCs w:val="36"/>
          <w:highlight w:val="none"/>
        </w:rPr>
      </w:pPr>
      <w:bookmarkStart w:id="0" w:name="_Toc99301424"/>
      <w:r>
        <w:rPr>
          <w:b/>
          <w:sz w:val="36"/>
          <w:szCs w:val="36"/>
          <w:highlight w:val="none"/>
        </w:rPr>
        <w:t>第五章   采购需求</w:t>
      </w:r>
      <w:bookmarkEnd w:id="0"/>
    </w:p>
    <w:p w14:paraId="6CF6C32A">
      <w:pPr>
        <w:rPr>
          <w:highlight w:val="none"/>
        </w:rPr>
      </w:pPr>
    </w:p>
    <w:p w14:paraId="1CB800A6">
      <w:pPr>
        <w:pStyle w:val="2"/>
        <w:spacing w:line="360" w:lineRule="auto"/>
        <w:ind w:firstLine="482" w:firstLineChars="200"/>
        <w:rPr>
          <w:rFonts w:hint="eastAsia" w:cs="宋体"/>
          <w:b/>
          <w:bCs/>
          <w:iCs/>
          <w:kern w:val="0"/>
          <w:highlight w:val="none"/>
        </w:rPr>
      </w:pPr>
      <w:r>
        <w:rPr>
          <w:rFonts w:hint="eastAsia" w:cs="宋体"/>
          <w:b/>
          <w:bCs/>
          <w:iCs/>
          <w:kern w:val="0"/>
          <w:highlight w:val="none"/>
        </w:rPr>
        <w:t>一、采购标的及项目概述</w:t>
      </w:r>
    </w:p>
    <w:p w14:paraId="1336EB09">
      <w:pPr>
        <w:autoSpaceDE w:val="0"/>
        <w:autoSpaceDN w:val="0"/>
        <w:spacing w:line="360" w:lineRule="auto"/>
        <w:ind w:firstLine="480" w:firstLineChars="200"/>
        <w:rPr>
          <w:rFonts w:hint="eastAsia" w:hAnsi="宋体"/>
          <w:sz w:val="24"/>
          <w:highlight w:val="none"/>
        </w:rPr>
      </w:pPr>
      <w:r>
        <w:rPr>
          <w:rFonts w:hint="eastAsia" w:hAnsi="宋体"/>
          <w:sz w:val="24"/>
          <w:highlight w:val="none"/>
        </w:rPr>
        <w:t>1.采购标的</w:t>
      </w:r>
    </w:p>
    <w:tbl>
      <w:tblPr>
        <w:tblStyle w:val="4"/>
        <w:tblW w:w="431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8"/>
        <w:gridCol w:w="1733"/>
        <w:gridCol w:w="868"/>
        <w:gridCol w:w="3036"/>
        <w:gridCol w:w="857"/>
      </w:tblGrid>
      <w:tr w14:paraId="5D764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583" w:type="pct"/>
            <w:vAlign w:val="center"/>
          </w:tcPr>
          <w:p w14:paraId="12D7FCC2">
            <w:pPr>
              <w:jc w:val="center"/>
              <w:rPr>
                <w:rFonts w:hint="eastAsia" w:ascii="宋体" w:hAnsi="宋体"/>
                <w:b/>
                <w:kern w:val="0"/>
                <w:szCs w:val="21"/>
                <w:highlight w:val="none"/>
              </w:rPr>
            </w:pPr>
            <w:r>
              <w:rPr>
                <w:rFonts w:hint="eastAsia" w:ascii="宋体" w:hAnsi="宋体"/>
                <w:b/>
                <w:kern w:val="0"/>
                <w:szCs w:val="21"/>
                <w:highlight w:val="none"/>
              </w:rPr>
              <w:t>包号</w:t>
            </w:r>
          </w:p>
        </w:tc>
        <w:tc>
          <w:tcPr>
            <w:tcW w:w="1177" w:type="pct"/>
            <w:vAlign w:val="center"/>
          </w:tcPr>
          <w:p w14:paraId="1E2F1F05">
            <w:pPr>
              <w:jc w:val="center"/>
              <w:rPr>
                <w:rFonts w:hint="eastAsia" w:ascii="宋体" w:hAnsi="宋体"/>
                <w:b/>
                <w:kern w:val="0"/>
                <w:szCs w:val="21"/>
                <w:highlight w:val="none"/>
              </w:rPr>
            </w:pPr>
            <w:r>
              <w:rPr>
                <w:rFonts w:hint="eastAsia" w:ascii="宋体" w:hAnsi="宋体"/>
                <w:b/>
                <w:kern w:val="0"/>
                <w:szCs w:val="21"/>
                <w:highlight w:val="none"/>
              </w:rPr>
              <w:t>项目预算金额</w:t>
            </w:r>
          </w:p>
          <w:p w14:paraId="723CFDE8">
            <w:pPr>
              <w:jc w:val="center"/>
              <w:rPr>
                <w:rFonts w:hint="eastAsia" w:ascii="宋体" w:hAnsi="宋体"/>
                <w:b/>
                <w:kern w:val="0"/>
                <w:szCs w:val="21"/>
                <w:highlight w:val="none"/>
              </w:rPr>
            </w:pPr>
            <w:r>
              <w:rPr>
                <w:rFonts w:hint="eastAsia" w:ascii="宋体" w:hAnsi="宋体"/>
                <w:b/>
                <w:kern w:val="0"/>
                <w:szCs w:val="21"/>
                <w:highlight w:val="none"/>
              </w:rPr>
              <w:t>(万元)</w:t>
            </w:r>
          </w:p>
        </w:tc>
        <w:tc>
          <w:tcPr>
            <w:tcW w:w="590" w:type="pct"/>
            <w:vAlign w:val="center"/>
          </w:tcPr>
          <w:p w14:paraId="028DFAE0">
            <w:pPr>
              <w:jc w:val="center"/>
              <w:rPr>
                <w:rFonts w:hint="eastAsia" w:ascii="宋体" w:hAnsi="宋体"/>
                <w:b/>
                <w:kern w:val="0"/>
                <w:szCs w:val="21"/>
                <w:highlight w:val="none"/>
              </w:rPr>
            </w:pPr>
            <w:r>
              <w:rPr>
                <w:rFonts w:hint="eastAsia" w:ascii="宋体" w:hAnsi="宋体"/>
                <w:b/>
                <w:kern w:val="0"/>
                <w:szCs w:val="21"/>
                <w:highlight w:val="none"/>
              </w:rPr>
              <w:t>序号</w:t>
            </w:r>
          </w:p>
        </w:tc>
        <w:tc>
          <w:tcPr>
            <w:tcW w:w="2064" w:type="pct"/>
            <w:vAlign w:val="center"/>
          </w:tcPr>
          <w:p w14:paraId="43A539FD">
            <w:pPr>
              <w:jc w:val="center"/>
              <w:rPr>
                <w:rFonts w:hint="eastAsia" w:ascii="宋体" w:hAnsi="宋体"/>
                <w:b/>
                <w:kern w:val="0"/>
                <w:szCs w:val="21"/>
                <w:highlight w:val="none"/>
              </w:rPr>
            </w:pPr>
            <w:r>
              <w:rPr>
                <w:rFonts w:hint="eastAsia" w:ascii="宋体" w:hAnsi="宋体"/>
                <w:b/>
                <w:kern w:val="0"/>
                <w:szCs w:val="21"/>
                <w:highlight w:val="none"/>
              </w:rPr>
              <w:t>标的名称</w:t>
            </w:r>
          </w:p>
        </w:tc>
        <w:tc>
          <w:tcPr>
            <w:tcW w:w="583" w:type="pct"/>
            <w:vAlign w:val="center"/>
          </w:tcPr>
          <w:p w14:paraId="59C4E4CF">
            <w:pPr>
              <w:jc w:val="center"/>
              <w:rPr>
                <w:rFonts w:hint="eastAsia" w:ascii="宋体" w:hAnsi="宋体"/>
                <w:b/>
                <w:kern w:val="0"/>
                <w:szCs w:val="21"/>
                <w:highlight w:val="none"/>
              </w:rPr>
            </w:pPr>
            <w:r>
              <w:rPr>
                <w:rFonts w:hint="eastAsia" w:ascii="宋体" w:hAnsi="宋体"/>
                <w:b/>
                <w:kern w:val="0"/>
                <w:szCs w:val="21"/>
                <w:highlight w:val="none"/>
              </w:rPr>
              <w:t>数量</w:t>
            </w:r>
          </w:p>
        </w:tc>
      </w:tr>
      <w:tr w14:paraId="01CE0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jc w:val="center"/>
        </w:trPr>
        <w:tc>
          <w:tcPr>
            <w:tcW w:w="583" w:type="pct"/>
            <w:vAlign w:val="center"/>
          </w:tcPr>
          <w:p w14:paraId="49558407">
            <w:pPr>
              <w:jc w:val="center"/>
              <w:rPr>
                <w:rFonts w:hint="eastAsia" w:ascii="宋体" w:hAnsi="宋体"/>
                <w:kern w:val="0"/>
                <w:sz w:val="24"/>
                <w:highlight w:val="none"/>
              </w:rPr>
            </w:pPr>
            <w:r>
              <w:rPr>
                <w:rFonts w:hint="eastAsia" w:ascii="宋体" w:hAnsi="宋体"/>
                <w:kern w:val="0"/>
                <w:sz w:val="24"/>
                <w:highlight w:val="none"/>
              </w:rPr>
              <w:t>1</w:t>
            </w:r>
          </w:p>
        </w:tc>
        <w:tc>
          <w:tcPr>
            <w:tcW w:w="1177" w:type="pct"/>
            <w:vAlign w:val="center"/>
          </w:tcPr>
          <w:p w14:paraId="06F0983C">
            <w:pPr>
              <w:jc w:val="center"/>
              <w:rPr>
                <w:rFonts w:hint="eastAsia" w:ascii="宋体" w:hAnsi="宋体"/>
                <w:kern w:val="0"/>
                <w:sz w:val="24"/>
                <w:highlight w:val="none"/>
              </w:rPr>
            </w:pPr>
            <w:r>
              <w:rPr>
                <w:rFonts w:hint="eastAsia" w:ascii="宋体" w:hAnsi="宋体"/>
                <w:kern w:val="0"/>
                <w:sz w:val="24"/>
                <w:highlight w:val="none"/>
              </w:rPr>
              <w:t>105.00</w:t>
            </w:r>
          </w:p>
        </w:tc>
        <w:tc>
          <w:tcPr>
            <w:tcW w:w="590" w:type="pct"/>
            <w:vAlign w:val="center"/>
          </w:tcPr>
          <w:p w14:paraId="287721C4">
            <w:pPr>
              <w:jc w:val="center"/>
              <w:rPr>
                <w:rFonts w:hint="eastAsia" w:ascii="宋体" w:hAnsi="宋体"/>
                <w:kern w:val="0"/>
                <w:sz w:val="24"/>
                <w:highlight w:val="none"/>
              </w:rPr>
            </w:pPr>
            <w:r>
              <w:rPr>
                <w:rFonts w:hint="eastAsia" w:ascii="宋体" w:hAnsi="宋体"/>
                <w:kern w:val="0"/>
                <w:sz w:val="24"/>
                <w:highlight w:val="none"/>
              </w:rPr>
              <w:t>1</w:t>
            </w:r>
          </w:p>
        </w:tc>
        <w:tc>
          <w:tcPr>
            <w:tcW w:w="2064" w:type="pct"/>
            <w:vAlign w:val="center"/>
          </w:tcPr>
          <w:p w14:paraId="4C75DEDB">
            <w:pPr>
              <w:jc w:val="center"/>
              <w:rPr>
                <w:rFonts w:hint="eastAsia" w:ascii="宋体" w:hAnsi="宋体"/>
                <w:kern w:val="0"/>
                <w:sz w:val="24"/>
                <w:highlight w:val="none"/>
              </w:rPr>
            </w:pPr>
            <w:r>
              <w:rPr>
                <w:rFonts w:hint="eastAsia" w:ascii="宋体" w:hAnsi="宋体"/>
                <w:kern w:val="0"/>
                <w:sz w:val="24"/>
                <w:highlight w:val="none"/>
              </w:rPr>
              <w:t>北京建筑大学图书馆流通阅览服务外包项目</w:t>
            </w:r>
          </w:p>
        </w:tc>
        <w:tc>
          <w:tcPr>
            <w:tcW w:w="583" w:type="pct"/>
            <w:vAlign w:val="center"/>
          </w:tcPr>
          <w:p w14:paraId="68E49BC4">
            <w:pPr>
              <w:jc w:val="center"/>
              <w:rPr>
                <w:rFonts w:hint="eastAsia" w:ascii="宋体" w:hAnsi="宋体"/>
                <w:kern w:val="0"/>
                <w:sz w:val="24"/>
                <w:highlight w:val="none"/>
              </w:rPr>
            </w:pPr>
            <w:r>
              <w:rPr>
                <w:rFonts w:hint="eastAsia" w:ascii="宋体" w:hAnsi="宋体"/>
                <w:kern w:val="0"/>
                <w:sz w:val="24"/>
                <w:highlight w:val="none"/>
              </w:rPr>
              <w:t>1项</w:t>
            </w:r>
          </w:p>
        </w:tc>
      </w:tr>
    </w:tbl>
    <w:p w14:paraId="63F7DB41">
      <w:pPr>
        <w:autoSpaceDE w:val="0"/>
        <w:autoSpaceDN w:val="0"/>
        <w:rPr>
          <w:highlight w:val="none"/>
        </w:rPr>
      </w:pPr>
    </w:p>
    <w:p w14:paraId="44772263">
      <w:pPr>
        <w:pStyle w:val="2"/>
        <w:autoSpaceDE w:val="0"/>
        <w:autoSpaceDN w:val="0"/>
        <w:spacing w:line="360" w:lineRule="auto"/>
        <w:ind w:firstLine="480" w:firstLineChars="200"/>
        <w:rPr>
          <w:rFonts w:hint="eastAsia" w:cs="Lantinghei SC Extralight"/>
          <w:highlight w:val="none"/>
        </w:rPr>
      </w:pPr>
      <w:r>
        <w:rPr>
          <w:rFonts w:hint="eastAsia" w:cs="Lantinghei SC Extralight"/>
          <w:highlight w:val="none"/>
        </w:rPr>
        <w:t>2.项目概述</w:t>
      </w:r>
    </w:p>
    <w:p w14:paraId="731E91DF">
      <w:pPr>
        <w:pStyle w:val="2"/>
        <w:autoSpaceDE w:val="0"/>
        <w:autoSpaceDN w:val="0"/>
        <w:spacing w:line="360" w:lineRule="auto"/>
        <w:ind w:firstLine="480" w:firstLineChars="200"/>
        <w:rPr>
          <w:rFonts w:hint="eastAsia" w:cs="Lantinghei SC Extralight"/>
          <w:highlight w:val="none"/>
        </w:rPr>
      </w:pPr>
      <w:r>
        <w:rPr>
          <w:rFonts w:hint="eastAsia" w:cs="Lantinghei SC Extralight"/>
          <w:highlight w:val="none"/>
        </w:rPr>
        <w:t>场地：北京建筑大学图书馆（大兴校区）1-5层及地下一层共约2.5万平方米、北京建筑大学图书馆（西城校区）80平方米及中建馆。</w:t>
      </w:r>
    </w:p>
    <w:p w14:paraId="4785BF14">
      <w:pPr>
        <w:pStyle w:val="2"/>
        <w:autoSpaceDE w:val="0"/>
        <w:autoSpaceDN w:val="0"/>
        <w:spacing w:line="360" w:lineRule="auto"/>
        <w:ind w:firstLine="480" w:firstLineChars="200"/>
        <w:rPr>
          <w:rFonts w:hint="eastAsia" w:cs="Lantinghei SC Extralight"/>
          <w:highlight w:val="none"/>
        </w:rPr>
      </w:pPr>
      <w:r>
        <w:rPr>
          <w:rFonts w:hint="eastAsia" w:cs="Lantinghei SC Extralight"/>
          <w:highlight w:val="none"/>
        </w:rPr>
        <w:t>设备由采购人提供，包括书架、书车、密集书架、阅览桌椅及桌面附属设备、自助借还设备、公共查询设备、自助打印设备、座位预约系统、电子阅览室设备、视听室视频音频会议设备、门禁系统等。中标人要保证现有设备使用及日常维护。</w:t>
      </w:r>
    </w:p>
    <w:p w14:paraId="4C62F97F">
      <w:pPr>
        <w:pStyle w:val="2"/>
        <w:autoSpaceDE w:val="0"/>
        <w:autoSpaceDN w:val="0"/>
        <w:spacing w:line="360" w:lineRule="auto"/>
        <w:ind w:firstLine="480" w:firstLineChars="200"/>
        <w:rPr>
          <w:rFonts w:hint="eastAsia" w:cs="Lantinghei SC Extralight"/>
          <w:highlight w:val="none"/>
        </w:rPr>
      </w:pPr>
      <w:r>
        <w:rPr>
          <w:rFonts w:hint="eastAsia" w:cs="Lantinghei SC Extralight"/>
          <w:highlight w:val="none"/>
        </w:rPr>
        <w:t>采购人不提供食宿。</w:t>
      </w:r>
    </w:p>
    <w:p w14:paraId="32F304BB">
      <w:pPr>
        <w:pStyle w:val="2"/>
        <w:ind w:left="12"/>
        <w:rPr>
          <w:rFonts w:hint="eastAsia" w:cs="Lantinghei SC Extralight"/>
          <w:highlight w:val="none"/>
        </w:rPr>
      </w:pPr>
    </w:p>
    <w:p w14:paraId="4F51C122">
      <w:pPr>
        <w:pStyle w:val="2"/>
        <w:spacing w:line="360" w:lineRule="auto"/>
        <w:ind w:firstLine="482" w:firstLineChars="200"/>
        <w:rPr>
          <w:rFonts w:hint="eastAsia" w:cs="宋体"/>
          <w:b/>
          <w:bCs/>
          <w:iCs/>
          <w:kern w:val="0"/>
          <w:highlight w:val="none"/>
        </w:rPr>
      </w:pPr>
      <w:r>
        <w:rPr>
          <w:rFonts w:hint="eastAsia" w:cs="宋体"/>
          <w:b/>
          <w:bCs/>
          <w:iCs/>
          <w:kern w:val="0"/>
          <w:highlight w:val="none"/>
        </w:rPr>
        <w:t>二、技术要求</w:t>
      </w:r>
    </w:p>
    <w:p w14:paraId="303DB146">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1.基本要求</w:t>
      </w:r>
    </w:p>
    <w:p w14:paraId="3D3B03DB">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1.1采购标的需实现的功能或者目标： 本次招标的项目及范围为北京建筑大学图书馆流通阅览服务外包项目。本项目由中标人承包及负责招标文件对中标人要求的一切事宜及责任，包括人员工资、社医保公积金费用、水电、网络费用、材料费、设备、一切税费、管理费用等的全部费用。</w:t>
      </w:r>
    </w:p>
    <w:p w14:paraId="7F44DCF3">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1.2需执行的国家相关标准、行业标准、地方标准或者其他标准、规范：需满足国家、北京市及采购人各项标准及规范要求</w:t>
      </w:r>
    </w:p>
    <w:p w14:paraId="213DDDA8">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2.服务内容及要求/货物技术要求</w:t>
      </w:r>
    </w:p>
    <w:p w14:paraId="56B28EE5">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2.1技术指标：</w:t>
      </w:r>
    </w:p>
    <w:p w14:paraId="2D51195A">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职责及任务</w:t>
      </w:r>
    </w:p>
    <w:p w14:paraId="6841638F">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 xml:space="preserve">2.1.1.主要职责：  </w:t>
      </w:r>
    </w:p>
    <w:p w14:paraId="6A11F0FA">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（1）负责日常开闭馆前后安全、卫生、环境、设备等巡视，维护正常开馆的工作。</w:t>
      </w:r>
    </w:p>
    <w:p w14:paraId="723FADD2">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（2）掌握纸本图书、报刊的典藏位置，了解馆藏结构，可对读者进行简单导读。</w:t>
      </w:r>
    </w:p>
    <w:p w14:paraId="11327D63">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（3）掌握各种设备使用技能。</w:t>
      </w:r>
    </w:p>
    <w:p w14:paraId="3725A1C0">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（4）图书馆开放区域对读者的管理及纠正违章。</w:t>
      </w:r>
    </w:p>
    <w:p w14:paraId="0053EAF6">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（5）其他类型文献宣传（数据库、电子书、移动图书馆等）。</w:t>
      </w:r>
    </w:p>
    <w:p w14:paraId="3CCE109F">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（6）文献利用推广。</w:t>
      </w:r>
    </w:p>
    <w:p w14:paraId="24ECEDF9">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（7）保护设备、家具、文献，避免造成人为损坏或遗失。</w:t>
      </w:r>
    </w:p>
    <w:p w14:paraId="2B969E08">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 xml:space="preserve">2.1.2.主要任务：    </w:t>
      </w:r>
    </w:p>
    <w:p w14:paraId="4F73B998">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（1）馆藏纸本文献管理，图书期刊上下架、整架、倒架、盘点、索书。</w:t>
      </w:r>
    </w:p>
    <w:p w14:paraId="7D5B4364">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（2）借阅空间管理，安全、卫生、环境等。</w:t>
      </w:r>
    </w:p>
    <w:p w14:paraId="7C0B4081">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（3）流通管理及统计。</w:t>
      </w:r>
    </w:p>
    <w:p w14:paraId="1ACED560">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（4）协助采编部做好报刊装订工作。</w:t>
      </w:r>
    </w:p>
    <w:p w14:paraId="7858D1A5">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（5）两校区文献借还。</w:t>
      </w:r>
    </w:p>
    <w:p w14:paraId="082DC54B">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（6）简单咨询。</w:t>
      </w:r>
    </w:p>
    <w:p w14:paraId="5B53180A">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（7）纸本文献推广及馆藏文献宣传。</w:t>
      </w:r>
    </w:p>
    <w:p w14:paraId="55F82D0D">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（8）辅导读者使用各种自助设备。</w:t>
      </w:r>
    </w:p>
    <w:p w14:paraId="7B2BF543">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（9）密集书库管理。</w:t>
      </w:r>
    </w:p>
    <w:p w14:paraId="26E527A0">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（10）设备日常维护。</w:t>
      </w:r>
    </w:p>
    <w:p w14:paraId="40AD0EF8">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（11）指导、辅导和检查勤工俭学、社会实践学生的工作。</w:t>
      </w:r>
    </w:p>
    <w:p w14:paraId="77ADC509">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（12）毕业生离校手续。</w:t>
      </w:r>
    </w:p>
    <w:p w14:paraId="4E14C370">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（13）其他临时任务。</w:t>
      </w:r>
    </w:p>
    <w:p w14:paraId="66319423">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2.2采购标的需满足的服务标准、期限、效率等要求：</w:t>
      </w:r>
    </w:p>
    <w:p w14:paraId="528234BC">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2.2.1.岗位设置及工作时间要求：</w:t>
      </w:r>
    </w:p>
    <w:p w14:paraId="15FA0D6C">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（1）工作时间：8：00-22：30，周一至周日</w:t>
      </w:r>
    </w:p>
    <w:p w14:paraId="40109EC4">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（2）岗位设置</w:t>
      </w:r>
      <w:r>
        <w:rPr>
          <w:rFonts w:hint="eastAsia" w:ascii="宋体" w:hAnsi="宋体" w:cs="宋体"/>
          <w:iCs/>
          <w:kern w:val="0"/>
          <w:sz w:val="24"/>
          <w:highlight w:val="none"/>
          <w:lang w:eastAsia="zh-CN"/>
        </w:rPr>
        <w:t>（</w:t>
      </w:r>
      <w:r>
        <w:rPr>
          <w:rFonts w:hint="eastAsia" w:ascii="宋体" w:hAnsi="宋体" w:cs="宋体"/>
          <w:iCs/>
          <w:kern w:val="0"/>
          <w:sz w:val="24"/>
          <w:highlight w:val="none"/>
          <w:lang w:val="en-US" w:eastAsia="zh-CN"/>
        </w:rPr>
        <w:t>根据岗位配备对应人员</w:t>
      </w:r>
      <w:r>
        <w:rPr>
          <w:rFonts w:hint="eastAsia" w:ascii="宋体" w:hAnsi="宋体" w:cs="宋体"/>
          <w:iCs/>
          <w:kern w:val="0"/>
          <w:sz w:val="24"/>
          <w:highlight w:val="none"/>
          <w:lang w:eastAsia="zh-CN"/>
        </w:rPr>
        <w:t>）</w:t>
      </w:r>
      <w:r>
        <w:rPr>
          <w:rFonts w:hint="eastAsia" w:ascii="宋体" w:hAnsi="宋体" w:cs="宋体"/>
          <w:iCs/>
          <w:kern w:val="0"/>
          <w:sz w:val="24"/>
          <w:highlight w:val="none"/>
        </w:rPr>
        <w:t>及工作时间表：</w:t>
      </w:r>
    </w:p>
    <w:tbl>
      <w:tblPr>
        <w:tblStyle w:val="3"/>
        <w:tblW w:w="7824" w:type="dxa"/>
        <w:jc w:val="center"/>
        <w:tblLayout w:type="autofit"/>
        <w:tblCellMar>
          <w:top w:w="0" w:type="dxa"/>
          <w:left w:w="108" w:type="dxa"/>
          <w:bottom w:w="0" w:type="dxa"/>
          <w:right w:w="108" w:type="dxa"/>
        </w:tblCellMar>
      </w:tblPr>
      <w:tblGrid>
        <w:gridCol w:w="660"/>
        <w:gridCol w:w="2726"/>
        <w:gridCol w:w="1693"/>
        <w:gridCol w:w="2745"/>
      </w:tblGrid>
      <w:tr w14:paraId="08CA811A">
        <w:tblPrEx>
          <w:tblCellMar>
            <w:top w:w="0" w:type="dxa"/>
            <w:left w:w="108" w:type="dxa"/>
            <w:bottom w:w="0" w:type="dxa"/>
            <w:right w:w="108" w:type="dxa"/>
          </w:tblCellMar>
        </w:tblPrEx>
        <w:trPr>
          <w:trHeight w:val="907"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16705B76">
            <w:pPr>
              <w:widowControl/>
              <w:rPr>
                <w:rFonts w:hint="eastAsia" w:ascii="宋体" w:hAnsi="宋体" w:cs="宋体"/>
                <w:sz w:val="24"/>
                <w:highlight w:val="none"/>
              </w:rPr>
            </w:pPr>
            <w:r>
              <w:rPr>
                <w:rFonts w:hint="eastAsia" w:ascii="宋体" w:hAnsi="宋体" w:cs="宋体"/>
                <w:sz w:val="24"/>
                <w:highlight w:val="none"/>
              </w:rPr>
              <w:t>　</w:t>
            </w:r>
          </w:p>
        </w:tc>
        <w:tc>
          <w:tcPr>
            <w:tcW w:w="2726" w:type="dxa"/>
            <w:tcBorders>
              <w:top w:val="single" w:color="auto" w:sz="4" w:space="0"/>
              <w:left w:val="nil"/>
              <w:bottom w:val="single" w:color="auto" w:sz="4" w:space="0"/>
              <w:right w:val="single" w:color="auto" w:sz="4" w:space="0"/>
            </w:tcBorders>
            <w:vAlign w:val="center"/>
          </w:tcPr>
          <w:p w14:paraId="20045B54">
            <w:pPr>
              <w:widowControl/>
              <w:jc w:val="center"/>
              <w:rPr>
                <w:rFonts w:hint="eastAsia" w:ascii="宋体" w:hAnsi="宋体" w:cs="宋体"/>
                <w:sz w:val="24"/>
                <w:highlight w:val="none"/>
              </w:rPr>
            </w:pPr>
            <w:r>
              <w:rPr>
                <w:rFonts w:hint="eastAsia" w:ascii="宋体" w:hAnsi="宋体" w:cs="宋体"/>
                <w:sz w:val="24"/>
                <w:highlight w:val="none"/>
              </w:rPr>
              <w:t>岗位数</w:t>
            </w:r>
          </w:p>
        </w:tc>
        <w:tc>
          <w:tcPr>
            <w:tcW w:w="4438" w:type="dxa"/>
            <w:gridSpan w:val="2"/>
            <w:tcBorders>
              <w:top w:val="single" w:color="auto" w:sz="4" w:space="0"/>
              <w:left w:val="nil"/>
              <w:bottom w:val="single" w:color="auto" w:sz="4" w:space="0"/>
              <w:right w:val="single" w:color="auto" w:sz="4" w:space="0"/>
            </w:tcBorders>
            <w:vAlign w:val="center"/>
          </w:tcPr>
          <w:p w14:paraId="0D42C1DD">
            <w:pPr>
              <w:widowControl/>
              <w:jc w:val="center"/>
              <w:rPr>
                <w:rFonts w:hint="eastAsia" w:ascii="宋体" w:hAnsi="宋体" w:cs="宋体"/>
                <w:sz w:val="24"/>
                <w:highlight w:val="none"/>
              </w:rPr>
            </w:pPr>
            <w:r>
              <w:rPr>
                <w:rFonts w:hint="eastAsia" w:ascii="宋体" w:hAnsi="宋体" w:cs="宋体"/>
                <w:sz w:val="24"/>
                <w:highlight w:val="none"/>
              </w:rPr>
              <w:t>工作时间</w:t>
            </w:r>
          </w:p>
        </w:tc>
      </w:tr>
      <w:tr w14:paraId="060A8854">
        <w:tblPrEx>
          <w:tblCellMar>
            <w:top w:w="0" w:type="dxa"/>
            <w:left w:w="108" w:type="dxa"/>
            <w:bottom w:w="0" w:type="dxa"/>
            <w:right w:w="108" w:type="dxa"/>
          </w:tblCellMar>
        </w:tblPrEx>
        <w:trPr>
          <w:trHeight w:val="830" w:hRule="atLeast"/>
          <w:jc w:val="center"/>
        </w:trPr>
        <w:tc>
          <w:tcPr>
            <w:tcW w:w="660" w:type="dxa"/>
            <w:vMerge w:val="restart"/>
            <w:tcBorders>
              <w:top w:val="nil"/>
              <w:left w:val="single" w:color="auto" w:sz="4" w:space="0"/>
              <w:right w:val="single" w:color="auto" w:sz="4" w:space="0"/>
            </w:tcBorders>
            <w:vAlign w:val="center"/>
          </w:tcPr>
          <w:p w14:paraId="469D6538">
            <w:pPr>
              <w:widowControl/>
              <w:rPr>
                <w:rFonts w:hint="eastAsia" w:ascii="宋体" w:hAnsi="宋体" w:cs="宋体"/>
                <w:sz w:val="24"/>
                <w:highlight w:val="none"/>
              </w:rPr>
            </w:pPr>
            <w:r>
              <w:rPr>
                <w:rFonts w:hint="eastAsia" w:ascii="宋体" w:hAnsi="宋体" w:cs="宋体"/>
                <w:sz w:val="24"/>
                <w:highlight w:val="none"/>
              </w:rPr>
              <w:t>大兴校区</w:t>
            </w:r>
          </w:p>
        </w:tc>
        <w:tc>
          <w:tcPr>
            <w:tcW w:w="2726" w:type="dxa"/>
            <w:tcBorders>
              <w:top w:val="nil"/>
              <w:left w:val="nil"/>
              <w:bottom w:val="single" w:color="auto" w:sz="4" w:space="0"/>
              <w:right w:val="single" w:color="auto" w:sz="4" w:space="0"/>
            </w:tcBorders>
            <w:vAlign w:val="center"/>
          </w:tcPr>
          <w:p w14:paraId="42620DAD">
            <w:pPr>
              <w:widowControl/>
              <w:rPr>
                <w:rFonts w:hint="eastAsia" w:ascii="宋体" w:hAnsi="宋体" w:cs="宋体"/>
                <w:sz w:val="24"/>
                <w:highlight w:val="none"/>
              </w:rPr>
            </w:pPr>
            <w:r>
              <w:rPr>
                <w:rFonts w:hint="eastAsia" w:ascii="宋体" w:hAnsi="宋体" w:cs="宋体"/>
                <w:sz w:val="24"/>
                <w:highlight w:val="none"/>
              </w:rPr>
              <w:t>项目驻馆负责人1个</w:t>
            </w:r>
          </w:p>
        </w:tc>
        <w:tc>
          <w:tcPr>
            <w:tcW w:w="1693" w:type="dxa"/>
            <w:tcBorders>
              <w:top w:val="nil"/>
              <w:left w:val="nil"/>
              <w:bottom w:val="single" w:color="auto" w:sz="4" w:space="0"/>
              <w:right w:val="single" w:color="auto" w:sz="4" w:space="0"/>
            </w:tcBorders>
            <w:vAlign w:val="center"/>
          </w:tcPr>
          <w:p w14:paraId="40E40B0A">
            <w:pPr>
              <w:widowControl/>
              <w:rPr>
                <w:rFonts w:hint="eastAsia" w:ascii="宋体" w:hAnsi="宋体" w:cs="宋体"/>
                <w:sz w:val="24"/>
                <w:highlight w:val="none"/>
              </w:rPr>
            </w:pPr>
            <w:r>
              <w:rPr>
                <w:rFonts w:hint="eastAsia" w:ascii="宋体" w:hAnsi="宋体" w:cs="宋体"/>
                <w:sz w:val="24"/>
                <w:highlight w:val="none"/>
              </w:rPr>
              <w:t>周一至周五</w:t>
            </w:r>
          </w:p>
        </w:tc>
        <w:tc>
          <w:tcPr>
            <w:tcW w:w="2745" w:type="dxa"/>
            <w:tcBorders>
              <w:top w:val="nil"/>
              <w:left w:val="nil"/>
              <w:bottom w:val="single" w:color="auto" w:sz="4" w:space="0"/>
              <w:right w:val="single" w:color="auto" w:sz="4" w:space="0"/>
            </w:tcBorders>
            <w:vAlign w:val="center"/>
          </w:tcPr>
          <w:p w14:paraId="2FB9A2F1">
            <w:pPr>
              <w:widowControl/>
              <w:rPr>
                <w:rFonts w:hint="eastAsia" w:ascii="宋体" w:hAnsi="宋体" w:cs="宋体"/>
                <w:sz w:val="24"/>
                <w:highlight w:val="none"/>
              </w:rPr>
            </w:pPr>
            <w:r>
              <w:rPr>
                <w:rFonts w:hint="eastAsia" w:ascii="宋体" w:hAnsi="宋体" w:cs="宋体"/>
                <w:sz w:val="24"/>
                <w:highlight w:val="none"/>
              </w:rPr>
              <w:t>8：00-12：00</w:t>
            </w:r>
            <w:r>
              <w:rPr>
                <w:rFonts w:hint="eastAsia" w:ascii="宋体" w:hAnsi="宋体" w:cs="宋体"/>
                <w:sz w:val="24"/>
                <w:highlight w:val="none"/>
              </w:rPr>
              <w:br w:type="textWrapping"/>
            </w:r>
            <w:r>
              <w:rPr>
                <w:rFonts w:hint="eastAsia" w:ascii="宋体" w:hAnsi="宋体" w:cs="宋体"/>
                <w:sz w:val="24"/>
                <w:highlight w:val="none"/>
              </w:rPr>
              <w:t>13：00-17：00</w:t>
            </w:r>
          </w:p>
        </w:tc>
      </w:tr>
      <w:tr w14:paraId="27B49D03">
        <w:tblPrEx>
          <w:tblCellMar>
            <w:top w:w="0" w:type="dxa"/>
            <w:left w:w="108" w:type="dxa"/>
            <w:bottom w:w="0" w:type="dxa"/>
            <w:right w:w="108" w:type="dxa"/>
          </w:tblCellMar>
        </w:tblPrEx>
        <w:trPr>
          <w:trHeight w:val="819" w:hRule="atLeast"/>
          <w:jc w:val="center"/>
        </w:trPr>
        <w:tc>
          <w:tcPr>
            <w:tcW w:w="660" w:type="dxa"/>
            <w:vMerge w:val="continue"/>
            <w:tcBorders>
              <w:left w:val="single" w:color="auto" w:sz="4" w:space="0"/>
              <w:right w:val="single" w:color="auto" w:sz="4" w:space="0"/>
            </w:tcBorders>
            <w:vAlign w:val="center"/>
          </w:tcPr>
          <w:p w14:paraId="444697DC">
            <w:pPr>
              <w:widowControl/>
              <w:rPr>
                <w:rFonts w:hint="eastAsia" w:ascii="宋体" w:hAnsi="宋体" w:cs="宋体"/>
                <w:sz w:val="24"/>
                <w:highlight w:val="none"/>
              </w:rPr>
            </w:pPr>
          </w:p>
        </w:tc>
        <w:tc>
          <w:tcPr>
            <w:tcW w:w="2726" w:type="dxa"/>
            <w:tcBorders>
              <w:top w:val="nil"/>
              <w:left w:val="nil"/>
              <w:bottom w:val="single" w:color="auto" w:sz="4" w:space="0"/>
              <w:right w:val="single" w:color="auto" w:sz="4" w:space="0"/>
            </w:tcBorders>
            <w:vAlign w:val="center"/>
          </w:tcPr>
          <w:p w14:paraId="39A7A6A6">
            <w:pPr>
              <w:widowControl/>
              <w:rPr>
                <w:rFonts w:hint="eastAsia" w:ascii="宋体" w:hAnsi="宋体" w:cs="宋体"/>
                <w:sz w:val="24"/>
                <w:highlight w:val="none"/>
              </w:rPr>
            </w:pPr>
            <w:r>
              <w:rPr>
                <w:rFonts w:hint="eastAsia" w:ascii="宋体" w:hAnsi="宋体" w:cs="宋体"/>
                <w:sz w:val="24"/>
                <w:highlight w:val="none"/>
              </w:rPr>
              <w:t>二楼书库及阅览区读者服务岗1个</w:t>
            </w:r>
          </w:p>
        </w:tc>
        <w:tc>
          <w:tcPr>
            <w:tcW w:w="1693" w:type="dxa"/>
            <w:tcBorders>
              <w:top w:val="nil"/>
              <w:left w:val="nil"/>
              <w:bottom w:val="single" w:color="auto" w:sz="4" w:space="0"/>
              <w:right w:val="single" w:color="auto" w:sz="4" w:space="0"/>
            </w:tcBorders>
            <w:vAlign w:val="center"/>
          </w:tcPr>
          <w:p w14:paraId="3B431B2D">
            <w:pPr>
              <w:widowControl/>
              <w:rPr>
                <w:rFonts w:hint="eastAsia" w:ascii="宋体" w:hAnsi="宋体" w:cs="宋体"/>
                <w:sz w:val="24"/>
                <w:highlight w:val="none"/>
              </w:rPr>
            </w:pPr>
            <w:r>
              <w:rPr>
                <w:rFonts w:hint="eastAsia" w:ascii="宋体" w:hAnsi="宋体" w:cs="宋体"/>
                <w:sz w:val="24"/>
                <w:highlight w:val="none"/>
              </w:rPr>
              <w:t>周一至周日</w:t>
            </w:r>
          </w:p>
        </w:tc>
        <w:tc>
          <w:tcPr>
            <w:tcW w:w="2745" w:type="dxa"/>
            <w:tcBorders>
              <w:top w:val="nil"/>
              <w:left w:val="nil"/>
              <w:bottom w:val="single" w:color="auto" w:sz="4" w:space="0"/>
              <w:right w:val="single" w:color="auto" w:sz="4" w:space="0"/>
            </w:tcBorders>
            <w:vAlign w:val="center"/>
          </w:tcPr>
          <w:p w14:paraId="72176C5E">
            <w:pPr>
              <w:widowControl/>
              <w:rPr>
                <w:rFonts w:hint="eastAsia" w:ascii="宋体" w:hAnsi="宋体" w:cs="宋体"/>
                <w:sz w:val="24"/>
                <w:highlight w:val="none"/>
              </w:rPr>
            </w:pPr>
            <w:r>
              <w:rPr>
                <w:rFonts w:hint="eastAsia" w:ascii="宋体" w:hAnsi="宋体" w:cs="宋体"/>
                <w:sz w:val="24"/>
                <w:highlight w:val="none"/>
              </w:rPr>
              <w:t>8：00-22：30</w:t>
            </w:r>
          </w:p>
        </w:tc>
      </w:tr>
      <w:tr w14:paraId="26BD9E6D">
        <w:tblPrEx>
          <w:tblCellMar>
            <w:top w:w="0" w:type="dxa"/>
            <w:left w:w="108" w:type="dxa"/>
            <w:bottom w:w="0" w:type="dxa"/>
            <w:right w:w="108" w:type="dxa"/>
          </w:tblCellMar>
        </w:tblPrEx>
        <w:trPr>
          <w:trHeight w:val="851" w:hRule="atLeast"/>
          <w:jc w:val="center"/>
        </w:trPr>
        <w:tc>
          <w:tcPr>
            <w:tcW w:w="660" w:type="dxa"/>
            <w:vMerge w:val="continue"/>
            <w:tcBorders>
              <w:left w:val="single" w:color="auto" w:sz="4" w:space="0"/>
              <w:right w:val="single" w:color="auto" w:sz="4" w:space="0"/>
            </w:tcBorders>
            <w:vAlign w:val="center"/>
          </w:tcPr>
          <w:p w14:paraId="4899BF70">
            <w:pPr>
              <w:widowControl/>
              <w:rPr>
                <w:rFonts w:hint="eastAsia" w:ascii="宋体" w:hAnsi="宋体" w:cs="宋体"/>
                <w:sz w:val="24"/>
                <w:highlight w:val="none"/>
              </w:rPr>
            </w:pPr>
          </w:p>
        </w:tc>
        <w:tc>
          <w:tcPr>
            <w:tcW w:w="2726" w:type="dxa"/>
            <w:tcBorders>
              <w:top w:val="nil"/>
              <w:left w:val="nil"/>
              <w:bottom w:val="single" w:color="auto" w:sz="4" w:space="0"/>
              <w:right w:val="single" w:color="auto" w:sz="4" w:space="0"/>
            </w:tcBorders>
            <w:vAlign w:val="center"/>
          </w:tcPr>
          <w:p w14:paraId="21B4EA30">
            <w:pPr>
              <w:widowControl/>
              <w:rPr>
                <w:rFonts w:hint="eastAsia" w:ascii="宋体" w:hAnsi="宋体" w:cs="宋体"/>
                <w:sz w:val="24"/>
                <w:highlight w:val="none"/>
              </w:rPr>
            </w:pPr>
            <w:r>
              <w:rPr>
                <w:rFonts w:hint="eastAsia" w:ascii="宋体" w:hAnsi="宋体" w:cs="宋体"/>
                <w:sz w:val="24"/>
                <w:highlight w:val="none"/>
              </w:rPr>
              <w:t>三楼书库及阅览区读者服务岗1个</w:t>
            </w:r>
          </w:p>
        </w:tc>
        <w:tc>
          <w:tcPr>
            <w:tcW w:w="1693" w:type="dxa"/>
            <w:tcBorders>
              <w:top w:val="nil"/>
              <w:left w:val="nil"/>
              <w:bottom w:val="single" w:color="auto" w:sz="4" w:space="0"/>
              <w:right w:val="single" w:color="auto" w:sz="4" w:space="0"/>
            </w:tcBorders>
            <w:vAlign w:val="center"/>
          </w:tcPr>
          <w:p w14:paraId="380CCC17">
            <w:pPr>
              <w:widowControl/>
              <w:rPr>
                <w:rFonts w:hint="eastAsia" w:ascii="宋体" w:hAnsi="宋体" w:cs="宋体"/>
                <w:sz w:val="24"/>
                <w:highlight w:val="none"/>
              </w:rPr>
            </w:pPr>
            <w:r>
              <w:rPr>
                <w:rFonts w:hint="eastAsia" w:ascii="宋体" w:hAnsi="宋体" w:cs="宋体"/>
                <w:sz w:val="24"/>
                <w:highlight w:val="none"/>
              </w:rPr>
              <w:t>周一至周日</w:t>
            </w:r>
          </w:p>
        </w:tc>
        <w:tc>
          <w:tcPr>
            <w:tcW w:w="2745" w:type="dxa"/>
            <w:tcBorders>
              <w:top w:val="nil"/>
              <w:left w:val="nil"/>
              <w:bottom w:val="single" w:color="auto" w:sz="4" w:space="0"/>
              <w:right w:val="single" w:color="auto" w:sz="4" w:space="0"/>
            </w:tcBorders>
            <w:vAlign w:val="center"/>
          </w:tcPr>
          <w:p w14:paraId="04584EF3">
            <w:pPr>
              <w:widowControl/>
              <w:rPr>
                <w:rFonts w:hint="eastAsia" w:ascii="宋体" w:hAnsi="宋体" w:cs="宋体"/>
                <w:sz w:val="24"/>
                <w:highlight w:val="none"/>
              </w:rPr>
            </w:pPr>
            <w:r>
              <w:rPr>
                <w:rFonts w:hint="eastAsia" w:ascii="宋体" w:hAnsi="宋体" w:cs="宋体"/>
                <w:sz w:val="24"/>
                <w:highlight w:val="none"/>
              </w:rPr>
              <w:t>8：00-22：30</w:t>
            </w:r>
          </w:p>
        </w:tc>
      </w:tr>
      <w:tr w14:paraId="4EF078E6">
        <w:tblPrEx>
          <w:tblCellMar>
            <w:top w:w="0" w:type="dxa"/>
            <w:left w:w="108" w:type="dxa"/>
            <w:bottom w:w="0" w:type="dxa"/>
            <w:right w:w="108" w:type="dxa"/>
          </w:tblCellMar>
        </w:tblPrEx>
        <w:trPr>
          <w:trHeight w:val="863" w:hRule="atLeast"/>
          <w:jc w:val="center"/>
        </w:trPr>
        <w:tc>
          <w:tcPr>
            <w:tcW w:w="660" w:type="dxa"/>
            <w:vMerge w:val="continue"/>
            <w:tcBorders>
              <w:left w:val="single" w:color="auto" w:sz="4" w:space="0"/>
              <w:right w:val="single" w:color="auto" w:sz="4" w:space="0"/>
            </w:tcBorders>
            <w:vAlign w:val="center"/>
          </w:tcPr>
          <w:p w14:paraId="489C2F18">
            <w:pPr>
              <w:widowControl/>
              <w:rPr>
                <w:rFonts w:hint="eastAsia" w:ascii="宋体" w:hAnsi="宋体" w:cs="宋体"/>
                <w:sz w:val="24"/>
                <w:highlight w:val="none"/>
              </w:rPr>
            </w:pPr>
          </w:p>
        </w:tc>
        <w:tc>
          <w:tcPr>
            <w:tcW w:w="2726" w:type="dxa"/>
            <w:tcBorders>
              <w:top w:val="nil"/>
              <w:left w:val="nil"/>
              <w:bottom w:val="single" w:color="auto" w:sz="4" w:space="0"/>
              <w:right w:val="single" w:color="auto" w:sz="4" w:space="0"/>
            </w:tcBorders>
            <w:vAlign w:val="center"/>
          </w:tcPr>
          <w:p w14:paraId="65DDE399">
            <w:pPr>
              <w:widowControl/>
              <w:rPr>
                <w:rFonts w:hint="eastAsia" w:ascii="宋体" w:hAnsi="宋体" w:cs="宋体"/>
                <w:sz w:val="24"/>
                <w:highlight w:val="none"/>
              </w:rPr>
            </w:pPr>
            <w:r>
              <w:rPr>
                <w:rFonts w:hint="eastAsia" w:ascii="宋体" w:hAnsi="宋体" w:cs="宋体"/>
                <w:sz w:val="24"/>
                <w:highlight w:val="none"/>
              </w:rPr>
              <w:t>四楼书库及阅览区读者服务岗1个</w:t>
            </w:r>
          </w:p>
        </w:tc>
        <w:tc>
          <w:tcPr>
            <w:tcW w:w="1693" w:type="dxa"/>
            <w:tcBorders>
              <w:top w:val="nil"/>
              <w:left w:val="nil"/>
              <w:bottom w:val="single" w:color="auto" w:sz="4" w:space="0"/>
              <w:right w:val="single" w:color="auto" w:sz="4" w:space="0"/>
            </w:tcBorders>
            <w:vAlign w:val="center"/>
          </w:tcPr>
          <w:p w14:paraId="1E4BEDF0">
            <w:pPr>
              <w:widowControl/>
              <w:rPr>
                <w:rFonts w:hint="eastAsia" w:ascii="宋体" w:hAnsi="宋体" w:cs="宋体"/>
                <w:sz w:val="24"/>
                <w:highlight w:val="none"/>
              </w:rPr>
            </w:pPr>
            <w:r>
              <w:rPr>
                <w:rFonts w:hint="eastAsia" w:ascii="宋体" w:hAnsi="宋体" w:cs="宋体"/>
                <w:sz w:val="24"/>
                <w:highlight w:val="none"/>
              </w:rPr>
              <w:t>周一至周日</w:t>
            </w:r>
          </w:p>
        </w:tc>
        <w:tc>
          <w:tcPr>
            <w:tcW w:w="2745" w:type="dxa"/>
            <w:tcBorders>
              <w:top w:val="nil"/>
              <w:left w:val="nil"/>
              <w:bottom w:val="single" w:color="auto" w:sz="4" w:space="0"/>
              <w:right w:val="single" w:color="auto" w:sz="4" w:space="0"/>
            </w:tcBorders>
            <w:vAlign w:val="center"/>
          </w:tcPr>
          <w:p w14:paraId="36DBA0DF">
            <w:pPr>
              <w:widowControl/>
              <w:rPr>
                <w:rFonts w:hint="eastAsia" w:ascii="宋体" w:hAnsi="宋体" w:cs="宋体"/>
                <w:sz w:val="24"/>
                <w:highlight w:val="none"/>
              </w:rPr>
            </w:pPr>
            <w:r>
              <w:rPr>
                <w:rFonts w:hint="eastAsia" w:ascii="宋体" w:hAnsi="宋体" w:cs="宋体"/>
                <w:sz w:val="24"/>
                <w:highlight w:val="none"/>
              </w:rPr>
              <w:t>8：00-22：30</w:t>
            </w:r>
          </w:p>
        </w:tc>
      </w:tr>
      <w:tr w14:paraId="26A02BD0">
        <w:tblPrEx>
          <w:tblCellMar>
            <w:top w:w="0" w:type="dxa"/>
            <w:left w:w="108" w:type="dxa"/>
            <w:bottom w:w="0" w:type="dxa"/>
            <w:right w:w="108" w:type="dxa"/>
          </w:tblCellMar>
        </w:tblPrEx>
        <w:trPr>
          <w:trHeight w:val="504" w:hRule="atLeast"/>
          <w:jc w:val="center"/>
        </w:trPr>
        <w:tc>
          <w:tcPr>
            <w:tcW w:w="660" w:type="dxa"/>
            <w:vMerge w:val="continue"/>
            <w:tcBorders>
              <w:left w:val="single" w:color="auto" w:sz="4" w:space="0"/>
              <w:right w:val="single" w:color="auto" w:sz="4" w:space="0"/>
            </w:tcBorders>
            <w:vAlign w:val="center"/>
          </w:tcPr>
          <w:p w14:paraId="1FF02536">
            <w:pPr>
              <w:widowControl/>
              <w:rPr>
                <w:rFonts w:hint="eastAsia" w:ascii="宋体" w:hAnsi="宋体" w:cs="宋体"/>
                <w:sz w:val="24"/>
                <w:highlight w:val="none"/>
              </w:rPr>
            </w:pPr>
          </w:p>
        </w:tc>
        <w:tc>
          <w:tcPr>
            <w:tcW w:w="2726" w:type="dxa"/>
            <w:tcBorders>
              <w:top w:val="nil"/>
              <w:left w:val="nil"/>
              <w:bottom w:val="single" w:color="auto" w:sz="4" w:space="0"/>
              <w:right w:val="single" w:color="auto" w:sz="4" w:space="0"/>
            </w:tcBorders>
            <w:vAlign w:val="center"/>
          </w:tcPr>
          <w:p w14:paraId="79A3F99E">
            <w:pPr>
              <w:widowControl/>
              <w:rPr>
                <w:rFonts w:hint="eastAsia" w:ascii="宋体" w:hAnsi="宋体" w:cs="宋体"/>
                <w:sz w:val="24"/>
                <w:highlight w:val="none"/>
              </w:rPr>
            </w:pPr>
            <w:r>
              <w:rPr>
                <w:rFonts w:hint="eastAsia" w:ascii="宋体" w:hAnsi="宋体" w:cs="宋体"/>
                <w:sz w:val="24"/>
                <w:highlight w:val="none"/>
              </w:rPr>
              <w:t>五楼书库及阅览区读者服务岗1个</w:t>
            </w:r>
          </w:p>
        </w:tc>
        <w:tc>
          <w:tcPr>
            <w:tcW w:w="1693" w:type="dxa"/>
            <w:tcBorders>
              <w:top w:val="nil"/>
              <w:left w:val="nil"/>
              <w:bottom w:val="single" w:color="auto" w:sz="4" w:space="0"/>
              <w:right w:val="single" w:color="auto" w:sz="4" w:space="0"/>
            </w:tcBorders>
            <w:vAlign w:val="center"/>
          </w:tcPr>
          <w:p w14:paraId="165C4D56">
            <w:pPr>
              <w:widowControl/>
              <w:rPr>
                <w:rFonts w:hint="eastAsia" w:ascii="宋体" w:hAnsi="宋体" w:cs="宋体"/>
                <w:sz w:val="24"/>
                <w:highlight w:val="none"/>
              </w:rPr>
            </w:pPr>
            <w:r>
              <w:rPr>
                <w:rFonts w:hint="eastAsia" w:ascii="宋体" w:hAnsi="宋体" w:cs="宋体"/>
                <w:sz w:val="24"/>
                <w:highlight w:val="none"/>
              </w:rPr>
              <w:t>周一至周日</w:t>
            </w:r>
          </w:p>
        </w:tc>
        <w:tc>
          <w:tcPr>
            <w:tcW w:w="2745" w:type="dxa"/>
            <w:tcBorders>
              <w:top w:val="nil"/>
              <w:left w:val="nil"/>
              <w:bottom w:val="single" w:color="auto" w:sz="4" w:space="0"/>
              <w:right w:val="single" w:color="auto" w:sz="4" w:space="0"/>
            </w:tcBorders>
            <w:vAlign w:val="center"/>
          </w:tcPr>
          <w:p w14:paraId="53BC7F10">
            <w:pPr>
              <w:widowControl/>
              <w:rPr>
                <w:rFonts w:hint="eastAsia" w:ascii="宋体" w:hAnsi="宋体" w:cs="宋体"/>
                <w:sz w:val="24"/>
                <w:highlight w:val="none"/>
              </w:rPr>
            </w:pPr>
            <w:r>
              <w:rPr>
                <w:rFonts w:hint="eastAsia" w:ascii="宋体" w:hAnsi="宋体" w:cs="宋体"/>
                <w:sz w:val="24"/>
                <w:highlight w:val="none"/>
              </w:rPr>
              <w:t>8：00-22：30</w:t>
            </w:r>
          </w:p>
        </w:tc>
      </w:tr>
      <w:tr w14:paraId="41990806">
        <w:tblPrEx>
          <w:tblCellMar>
            <w:top w:w="0" w:type="dxa"/>
            <w:left w:w="108" w:type="dxa"/>
            <w:bottom w:w="0" w:type="dxa"/>
            <w:right w:w="108" w:type="dxa"/>
          </w:tblCellMar>
        </w:tblPrEx>
        <w:trPr>
          <w:trHeight w:val="1356" w:hRule="atLeast"/>
          <w:jc w:val="center"/>
        </w:trPr>
        <w:tc>
          <w:tcPr>
            <w:tcW w:w="660" w:type="dxa"/>
            <w:vMerge w:val="continue"/>
            <w:tcBorders>
              <w:left w:val="single" w:color="auto" w:sz="4" w:space="0"/>
              <w:right w:val="single" w:color="auto" w:sz="4" w:space="0"/>
            </w:tcBorders>
            <w:vAlign w:val="center"/>
          </w:tcPr>
          <w:p w14:paraId="75169FEF">
            <w:pPr>
              <w:widowControl/>
              <w:rPr>
                <w:rFonts w:hint="eastAsia" w:ascii="宋体" w:hAnsi="宋体" w:cs="宋体"/>
                <w:sz w:val="24"/>
                <w:highlight w:val="none"/>
              </w:rPr>
            </w:pPr>
          </w:p>
        </w:tc>
        <w:tc>
          <w:tcPr>
            <w:tcW w:w="2726" w:type="dxa"/>
            <w:tcBorders>
              <w:top w:val="nil"/>
              <w:left w:val="nil"/>
              <w:bottom w:val="single" w:color="auto" w:sz="4" w:space="0"/>
              <w:right w:val="single" w:color="auto" w:sz="4" w:space="0"/>
            </w:tcBorders>
            <w:vAlign w:val="center"/>
          </w:tcPr>
          <w:p w14:paraId="42843E77">
            <w:pPr>
              <w:widowControl/>
              <w:rPr>
                <w:rFonts w:hint="eastAsia" w:ascii="宋体" w:hAnsi="宋体" w:cs="宋体"/>
                <w:sz w:val="24"/>
                <w:highlight w:val="none"/>
              </w:rPr>
            </w:pPr>
            <w:r>
              <w:rPr>
                <w:rFonts w:hint="eastAsia" w:ascii="宋体" w:hAnsi="宋体" w:cs="宋体"/>
                <w:sz w:val="24"/>
                <w:highlight w:val="none"/>
              </w:rPr>
              <w:t>一楼总服务台读者服务/咨询岗1个</w:t>
            </w:r>
          </w:p>
        </w:tc>
        <w:tc>
          <w:tcPr>
            <w:tcW w:w="1693" w:type="dxa"/>
            <w:tcBorders>
              <w:top w:val="nil"/>
              <w:left w:val="nil"/>
              <w:bottom w:val="single" w:color="auto" w:sz="4" w:space="0"/>
              <w:right w:val="single" w:color="auto" w:sz="4" w:space="0"/>
            </w:tcBorders>
            <w:vAlign w:val="center"/>
          </w:tcPr>
          <w:p w14:paraId="724BFECB">
            <w:pPr>
              <w:widowControl/>
              <w:rPr>
                <w:rFonts w:hint="eastAsia" w:ascii="宋体" w:hAnsi="宋体" w:cs="宋体"/>
                <w:sz w:val="24"/>
                <w:highlight w:val="none"/>
              </w:rPr>
            </w:pPr>
            <w:r>
              <w:rPr>
                <w:rFonts w:hint="eastAsia" w:ascii="宋体" w:hAnsi="宋体" w:cs="宋体"/>
                <w:sz w:val="24"/>
                <w:highlight w:val="none"/>
              </w:rPr>
              <w:t>周一至周日</w:t>
            </w:r>
          </w:p>
        </w:tc>
        <w:tc>
          <w:tcPr>
            <w:tcW w:w="2745" w:type="dxa"/>
            <w:tcBorders>
              <w:top w:val="nil"/>
              <w:left w:val="nil"/>
              <w:bottom w:val="single" w:color="auto" w:sz="4" w:space="0"/>
              <w:right w:val="single" w:color="auto" w:sz="4" w:space="0"/>
            </w:tcBorders>
            <w:vAlign w:val="center"/>
          </w:tcPr>
          <w:p w14:paraId="1DA5E9BA">
            <w:pPr>
              <w:widowControl/>
              <w:rPr>
                <w:rFonts w:hint="eastAsia" w:ascii="宋体" w:hAnsi="宋体" w:cs="宋体"/>
                <w:sz w:val="24"/>
                <w:highlight w:val="none"/>
              </w:rPr>
            </w:pPr>
            <w:r>
              <w:rPr>
                <w:rFonts w:hint="eastAsia" w:ascii="宋体" w:hAnsi="宋体" w:cs="宋体"/>
                <w:sz w:val="24"/>
                <w:highlight w:val="none"/>
              </w:rPr>
              <w:t>与馆员统一排班</w:t>
            </w:r>
          </w:p>
        </w:tc>
      </w:tr>
      <w:tr w14:paraId="0608B86F">
        <w:tblPrEx>
          <w:tblCellMar>
            <w:top w:w="0" w:type="dxa"/>
            <w:left w:w="108" w:type="dxa"/>
            <w:bottom w:w="0" w:type="dxa"/>
            <w:right w:w="108" w:type="dxa"/>
          </w:tblCellMar>
        </w:tblPrEx>
        <w:trPr>
          <w:trHeight w:val="1163" w:hRule="atLeast"/>
          <w:jc w:val="center"/>
        </w:trPr>
        <w:tc>
          <w:tcPr>
            <w:tcW w:w="660" w:type="dxa"/>
            <w:vMerge w:val="continue"/>
            <w:tcBorders>
              <w:left w:val="single" w:color="auto" w:sz="4" w:space="0"/>
              <w:bottom w:val="single" w:color="auto" w:sz="4" w:space="0"/>
              <w:right w:val="single" w:color="auto" w:sz="4" w:space="0"/>
            </w:tcBorders>
            <w:vAlign w:val="center"/>
          </w:tcPr>
          <w:p w14:paraId="490929A2">
            <w:pPr>
              <w:widowControl/>
              <w:rPr>
                <w:rFonts w:hint="eastAsia" w:ascii="宋体" w:hAnsi="宋体" w:cs="宋体"/>
                <w:sz w:val="24"/>
                <w:highlight w:val="none"/>
              </w:rPr>
            </w:pPr>
          </w:p>
        </w:tc>
        <w:tc>
          <w:tcPr>
            <w:tcW w:w="2726" w:type="dxa"/>
            <w:tcBorders>
              <w:top w:val="nil"/>
              <w:left w:val="nil"/>
              <w:bottom w:val="single" w:color="auto" w:sz="4" w:space="0"/>
              <w:right w:val="single" w:color="auto" w:sz="4" w:space="0"/>
            </w:tcBorders>
            <w:vAlign w:val="center"/>
          </w:tcPr>
          <w:p w14:paraId="683A80C3">
            <w:pPr>
              <w:widowControl/>
              <w:rPr>
                <w:rFonts w:hint="eastAsia" w:ascii="宋体" w:hAnsi="宋体" w:cs="宋体"/>
                <w:sz w:val="24"/>
                <w:highlight w:val="none"/>
              </w:rPr>
            </w:pPr>
            <w:r>
              <w:rPr>
                <w:rFonts w:hint="eastAsia" w:ascii="宋体" w:hAnsi="宋体" w:cs="宋体"/>
                <w:sz w:val="24"/>
                <w:highlight w:val="none"/>
              </w:rPr>
              <w:t>特藏空间、电子阅览室、视听室技术岗1个</w:t>
            </w:r>
          </w:p>
        </w:tc>
        <w:tc>
          <w:tcPr>
            <w:tcW w:w="1693" w:type="dxa"/>
            <w:tcBorders>
              <w:top w:val="nil"/>
              <w:left w:val="nil"/>
              <w:bottom w:val="single" w:color="auto" w:sz="4" w:space="0"/>
              <w:right w:val="single" w:color="auto" w:sz="4" w:space="0"/>
            </w:tcBorders>
            <w:vAlign w:val="center"/>
          </w:tcPr>
          <w:p w14:paraId="60C922F4">
            <w:pPr>
              <w:widowControl/>
              <w:rPr>
                <w:rFonts w:hint="eastAsia" w:ascii="宋体" w:hAnsi="宋体" w:cs="宋体"/>
                <w:sz w:val="24"/>
                <w:highlight w:val="none"/>
              </w:rPr>
            </w:pPr>
            <w:r>
              <w:rPr>
                <w:rFonts w:hint="eastAsia" w:ascii="宋体" w:hAnsi="宋体" w:cs="宋体"/>
                <w:sz w:val="24"/>
                <w:highlight w:val="none"/>
              </w:rPr>
              <w:t>周一至周五</w:t>
            </w:r>
          </w:p>
        </w:tc>
        <w:tc>
          <w:tcPr>
            <w:tcW w:w="2745" w:type="dxa"/>
            <w:tcBorders>
              <w:top w:val="nil"/>
              <w:left w:val="nil"/>
              <w:bottom w:val="single" w:color="auto" w:sz="4" w:space="0"/>
              <w:right w:val="single" w:color="auto" w:sz="4" w:space="0"/>
            </w:tcBorders>
            <w:vAlign w:val="center"/>
          </w:tcPr>
          <w:p w14:paraId="137270C0">
            <w:pPr>
              <w:widowControl/>
              <w:rPr>
                <w:rFonts w:hint="eastAsia" w:ascii="宋体" w:hAnsi="宋体" w:cs="宋体"/>
                <w:sz w:val="24"/>
                <w:highlight w:val="none"/>
              </w:rPr>
            </w:pPr>
            <w:r>
              <w:rPr>
                <w:rFonts w:hint="eastAsia" w:ascii="宋体" w:hAnsi="宋体" w:cs="宋体"/>
                <w:sz w:val="24"/>
                <w:highlight w:val="none"/>
              </w:rPr>
              <w:t>8：00-22：30</w:t>
            </w:r>
          </w:p>
        </w:tc>
      </w:tr>
      <w:tr w14:paraId="0B134314">
        <w:tblPrEx>
          <w:tblCellMar>
            <w:top w:w="0" w:type="dxa"/>
            <w:left w:w="108" w:type="dxa"/>
            <w:bottom w:w="0" w:type="dxa"/>
            <w:right w:w="108" w:type="dxa"/>
          </w:tblCellMar>
        </w:tblPrEx>
        <w:trPr>
          <w:trHeight w:val="842" w:hRule="atLeast"/>
          <w:jc w:val="center"/>
        </w:trPr>
        <w:tc>
          <w:tcPr>
            <w:tcW w:w="660" w:type="dxa"/>
            <w:vMerge w:val="restart"/>
            <w:tcBorders>
              <w:top w:val="nil"/>
              <w:left w:val="single" w:color="auto" w:sz="4" w:space="0"/>
              <w:bottom w:val="single" w:color="auto" w:sz="4" w:space="0"/>
              <w:right w:val="single" w:color="auto" w:sz="4" w:space="0"/>
            </w:tcBorders>
            <w:vAlign w:val="center"/>
          </w:tcPr>
          <w:p w14:paraId="198F6A1C">
            <w:pPr>
              <w:widowControl/>
              <w:rPr>
                <w:rFonts w:hint="eastAsia" w:ascii="宋体" w:hAnsi="宋体" w:cs="宋体"/>
                <w:sz w:val="24"/>
                <w:highlight w:val="none"/>
              </w:rPr>
            </w:pPr>
            <w:r>
              <w:rPr>
                <w:rFonts w:hint="eastAsia" w:ascii="宋体" w:hAnsi="宋体" w:cs="宋体"/>
                <w:sz w:val="24"/>
                <w:highlight w:val="none"/>
              </w:rPr>
              <w:t>西城校区</w:t>
            </w:r>
          </w:p>
        </w:tc>
        <w:tc>
          <w:tcPr>
            <w:tcW w:w="2726" w:type="dxa"/>
            <w:tcBorders>
              <w:top w:val="nil"/>
              <w:left w:val="nil"/>
              <w:bottom w:val="single" w:color="auto" w:sz="4" w:space="0"/>
              <w:right w:val="single" w:color="auto" w:sz="4" w:space="0"/>
            </w:tcBorders>
            <w:vAlign w:val="center"/>
          </w:tcPr>
          <w:p w14:paraId="3BC388CF">
            <w:pPr>
              <w:widowControl/>
              <w:rPr>
                <w:rFonts w:hint="eastAsia" w:ascii="宋体" w:hAnsi="宋体" w:cs="宋体"/>
                <w:sz w:val="24"/>
                <w:highlight w:val="none"/>
              </w:rPr>
            </w:pPr>
            <w:r>
              <w:rPr>
                <w:rFonts w:hint="eastAsia" w:ascii="宋体" w:hAnsi="宋体" w:cs="宋体"/>
                <w:sz w:val="24"/>
                <w:highlight w:val="none"/>
              </w:rPr>
              <w:t>图书馆读者服务岗1个</w:t>
            </w:r>
          </w:p>
        </w:tc>
        <w:tc>
          <w:tcPr>
            <w:tcW w:w="1693" w:type="dxa"/>
            <w:tcBorders>
              <w:top w:val="nil"/>
              <w:left w:val="nil"/>
              <w:bottom w:val="single" w:color="auto" w:sz="4" w:space="0"/>
              <w:right w:val="single" w:color="auto" w:sz="4" w:space="0"/>
            </w:tcBorders>
            <w:vAlign w:val="center"/>
          </w:tcPr>
          <w:p w14:paraId="7FA09864">
            <w:pPr>
              <w:widowControl/>
              <w:rPr>
                <w:rFonts w:hint="eastAsia" w:ascii="宋体" w:hAnsi="宋体" w:cs="宋体"/>
                <w:sz w:val="24"/>
                <w:highlight w:val="none"/>
              </w:rPr>
            </w:pPr>
            <w:r>
              <w:rPr>
                <w:rFonts w:hint="eastAsia" w:ascii="宋体" w:hAnsi="宋体" w:cs="宋体"/>
                <w:sz w:val="24"/>
                <w:highlight w:val="none"/>
              </w:rPr>
              <w:t>周一至周日</w:t>
            </w:r>
          </w:p>
        </w:tc>
        <w:tc>
          <w:tcPr>
            <w:tcW w:w="2745" w:type="dxa"/>
            <w:tcBorders>
              <w:top w:val="nil"/>
              <w:left w:val="nil"/>
              <w:bottom w:val="single" w:color="auto" w:sz="4" w:space="0"/>
              <w:right w:val="single" w:color="auto" w:sz="4" w:space="0"/>
            </w:tcBorders>
            <w:vAlign w:val="center"/>
          </w:tcPr>
          <w:p w14:paraId="60B51B3C">
            <w:pPr>
              <w:widowControl/>
              <w:rPr>
                <w:rFonts w:hint="eastAsia" w:ascii="宋体" w:hAnsi="宋体" w:cs="宋体"/>
                <w:sz w:val="24"/>
                <w:highlight w:val="none"/>
              </w:rPr>
            </w:pPr>
            <w:r>
              <w:rPr>
                <w:rFonts w:hint="eastAsia" w:ascii="宋体" w:hAnsi="宋体" w:cs="宋体"/>
                <w:sz w:val="24"/>
                <w:highlight w:val="none"/>
              </w:rPr>
              <w:t>8：00-22：30</w:t>
            </w:r>
          </w:p>
        </w:tc>
      </w:tr>
      <w:tr w14:paraId="440BD613">
        <w:tblPrEx>
          <w:tblCellMar>
            <w:top w:w="0" w:type="dxa"/>
            <w:left w:w="108" w:type="dxa"/>
            <w:bottom w:w="0" w:type="dxa"/>
            <w:right w:w="108" w:type="dxa"/>
          </w:tblCellMar>
        </w:tblPrEx>
        <w:trPr>
          <w:trHeight w:val="907" w:hRule="atLeast"/>
          <w:jc w:val="center"/>
        </w:trPr>
        <w:tc>
          <w:tcPr>
            <w:tcW w:w="660" w:type="dxa"/>
            <w:vMerge w:val="continue"/>
            <w:tcBorders>
              <w:top w:val="nil"/>
              <w:left w:val="single" w:color="auto" w:sz="4" w:space="0"/>
              <w:bottom w:val="single" w:color="auto" w:sz="4" w:space="0"/>
              <w:right w:val="single" w:color="auto" w:sz="4" w:space="0"/>
            </w:tcBorders>
            <w:vAlign w:val="center"/>
          </w:tcPr>
          <w:p w14:paraId="5983351D">
            <w:pPr>
              <w:widowControl/>
              <w:rPr>
                <w:rFonts w:hint="eastAsia" w:ascii="宋体" w:hAnsi="宋体" w:cs="宋体"/>
                <w:sz w:val="24"/>
                <w:highlight w:val="none"/>
              </w:rPr>
            </w:pPr>
          </w:p>
        </w:tc>
        <w:tc>
          <w:tcPr>
            <w:tcW w:w="2726" w:type="dxa"/>
            <w:tcBorders>
              <w:top w:val="nil"/>
              <w:left w:val="nil"/>
              <w:bottom w:val="single" w:color="auto" w:sz="4" w:space="0"/>
              <w:right w:val="single" w:color="auto" w:sz="4" w:space="0"/>
            </w:tcBorders>
            <w:vAlign w:val="center"/>
          </w:tcPr>
          <w:p w14:paraId="6EB60AC1">
            <w:pPr>
              <w:widowControl/>
              <w:rPr>
                <w:rFonts w:hint="eastAsia" w:ascii="宋体" w:hAnsi="宋体" w:cs="宋体"/>
                <w:sz w:val="24"/>
                <w:highlight w:val="none"/>
              </w:rPr>
            </w:pPr>
            <w:r>
              <w:rPr>
                <w:rFonts w:hint="eastAsia" w:ascii="宋体" w:hAnsi="宋体" w:cs="宋体"/>
                <w:sz w:val="24"/>
                <w:highlight w:val="none"/>
              </w:rPr>
              <w:t>中国建筑图书馆读者服务岗2个</w:t>
            </w:r>
          </w:p>
        </w:tc>
        <w:tc>
          <w:tcPr>
            <w:tcW w:w="1693" w:type="dxa"/>
            <w:tcBorders>
              <w:top w:val="nil"/>
              <w:left w:val="nil"/>
              <w:bottom w:val="single" w:color="auto" w:sz="4" w:space="0"/>
              <w:right w:val="single" w:color="auto" w:sz="4" w:space="0"/>
            </w:tcBorders>
            <w:vAlign w:val="center"/>
          </w:tcPr>
          <w:p w14:paraId="18B5236A">
            <w:pPr>
              <w:widowControl/>
              <w:rPr>
                <w:rFonts w:hint="eastAsia" w:ascii="宋体" w:hAnsi="宋体" w:cs="宋体"/>
                <w:sz w:val="24"/>
                <w:highlight w:val="none"/>
              </w:rPr>
            </w:pPr>
            <w:r>
              <w:rPr>
                <w:rFonts w:hint="eastAsia" w:ascii="宋体" w:hAnsi="宋体" w:cs="宋体"/>
                <w:sz w:val="24"/>
                <w:highlight w:val="none"/>
              </w:rPr>
              <w:t>周一至周日</w:t>
            </w:r>
          </w:p>
        </w:tc>
        <w:tc>
          <w:tcPr>
            <w:tcW w:w="2745" w:type="dxa"/>
            <w:tcBorders>
              <w:top w:val="nil"/>
              <w:left w:val="nil"/>
              <w:bottom w:val="single" w:color="auto" w:sz="4" w:space="0"/>
              <w:right w:val="single" w:color="auto" w:sz="4" w:space="0"/>
            </w:tcBorders>
            <w:vAlign w:val="center"/>
          </w:tcPr>
          <w:p w14:paraId="40BDC951">
            <w:pPr>
              <w:widowControl/>
              <w:rPr>
                <w:rFonts w:hint="eastAsia" w:ascii="宋体" w:hAnsi="宋体" w:cs="宋体"/>
                <w:sz w:val="24"/>
                <w:highlight w:val="none"/>
              </w:rPr>
            </w:pPr>
            <w:r>
              <w:rPr>
                <w:rFonts w:hint="eastAsia" w:ascii="宋体" w:hAnsi="宋体" w:cs="宋体"/>
                <w:sz w:val="24"/>
                <w:highlight w:val="none"/>
              </w:rPr>
              <w:t>8：00-22：30</w:t>
            </w:r>
          </w:p>
        </w:tc>
      </w:tr>
    </w:tbl>
    <w:p w14:paraId="1D55D0E1">
      <w:pPr>
        <w:widowControl/>
        <w:ind w:firstLine="420"/>
        <w:jc w:val="left"/>
        <w:rPr>
          <w:rFonts w:hint="eastAsia" w:ascii="宋体" w:hAnsi="宋体" w:cs="宋体"/>
          <w:iCs/>
          <w:kern w:val="0"/>
          <w:sz w:val="24"/>
          <w:highlight w:val="none"/>
        </w:rPr>
      </w:pPr>
    </w:p>
    <w:p w14:paraId="15349621">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（3）临时性安排岗位，如替换值班、集中倒架、期刊装订等。</w:t>
      </w:r>
    </w:p>
    <w:p w14:paraId="324465B0">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（4）正常工作时间，各岗位人员必须在岗。</w:t>
      </w:r>
    </w:p>
    <w:p w14:paraId="654608BE">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注：服务期内项目驻馆负责人为履行合同义务所产生的包括但不限于：薪资、食宿、交通、补助、保险、公积金等费用由投标人承担，采购人不再支付任何费用。</w:t>
      </w:r>
    </w:p>
    <w:p w14:paraId="68EE76B4">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2.2.2.管理及服务标准要求：</w:t>
      </w:r>
    </w:p>
    <w:p w14:paraId="33C796E6">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（1）遵守图书馆各项规章制度。</w:t>
      </w:r>
    </w:p>
    <w:p w14:paraId="6DA0CA3B">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（2）遵循图书馆各项业务操作流程。</w:t>
      </w:r>
    </w:p>
    <w:p w14:paraId="042F19E2">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（3）中标人管理制度与图书馆规章制度冲突时，遵守图书馆制度要求。</w:t>
      </w:r>
    </w:p>
    <w:p w14:paraId="5A1CCAF8">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2.2.3.服务质量检测点：</w:t>
      </w:r>
    </w:p>
    <w:p w14:paraId="743A3092">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（1）与读者发生直接冲突：0次。</w:t>
      </w:r>
    </w:p>
    <w:p w14:paraId="47FF355C">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（2）读者投诉：月少于3次。</w:t>
      </w:r>
    </w:p>
    <w:p w14:paraId="5C3B49B5">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（3）乱架率：低于3%。</w:t>
      </w:r>
    </w:p>
    <w:p w14:paraId="488E7442">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（4）服务响应速度：1小时内。</w:t>
      </w:r>
    </w:p>
    <w:p w14:paraId="1A49805D">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（5）首问负责。</w:t>
      </w:r>
    </w:p>
    <w:p w14:paraId="5348D294">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2.2.4.其他：</w:t>
      </w:r>
    </w:p>
    <w:p w14:paraId="7F0E75DC">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（1）中标人要遵守《中华人民共和国劳动法》，合理安排人员数量及劳动强度，不允许有违法行为。</w:t>
      </w:r>
    </w:p>
    <w:p w14:paraId="778B8571">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企业管理规范，制度完备，服务方案完整可行。中标人须向采购人提供合格人员，并向采购人提供进驻人员的资料（姓名、性别、年龄、学历、特长、职务）。至少三分之二以上有高等教育经历（本科、大专、高职高专）。保证合同期内人员稳定，若中标人中途调整人员，必须征得采购人同意后方可作适当调整。</w:t>
      </w:r>
    </w:p>
    <w:p w14:paraId="4067A986">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（3）驻馆项目负责人需要有三年（含）以上图书馆读者服务相关工作经验，且有一年以上作为主（次）要项目负责人工作经历，有较高的管理能力与沟通能力。</w:t>
      </w:r>
    </w:p>
    <w:p w14:paraId="52619771">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（4）中标人所派遣员工需经过图书馆读者服务基本培训，包括计算机使用、图书馆通用设备、图书馆目录、图书馆排架体系、基本的图书检索，明显未经培训人员采购人有权要求中标人进行调整。</w:t>
      </w:r>
    </w:p>
    <w:p w14:paraId="2D74D741">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（5）中标人向采购人提供的人员需统一着装。</w:t>
      </w:r>
    </w:p>
    <w:p w14:paraId="08A01183">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（6）中标人派驻人员要履行工作职责，严禁玩忽职守，严禁擅自离岗，严格遵守各项工作制度。中标方派驻人员因工作失职而造成的经济责任和法律责任均由中标方承担。需对人员有针对各项服务的考核制度。</w:t>
      </w:r>
    </w:p>
    <w:p w14:paraId="328C8CBB">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（7）中标人在做好工作的同时，有责任向采购人提供合理化建议，以提高管理效率和管理质量。</w:t>
      </w:r>
    </w:p>
    <w:p w14:paraId="52C3BCD7">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（8）需针对本项目制订相关方案、管理制度、措施等，并针对可能发生的各项突发情况制订相关预案和保障措施。以保障项目正常运行实施。</w:t>
      </w:r>
    </w:p>
    <w:p w14:paraId="4FCDFB8E">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2.3.为落实政府采购政策需满足的要求：详见第一章</w:t>
      </w:r>
    </w:p>
    <w:p w14:paraId="600333F0">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3.验收标准：</w:t>
      </w:r>
    </w:p>
    <w:p w14:paraId="2D69EA22">
      <w:pPr>
        <w:widowControl/>
        <w:spacing w:line="360" w:lineRule="auto"/>
        <w:ind w:firstLine="480" w:firstLineChars="200"/>
        <w:jc w:val="left"/>
        <w:rPr>
          <w:rFonts w:hint="eastAsia" w:ascii="宋体" w:hAnsi="宋体" w:cs="宋体"/>
          <w:iCs/>
          <w:kern w:val="0"/>
          <w:sz w:val="24"/>
          <w:highlight w:val="none"/>
        </w:rPr>
      </w:pPr>
      <w:r>
        <w:rPr>
          <w:rFonts w:hint="eastAsia" w:ascii="宋体" w:hAnsi="宋体" w:cs="宋体"/>
          <w:iCs/>
          <w:kern w:val="0"/>
          <w:sz w:val="24"/>
          <w:highlight w:val="none"/>
        </w:rPr>
        <w:t>3.1.验收标准以投标人的投标文件中所列的技术及服务响应指标、招标文件、合同及国家有关标准为依据，所提供的响应指标应不低于或优于上述所列的验收标准。如验收时发现投标人存在提供虚假指标响应情况，采购人有权取消合同并依法追究投标人的违约责任，投标人需承担由此给采购人带来的一切经济损失。</w:t>
      </w:r>
    </w:p>
    <w:p w14:paraId="7709F5D2">
      <w:pPr>
        <w:pStyle w:val="2"/>
        <w:autoSpaceDE w:val="0"/>
        <w:autoSpaceDN w:val="0"/>
        <w:spacing w:line="360" w:lineRule="auto"/>
        <w:ind w:firstLine="480" w:firstLineChars="200"/>
        <w:rPr>
          <w:rFonts w:hint="eastAsia" w:cs="宋体"/>
          <w:iCs/>
          <w:kern w:val="0"/>
          <w:highlight w:val="none"/>
        </w:rPr>
      </w:pPr>
      <w:r>
        <w:rPr>
          <w:rFonts w:hint="eastAsia" w:cs="宋体"/>
          <w:iCs/>
          <w:kern w:val="0"/>
          <w:highlight w:val="none"/>
        </w:rPr>
        <w:t>3.2.验收程序：全过程监督检查验收。</w:t>
      </w:r>
    </w:p>
    <w:p w14:paraId="6709453A">
      <w:pPr>
        <w:pStyle w:val="2"/>
        <w:autoSpaceDE w:val="0"/>
        <w:autoSpaceDN w:val="0"/>
        <w:spacing w:line="360" w:lineRule="auto"/>
        <w:ind w:firstLine="480" w:firstLineChars="200"/>
        <w:rPr>
          <w:rFonts w:hint="eastAsia" w:cs="宋体"/>
          <w:iCs/>
          <w:kern w:val="0"/>
          <w:highlight w:val="none"/>
        </w:rPr>
      </w:pPr>
      <w:r>
        <w:rPr>
          <w:rFonts w:hint="eastAsia" w:cs="宋体"/>
          <w:iCs/>
          <w:kern w:val="0"/>
          <w:highlight w:val="none"/>
        </w:rPr>
        <w:t>三、商务要求</w:t>
      </w:r>
    </w:p>
    <w:p w14:paraId="2F8F6DB0">
      <w:pPr>
        <w:pStyle w:val="2"/>
        <w:autoSpaceDE w:val="0"/>
        <w:autoSpaceDN w:val="0"/>
        <w:spacing w:line="360" w:lineRule="auto"/>
        <w:ind w:firstLine="480" w:firstLineChars="200"/>
        <w:rPr>
          <w:rFonts w:hint="eastAsia" w:cs="宋体"/>
          <w:iCs/>
          <w:kern w:val="0"/>
          <w:highlight w:val="none"/>
        </w:rPr>
      </w:pPr>
      <w:r>
        <w:rPr>
          <w:rFonts w:hint="eastAsia" w:cs="宋体"/>
          <w:iCs/>
          <w:kern w:val="0"/>
          <w:highlight w:val="none"/>
        </w:rPr>
        <w:t>1.交付（实施）的时间（期限）和地点（范围）：</w:t>
      </w:r>
    </w:p>
    <w:p w14:paraId="025E1E0A">
      <w:pPr>
        <w:pStyle w:val="2"/>
        <w:autoSpaceDE w:val="0"/>
        <w:autoSpaceDN w:val="0"/>
        <w:spacing w:line="360" w:lineRule="auto"/>
        <w:ind w:firstLine="480" w:firstLineChars="200"/>
        <w:rPr>
          <w:rFonts w:hint="eastAsia" w:cs="宋体"/>
          <w:iCs/>
          <w:kern w:val="0"/>
          <w:highlight w:val="none"/>
        </w:rPr>
      </w:pPr>
      <w:r>
        <w:rPr>
          <w:rFonts w:hint="eastAsia" w:cs="宋体"/>
          <w:iCs/>
          <w:kern w:val="0"/>
          <w:highlight w:val="none"/>
        </w:rPr>
        <w:t>1.1.合同履行期限：自合同生效起12个月。</w:t>
      </w:r>
    </w:p>
    <w:p w14:paraId="4CBC9EC8">
      <w:pPr>
        <w:pStyle w:val="2"/>
        <w:autoSpaceDE w:val="0"/>
        <w:autoSpaceDN w:val="0"/>
        <w:spacing w:line="360" w:lineRule="auto"/>
        <w:ind w:firstLine="480" w:firstLineChars="200"/>
        <w:rPr>
          <w:rFonts w:hint="eastAsia" w:cs="宋体"/>
          <w:iCs/>
          <w:kern w:val="0"/>
          <w:highlight w:val="none"/>
        </w:rPr>
      </w:pPr>
      <w:r>
        <w:rPr>
          <w:rFonts w:hint="eastAsia" w:cs="宋体"/>
          <w:iCs/>
          <w:kern w:val="0"/>
          <w:highlight w:val="none"/>
        </w:rPr>
        <w:t>1.2.履行地点：北京建筑大学大兴校区 北京建筑大学图书馆（大兴校区）1-5层及地下一层共约2.5万平方米，北京建筑大学西城校区 北京建筑大学图书馆（西城校区）80平方米及中建馆。</w:t>
      </w:r>
    </w:p>
    <w:p w14:paraId="77698B69">
      <w:pPr>
        <w:pStyle w:val="2"/>
        <w:autoSpaceDE w:val="0"/>
        <w:autoSpaceDN w:val="0"/>
        <w:spacing w:line="360" w:lineRule="auto"/>
        <w:ind w:firstLine="480" w:firstLineChars="200"/>
        <w:rPr>
          <w:rFonts w:cs="仿宋"/>
          <w:iCs/>
          <w:kern w:val="0"/>
          <w:highlight w:val="none"/>
        </w:rPr>
      </w:pPr>
      <w:r>
        <w:rPr>
          <w:rFonts w:hint="eastAsia" w:cs="宋体"/>
          <w:iCs/>
          <w:kern w:val="0"/>
          <w:highlight w:val="none"/>
        </w:rPr>
        <w:t>2.付款条件（进度和方式）：</w:t>
      </w:r>
      <w:r>
        <w:rPr>
          <w:rFonts w:hint="eastAsia" w:cs="仿宋"/>
          <w:iCs/>
          <w:kern w:val="0"/>
          <w:highlight w:val="none"/>
        </w:rPr>
        <w:t>中标人在合同签署同时，向采购人提交合同总价5%的履约保证金。采购人在合同签订且收到中标人提交的合规增值税发票后，向中标人支付60%的合同款；服务期过半且收到中标人提交的合规增值税发票后，采购人在合同期内视中标人执行合同情况，将剩余40%合同尾款一次性付给中标人。合同结束时，项目经采购人验收合格后，履约保证金一次性无息退还中标人。</w:t>
      </w:r>
    </w:p>
    <w:p w14:paraId="5CB8ED07">
      <w:pPr>
        <w:spacing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乙方知悉并同意，甲方因财务审批流程逾期付款30日内、封账期内及封账期结束后60日内逾期付款不属于违约，甲方无需承担违约责任。超出上述期限甲方逾期付款的，每逾期一天，以应付未付款项为基数，按全国银行间同业拆借中心公布的1年期贷款市场报价利率计算违约金，甲方的违约责任上限为应付未付款项的5%。</w:t>
      </w:r>
    </w:p>
    <w:p w14:paraId="1D5FF31E">
      <w:pPr>
        <w:rPr>
          <w:rFonts w:hint="eastAsia"/>
          <w:highlight w:val="none"/>
        </w:rPr>
      </w:pPr>
    </w:p>
    <w:p w14:paraId="66A195CD">
      <w:pPr>
        <w:pStyle w:val="2"/>
        <w:autoSpaceDE w:val="0"/>
        <w:autoSpaceDN w:val="0"/>
        <w:spacing w:line="360" w:lineRule="auto"/>
        <w:ind w:firstLine="480" w:firstLineChars="200"/>
        <w:rPr>
          <w:rFonts w:hint="eastAsia" w:cs="宋体"/>
          <w:iCs/>
          <w:kern w:val="0"/>
          <w:highlight w:val="none"/>
        </w:rPr>
      </w:pPr>
      <w:r>
        <w:rPr>
          <w:rFonts w:hint="eastAsia" w:cs="宋体"/>
          <w:iCs/>
          <w:kern w:val="0"/>
          <w:highlight w:val="none"/>
        </w:rPr>
        <w:t>3.售后服务：如无法满足采购人需求，需按采购人要求及时调整。</w:t>
      </w:r>
    </w:p>
    <w:p w14:paraId="792380B3">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Lantinghei SC Extralight">
    <w:altName w:val="Times New Roman"/>
    <w:panose1 w:val="00000000000000000000"/>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E10F0"/>
    <w:rsid w:val="7BEE1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sz w:val="24"/>
    </w:rPr>
  </w:style>
  <w:style w:type="table" w:styleId="4">
    <w:name w:val="Table Grid"/>
    <w:basedOn w:val="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2026-07-28T02:44:00Z</dcterms:created>
  <dc:creator> 小小硕</dc:creator>
  <cp:lastModifiedBy> 小小硕</cp:lastModifiedBy>
  <dcterms:modified xsi:type="dcterms:W3CDTF">2026-07-28T02:45:06Z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B7F62790934B4FEAB7E865FF5E305B2A_11</vt:lpwstr>
  </property>
  <property fmtid="{D5CDD505-2E9C-101B-9397-08002B2CF9AE}" pid="4" name="KSOTemplateDocerSaveRecord">
    <vt:lpwstr>eyJoZGlkIjoiYzA2MDA4N2ZhOTE2YzFmMWY5OWIyNGQwZjZlZmRlMzQiLCJ1c2VySWQiOiI4MzEyMDMxNTcifQ==</vt:lpwstr>
  </property>
</Properties>
</file>