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F8101">
      <w:pPr>
        <w:spacing w:line="360" w:lineRule="auto"/>
        <w:jc w:val="center"/>
        <w:outlineLvl w:val="0"/>
        <w:rPr>
          <w:b/>
          <w:sz w:val="36"/>
          <w:szCs w:val="36"/>
        </w:rPr>
      </w:pPr>
      <w:r>
        <w:rPr>
          <w:b/>
          <w:sz w:val="36"/>
          <w:szCs w:val="36"/>
        </w:rPr>
        <w:t>采购需求</w:t>
      </w:r>
    </w:p>
    <w:p w14:paraId="3C5FAC77">
      <w:pPr>
        <w:pStyle w:val="6"/>
        <w:tabs>
          <w:tab w:val="right" w:leader="dot" w:pos="8937"/>
        </w:tabs>
      </w:pPr>
    </w:p>
    <w:p w14:paraId="77221365">
      <w:pPr>
        <w:pStyle w:val="12"/>
        <w:numPr>
          <w:ilvl w:val="0"/>
          <w:numId w:val="1"/>
        </w:numPr>
        <w:spacing w:line="360" w:lineRule="auto"/>
        <w:ind w:firstLineChars="0"/>
        <w:contextualSpacing/>
        <w:rPr>
          <w:rFonts w:hint="eastAsia" w:ascii="宋体" w:hAnsi="宋体" w:cs="宋体"/>
          <w:b/>
          <w:sz w:val="24"/>
          <w:szCs w:val="24"/>
        </w:rPr>
      </w:pPr>
      <w:r>
        <w:rPr>
          <w:rFonts w:hint="eastAsia" w:ascii="宋体" w:hAnsi="宋体" w:cs="宋体"/>
          <w:b/>
          <w:sz w:val="24"/>
          <w:szCs w:val="24"/>
        </w:rPr>
        <w:t>采购标的</w:t>
      </w:r>
    </w:p>
    <w:tbl>
      <w:tblPr>
        <w:tblStyle w:val="8"/>
        <w:tblW w:w="9950" w:type="dxa"/>
        <w:tblInd w:w="-800" w:type="dxa"/>
        <w:tblLayout w:type="fixed"/>
        <w:tblCellMar>
          <w:top w:w="0" w:type="dxa"/>
          <w:left w:w="108" w:type="dxa"/>
          <w:bottom w:w="0" w:type="dxa"/>
          <w:right w:w="108" w:type="dxa"/>
        </w:tblCellMar>
      </w:tblPr>
      <w:tblGrid>
        <w:gridCol w:w="833"/>
        <w:gridCol w:w="2467"/>
        <w:gridCol w:w="2617"/>
        <w:gridCol w:w="1033"/>
        <w:gridCol w:w="867"/>
        <w:gridCol w:w="1133"/>
        <w:gridCol w:w="1000"/>
      </w:tblGrid>
      <w:tr w14:paraId="25A16B15">
        <w:tblPrEx>
          <w:tblCellMar>
            <w:top w:w="0" w:type="dxa"/>
            <w:left w:w="108" w:type="dxa"/>
            <w:bottom w:w="0" w:type="dxa"/>
            <w:right w:w="108" w:type="dxa"/>
          </w:tblCellMar>
        </w:tblPrEx>
        <w:trPr>
          <w:trHeight w:val="445" w:hRule="atLeast"/>
        </w:trPr>
        <w:tc>
          <w:tcPr>
            <w:tcW w:w="833" w:type="dxa"/>
            <w:tcBorders>
              <w:top w:val="single" w:color="auto" w:sz="4" w:space="0"/>
              <w:left w:val="single" w:color="auto" w:sz="4" w:space="0"/>
              <w:bottom w:val="single" w:color="auto" w:sz="4" w:space="0"/>
              <w:right w:val="single" w:color="auto" w:sz="4" w:space="0"/>
            </w:tcBorders>
            <w:vAlign w:val="center"/>
          </w:tcPr>
          <w:p w14:paraId="6F0DF35F">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包号</w:t>
            </w:r>
          </w:p>
        </w:tc>
        <w:tc>
          <w:tcPr>
            <w:tcW w:w="2467" w:type="dxa"/>
            <w:tcBorders>
              <w:top w:val="single" w:color="auto" w:sz="4" w:space="0"/>
              <w:left w:val="nil"/>
              <w:bottom w:val="single" w:color="auto" w:sz="4" w:space="0"/>
              <w:right w:val="single" w:color="auto" w:sz="4" w:space="0"/>
            </w:tcBorders>
            <w:vAlign w:val="center"/>
          </w:tcPr>
          <w:p w14:paraId="6D2C0FB8">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包名称</w:t>
            </w:r>
          </w:p>
        </w:tc>
        <w:tc>
          <w:tcPr>
            <w:tcW w:w="2617" w:type="dxa"/>
            <w:tcBorders>
              <w:top w:val="single" w:color="auto" w:sz="4" w:space="0"/>
              <w:left w:val="nil"/>
              <w:bottom w:val="single" w:color="auto" w:sz="4" w:space="0"/>
              <w:right w:val="single" w:color="auto" w:sz="4" w:space="0"/>
            </w:tcBorders>
            <w:vAlign w:val="center"/>
          </w:tcPr>
          <w:p w14:paraId="1E4E9E8B">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标的名称</w:t>
            </w:r>
          </w:p>
        </w:tc>
        <w:tc>
          <w:tcPr>
            <w:tcW w:w="1033" w:type="dxa"/>
            <w:tcBorders>
              <w:top w:val="single" w:color="auto" w:sz="4" w:space="0"/>
              <w:left w:val="nil"/>
              <w:bottom w:val="single" w:color="auto" w:sz="4" w:space="0"/>
              <w:right w:val="single" w:color="auto" w:sz="4" w:space="0"/>
            </w:tcBorders>
            <w:vAlign w:val="center"/>
          </w:tcPr>
          <w:p w14:paraId="79CFEE04">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分包预算金额（万元）</w:t>
            </w:r>
          </w:p>
        </w:tc>
        <w:tc>
          <w:tcPr>
            <w:tcW w:w="867" w:type="dxa"/>
            <w:tcBorders>
              <w:top w:val="single" w:color="auto" w:sz="4" w:space="0"/>
              <w:left w:val="nil"/>
              <w:bottom w:val="single" w:color="auto" w:sz="4" w:space="0"/>
              <w:right w:val="single" w:color="auto" w:sz="4" w:space="0"/>
            </w:tcBorders>
            <w:vAlign w:val="center"/>
          </w:tcPr>
          <w:p w14:paraId="21E7DB3D">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数量</w:t>
            </w:r>
          </w:p>
          <w:p w14:paraId="550B33DA">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（台/套）</w:t>
            </w:r>
          </w:p>
        </w:tc>
        <w:tc>
          <w:tcPr>
            <w:tcW w:w="1133" w:type="dxa"/>
            <w:tcBorders>
              <w:top w:val="single" w:color="auto" w:sz="4" w:space="0"/>
              <w:left w:val="nil"/>
              <w:bottom w:val="single" w:color="auto" w:sz="4" w:space="0"/>
              <w:right w:val="single" w:color="auto" w:sz="4" w:space="0"/>
            </w:tcBorders>
            <w:vAlign w:val="center"/>
          </w:tcPr>
          <w:p w14:paraId="0FCB955B">
            <w:pPr>
              <w:widowControl/>
              <w:jc w:val="center"/>
              <w:rPr>
                <w:rFonts w:hint="eastAsia" w:ascii="宋体" w:hAnsi="宋体" w:cs="宋体"/>
                <w:b/>
                <w:bCs/>
                <w:color w:val="000000"/>
                <w:kern w:val="0"/>
                <w:sz w:val="24"/>
              </w:rPr>
            </w:pPr>
            <w:r>
              <w:rPr>
                <w:rFonts w:hint="eastAsia" w:ascii="宋体" w:hAnsi="宋体" w:cs="宋体"/>
                <w:b/>
                <w:bCs/>
                <w:color w:val="000000"/>
                <w:kern w:val="0"/>
                <w:sz w:val="24"/>
              </w:rPr>
              <w:t>单价最高限价（万元）</w:t>
            </w:r>
          </w:p>
        </w:tc>
        <w:tc>
          <w:tcPr>
            <w:tcW w:w="1000" w:type="dxa"/>
            <w:tcBorders>
              <w:top w:val="single" w:color="auto" w:sz="4" w:space="0"/>
              <w:left w:val="nil"/>
              <w:bottom w:val="single" w:color="auto" w:sz="4" w:space="0"/>
              <w:right w:val="single" w:color="auto" w:sz="4" w:space="0"/>
            </w:tcBorders>
            <w:vAlign w:val="center"/>
          </w:tcPr>
          <w:p w14:paraId="5F965191">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是否为核心产品</w:t>
            </w:r>
          </w:p>
        </w:tc>
      </w:tr>
      <w:tr w14:paraId="176F4805">
        <w:tblPrEx>
          <w:tblCellMar>
            <w:top w:w="0" w:type="dxa"/>
            <w:left w:w="108" w:type="dxa"/>
            <w:bottom w:w="0" w:type="dxa"/>
            <w:right w:w="108" w:type="dxa"/>
          </w:tblCellMar>
        </w:tblPrEx>
        <w:trPr>
          <w:trHeight w:val="395" w:hRule="atLeast"/>
        </w:trPr>
        <w:tc>
          <w:tcPr>
            <w:tcW w:w="833" w:type="dxa"/>
            <w:vMerge w:val="restart"/>
            <w:tcBorders>
              <w:top w:val="single" w:color="auto" w:sz="4" w:space="0"/>
              <w:left w:val="single" w:color="auto" w:sz="4" w:space="0"/>
              <w:bottom w:val="single" w:color="auto" w:sz="4" w:space="0"/>
              <w:right w:val="single" w:color="auto" w:sz="4" w:space="0"/>
            </w:tcBorders>
            <w:vAlign w:val="center"/>
          </w:tcPr>
          <w:p w14:paraId="6E4F285C">
            <w:pPr>
              <w:widowControl/>
              <w:jc w:val="center"/>
              <w:rPr>
                <w:rFonts w:hint="eastAsia" w:ascii="宋体" w:hAnsi="宋体" w:cs="宋体"/>
                <w:color w:val="000000"/>
                <w:kern w:val="0"/>
                <w:sz w:val="24"/>
              </w:rPr>
            </w:pPr>
            <w:r>
              <w:rPr>
                <w:rFonts w:hint="eastAsia" w:ascii="宋体" w:hAnsi="宋体" w:cs="宋体"/>
                <w:color w:val="000000"/>
                <w:kern w:val="0"/>
                <w:sz w:val="24"/>
              </w:rPr>
              <w:t>01</w:t>
            </w:r>
          </w:p>
        </w:tc>
        <w:tc>
          <w:tcPr>
            <w:tcW w:w="2467" w:type="dxa"/>
            <w:vMerge w:val="restart"/>
            <w:tcBorders>
              <w:top w:val="single" w:color="auto" w:sz="4" w:space="0"/>
              <w:left w:val="nil"/>
              <w:bottom w:val="single" w:color="auto" w:sz="4" w:space="0"/>
              <w:right w:val="single" w:color="auto" w:sz="4" w:space="0"/>
            </w:tcBorders>
            <w:vAlign w:val="center"/>
          </w:tcPr>
          <w:p w14:paraId="7683CAED">
            <w:pPr>
              <w:widowControl/>
              <w:jc w:val="center"/>
              <w:rPr>
                <w:rFonts w:hint="eastAsia" w:ascii="宋体" w:hAnsi="宋体" w:cs="宋体"/>
                <w:color w:val="000000"/>
                <w:kern w:val="0"/>
                <w:sz w:val="24"/>
              </w:rPr>
            </w:pPr>
            <w:r>
              <w:rPr>
                <w:rFonts w:hint="eastAsia" w:ascii="宋体" w:hAnsi="宋体" w:cs="宋体"/>
                <w:color w:val="000000"/>
                <w:kern w:val="0"/>
                <w:sz w:val="24"/>
              </w:rPr>
              <w:t>高流量呼吸湿化治疗仪、便携式牙科治疗机</w:t>
            </w:r>
          </w:p>
        </w:tc>
        <w:tc>
          <w:tcPr>
            <w:tcW w:w="2617" w:type="dxa"/>
            <w:tcBorders>
              <w:top w:val="single" w:color="auto" w:sz="4" w:space="0"/>
              <w:left w:val="nil"/>
              <w:bottom w:val="single" w:color="auto" w:sz="4" w:space="0"/>
              <w:right w:val="single" w:color="auto" w:sz="4" w:space="0"/>
            </w:tcBorders>
            <w:vAlign w:val="center"/>
          </w:tcPr>
          <w:p w14:paraId="674D6AE6">
            <w:pPr>
              <w:widowControl/>
              <w:jc w:val="center"/>
              <w:rPr>
                <w:rFonts w:hint="eastAsia" w:ascii="宋体" w:hAnsi="宋体" w:cs="宋体"/>
                <w:color w:val="000000"/>
                <w:kern w:val="0"/>
                <w:sz w:val="24"/>
              </w:rPr>
            </w:pPr>
            <w:r>
              <w:rPr>
                <w:rFonts w:hint="eastAsia" w:ascii="宋体" w:hAnsi="宋体" w:cs="宋体"/>
                <w:color w:val="000000"/>
                <w:kern w:val="0"/>
                <w:sz w:val="24"/>
              </w:rPr>
              <w:t>高流量呼吸湿化治疗仪</w:t>
            </w:r>
          </w:p>
        </w:tc>
        <w:tc>
          <w:tcPr>
            <w:tcW w:w="1033" w:type="dxa"/>
            <w:vMerge w:val="restart"/>
            <w:tcBorders>
              <w:top w:val="single" w:color="auto" w:sz="4" w:space="0"/>
              <w:left w:val="nil"/>
              <w:bottom w:val="single" w:color="auto" w:sz="4" w:space="0"/>
              <w:right w:val="single" w:color="auto" w:sz="4" w:space="0"/>
            </w:tcBorders>
            <w:vAlign w:val="center"/>
          </w:tcPr>
          <w:p w14:paraId="695A60EE">
            <w:pPr>
              <w:widowControl/>
              <w:jc w:val="center"/>
              <w:rPr>
                <w:rFonts w:hint="eastAsia" w:ascii="宋体" w:hAnsi="宋体" w:cs="宋体"/>
                <w:color w:val="000000"/>
                <w:kern w:val="0"/>
                <w:sz w:val="24"/>
              </w:rPr>
            </w:pPr>
            <w:r>
              <w:rPr>
                <w:rFonts w:hint="eastAsia" w:ascii="宋体" w:hAnsi="宋体" w:cs="宋体"/>
                <w:color w:val="000000"/>
                <w:kern w:val="0"/>
                <w:sz w:val="24"/>
              </w:rPr>
              <w:t>4.35</w:t>
            </w:r>
          </w:p>
        </w:tc>
        <w:tc>
          <w:tcPr>
            <w:tcW w:w="867" w:type="dxa"/>
            <w:tcBorders>
              <w:top w:val="single" w:color="auto" w:sz="4" w:space="0"/>
              <w:left w:val="nil"/>
              <w:bottom w:val="single" w:color="auto" w:sz="4" w:space="0"/>
              <w:right w:val="single" w:color="auto" w:sz="4" w:space="0"/>
            </w:tcBorders>
            <w:vAlign w:val="center"/>
          </w:tcPr>
          <w:p w14:paraId="0448CF3E">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6D4032FE">
            <w:pPr>
              <w:widowControl/>
              <w:jc w:val="center"/>
              <w:rPr>
                <w:rFonts w:hint="eastAsia" w:ascii="宋体" w:hAnsi="宋体" w:cs="宋体"/>
                <w:color w:val="000000"/>
                <w:kern w:val="0"/>
                <w:sz w:val="24"/>
              </w:rPr>
            </w:pPr>
            <w:r>
              <w:rPr>
                <w:rFonts w:hint="eastAsia" w:ascii="宋体" w:hAnsi="宋体" w:cs="宋体"/>
                <w:color w:val="000000"/>
                <w:kern w:val="0"/>
                <w:sz w:val="24"/>
              </w:rPr>
              <w:t>4</w:t>
            </w:r>
          </w:p>
        </w:tc>
        <w:tc>
          <w:tcPr>
            <w:tcW w:w="1000" w:type="dxa"/>
            <w:tcBorders>
              <w:top w:val="single" w:color="auto" w:sz="4" w:space="0"/>
              <w:left w:val="nil"/>
              <w:bottom w:val="single" w:color="auto" w:sz="4" w:space="0"/>
              <w:right w:val="single" w:color="auto" w:sz="4" w:space="0"/>
            </w:tcBorders>
            <w:vAlign w:val="center"/>
          </w:tcPr>
          <w:p w14:paraId="1D1A0C92">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7B18085A">
        <w:tblPrEx>
          <w:tblCellMar>
            <w:top w:w="0" w:type="dxa"/>
            <w:left w:w="108" w:type="dxa"/>
            <w:bottom w:w="0" w:type="dxa"/>
            <w:right w:w="108" w:type="dxa"/>
          </w:tblCellMar>
        </w:tblPrEx>
        <w:trPr>
          <w:trHeight w:val="445" w:hRule="atLeast"/>
        </w:trPr>
        <w:tc>
          <w:tcPr>
            <w:tcW w:w="833" w:type="dxa"/>
            <w:vMerge w:val="continue"/>
            <w:tcBorders>
              <w:top w:val="single" w:color="auto" w:sz="4" w:space="0"/>
              <w:left w:val="single" w:color="auto" w:sz="4" w:space="0"/>
              <w:bottom w:val="single" w:color="auto" w:sz="4" w:space="0"/>
              <w:right w:val="single" w:color="auto" w:sz="4" w:space="0"/>
            </w:tcBorders>
            <w:vAlign w:val="center"/>
          </w:tcPr>
          <w:p w14:paraId="58479296">
            <w:pPr>
              <w:widowControl/>
              <w:jc w:val="center"/>
              <w:rPr>
                <w:rFonts w:hint="eastAsia" w:ascii="宋体" w:hAnsi="宋体" w:cs="宋体"/>
                <w:color w:val="000000"/>
                <w:kern w:val="0"/>
                <w:sz w:val="24"/>
              </w:rPr>
            </w:pPr>
          </w:p>
        </w:tc>
        <w:tc>
          <w:tcPr>
            <w:tcW w:w="2467" w:type="dxa"/>
            <w:vMerge w:val="continue"/>
            <w:tcBorders>
              <w:top w:val="single" w:color="auto" w:sz="4" w:space="0"/>
              <w:left w:val="nil"/>
              <w:bottom w:val="single" w:color="auto" w:sz="4" w:space="0"/>
              <w:right w:val="single" w:color="auto" w:sz="4" w:space="0"/>
            </w:tcBorders>
            <w:vAlign w:val="center"/>
          </w:tcPr>
          <w:p w14:paraId="6C3C7F69">
            <w:pPr>
              <w:widowControl/>
              <w:jc w:val="center"/>
              <w:rPr>
                <w:rFonts w:hint="eastAsia" w:ascii="宋体" w:hAnsi="宋体" w:cs="宋体"/>
                <w:color w:val="000000"/>
                <w:kern w:val="0"/>
                <w:sz w:val="24"/>
              </w:rPr>
            </w:pPr>
          </w:p>
        </w:tc>
        <w:tc>
          <w:tcPr>
            <w:tcW w:w="2617" w:type="dxa"/>
            <w:tcBorders>
              <w:top w:val="single" w:color="auto" w:sz="4" w:space="0"/>
              <w:left w:val="nil"/>
              <w:bottom w:val="single" w:color="auto" w:sz="4" w:space="0"/>
              <w:right w:val="single" w:color="auto" w:sz="4" w:space="0"/>
            </w:tcBorders>
            <w:vAlign w:val="center"/>
          </w:tcPr>
          <w:p w14:paraId="569C93F7">
            <w:pPr>
              <w:widowControl/>
              <w:jc w:val="center"/>
              <w:rPr>
                <w:rFonts w:hint="eastAsia" w:ascii="宋体" w:hAnsi="宋体" w:cs="宋体"/>
                <w:color w:val="000000"/>
                <w:kern w:val="0"/>
                <w:sz w:val="24"/>
              </w:rPr>
            </w:pPr>
            <w:r>
              <w:rPr>
                <w:rFonts w:hint="eastAsia" w:ascii="宋体" w:hAnsi="宋体" w:cs="宋体"/>
                <w:color w:val="000000"/>
                <w:kern w:val="0"/>
                <w:sz w:val="24"/>
              </w:rPr>
              <w:t>便携式牙科治疗机</w:t>
            </w:r>
          </w:p>
        </w:tc>
        <w:tc>
          <w:tcPr>
            <w:tcW w:w="1033" w:type="dxa"/>
            <w:vMerge w:val="continue"/>
            <w:tcBorders>
              <w:top w:val="single" w:color="auto" w:sz="4" w:space="0"/>
              <w:left w:val="nil"/>
              <w:bottom w:val="single" w:color="auto" w:sz="4" w:space="0"/>
              <w:right w:val="single" w:color="auto" w:sz="4" w:space="0"/>
            </w:tcBorders>
            <w:vAlign w:val="center"/>
          </w:tcPr>
          <w:p w14:paraId="39ADE7EF">
            <w:pPr>
              <w:widowControl/>
              <w:jc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34C9AFDE">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32D6FB00">
            <w:pPr>
              <w:widowControl/>
              <w:jc w:val="center"/>
              <w:rPr>
                <w:rFonts w:hint="eastAsia" w:ascii="宋体" w:hAnsi="宋体" w:cs="宋体"/>
                <w:color w:val="000000"/>
                <w:kern w:val="0"/>
                <w:sz w:val="24"/>
              </w:rPr>
            </w:pPr>
            <w:r>
              <w:rPr>
                <w:rFonts w:hint="eastAsia" w:ascii="宋体" w:hAnsi="宋体" w:cs="宋体"/>
                <w:color w:val="000000"/>
                <w:kern w:val="0"/>
                <w:sz w:val="24"/>
              </w:rPr>
              <w:t>0.35</w:t>
            </w:r>
          </w:p>
        </w:tc>
        <w:tc>
          <w:tcPr>
            <w:tcW w:w="1000" w:type="dxa"/>
            <w:tcBorders>
              <w:top w:val="single" w:color="auto" w:sz="4" w:space="0"/>
              <w:left w:val="nil"/>
              <w:bottom w:val="single" w:color="auto" w:sz="4" w:space="0"/>
              <w:right w:val="single" w:color="auto" w:sz="4" w:space="0"/>
            </w:tcBorders>
            <w:vAlign w:val="center"/>
          </w:tcPr>
          <w:p w14:paraId="7AF00034">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3AE79376">
        <w:tblPrEx>
          <w:tblCellMar>
            <w:top w:w="0" w:type="dxa"/>
            <w:left w:w="108" w:type="dxa"/>
            <w:bottom w:w="0" w:type="dxa"/>
            <w:right w:w="108" w:type="dxa"/>
          </w:tblCellMar>
        </w:tblPrEx>
        <w:trPr>
          <w:trHeight w:val="445" w:hRule="atLeast"/>
        </w:trPr>
        <w:tc>
          <w:tcPr>
            <w:tcW w:w="833" w:type="dxa"/>
            <w:tcBorders>
              <w:top w:val="single" w:color="auto" w:sz="4" w:space="0"/>
              <w:left w:val="single" w:color="auto" w:sz="4" w:space="0"/>
              <w:bottom w:val="single" w:color="auto" w:sz="4" w:space="0"/>
              <w:right w:val="single" w:color="auto" w:sz="4" w:space="0"/>
            </w:tcBorders>
            <w:vAlign w:val="center"/>
          </w:tcPr>
          <w:p w14:paraId="6AA0D063">
            <w:pPr>
              <w:widowControl/>
              <w:jc w:val="center"/>
              <w:rPr>
                <w:rFonts w:hint="eastAsia" w:ascii="宋体" w:hAnsi="宋体" w:cs="宋体"/>
                <w:color w:val="000000"/>
                <w:kern w:val="0"/>
                <w:sz w:val="24"/>
                <w:lang w:eastAsia="zh-CN"/>
              </w:rPr>
            </w:pPr>
            <w:r>
              <w:rPr>
                <w:rFonts w:hint="eastAsia" w:ascii="宋体" w:hAnsi="宋体" w:cs="宋体"/>
                <w:color w:val="000000"/>
                <w:kern w:val="0"/>
                <w:sz w:val="24"/>
              </w:rPr>
              <w:t>0</w:t>
            </w:r>
            <w:r>
              <w:rPr>
                <w:rFonts w:hint="eastAsia" w:ascii="宋体" w:hAnsi="宋体" w:cs="宋体"/>
                <w:color w:val="000000"/>
                <w:kern w:val="0"/>
                <w:sz w:val="24"/>
                <w:lang w:val="en-US" w:eastAsia="zh-CN"/>
              </w:rPr>
              <w:t>3</w:t>
            </w:r>
          </w:p>
        </w:tc>
        <w:tc>
          <w:tcPr>
            <w:tcW w:w="2467" w:type="dxa"/>
            <w:tcBorders>
              <w:top w:val="single" w:color="auto" w:sz="4" w:space="0"/>
              <w:left w:val="single" w:color="auto" w:sz="4" w:space="0"/>
              <w:bottom w:val="single" w:color="auto" w:sz="4" w:space="0"/>
              <w:right w:val="single" w:color="auto" w:sz="4" w:space="0"/>
            </w:tcBorders>
            <w:vAlign w:val="center"/>
          </w:tcPr>
          <w:p w14:paraId="07BBB32F">
            <w:pPr>
              <w:widowControl/>
              <w:jc w:val="center"/>
              <w:rPr>
                <w:rFonts w:hint="eastAsia" w:ascii="宋体" w:hAnsi="宋体" w:cs="宋体"/>
                <w:color w:val="000000"/>
                <w:kern w:val="0"/>
                <w:sz w:val="24"/>
              </w:rPr>
            </w:pPr>
            <w:r>
              <w:rPr>
                <w:rFonts w:hint="eastAsia" w:ascii="宋体" w:hAnsi="宋体" w:cs="宋体"/>
                <w:color w:val="000000"/>
                <w:kern w:val="0"/>
                <w:sz w:val="24"/>
              </w:rPr>
              <w:t>全自动玻片处理系统</w:t>
            </w:r>
          </w:p>
        </w:tc>
        <w:tc>
          <w:tcPr>
            <w:tcW w:w="2617" w:type="dxa"/>
            <w:tcBorders>
              <w:top w:val="single" w:color="auto" w:sz="4" w:space="0"/>
              <w:left w:val="single" w:color="auto" w:sz="4" w:space="0"/>
              <w:bottom w:val="single" w:color="auto" w:sz="4" w:space="0"/>
              <w:right w:val="single" w:color="auto" w:sz="4" w:space="0"/>
            </w:tcBorders>
            <w:vAlign w:val="center"/>
          </w:tcPr>
          <w:p w14:paraId="451D7C63">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全自动玻片处理系统</w:t>
            </w:r>
          </w:p>
        </w:tc>
        <w:tc>
          <w:tcPr>
            <w:tcW w:w="1033" w:type="dxa"/>
            <w:tcBorders>
              <w:top w:val="single" w:color="auto" w:sz="4" w:space="0"/>
              <w:left w:val="single" w:color="auto" w:sz="4" w:space="0"/>
              <w:bottom w:val="single" w:color="auto" w:sz="4" w:space="0"/>
              <w:right w:val="single" w:color="auto" w:sz="4" w:space="0"/>
            </w:tcBorders>
            <w:vAlign w:val="center"/>
          </w:tcPr>
          <w:p w14:paraId="48904B4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w:t>
            </w:r>
          </w:p>
        </w:tc>
        <w:tc>
          <w:tcPr>
            <w:tcW w:w="867" w:type="dxa"/>
            <w:tcBorders>
              <w:top w:val="single" w:color="auto" w:sz="4" w:space="0"/>
              <w:left w:val="nil"/>
              <w:bottom w:val="single" w:color="auto" w:sz="4" w:space="0"/>
              <w:right w:val="single" w:color="auto" w:sz="4" w:space="0"/>
            </w:tcBorders>
            <w:vAlign w:val="center"/>
          </w:tcPr>
          <w:p w14:paraId="2A274DC7">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133" w:type="dxa"/>
            <w:tcBorders>
              <w:top w:val="single" w:color="auto" w:sz="4" w:space="0"/>
              <w:left w:val="nil"/>
              <w:bottom w:val="single" w:color="auto" w:sz="4" w:space="0"/>
              <w:right w:val="single" w:color="auto" w:sz="4" w:space="0"/>
            </w:tcBorders>
            <w:vAlign w:val="center"/>
          </w:tcPr>
          <w:p w14:paraId="5B29816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5.80</w:t>
            </w:r>
          </w:p>
        </w:tc>
        <w:tc>
          <w:tcPr>
            <w:tcW w:w="1000" w:type="dxa"/>
            <w:tcBorders>
              <w:top w:val="single" w:color="auto" w:sz="4" w:space="0"/>
              <w:left w:val="nil"/>
              <w:bottom w:val="single" w:color="auto" w:sz="4" w:space="0"/>
              <w:right w:val="single" w:color="auto" w:sz="4" w:space="0"/>
            </w:tcBorders>
            <w:vAlign w:val="center"/>
          </w:tcPr>
          <w:p w14:paraId="787873BA">
            <w:pPr>
              <w:widowControl/>
              <w:jc w:val="center"/>
              <w:rPr>
                <w:rFonts w:hint="eastAsia" w:ascii="宋体" w:hAnsi="宋体" w:cs="宋体"/>
                <w:color w:val="000000"/>
                <w:kern w:val="0"/>
                <w:sz w:val="24"/>
              </w:rPr>
            </w:pPr>
            <w:r>
              <w:rPr>
                <w:rFonts w:hint="eastAsia" w:ascii="宋体" w:hAnsi="宋体" w:cs="宋体"/>
                <w:sz w:val="24"/>
              </w:rPr>
              <w:t>单一产品采购包</w:t>
            </w:r>
          </w:p>
        </w:tc>
      </w:tr>
      <w:tr w14:paraId="1BE30F9B">
        <w:tblPrEx>
          <w:tblCellMar>
            <w:top w:w="0" w:type="dxa"/>
            <w:left w:w="108" w:type="dxa"/>
            <w:bottom w:w="0" w:type="dxa"/>
            <w:right w:w="108" w:type="dxa"/>
          </w:tblCellMar>
        </w:tblPrEx>
        <w:trPr>
          <w:trHeight w:val="445" w:hRule="atLeast"/>
        </w:trPr>
        <w:tc>
          <w:tcPr>
            <w:tcW w:w="833" w:type="dxa"/>
            <w:vMerge w:val="restart"/>
            <w:tcBorders>
              <w:top w:val="single" w:color="auto" w:sz="4" w:space="0"/>
              <w:left w:val="single" w:color="auto" w:sz="4" w:space="0"/>
              <w:bottom w:val="single" w:color="auto" w:sz="4" w:space="0"/>
              <w:right w:val="single" w:color="auto" w:sz="4" w:space="0"/>
            </w:tcBorders>
            <w:vAlign w:val="center"/>
          </w:tcPr>
          <w:p w14:paraId="7E6A1996">
            <w:pPr>
              <w:widowControl/>
              <w:jc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06</w:t>
            </w:r>
          </w:p>
        </w:tc>
        <w:tc>
          <w:tcPr>
            <w:tcW w:w="2467" w:type="dxa"/>
            <w:vMerge w:val="restart"/>
            <w:tcBorders>
              <w:top w:val="single" w:color="auto" w:sz="4" w:space="0"/>
              <w:left w:val="single" w:color="auto" w:sz="4" w:space="0"/>
              <w:bottom w:val="single" w:color="auto" w:sz="4" w:space="0"/>
              <w:right w:val="single" w:color="auto" w:sz="4" w:space="0"/>
            </w:tcBorders>
            <w:vAlign w:val="center"/>
          </w:tcPr>
          <w:p w14:paraId="25ECF01B">
            <w:pPr>
              <w:widowControl/>
              <w:jc w:val="center"/>
              <w:rPr>
                <w:rFonts w:hint="eastAsia" w:ascii="宋体" w:hAnsi="宋体" w:cs="宋体"/>
                <w:color w:val="000000"/>
                <w:kern w:val="0"/>
                <w:sz w:val="24"/>
              </w:rPr>
            </w:pPr>
            <w:r>
              <w:rPr>
                <w:rFonts w:hint="eastAsia" w:ascii="宋体" w:hAnsi="宋体" w:cs="宋体"/>
                <w:color w:val="000000"/>
                <w:kern w:val="0"/>
                <w:sz w:val="24"/>
              </w:rPr>
              <w:t>手术动力系统、牙科微动力系统</w:t>
            </w:r>
          </w:p>
        </w:tc>
        <w:tc>
          <w:tcPr>
            <w:tcW w:w="2617" w:type="dxa"/>
            <w:tcBorders>
              <w:top w:val="single" w:color="auto" w:sz="4" w:space="0"/>
              <w:left w:val="single" w:color="auto" w:sz="4" w:space="0"/>
              <w:bottom w:val="single" w:color="auto" w:sz="4" w:space="0"/>
              <w:right w:val="single" w:color="auto" w:sz="4" w:space="0"/>
            </w:tcBorders>
            <w:vAlign w:val="center"/>
          </w:tcPr>
          <w:p w14:paraId="27DA6168">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手术动力系统1</w:t>
            </w:r>
          </w:p>
        </w:tc>
        <w:tc>
          <w:tcPr>
            <w:tcW w:w="1033" w:type="dxa"/>
            <w:vMerge w:val="restart"/>
            <w:tcBorders>
              <w:top w:val="single" w:color="auto" w:sz="4" w:space="0"/>
              <w:left w:val="single" w:color="auto" w:sz="4" w:space="0"/>
              <w:bottom w:val="single" w:color="auto" w:sz="4" w:space="0"/>
              <w:right w:val="single" w:color="auto" w:sz="4" w:space="0"/>
            </w:tcBorders>
            <w:vAlign w:val="center"/>
          </w:tcPr>
          <w:p w14:paraId="6901FF36">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74.5</w:t>
            </w:r>
          </w:p>
        </w:tc>
        <w:tc>
          <w:tcPr>
            <w:tcW w:w="867" w:type="dxa"/>
            <w:tcBorders>
              <w:top w:val="single" w:color="auto" w:sz="4" w:space="0"/>
              <w:left w:val="nil"/>
              <w:bottom w:val="single" w:color="auto" w:sz="4" w:space="0"/>
              <w:right w:val="single" w:color="auto" w:sz="4" w:space="0"/>
            </w:tcBorders>
            <w:vAlign w:val="center"/>
          </w:tcPr>
          <w:p w14:paraId="33ACF7BF">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4</w:t>
            </w:r>
          </w:p>
        </w:tc>
        <w:tc>
          <w:tcPr>
            <w:tcW w:w="1133" w:type="dxa"/>
            <w:tcBorders>
              <w:top w:val="single" w:color="auto" w:sz="4" w:space="0"/>
              <w:left w:val="nil"/>
              <w:bottom w:val="single" w:color="auto" w:sz="4" w:space="0"/>
              <w:right w:val="single" w:color="auto" w:sz="4" w:space="0"/>
            </w:tcBorders>
            <w:vAlign w:val="center"/>
          </w:tcPr>
          <w:p w14:paraId="06EB8359">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15.00</w:t>
            </w:r>
          </w:p>
        </w:tc>
        <w:tc>
          <w:tcPr>
            <w:tcW w:w="1000" w:type="dxa"/>
            <w:tcBorders>
              <w:top w:val="single" w:color="auto" w:sz="4" w:space="0"/>
              <w:left w:val="nil"/>
              <w:bottom w:val="single" w:color="auto" w:sz="4" w:space="0"/>
              <w:right w:val="single" w:color="auto" w:sz="4" w:space="0"/>
            </w:tcBorders>
            <w:vAlign w:val="center"/>
          </w:tcPr>
          <w:p w14:paraId="77F2C82A">
            <w:pPr>
              <w:widowControl/>
              <w:jc w:val="center"/>
              <w:rPr>
                <w:rFonts w:hint="eastAsia" w:ascii="宋体" w:hAnsi="宋体" w:cs="宋体"/>
                <w:color w:val="000000"/>
                <w:kern w:val="0"/>
                <w:sz w:val="24"/>
              </w:rPr>
            </w:pPr>
            <w:r>
              <w:rPr>
                <w:rFonts w:hint="eastAsia" w:ascii="宋体" w:hAnsi="宋体" w:cs="宋体"/>
                <w:color w:val="000000"/>
                <w:kern w:val="0"/>
                <w:sz w:val="24"/>
              </w:rPr>
              <w:t>是</w:t>
            </w:r>
          </w:p>
        </w:tc>
      </w:tr>
      <w:tr w14:paraId="56CDFBEF">
        <w:tblPrEx>
          <w:tblCellMar>
            <w:top w:w="0" w:type="dxa"/>
            <w:left w:w="108" w:type="dxa"/>
            <w:bottom w:w="0" w:type="dxa"/>
            <w:right w:w="108" w:type="dxa"/>
          </w:tblCellMar>
        </w:tblPrEx>
        <w:trPr>
          <w:trHeight w:val="445" w:hRule="atLeast"/>
        </w:trPr>
        <w:tc>
          <w:tcPr>
            <w:tcW w:w="833" w:type="dxa"/>
            <w:vMerge w:val="continue"/>
            <w:tcBorders>
              <w:top w:val="single" w:color="auto" w:sz="4" w:space="0"/>
              <w:left w:val="single" w:color="auto" w:sz="4" w:space="0"/>
              <w:bottom w:val="single" w:color="auto" w:sz="4" w:space="0"/>
              <w:right w:val="single" w:color="auto" w:sz="4" w:space="0"/>
            </w:tcBorders>
            <w:vAlign w:val="center"/>
          </w:tcPr>
          <w:p w14:paraId="774E4557">
            <w:pPr>
              <w:widowControl/>
              <w:jc w:val="center"/>
              <w:rPr>
                <w:rFonts w:hint="eastAsia" w:ascii="宋体" w:hAnsi="宋体" w:cs="宋体"/>
                <w:color w:val="000000"/>
                <w:kern w:val="0"/>
                <w:sz w:val="24"/>
              </w:rPr>
            </w:pPr>
          </w:p>
        </w:tc>
        <w:tc>
          <w:tcPr>
            <w:tcW w:w="2467" w:type="dxa"/>
            <w:vMerge w:val="continue"/>
            <w:tcBorders>
              <w:top w:val="single" w:color="auto" w:sz="4" w:space="0"/>
              <w:left w:val="single" w:color="auto" w:sz="4" w:space="0"/>
              <w:bottom w:val="single" w:color="auto" w:sz="4" w:space="0"/>
              <w:right w:val="single" w:color="auto" w:sz="4" w:space="0"/>
            </w:tcBorders>
            <w:vAlign w:val="center"/>
          </w:tcPr>
          <w:p w14:paraId="29C30C77">
            <w:pPr>
              <w:widowControl/>
              <w:jc w:val="center"/>
              <w:rPr>
                <w:rFonts w:hint="eastAsia" w:ascii="宋体" w:hAnsi="宋体" w:cs="宋体"/>
                <w:color w:val="000000"/>
                <w:kern w:val="0"/>
                <w:sz w:val="24"/>
              </w:rPr>
            </w:pPr>
          </w:p>
        </w:tc>
        <w:tc>
          <w:tcPr>
            <w:tcW w:w="2617" w:type="dxa"/>
            <w:tcBorders>
              <w:top w:val="single" w:color="auto" w:sz="4" w:space="0"/>
              <w:left w:val="single" w:color="auto" w:sz="4" w:space="0"/>
              <w:bottom w:val="single" w:color="auto" w:sz="4" w:space="0"/>
              <w:right w:val="single" w:color="auto" w:sz="4" w:space="0"/>
            </w:tcBorders>
            <w:vAlign w:val="center"/>
          </w:tcPr>
          <w:p w14:paraId="6598F83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手术动力系统2</w:t>
            </w:r>
          </w:p>
        </w:tc>
        <w:tc>
          <w:tcPr>
            <w:tcW w:w="1033" w:type="dxa"/>
            <w:vMerge w:val="continue"/>
            <w:tcBorders>
              <w:top w:val="single" w:color="auto" w:sz="4" w:space="0"/>
              <w:left w:val="single" w:color="auto" w:sz="4" w:space="0"/>
              <w:bottom w:val="single" w:color="auto" w:sz="4" w:space="0"/>
              <w:right w:val="single" w:color="auto" w:sz="4" w:space="0"/>
            </w:tcBorders>
            <w:vAlign w:val="center"/>
          </w:tcPr>
          <w:p w14:paraId="6CCB7C3C">
            <w:pPr>
              <w:widowControl/>
              <w:jc w:val="center"/>
              <w:textAlignment w:val="center"/>
              <w:rPr>
                <w:rFonts w:hint="eastAsia" w:ascii="宋体" w:hAnsi="宋体" w:cs="宋体"/>
                <w:color w:val="000000"/>
                <w:kern w:val="0"/>
                <w:sz w:val="24"/>
              </w:rPr>
            </w:pPr>
          </w:p>
        </w:tc>
        <w:tc>
          <w:tcPr>
            <w:tcW w:w="867" w:type="dxa"/>
            <w:tcBorders>
              <w:top w:val="single" w:color="auto" w:sz="4" w:space="0"/>
              <w:left w:val="nil"/>
              <w:bottom w:val="single" w:color="auto" w:sz="4" w:space="0"/>
              <w:right w:val="single" w:color="auto" w:sz="4" w:space="0"/>
            </w:tcBorders>
            <w:vAlign w:val="center"/>
          </w:tcPr>
          <w:p w14:paraId="64A4A6F4">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bidi="ar"/>
              </w:rPr>
              <w:t>5</w:t>
            </w:r>
          </w:p>
        </w:tc>
        <w:tc>
          <w:tcPr>
            <w:tcW w:w="1133" w:type="dxa"/>
            <w:tcBorders>
              <w:top w:val="single" w:color="auto" w:sz="4" w:space="0"/>
              <w:left w:val="nil"/>
              <w:bottom w:val="single" w:color="auto" w:sz="4" w:space="0"/>
              <w:right w:val="single" w:color="auto" w:sz="4" w:space="0"/>
            </w:tcBorders>
            <w:vAlign w:val="center"/>
          </w:tcPr>
          <w:p w14:paraId="0D0A7CC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2.90</w:t>
            </w:r>
          </w:p>
        </w:tc>
        <w:tc>
          <w:tcPr>
            <w:tcW w:w="1000" w:type="dxa"/>
            <w:tcBorders>
              <w:top w:val="single" w:color="auto" w:sz="4" w:space="0"/>
              <w:left w:val="nil"/>
              <w:bottom w:val="single" w:color="auto" w:sz="4" w:space="0"/>
              <w:right w:val="single" w:color="auto" w:sz="4" w:space="0"/>
            </w:tcBorders>
            <w:vAlign w:val="center"/>
          </w:tcPr>
          <w:p w14:paraId="1A88E8EA">
            <w:pPr>
              <w:widowControl/>
              <w:jc w:val="center"/>
              <w:rPr>
                <w:rFonts w:hint="eastAsia" w:ascii="宋体" w:hAnsi="宋体" w:cs="宋体"/>
                <w:color w:val="000000"/>
                <w:kern w:val="0"/>
                <w:sz w:val="24"/>
              </w:rPr>
            </w:pPr>
            <w:r>
              <w:rPr>
                <w:rFonts w:hint="eastAsia" w:ascii="宋体" w:hAnsi="宋体" w:cs="宋体"/>
                <w:color w:val="000000"/>
                <w:kern w:val="0"/>
                <w:sz w:val="24"/>
              </w:rPr>
              <w:t>否</w:t>
            </w:r>
          </w:p>
        </w:tc>
      </w:tr>
      <w:tr w14:paraId="15E427D3">
        <w:tblPrEx>
          <w:tblCellMar>
            <w:top w:w="0" w:type="dxa"/>
            <w:left w:w="108" w:type="dxa"/>
            <w:bottom w:w="0" w:type="dxa"/>
            <w:right w:w="108" w:type="dxa"/>
          </w:tblCellMar>
        </w:tblPrEx>
        <w:trPr>
          <w:trHeight w:val="445" w:hRule="atLeast"/>
        </w:trPr>
        <w:tc>
          <w:tcPr>
            <w:tcW w:w="833" w:type="dxa"/>
            <w:tcBorders>
              <w:top w:val="single" w:color="auto" w:sz="4" w:space="0"/>
              <w:left w:val="single" w:color="auto" w:sz="4" w:space="0"/>
              <w:bottom w:val="single" w:color="auto" w:sz="4" w:space="0"/>
              <w:right w:val="single" w:color="auto" w:sz="4" w:space="0"/>
            </w:tcBorders>
            <w:vAlign w:val="center"/>
          </w:tcPr>
          <w:p w14:paraId="38F314B6">
            <w:pPr>
              <w:widowControl/>
              <w:jc w:val="center"/>
              <w:rPr>
                <w:rFonts w:hint="eastAsia" w:ascii="宋体" w:hAnsi="宋体" w:cs="宋体"/>
                <w:color w:val="000000"/>
                <w:kern w:val="0"/>
                <w:sz w:val="24"/>
              </w:rPr>
            </w:pPr>
            <w:r>
              <w:rPr>
                <w:rFonts w:hint="eastAsia" w:ascii="宋体" w:hAnsi="宋体" w:cs="宋体"/>
                <w:color w:val="000000"/>
                <w:kern w:val="0"/>
                <w:sz w:val="24"/>
                <w:lang w:val="en-US" w:eastAsia="zh-CN"/>
              </w:rPr>
              <w:t>08</w:t>
            </w:r>
          </w:p>
        </w:tc>
        <w:tc>
          <w:tcPr>
            <w:tcW w:w="2467" w:type="dxa"/>
            <w:tcBorders>
              <w:top w:val="single" w:color="auto" w:sz="4" w:space="0"/>
              <w:left w:val="single" w:color="auto" w:sz="4" w:space="0"/>
              <w:bottom w:val="single" w:color="auto" w:sz="4" w:space="0"/>
              <w:right w:val="single" w:color="auto" w:sz="4" w:space="0"/>
            </w:tcBorders>
            <w:vAlign w:val="center"/>
          </w:tcPr>
          <w:p w14:paraId="5BA540D9">
            <w:pPr>
              <w:widowControl/>
              <w:jc w:val="center"/>
              <w:rPr>
                <w:rFonts w:hint="eastAsia" w:ascii="宋体" w:hAnsi="宋体" w:cs="宋体"/>
                <w:color w:val="000000"/>
                <w:kern w:val="0"/>
                <w:sz w:val="24"/>
              </w:rPr>
            </w:pPr>
            <w:r>
              <w:rPr>
                <w:rFonts w:hint="eastAsia" w:ascii="宋体" w:hAnsi="宋体" w:cs="宋体"/>
                <w:color w:val="000000"/>
                <w:kern w:val="0"/>
                <w:sz w:val="24"/>
              </w:rPr>
              <w:t>树脂3D打印机</w:t>
            </w:r>
          </w:p>
        </w:tc>
        <w:tc>
          <w:tcPr>
            <w:tcW w:w="2617" w:type="dxa"/>
            <w:tcBorders>
              <w:top w:val="single" w:color="auto" w:sz="4" w:space="0"/>
              <w:left w:val="single" w:color="auto" w:sz="4" w:space="0"/>
              <w:bottom w:val="single" w:color="auto" w:sz="4" w:space="0"/>
              <w:right w:val="single" w:color="auto" w:sz="4" w:space="0"/>
            </w:tcBorders>
            <w:vAlign w:val="center"/>
          </w:tcPr>
          <w:p w14:paraId="5EFB7BA1">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树脂3D打印机</w:t>
            </w:r>
          </w:p>
        </w:tc>
        <w:tc>
          <w:tcPr>
            <w:tcW w:w="1033" w:type="dxa"/>
            <w:tcBorders>
              <w:top w:val="single" w:color="auto" w:sz="4" w:space="0"/>
              <w:left w:val="single" w:color="auto" w:sz="4" w:space="0"/>
              <w:bottom w:val="single" w:color="auto" w:sz="4" w:space="0"/>
              <w:right w:val="single" w:color="auto" w:sz="4" w:space="0"/>
            </w:tcBorders>
            <w:vAlign w:val="center"/>
          </w:tcPr>
          <w:p w14:paraId="7DFDCBF0">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bidi="ar"/>
              </w:rPr>
              <w:t>30.00</w:t>
            </w:r>
          </w:p>
        </w:tc>
        <w:tc>
          <w:tcPr>
            <w:tcW w:w="867" w:type="dxa"/>
            <w:tcBorders>
              <w:top w:val="single" w:color="auto" w:sz="4" w:space="0"/>
              <w:left w:val="nil"/>
              <w:bottom w:val="single" w:color="auto" w:sz="4" w:space="0"/>
              <w:right w:val="single" w:color="auto" w:sz="4" w:space="0"/>
            </w:tcBorders>
            <w:vAlign w:val="center"/>
          </w:tcPr>
          <w:p w14:paraId="23D60C4D">
            <w:pPr>
              <w:widowControl/>
              <w:jc w:val="center"/>
              <w:textAlignment w:val="center"/>
              <w:rPr>
                <w:rFonts w:hint="eastAsia" w:ascii="宋体" w:hAnsi="宋体" w:cs="宋体"/>
                <w:color w:val="000000"/>
                <w:kern w:val="0"/>
                <w:sz w:val="24"/>
                <w:lang w:val="en-US" w:eastAsia="zh-CN" w:bidi="ar"/>
              </w:rPr>
            </w:pPr>
            <w:r>
              <w:rPr>
                <w:rFonts w:hint="eastAsia" w:ascii="宋体" w:hAnsi="宋体" w:cs="宋体"/>
                <w:color w:val="000000"/>
                <w:kern w:val="0"/>
                <w:sz w:val="24"/>
                <w:lang w:bidi="ar"/>
              </w:rPr>
              <w:t>1</w:t>
            </w:r>
          </w:p>
        </w:tc>
        <w:tc>
          <w:tcPr>
            <w:tcW w:w="1133" w:type="dxa"/>
            <w:tcBorders>
              <w:top w:val="single" w:color="auto" w:sz="4" w:space="0"/>
              <w:left w:val="nil"/>
              <w:bottom w:val="single" w:color="auto" w:sz="4" w:space="0"/>
              <w:right w:val="single" w:color="auto" w:sz="4" w:space="0"/>
            </w:tcBorders>
            <w:vAlign w:val="center"/>
          </w:tcPr>
          <w:p w14:paraId="7748C696">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30.00</w:t>
            </w:r>
          </w:p>
        </w:tc>
        <w:tc>
          <w:tcPr>
            <w:tcW w:w="1000" w:type="dxa"/>
            <w:tcBorders>
              <w:top w:val="single" w:color="auto" w:sz="4" w:space="0"/>
              <w:left w:val="nil"/>
              <w:bottom w:val="single" w:color="auto" w:sz="4" w:space="0"/>
              <w:right w:val="single" w:color="auto" w:sz="4" w:space="0"/>
            </w:tcBorders>
            <w:vAlign w:val="center"/>
          </w:tcPr>
          <w:p w14:paraId="3F174602">
            <w:pPr>
              <w:widowControl/>
              <w:jc w:val="center"/>
              <w:rPr>
                <w:rFonts w:hint="eastAsia" w:ascii="宋体" w:hAnsi="宋体" w:cs="宋体"/>
                <w:color w:val="000000"/>
                <w:kern w:val="0"/>
                <w:sz w:val="24"/>
              </w:rPr>
            </w:pPr>
            <w:r>
              <w:rPr>
                <w:rFonts w:hint="eastAsia" w:ascii="宋体" w:hAnsi="宋体" w:cs="宋体"/>
                <w:sz w:val="24"/>
              </w:rPr>
              <w:t>单一产品采购包</w:t>
            </w:r>
          </w:p>
        </w:tc>
      </w:tr>
    </w:tbl>
    <w:p w14:paraId="0F77CB4D">
      <w:pPr>
        <w:pStyle w:val="7"/>
        <w:spacing w:line="360" w:lineRule="auto"/>
        <w:rPr>
          <w:rFonts w:hint="eastAsia" w:ascii="宋体" w:hAnsi="宋体" w:cs="宋体"/>
          <w:b/>
          <w:sz w:val="24"/>
        </w:rPr>
      </w:pPr>
      <w:r>
        <w:rPr>
          <w:rFonts w:hint="eastAsia" w:ascii="宋体" w:hAnsi="宋体" w:cs="宋体"/>
          <w:bCs/>
          <w:sz w:val="24"/>
        </w:rPr>
        <w:t>二、</w:t>
      </w:r>
      <w:r>
        <w:rPr>
          <w:rFonts w:hint="eastAsia" w:ascii="宋体" w:hAnsi="宋体" w:cs="宋体"/>
          <w:b/>
          <w:sz w:val="24"/>
        </w:rPr>
        <w:t>商务要求</w:t>
      </w:r>
    </w:p>
    <w:p w14:paraId="560BBDCC">
      <w:pPr>
        <w:spacing w:line="360" w:lineRule="auto"/>
        <w:ind w:firstLine="482" w:firstLineChars="200"/>
        <w:contextualSpacing/>
        <w:jc w:val="left"/>
        <w:rPr>
          <w:rFonts w:hint="eastAsia" w:ascii="宋体" w:hAnsi="宋体" w:cs="宋体"/>
          <w:b/>
          <w:sz w:val="24"/>
        </w:rPr>
      </w:pPr>
      <w:r>
        <w:rPr>
          <w:rFonts w:hint="eastAsia" w:ascii="宋体" w:hAnsi="宋体" w:cs="宋体"/>
          <w:b/>
          <w:sz w:val="24"/>
        </w:rPr>
        <w:t>（一）交货时间和地点：</w:t>
      </w:r>
    </w:p>
    <w:p w14:paraId="65744E42">
      <w:pPr>
        <w:pStyle w:val="4"/>
        <w:spacing w:line="360" w:lineRule="auto"/>
        <w:ind w:firstLine="480" w:firstLineChars="200"/>
        <w:rPr>
          <w:rFonts w:hint="eastAsia" w:hAnsi="宋体" w:cs="宋体"/>
          <w:bCs/>
          <w:highlight w:val="none"/>
        </w:rPr>
      </w:pPr>
      <w:r>
        <w:rPr>
          <w:rFonts w:hint="eastAsia" w:hAnsi="宋体" w:cs="宋体"/>
          <w:bCs/>
          <w:highlight w:val="none"/>
        </w:rPr>
        <w:t>1.交货时间：自合同签订之日起30日内交货并完成安装、调试。</w:t>
      </w:r>
    </w:p>
    <w:p w14:paraId="1CDDC28F">
      <w:pPr>
        <w:pStyle w:val="4"/>
        <w:spacing w:line="360" w:lineRule="auto"/>
        <w:ind w:firstLine="480" w:firstLineChars="200"/>
        <w:rPr>
          <w:rFonts w:hint="eastAsia" w:hAnsi="宋体" w:cs="宋体"/>
          <w:bCs/>
        </w:rPr>
      </w:pPr>
      <w:r>
        <w:rPr>
          <w:rFonts w:hint="eastAsia" w:hAnsi="宋体" w:cs="宋体"/>
          <w:bCs/>
        </w:rPr>
        <w:t>2.交货地点：采购人指定地点</w:t>
      </w:r>
    </w:p>
    <w:p w14:paraId="519AE374">
      <w:pPr>
        <w:spacing w:line="360" w:lineRule="auto"/>
        <w:ind w:firstLine="482" w:firstLineChars="200"/>
        <w:contextualSpacing/>
        <w:jc w:val="left"/>
        <w:rPr>
          <w:rFonts w:hint="eastAsia" w:ascii="宋体" w:hAnsi="宋体" w:cs="宋体"/>
          <w:sz w:val="24"/>
        </w:rPr>
      </w:pPr>
      <w:r>
        <w:rPr>
          <w:rFonts w:hint="eastAsia" w:ascii="宋体" w:hAnsi="宋体" w:cs="宋体"/>
          <w:b/>
          <w:sz w:val="24"/>
        </w:rPr>
        <w:t>（二）付款条件（进度和方式）：</w:t>
      </w:r>
      <w:r>
        <w:rPr>
          <w:rFonts w:hint="eastAsia" w:ascii="宋体" w:hAnsi="宋体" w:cs="宋体"/>
          <w:bCs/>
          <w:sz w:val="24"/>
        </w:rPr>
        <w:t>见第六章拟签订的合同文本</w:t>
      </w:r>
    </w:p>
    <w:p w14:paraId="1B4E5C20">
      <w:pPr>
        <w:pStyle w:val="6"/>
        <w:tabs>
          <w:tab w:val="right" w:leader="dot" w:pos="8937"/>
        </w:tabs>
        <w:spacing w:line="360" w:lineRule="auto"/>
        <w:ind w:left="0" w:leftChars="0" w:firstLine="482" w:firstLineChars="200"/>
        <w:jc w:val="left"/>
        <w:rPr>
          <w:rFonts w:hint="eastAsia" w:ascii="宋体" w:hAnsi="宋体" w:cs="宋体"/>
          <w:sz w:val="24"/>
        </w:rPr>
      </w:pPr>
      <w:r>
        <w:rPr>
          <w:rFonts w:hint="eastAsia" w:ascii="宋体" w:hAnsi="宋体" w:cs="宋体"/>
          <w:b/>
          <w:bCs/>
          <w:sz w:val="24"/>
        </w:rPr>
        <w:t>（三）包装和运输</w:t>
      </w:r>
      <w:r>
        <w:rPr>
          <w:rFonts w:hint="eastAsia" w:ascii="宋体" w:hAnsi="宋体" w:cs="宋体"/>
          <w:sz w:val="24"/>
        </w:rPr>
        <w:t>（如适用，须满足《关于印发〈商品包装政府采购需求标准（试行）〉、〈快递包装政府采购需求标准（试行）〉的通知》（财办库﹝2020﹞123号））</w:t>
      </w:r>
    </w:p>
    <w:p w14:paraId="527412A4">
      <w:pPr>
        <w:pStyle w:val="6"/>
        <w:tabs>
          <w:tab w:val="right" w:leader="dot" w:pos="8937"/>
        </w:tabs>
        <w:spacing w:line="360" w:lineRule="auto"/>
        <w:ind w:left="0" w:leftChars="0" w:firstLine="482" w:firstLineChars="200"/>
        <w:rPr>
          <w:rFonts w:hint="eastAsia" w:ascii="宋体" w:hAnsi="宋体" w:cs="宋体"/>
          <w:b/>
          <w:bCs/>
          <w:sz w:val="24"/>
        </w:rPr>
      </w:pPr>
      <w:r>
        <w:rPr>
          <w:rFonts w:hint="eastAsia" w:ascii="宋体" w:hAnsi="宋体" w:cs="宋体"/>
          <w:b/>
          <w:bCs/>
          <w:sz w:val="24"/>
        </w:rPr>
        <w:t>（四）售后服务</w:t>
      </w:r>
    </w:p>
    <w:p w14:paraId="56E84C25">
      <w:pPr>
        <w:pStyle w:val="6"/>
        <w:tabs>
          <w:tab w:val="right" w:leader="dot" w:pos="8937"/>
        </w:tabs>
        <w:spacing w:line="360" w:lineRule="auto"/>
        <w:ind w:left="0" w:leftChars="0" w:firstLine="480" w:firstLineChars="200"/>
        <w:rPr>
          <w:rFonts w:hint="eastAsia" w:ascii="宋体" w:hAnsi="宋体" w:cs="宋体"/>
          <w:sz w:val="24"/>
        </w:rPr>
      </w:pPr>
      <w:r>
        <w:rPr>
          <w:rFonts w:hint="eastAsia" w:ascii="宋体" w:hAnsi="宋体" w:cs="宋体"/>
          <w:sz w:val="24"/>
        </w:rPr>
        <w:t>★1.质量保证期（保修期）及服务要求：</w:t>
      </w:r>
    </w:p>
    <w:p w14:paraId="62F74ABB">
      <w:pPr>
        <w:pStyle w:val="6"/>
        <w:tabs>
          <w:tab w:val="right" w:leader="dot" w:pos="8937"/>
        </w:tabs>
        <w:spacing w:line="360" w:lineRule="auto"/>
        <w:ind w:left="0" w:leftChars="0" w:firstLine="480" w:firstLineChars="200"/>
        <w:rPr>
          <w:rFonts w:hint="eastAsia" w:ascii="宋体" w:hAnsi="宋体" w:cs="宋体"/>
          <w:sz w:val="24"/>
        </w:rPr>
      </w:pPr>
      <w:r>
        <w:rPr>
          <w:rFonts w:hint="eastAsia" w:ascii="宋体" w:hAnsi="宋体" w:cs="宋体"/>
          <w:sz w:val="24"/>
        </w:rPr>
        <w:t>★1.1整机质保3年。保证8年配件供应，提供主要配件价格清单。（如技术要求中规定的质保年限大于3年 则以技术要求中规定的质保年限为准），投标人须提供原厂或代理商售后服务承诺函并加盖公章。</w:t>
      </w:r>
    </w:p>
    <w:p w14:paraId="187A3619">
      <w:pPr>
        <w:pStyle w:val="6"/>
        <w:tabs>
          <w:tab w:val="right" w:leader="dot" w:pos="8937"/>
        </w:tabs>
        <w:spacing w:line="360" w:lineRule="auto"/>
        <w:ind w:left="0" w:leftChars="0" w:firstLine="480" w:firstLineChars="200"/>
        <w:rPr>
          <w:rFonts w:hint="eastAsia" w:ascii="宋体" w:hAnsi="宋体" w:cs="宋体"/>
          <w:sz w:val="24"/>
          <w:highlight w:val="none"/>
        </w:rPr>
      </w:pPr>
      <w:r>
        <w:rPr>
          <w:rFonts w:hint="eastAsia" w:ascii="宋体" w:hAnsi="宋体" w:cs="宋体"/>
          <w:sz w:val="24"/>
        </w:rPr>
        <w:t>★1.2售后服务应符合以下要求；①每季度巡检1次，进行全面检修，并提供检修检测记录。②负责医院使用、维修人员培训工作。提供中文使用、维修手册。③提供一次免费移机及移机后安装调试服务。④接到设备报修电话，24小时内技术人员到场维修。维修周期超过72小时，须提供备用机（件）。⑤如包内技术要求中有其它需求的，按包内要求</w:t>
      </w:r>
      <w:r>
        <w:rPr>
          <w:rFonts w:hint="eastAsia" w:ascii="宋体" w:hAnsi="宋体" w:cs="宋体"/>
          <w:sz w:val="24"/>
          <w:highlight w:val="none"/>
        </w:rPr>
        <w:t>执行。</w:t>
      </w:r>
    </w:p>
    <w:p w14:paraId="181C613B">
      <w:pPr>
        <w:pStyle w:val="6"/>
        <w:tabs>
          <w:tab w:val="right" w:leader="dot" w:pos="8937"/>
        </w:tabs>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★1.3依据医院需求，配合完成设备管理工作。需计量检验，质量检验等强检设备，安装使用前需要到指定部门进行检验并取得证书。首次检验费用由</w:t>
      </w:r>
      <w:r>
        <w:rPr>
          <w:rFonts w:hint="eastAsia" w:ascii="宋体" w:hAnsi="宋体" w:cs="宋体"/>
          <w:sz w:val="24"/>
          <w:highlight w:val="none"/>
          <w:lang w:val="en-US" w:eastAsia="zh-CN"/>
        </w:rPr>
        <w:t>供应商</w:t>
      </w:r>
      <w:r>
        <w:rPr>
          <w:rFonts w:hint="eastAsia" w:ascii="宋体" w:hAnsi="宋体" w:cs="宋体"/>
          <w:sz w:val="24"/>
          <w:highlight w:val="none"/>
        </w:rPr>
        <w:t>承担。</w:t>
      </w:r>
    </w:p>
    <w:p w14:paraId="751E9C6C">
      <w:pPr>
        <w:pStyle w:val="6"/>
        <w:tabs>
          <w:tab w:val="right" w:leader="dot" w:pos="8937"/>
        </w:tabs>
        <w:spacing w:line="360" w:lineRule="auto"/>
        <w:ind w:left="0" w:leftChars="0" w:firstLine="480" w:firstLineChars="200"/>
        <w:rPr>
          <w:rFonts w:hint="eastAsia" w:ascii="宋体" w:hAnsi="宋体" w:cs="宋体"/>
          <w:sz w:val="24"/>
          <w:highlight w:val="none"/>
        </w:rPr>
      </w:pPr>
      <w:r>
        <w:rPr>
          <w:rFonts w:hint="eastAsia" w:ascii="宋体" w:hAnsi="宋体" w:cs="宋体"/>
          <w:sz w:val="24"/>
          <w:highlight w:val="none"/>
        </w:rPr>
        <w:t xml:space="preserve">★1.4采购标的的设计使用年限不得低于六年。 </w:t>
      </w:r>
    </w:p>
    <w:p w14:paraId="317AC31E">
      <w:pPr>
        <w:pStyle w:val="6"/>
        <w:tabs>
          <w:tab w:val="right" w:leader="dot" w:pos="8937"/>
        </w:tabs>
        <w:spacing w:line="360" w:lineRule="auto"/>
        <w:ind w:left="0" w:leftChars="0" w:firstLine="482" w:firstLineChars="200"/>
        <w:rPr>
          <w:rFonts w:hint="eastAsia" w:ascii="宋体" w:hAnsi="宋体" w:cs="宋体"/>
          <w:b/>
          <w:bCs/>
          <w:sz w:val="24"/>
        </w:rPr>
      </w:pPr>
      <w:r>
        <w:rPr>
          <w:rFonts w:hint="eastAsia" w:ascii="宋体" w:hAnsi="宋体" w:cs="宋体"/>
          <w:b/>
          <w:bCs/>
          <w:sz w:val="24"/>
          <w:lang w:eastAsia="zh-CN"/>
        </w:rPr>
        <w:t>（</w:t>
      </w:r>
      <w:r>
        <w:rPr>
          <w:rFonts w:hint="eastAsia" w:ascii="宋体" w:hAnsi="宋体" w:cs="宋体"/>
          <w:b/>
          <w:bCs/>
          <w:sz w:val="24"/>
          <w:lang w:val="en-US" w:eastAsia="zh-CN"/>
        </w:rPr>
        <w:t>五</w:t>
      </w:r>
      <w:r>
        <w:rPr>
          <w:rFonts w:hint="eastAsia" w:ascii="宋体" w:hAnsi="宋体" w:cs="宋体"/>
          <w:b/>
          <w:bCs/>
          <w:sz w:val="24"/>
          <w:lang w:eastAsia="zh-CN"/>
        </w:rPr>
        <w:t>）</w:t>
      </w:r>
      <w:r>
        <w:rPr>
          <w:rFonts w:hint="eastAsia" w:ascii="宋体" w:hAnsi="宋体" w:cs="宋体"/>
          <w:b/>
          <w:bCs/>
          <w:sz w:val="24"/>
        </w:rPr>
        <w:t>采购标的物验收标准</w:t>
      </w:r>
    </w:p>
    <w:p w14:paraId="76977F59">
      <w:pPr>
        <w:pStyle w:val="6"/>
        <w:tabs>
          <w:tab w:val="right" w:leader="dot" w:pos="8937"/>
        </w:tabs>
        <w:spacing w:line="360" w:lineRule="auto"/>
        <w:ind w:left="0" w:leftChars="0" w:firstLine="480" w:firstLineChars="200"/>
        <w:rPr>
          <w:rFonts w:hint="eastAsia" w:ascii="宋体" w:hAnsi="宋体" w:cs="宋体"/>
          <w:sz w:val="24"/>
        </w:rPr>
      </w:pPr>
      <w:r>
        <w:rPr>
          <w:rFonts w:hint="eastAsia" w:ascii="宋体" w:hAnsi="宋体" w:cs="宋体"/>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69A02316">
      <w:pPr>
        <w:pStyle w:val="6"/>
        <w:tabs>
          <w:tab w:val="right" w:leader="dot" w:pos="8937"/>
        </w:tabs>
        <w:spacing w:line="360" w:lineRule="auto"/>
        <w:ind w:left="0" w:leftChars="0" w:firstLine="480" w:firstLineChars="200"/>
        <w:rPr>
          <w:rFonts w:hint="eastAsia" w:ascii="宋体" w:hAnsi="宋体" w:cs="宋体"/>
          <w:sz w:val="24"/>
        </w:rPr>
      </w:pPr>
      <w:r>
        <w:rPr>
          <w:rFonts w:hint="eastAsia" w:ascii="宋体" w:hAnsi="宋体" w:cs="宋体"/>
          <w:sz w:val="24"/>
        </w:rPr>
        <w:t>2.货物运抵采购项目（标的）交付的地点后，采购人将组织验收，由采购人组织验收小组，对货物的数量、外观、包装、质量、安全、功能及性能等进行验收，项目验收依据为采购合同、招标文件和投标文件。验收小组将根据验收情况制作验收备忘录并签署验收意见。</w:t>
      </w:r>
    </w:p>
    <w:p w14:paraId="629D7C63">
      <w:pPr>
        <w:pStyle w:val="6"/>
        <w:tabs>
          <w:tab w:val="right" w:leader="dot" w:pos="8937"/>
        </w:tabs>
        <w:spacing w:line="360" w:lineRule="auto"/>
        <w:ind w:left="0" w:leftChars="0" w:firstLine="480" w:firstLineChars="200"/>
        <w:rPr>
          <w:rFonts w:hint="eastAsia" w:ascii="宋体" w:hAnsi="宋体" w:cs="宋体"/>
          <w:sz w:val="24"/>
        </w:rPr>
      </w:pPr>
      <w:r>
        <w:rPr>
          <w:rFonts w:hint="eastAsia" w:ascii="宋体" w:hAnsi="宋体" w:cs="宋体"/>
          <w:sz w:val="24"/>
        </w:rPr>
        <w:t>3.投标人应负责使所供计量仪器通过计量部门的验收，并承担相关费用（包括运费）。若需要，应在检测期间提供备用仪器，以便不影响采购人的使用。</w:t>
      </w:r>
    </w:p>
    <w:p w14:paraId="61EC8EDB">
      <w:pPr>
        <w:pStyle w:val="4"/>
        <w:spacing w:line="360" w:lineRule="auto"/>
        <w:ind w:firstLine="482" w:firstLineChars="200"/>
        <w:rPr>
          <w:rFonts w:hint="eastAsia" w:hAnsi="宋体" w:cs="宋体"/>
          <w:bCs/>
          <w:u w:val="single"/>
        </w:rPr>
      </w:pPr>
      <w:r>
        <w:rPr>
          <w:rFonts w:hint="eastAsia" w:hAnsi="宋体" w:cs="宋体"/>
          <w:b/>
          <w:bCs/>
        </w:rPr>
        <w:t>（六）保险：</w:t>
      </w:r>
      <w:r>
        <w:rPr>
          <w:rFonts w:hint="eastAsia" w:hAnsi="宋体" w:cs="宋体"/>
        </w:rPr>
        <w:t>如果货物是按现场交货方式或工厂交货方式报价的，由卖方办理保险，按照发票金额的110％办理“一切险”，保险范围包括卖方承诺装运的货物；如果货物是按买方自提货物方式报价的，其保险由买方办理。</w:t>
      </w:r>
    </w:p>
    <w:p w14:paraId="28370222">
      <w:pPr>
        <w:spacing w:line="360" w:lineRule="auto"/>
        <w:ind w:firstLine="482" w:firstLineChars="200"/>
        <w:rPr>
          <w:rFonts w:hint="eastAsia" w:ascii="宋体" w:hAnsi="宋体" w:cs="宋体"/>
          <w:b/>
          <w:bCs/>
          <w:sz w:val="24"/>
        </w:rPr>
      </w:pPr>
      <w:r>
        <w:rPr>
          <w:rFonts w:hint="eastAsia" w:ascii="宋体" w:hAnsi="宋体" w:cs="宋体"/>
          <w:b/>
          <w:bCs/>
          <w:sz w:val="24"/>
        </w:rPr>
        <w:t>三、技术要求</w:t>
      </w:r>
    </w:p>
    <w:p w14:paraId="2EE8071A">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（一）基本要求</w:t>
      </w:r>
    </w:p>
    <w:p w14:paraId="1C7EFB4A">
      <w:pPr>
        <w:spacing w:line="360" w:lineRule="auto"/>
        <w:ind w:firstLine="480" w:firstLineChars="200"/>
        <w:contextualSpacing/>
        <w:rPr>
          <w:rFonts w:hint="eastAsia" w:ascii="宋体" w:hAnsi="宋体"/>
          <w:sz w:val="24"/>
        </w:rPr>
      </w:pPr>
      <w:r>
        <w:rPr>
          <w:rFonts w:hint="eastAsia" w:ascii="宋体" w:hAnsi="宋体"/>
          <w:sz w:val="24"/>
        </w:rPr>
        <w:t>1.采购标的需实现的功能或者目标</w:t>
      </w:r>
    </w:p>
    <w:p w14:paraId="2F752C87">
      <w:pPr>
        <w:spacing w:line="360" w:lineRule="auto"/>
        <w:ind w:firstLine="480" w:firstLineChars="200"/>
        <w:contextualSpacing/>
        <w:rPr>
          <w:rFonts w:hint="eastAsia" w:ascii="宋体" w:hAnsi="宋体"/>
          <w:sz w:val="24"/>
        </w:rPr>
      </w:pPr>
      <w:r>
        <w:rPr>
          <w:rFonts w:hint="eastAsia" w:ascii="宋体" w:hAnsi="宋体"/>
          <w:sz w:val="24"/>
        </w:rPr>
        <w:t>本次采购是“2026医用设备购置项目（第一批）”，供应商应根据招标文件所提出的设备技术规格和服务要求，以满足招标文件要求的产品、优良的货物和优惠的价格，充分显示自己的竞争实力。</w:t>
      </w:r>
    </w:p>
    <w:p w14:paraId="10248FCF">
      <w:pPr>
        <w:spacing w:line="360" w:lineRule="auto"/>
        <w:ind w:firstLine="482" w:firstLineChars="200"/>
        <w:contextualSpacing/>
        <w:rPr>
          <w:rFonts w:hint="eastAsia" w:ascii="宋体" w:hAnsi="宋体" w:cs="宋体"/>
          <w:b/>
          <w:bCs/>
          <w:sz w:val="24"/>
        </w:rPr>
      </w:pPr>
      <w:r>
        <w:rPr>
          <w:rFonts w:hint="eastAsia" w:ascii="宋体" w:hAnsi="宋体" w:cs="宋体"/>
          <w:b/>
          <w:bCs/>
          <w:sz w:val="24"/>
        </w:rPr>
        <w:t>2.需满足国家相关标准、行业标准、地方标准或者其他标准、规范：</w:t>
      </w:r>
    </w:p>
    <w:p w14:paraId="52E39FE7">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★2.1投标产品属于医疗器械的，应按原国家食品药品监督管理总局颁发的《医疗器械注册管理办法》，办理医疗器械注册证或者办理备案，投标人须提供医疗器械注册证复印件或备案凭证加盖单位公章。</w:t>
      </w:r>
    </w:p>
    <w:p w14:paraId="35524854">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★2.2如投标人为代理商，所投投标产品为国产医疗器械的，应按原国家食品药品监督管理总局颁发的《医疗器械生产监督管理办法》，还应提供制造厂商有效的医疗器械生产资格证明文件复印件加盖单位公章。</w:t>
      </w:r>
    </w:p>
    <w:p w14:paraId="2F625C8D">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2.3投标产品及制造商应符合国家有关部门规定的相应技术法规及标准，如国家有关部门对投标产品或其制造商有强制性规定或要求的，投标产品或其制造商必须符合相应规定或要求。</w:t>
      </w:r>
    </w:p>
    <w:p w14:paraId="71BBD816">
      <w:pPr>
        <w:spacing w:line="360" w:lineRule="auto"/>
        <w:ind w:firstLine="482" w:firstLineChars="200"/>
        <w:jc w:val="left"/>
        <w:rPr>
          <w:rFonts w:hint="eastAsia" w:ascii="宋体" w:hAnsi="宋体" w:cs="宋体"/>
          <w:b/>
          <w:bCs/>
          <w:sz w:val="24"/>
        </w:rPr>
      </w:pPr>
      <w:r>
        <w:rPr>
          <w:rFonts w:hint="eastAsia" w:ascii="宋体" w:hAnsi="宋体" w:cs="宋体"/>
          <w:b/>
          <w:bCs/>
          <w:sz w:val="24"/>
        </w:rPr>
        <w:t>（二）具体要求</w:t>
      </w:r>
    </w:p>
    <w:p w14:paraId="706D742F">
      <w:pPr>
        <w:pStyle w:val="3"/>
        <w:spacing w:before="0" w:after="0" w:line="360" w:lineRule="auto"/>
        <w:ind w:firstLine="482" w:firstLineChars="200"/>
        <w:rPr>
          <w:rFonts w:hint="eastAsia"/>
        </w:rPr>
      </w:pPr>
      <w:bookmarkStart w:id="0" w:name="OLE_LINK8"/>
      <w:bookmarkStart w:id="1" w:name="OLE_LINK7"/>
      <w:r>
        <w:rPr>
          <w:rFonts w:hint="eastAsia"/>
        </w:rPr>
        <w:t>01包：</w:t>
      </w:r>
      <w:r>
        <w:rPr>
          <w:rFonts w:hint="eastAsia"/>
        </w:rPr>
        <w:tab/>
      </w:r>
    </w:p>
    <w:p w14:paraId="06DF75C4">
      <w:pPr>
        <w:pStyle w:val="5"/>
        <w:ind w:firstLine="482" w:firstLineChars="200"/>
        <w:jc w:val="left"/>
      </w:pPr>
      <w:r>
        <w:rPr>
          <w:rFonts w:hint="eastAsia"/>
        </w:rPr>
        <w:t>标的名称1：高流量呼吸湿化治疗仪</w:t>
      </w:r>
    </w:p>
    <w:p w14:paraId="4A57F8C9">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1.露点温度：29-37℃可调。</w:t>
      </w:r>
    </w:p>
    <w:p w14:paraId="17F00805">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2.流量范围：2-80L/min可调。</w:t>
      </w:r>
    </w:p>
    <w:p w14:paraId="61A3BCB2">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3.氧浓度：21-100%可调，可实现60L/min高流速的情况下气体温度达到37℃，同时氧浓度可设置为100%。</w:t>
      </w:r>
    </w:p>
    <w:p w14:paraId="16648D4C">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4.具备显示屏，可显示温湿度、氧浓度、报警信息等参数。</w:t>
      </w:r>
    </w:p>
    <w:p w14:paraId="1FCFA072">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5.具备温湿度控制功能。</w:t>
      </w:r>
    </w:p>
    <w:p w14:paraId="36A20B3A">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6.具备温湿度检测、氧浓度检测、报警功能。</w:t>
      </w:r>
    </w:p>
    <w:p w14:paraId="5E942AD0">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7.具备管路加热功能。</w:t>
      </w:r>
    </w:p>
    <w:p w14:paraId="5D0E638B">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8.管路消毒方式：高温消毒。</w:t>
      </w:r>
    </w:p>
    <w:p w14:paraId="3AFA59CF">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9.治疗头方式：面罩、鼻塞、气切等。</w:t>
      </w:r>
    </w:p>
    <w:p w14:paraId="298856FF">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10.工作电压：AC 220V,50HZ。</w:t>
      </w:r>
    </w:p>
    <w:p w14:paraId="468C1154">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11.配置要求：主机1、台车1、输液架1。</w:t>
      </w:r>
    </w:p>
    <w:p w14:paraId="1EADECA4">
      <w:pPr>
        <w:pStyle w:val="5"/>
        <w:ind w:firstLine="482" w:firstLineChars="200"/>
        <w:jc w:val="left"/>
      </w:pPr>
      <w:r>
        <w:rPr>
          <w:rFonts w:hint="eastAsia"/>
        </w:rPr>
        <w:t>标的名称2：便携式牙科治疗机</w:t>
      </w:r>
    </w:p>
    <w:p w14:paraId="41AD5A9A">
      <w:pPr>
        <w:spacing w:line="360" w:lineRule="auto"/>
        <w:ind w:left="479" w:leftChars="228"/>
        <w:jc w:val="left"/>
        <w:rPr>
          <w:rFonts w:hint="eastAsia" w:ascii="宋体" w:hAnsi="宋体" w:cs="宋体"/>
          <w:sz w:val="24"/>
          <w:szCs w:val="32"/>
        </w:rPr>
      </w:pPr>
      <w:r>
        <w:rPr>
          <w:rFonts w:hint="eastAsia" w:ascii="宋体" w:hAnsi="宋体" w:cs="宋体"/>
          <w:sz w:val="24"/>
          <w:szCs w:val="32"/>
        </w:rPr>
        <w:t>1.气额定流量:≥60L/min@4Bar。</w:t>
      </w:r>
      <w:r>
        <w:rPr>
          <w:rFonts w:hint="eastAsia" w:ascii="宋体" w:hAnsi="宋体" w:cs="宋体"/>
          <w:sz w:val="24"/>
          <w:szCs w:val="32"/>
        </w:rPr>
        <w:br w:type="textWrapping"/>
      </w:r>
      <w:r>
        <w:rPr>
          <w:rFonts w:hint="eastAsia" w:ascii="宋体" w:hAnsi="宋体" w:cs="宋体"/>
          <w:sz w:val="24"/>
          <w:szCs w:val="32"/>
        </w:rPr>
        <w:t>2.储气罐容积:≥5L。</w:t>
      </w:r>
      <w:r>
        <w:rPr>
          <w:rFonts w:hint="eastAsia" w:ascii="宋体" w:hAnsi="宋体" w:cs="宋体"/>
          <w:sz w:val="24"/>
          <w:szCs w:val="32"/>
        </w:rPr>
        <w:br w:type="textWrapping"/>
      </w:r>
      <w:r>
        <w:rPr>
          <w:rFonts w:hint="eastAsia" w:ascii="宋体" w:hAnsi="宋体" w:cs="宋体"/>
          <w:sz w:val="24"/>
          <w:szCs w:val="32"/>
        </w:rPr>
        <w:t>3.净水瓶容积:≥1L。</w:t>
      </w:r>
      <w:r>
        <w:rPr>
          <w:rFonts w:hint="eastAsia" w:ascii="宋体" w:hAnsi="宋体" w:cs="宋体"/>
          <w:sz w:val="24"/>
          <w:szCs w:val="32"/>
        </w:rPr>
        <w:br w:type="textWrapping"/>
      </w:r>
      <w:r>
        <w:rPr>
          <w:rFonts w:hint="eastAsia" w:ascii="宋体" w:hAnsi="宋体" w:cs="宋体"/>
          <w:sz w:val="24"/>
          <w:szCs w:val="32"/>
        </w:rPr>
        <w:t>4.净重:≤25kg。</w:t>
      </w:r>
      <w:r>
        <w:rPr>
          <w:rFonts w:hint="eastAsia" w:ascii="宋体" w:hAnsi="宋体" w:cs="宋体"/>
          <w:sz w:val="24"/>
          <w:szCs w:val="32"/>
        </w:rPr>
        <w:br w:type="textWrapping"/>
      </w:r>
      <w:r>
        <w:rPr>
          <w:rFonts w:hint="eastAsia" w:ascii="宋体" w:hAnsi="宋体" w:cs="宋体"/>
          <w:sz w:val="24"/>
          <w:szCs w:val="32"/>
        </w:rPr>
        <w:t>5.噪音值:≤55dB(A)。</w:t>
      </w:r>
      <w:r>
        <w:rPr>
          <w:rFonts w:hint="eastAsia" w:ascii="宋体" w:hAnsi="宋体" w:cs="宋体"/>
          <w:sz w:val="24"/>
          <w:szCs w:val="32"/>
        </w:rPr>
        <w:br w:type="textWrapping"/>
      </w:r>
      <w:r>
        <w:rPr>
          <w:rFonts w:hint="eastAsia" w:ascii="宋体" w:hAnsi="宋体" w:cs="宋体"/>
          <w:sz w:val="24"/>
          <w:szCs w:val="32"/>
        </w:rPr>
        <w:t>6.内嵌式静音无油空压机提供动力气源。</w:t>
      </w:r>
      <w:r>
        <w:rPr>
          <w:rFonts w:hint="eastAsia" w:ascii="宋体" w:hAnsi="宋体" w:cs="宋体"/>
          <w:sz w:val="24"/>
          <w:szCs w:val="32"/>
        </w:rPr>
        <w:br w:type="textWrapping"/>
      </w:r>
      <w:r>
        <w:rPr>
          <w:rFonts w:hint="eastAsia" w:ascii="宋体" w:hAnsi="宋体" w:cs="宋体"/>
          <w:sz w:val="24"/>
          <w:szCs w:val="32"/>
        </w:rPr>
        <w:t>7.罐体内涂层处理技术，防锈防菌。</w:t>
      </w:r>
      <w:r>
        <w:rPr>
          <w:rFonts w:hint="eastAsia" w:ascii="宋体" w:hAnsi="宋体" w:cs="宋体"/>
          <w:sz w:val="24"/>
          <w:szCs w:val="32"/>
        </w:rPr>
        <w:br w:type="textWrapping"/>
      </w:r>
      <w:r>
        <w:rPr>
          <w:rFonts w:hint="eastAsia" w:ascii="宋体" w:hAnsi="宋体" w:cs="宋体"/>
          <w:sz w:val="24"/>
          <w:szCs w:val="32"/>
        </w:rPr>
        <w:t>8.配备三用喷枪、高低速手机管线、净水瓶、脚踏板。</w:t>
      </w:r>
    </w:p>
    <w:p w14:paraId="1180A1CF">
      <w:pPr>
        <w:spacing w:line="360" w:lineRule="auto"/>
        <w:ind w:firstLine="480" w:firstLineChars="200"/>
        <w:jc w:val="left"/>
        <w:rPr>
          <w:rFonts w:hint="eastAsia" w:ascii="宋体" w:hAnsi="宋体" w:cs="宋体"/>
          <w:sz w:val="24"/>
          <w:szCs w:val="32"/>
        </w:rPr>
      </w:pPr>
      <w:r>
        <w:rPr>
          <w:rFonts w:hint="eastAsia" w:ascii="宋体" w:hAnsi="宋体" w:cs="宋体"/>
          <w:sz w:val="24"/>
          <w:szCs w:val="32"/>
        </w:rPr>
        <w:t>9.配置要求：主机1套、小推车1个、储水瓶1个、高速管线1条、低速马达管线1条、三用枪1套、脚踏1个。</w:t>
      </w:r>
    </w:p>
    <w:p w14:paraId="7DED651B">
      <w:pPr>
        <w:pStyle w:val="3"/>
        <w:spacing w:before="0" w:after="0" w:line="360" w:lineRule="auto"/>
        <w:ind w:firstLine="482" w:firstLineChars="200"/>
        <w:rPr>
          <w:rFonts w:hint="eastAsia"/>
        </w:rPr>
      </w:pPr>
      <w:r>
        <w:rPr>
          <w:rFonts w:hint="eastAsia"/>
        </w:rPr>
        <w:t>0</w:t>
      </w:r>
      <w:r>
        <w:rPr>
          <w:rFonts w:hint="eastAsia"/>
          <w:lang w:val="en-US" w:eastAsia="zh-CN"/>
        </w:rPr>
        <w:t>3</w:t>
      </w:r>
      <w:r>
        <w:rPr>
          <w:rFonts w:hint="eastAsia"/>
        </w:rPr>
        <w:t>包：</w:t>
      </w:r>
    </w:p>
    <w:p w14:paraId="0EEA67C5">
      <w:pPr>
        <w:pStyle w:val="3"/>
        <w:spacing w:before="0" w:after="0" w:line="360" w:lineRule="auto"/>
        <w:ind w:firstLine="482" w:firstLineChars="200"/>
        <w:rPr>
          <w:rFonts w:hint="eastAsia"/>
        </w:rPr>
      </w:pPr>
      <w:r>
        <w:rPr>
          <w:rFonts w:hint="eastAsia"/>
        </w:rPr>
        <w:t>标的名称：全自动玻片处理系统</w:t>
      </w:r>
    </w:p>
    <w:p w14:paraId="44BF04E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样本片放入样本槽后，可设定或用户自定义运行参数（包括时间、温度、步骤），自动完成样本的预处理（包括烤片、脱蜡、煮片、消化、脱水）及变性/杂交、杂交后的洗涤过程，实现FISH实验流程的自动化和标准化。</w:t>
      </w:r>
    </w:p>
    <w:p w14:paraId="369726A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2.适用于细胞学样本（如尿液、宫颈脱落细胞、冲洗液、羊水等）、组织学样本（如穿刺、大体石蜡包埋样本、胎儿组织等）和血液样本（如外周血、骨髓样本等）。</w:t>
      </w:r>
    </w:p>
    <w:p w14:paraId="4F9C86B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3.具备自动预热功能。</w:t>
      </w:r>
    </w:p>
    <w:p w14:paraId="7D5C027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4.具备高精度温、湿度控制技术。</w:t>
      </w:r>
    </w:p>
    <w:p w14:paraId="4383F3D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5.温度与湿度不受玻片数量影响。</w:t>
      </w:r>
    </w:p>
    <w:p w14:paraId="32DF74D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6.温控范围：室温+5℃-100℃。</w:t>
      </w:r>
    </w:p>
    <w:p w14:paraId="569901D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7.温度设置范围：35-99℃。</w:t>
      </w:r>
    </w:p>
    <w:p w14:paraId="47F0F19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8.最大样本量：≥12片。</w:t>
      </w:r>
    </w:p>
    <w:p w14:paraId="2E9BFCA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9.温控精度：≤1℃。升温时间≤2分钟，降温时间≤6分钟。</w:t>
      </w:r>
    </w:p>
    <w:p w14:paraId="51FF8A18">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10.自动化：除加探针盖片复染外其余全部自动化完成。</w:t>
      </w:r>
      <w:r>
        <w:rPr>
          <w:rFonts w:hint="eastAsia" w:ascii="宋体" w:hAnsi="宋体" w:cs="宋体"/>
          <w:color w:val="000000"/>
          <w:kern w:val="0"/>
          <w:sz w:val="24"/>
          <w:lang w:bidi="ar"/>
        </w:rPr>
        <w:tab/>
      </w:r>
    </w:p>
    <w:p w14:paraId="203C257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11.实验过程能够实时显示。</w:t>
      </w:r>
    </w:p>
    <w:p w14:paraId="0325B19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12.配置要求：主机1套</w:t>
      </w:r>
    </w:p>
    <w:p w14:paraId="4622649A">
      <w:pPr>
        <w:pStyle w:val="4"/>
        <w:spacing w:line="360" w:lineRule="auto"/>
        <w:ind w:firstLine="480" w:firstLineChars="200"/>
      </w:pPr>
    </w:p>
    <w:p w14:paraId="5DA1FE2A">
      <w:r>
        <w:rPr>
          <w:rFonts w:hint="eastAsia"/>
        </w:rPr>
        <w:br w:type="page"/>
      </w:r>
    </w:p>
    <w:p w14:paraId="28FC9899">
      <w:pPr>
        <w:pStyle w:val="3"/>
        <w:spacing w:before="0" w:after="0" w:line="360" w:lineRule="auto"/>
        <w:ind w:firstLine="482" w:firstLineChars="200"/>
        <w:rPr>
          <w:rFonts w:hint="eastAsia"/>
        </w:rPr>
      </w:pPr>
      <w:r>
        <w:rPr>
          <w:rFonts w:hint="eastAsia"/>
        </w:rPr>
        <w:t>0</w:t>
      </w:r>
      <w:r>
        <w:rPr>
          <w:rFonts w:hint="eastAsia"/>
          <w:lang w:val="en-US" w:eastAsia="zh-CN"/>
        </w:rPr>
        <w:t>6</w:t>
      </w:r>
      <w:r>
        <w:rPr>
          <w:rFonts w:hint="eastAsia"/>
        </w:rPr>
        <w:t>包：</w:t>
      </w:r>
    </w:p>
    <w:p w14:paraId="38088D3D">
      <w:pPr>
        <w:pStyle w:val="5"/>
        <w:ind w:firstLine="482" w:firstLineChars="200"/>
        <w:jc w:val="left"/>
      </w:pPr>
      <w:r>
        <w:rPr>
          <w:rFonts w:hint="eastAsia"/>
        </w:rPr>
        <w:t>标的名称1：手术动力系统1</w:t>
      </w:r>
    </w:p>
    <w:p w14:paraId="24F01B38">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1.用途：用于无菌拔牙、去骨增隙、正颌手术、种植牙。</w:t>
      </w:r>
    </w:p>
    <w:p w14:paraId="7C22569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2.供水方式：双供水方式可切换（生理盐水+蒸馏水）。</w:t>
      </w:r>
    </w:p>
    <w:p w14:paraId="1C1A171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3.使用方式：插电即用，不需接水气管。</w:t>
      </w:r>
    </w:p>
    <w:p w14:paraId="66C8159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4.马达：直流无刷电机，含内喷水装置、高光LED灯（色温5000-5500K）。</w:t>
      </w:r>
    </w:p>
    <w:p w14:paraId="552BFD0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5.操作控制：无级变速脚踏控制及切换子菜单程序（各模块带有子菜单）。</w:t>
      </w:r>
    </w:p>
    <w:p w14:paraId="1EE3B95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6.操控面板：≥7英寸TFT液晶触控显示屏+触控程序设置调节系统。</w:t>
      </w:r>
    </w:p>
    <w:p w14:paraId="005A7B87">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 xml:space="preserve">7.界面控制：液晶触控显示屏可调节转速、扭力、灯光、水量大小等。 </w:t>
      </w:r>
    </w:p>
    <w:p w14:paraId="1DCE09D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8.转速范围：100-40000转/min可调。</w:t>
      </w:r>
    </w:p>
    <w:p w14:paraId="15F702A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9.扭力：≥2.5N.cm。</w:t>
      </w:r>
    </w:p>
    <w:p w14:paraId="69A5DB5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▲10.操作系统：具备电动骨刀、外科拔牙、电动高速、电动低速、种植牙等功能。</w:t>
      </w:r>
    </w:p>
    <w:p w14:paraId="3A90881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11.电工骨刀：往复锯，摆动锯，矢状锯等可进行各类型外科手术。</w:t>
      </w:r>
      <w:r>
        <w:rPr>
          <w:rFonts w:hint="eastAsia" w:ascii="宋体" w:hAnsi="宋体" w:cs="宋体"/>
          <w:color w:val="000000"/>
          <w:kern w:val="0"/>
          <w:sz w:val="24"/>
          <w:lang w:bidi="ar"/>
        </w:rPr>
        <w:tab/>
      </w:r>
    </w:p>
    <w:p w14:paraId="1B34EC4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12.马达管线可拆卸、可消毒灭菌。</w:t>
      </w:r>
    </w:p>
    <w:p w14:paraId="04F80FB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13.配置要求：</w:t>
      </w:r>
    </w:p>
    <w:p w14:paraId="4990750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13.1主机1套；</w:t>
      </w:r>
    </w:p>
    <w:p w14:paraId="1CA91EF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13.2水箱1套；</w:t>
      </w:r>
    </w:p>
    <w:p w14:paraId="48D0ADA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13.3马达管线1条 ；</w:t>
      </w:r>
    </w:p>
    <w:p w14:paraId="58CCADA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13.4 1：5手机2支；</w:t>
      </w:r>
    </w:p>
    <w:p w14:paraId="73B1552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13.5 40:1手机4支；</w:t>
      </w:r>
    </w:p>
    <w:p w14:paraId="48F58A3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13.6 1: 4.2手机（迷你头）3支；</w:t>
      </w:r>
    </w:p>
    <w:p w14:paraId="08EC1ED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13.7往复锯1套；</w:t>
      </w:r>
    </w:p>
    <w:p w14:paraId="55007AD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13.8摆动锯1套；</w:t>
      </w:r>
    </w:p>
    <w:p w14:paraId="1F4F65A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13.9矢状锯1套；</w:t>
      </w:r>
    </w:p>
    <w:p w14:paraId="6D4DCACC">
      <w:pPr>
        <w:spacing w:line="360" w:lineRule="auto"/>
        <w:ind w:firstLine="480" w:firstLineChars="200"/>
        <w:jc w:val="left"/>
        <w:rPr>
          <w:sz w:val="24"/>
        </w:rPr>
      </w:pPr>
      <w:r>
        <w:rPr>
          <w:rFonts w:hint="eastAsia" w:ascii="宋体" w:hAnsi="宋体" w:cs="宋体"/>
          <w:color w:val="000000"/>
          <w:kern w:val="0"/>
          <w:sz w:val="24"/>
          <w:lang w:bidi="ar"/>
        </w:rPr>
        <w:t>13.10小推车1个。</w:t>
      </w:r>
    </w:p>
    <w:p w14:paraId="2484ED12">
      <w:pPr>
        <w:pStyle w:val="5"/>
        <w:ind w:firstLine="482" w:firstLineChars="200"/>
        <w:jc w:val="left"/>
        <w:rPr>
          <w:rFonts w:hint="eastAsia" w:ascii="宋体" w:hAnsi="宋体" w:cs="宋体"/>
          <w:color w:val="000000"/>
          <w:kern w:val="0"/>
          <w:lang w:bidi="ar"/>
        </w:rPr>
      </w:pPr>
      <w:r>
        <w:rPr>
          <w:rFonts w:hint="eastAsia"/>
        </w:rPr>
        <w:t>标的名称2：</w:t>
      </w:r>
      <w:r>
        <w:rPr>
          <w:rFonts w:hint="eastAsia" w:ascii="宋体" w:hAnsi="宋体" w:cs="宋体"/>
          <w:color w:val="000000"/>
          <w:kern w:val="0"/>
          <w:lang w:bidi="ar"/>
        </w:rPr>
        <w:t>手术动力系统2</w:t>
      </w:r>
    </w:p>
    <w:p w14:paraId="538A9F9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1.供水方式：自供水+外接生理盐水冷却（无菌冷却）。</w:t>
      </w:r>
    </w:p>
    <w:p w14:paraId="4276D347">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2.转速范围：100-40000转/分钟。</w:t>
      </w:r>
    </w:p>
    <w:p w14:paraId="6CB012F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3.马达参数：扭矩≥2.5N.cm，抖动≤0.02mm，噪音≤45dB。</w:t>
      </w:r>
    </w:p>
    <w:p w14:paraId="6D9BE97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4.工作温升：≤8℃。</w:t>
      </w:r>
    </w:p>
    <w:p w14:paraId="1AB374B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5.插电即用：无需外接水气管线，故障自诊+保护系统。</w:t>
      </w:r>
    </w:p>
    <w:p w14:paraId="2CB557C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6.电源：AC220V ，50Hz。</w:t>
      </w:r>
    </w:p>
    <w:p w14:paraId="04BBEAE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7.马达类型：直流无刷电机，含内喷水装置。</w:t>
      </w:r>
    </w:p>
    <w:p w14:paraId="1A7BF27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8.光源：高光LED灯，色温：5000-5500K。</w:t>
      </w:r>
    </w:p>
    <w:p w14:paraId="0268940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9.冷却系统：内置风冷系统。</w:t>
      </w:r>
    </w:p>
    <w:p w14:paraId="0F87431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10.多功能脚踏：程序切换、正/反转、水开关控制、无级变速控制。</w:t>
      </w:r>
    </w:p>
    <w:p w14:paraId="6A391FE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11.操控面板：≥7英寸TFT液晶触控显示屏+触控程序设置调节系统。</w:t>
      </w:r>
    </w:p>
    <w:p w14:paraId="49E62CE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12.功能模式包含：1:5、1:1、1:4.2。</w:t>
      </w:r>
    </w:p>
    <w:p w14:paraId="2A4E847B">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13.消毒方式：马达可承受135℃高温高压灭菌。</w:t>
      </w:r>
    </w:p>
    <w:p w14:paraId="707886E9">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14.配置要求：</w:t>
      </w:r>
    </w:p>
    <w:p w14:paraId="789AA7F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14.1主机1套；</w:t>
      </w:r>
    </w:p>
    <w:p w14:paraId="553F49F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14.2水箱1套；</w:t>
      </w:r>
    </w:p>
    <w:p w14:paraId="062A10C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14.3马达管线1条；</w:t>
      </w:r>
    </w:p>
    <w:p w14:paraId="4D338A2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14.4 1: 4.2手机（迷你头）3支；</w:t>
      </w:r>
    </w:p>
    <w:p w14:paraId="5AE19CE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14.5 小推车1台。</w:t>
      </w:r>
    </w:p>
    <w:p w14:paraId="259556CE">
      <w:pPr>
        <w:pStyle w:val="3"/>
        <w:spacing w:before="0" w:after="0" w:line="360" w:lineRule="auto"/>
        <w:ind w:firstLine="482" w:firstLineChars="200"/>
        <w:rPr>
          <w:rFonts w:hint="eastAsia"/>
        </w:rPr>
      </w:pPr>
      <w:r>
        <w:rPr>
          <w:rFonts w:hint="eastAsia"/>
          <w:lang w:val="en-US" w:eastAsia="zh-CN"/>
        </w:rPr>
        <w:t>08</w:t>
      </w:r>
      <w:r>
        <w:rPr>
          <w:rFonts w:hint="eastAsia"/>
        </w:rPr>
        <w:t>包：树脂3D打印机</w:t>
      </w:r>
    </w:p>
    <w:p w14:paraId="641F3DF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▲1.屏幕分辨率：≥3840*2400。</w:t>
      </w:r>
    </w:p>
    <w:p w14:paraId="0ADFBF24">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2.光源类型：405nm UV光学模组。</w:t>
      </w:r>
    </w:p>
    <w:p w14:paraId="44342CE3">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3.打印尺寸：≥190*120*180mm（标准平台），70*70*180mm（小平台）。</w:t>
      </w:r>
    </w:p>
    <w:p w14:paraId="27DC9BCD">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4.最高打印速度：≥100mm/h（与切片层厚及打印材料有关）。</w:t>
      </w:r>
    </w:p>
    <w:p w14:paraId="3A098FC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▲5.打印精度：≤±35μm。</w:t>
      </w:r>
    </w:p>
    <w:p w14:paraId="7714096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6.操作方式：≥5英寸触摸屏。</w:t>
      </w:r>
    </w:p>
    <w:p w14:paraId="1F7D20B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7.运动模组：丝杆电机+双直线导轨。</w:t>
      </w:r>
    </w:p>
    <w:p w14:paraId="224183F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8.打印平台：一键锁扣快拆式安装，并采用陶瓷贴面结构。</w:t>
      </w:r>
    </w:p>
    <w:p w14:paraId="4C0240D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▲9.光功率控制：打印过程光源系统自适应匹配原厂材料参数包。</w:t>
      </w:r>
    </w:p>
    <w:p w14:paraId="2E370476">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10.LCD屏幕设计：模块化设计，高强度钢化膜防硬力冲击设计+防渗漏边缘保护</w:t>
      </w:r>
    </w:p>
    <w:p w14:paraId="09190A1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11.文件传输：U盘、Wi-Fi、以太网等。</w:t>
      </w:r>
    </w:p>
    <w:p w14:paraId="7E8C2B78">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12.USB接口：3.0。</w:t>
      </w:r>
    </w:p>
    <w:p w14:paraId="68114B3C">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13.打印仓：打印仓内附带高精度温湿度传感器并附带恒温加热系统、异味吸附功能。</w:t>
      </w:r>
    </w:p>
    <w:p w14:paraId="5F247AA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▲14.云平台BI分析：云端掌控设备状态并可提供年周期性订单的打印产品耗材消耗数据。</w:t>
      </w:r>
    </w:p>
    <w:p w14:paraId="2368CECF">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15.后处理设备：可匹配内置耗材后处理参数的铲件清洗一体机及光固化设备后处理设备</w:t>
      </w:r>
    </w:p>
    <w:p w14:paraId="5B0EC30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16.切片软件：支持不同种类齿科模型“一键打印”及远程传输功能，并附带齿科设计软件模块（口扫数据编辑、托槽粘接导板、保持器等设计），设计-打印一键互联</w:t>
      </w:r>
    </w:p>
    <w:p w14:paraId="5EB91AD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17.软件及固件更新：支持互联网在线及线下更新。</w:t>
      </w:r>
    </w:p>
    <w:p w14:paraId="5F0489F2">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▲18.可用耗材：支持第三方材料打印。</w:t>
      </w:r>
    </w:p>
    <w:p w14:paraId="72C4CCE8">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19.配置要求：</w:t>
      </w:r>
    </w:p>
    <w:p w14:paraId="596FB4D1">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19.1打印设备1台；</w:t>
      </w:r>
    </w:p>
    <w:p w14:paraId="5ADB6F3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19.2固化箱1台；</w:t>
      </w:r>
    </w:p>
    <w:p w14:paraId="3FEE0165">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19.3清洗机1台；</w:t>
      </w:r>
    </w:p>
    <w:p w14:paraId="2A25D74A">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19.4模型打印液1瓶；</w:t>
      </w:r>
    </w:p>
    <w:p w14:paraId="1F7BBADE">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19.5导板打印液1瓶；</w:t>
      </w:r>
    </w:p>
    <w:p w14:paraId="28CEC050">
      <w:pPr>
        <w:spacing w:line="360" w:lineRule="auto"/>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19.6工具盒1个。</w:t>
      </w:r>
    </w:p>
    <w:p w14:paraId="78E67E1E">
      <w:pPr>
        <w:pStyle w:val="4"/>
        <w:spacing w:line="360" w:lineRule="auto"/>
        <w:ind w:firstLine="480" w:firstLineChars="200"/>
      </w:pPr>
    </w:p>
    <w:p w14:paraId="7A6A8EE4">
      <w:pPr>
        <w:spacing w:line="360" w:lineRule="auto"/>
        <w:ind w:firstLine="480" w:firstLineChars="200"/>
        <w:jc w:val="left"/>
        <w:rPr>
          <w:rFonts w:hint="eastAsia" w:ascii="宋体" w:hAnsi="宋体" w:cs="宋体"/>
          <w:color w:val="000000"/>
          <w:kern w:val="0"/>
          <w:sz w:val="24"/>
          <w:lang w:bidi="ar"/>
        </w:rPr>
      </w:pPr>
    </w:p>
    <w:p w14:paraId="614DB470">
      <w:pPr>
        <w:widowControl/>
        <w:spacing w:line="360" w:lineRule="auto"/>
        <w:ind w:firstLine="482" w:firstLineChars="200"/>
        <w:contextualSpacing/>
        <w:jc w:val="left"/>
        <w:rPr>
          <w:rFonts w:hint="eastAsia" w:ascii="宋体" w:hAnsi="宋体" w:cs="宋体"/>
          <w:b/>
          <w:bCs/>
          <w:sz w:val="24"/>
        </w:rPr>
      </w:pPr>
      <w:r>
        <w:rPr>
          <w:rFonts w:hint="eastAsia" w:ascii="宋体" w:hAnsi="宋体" w:cs="宋体"/>
          <w:b/>
          <w:bCs/>
          <w:sz w:val="24"/>
        </w:rPr>
        <w:t>（三）特别说明：</w:t>
      </w:r>
    </w:p>
    <w:p w14:paraId="69D5DB4B">
      <w:pPr>
        <w:spacing w:line="360" w:lineRule="auto"/>
        <w:ind w:firstLine="480" w:firstLineChars="200"/>
        <w:jc w:val="left"/>
        <w:rPr>
          <w:rFonts w:hint="eastAsia" w:ascii="宋体" w:hAnsi="宋体" w:cs="宋体"/>
          <w:sz w:val="24"/>
        </w:rPr>
      </w:pPr>
      <w:r>
        <w:rPr>
          <w:rFonts w:hint="eastAsia" w:ascii="宋体" w:hAnsi="宋体" w:cs="宋体"/>
          <w:sz w:val="24"/>
        </w:rPr>
        <w:t>1.对于技术规格中标注“★”号（如有）的技术参数代表实质性指标，不满足该指标项将直接导致投标被拒绝。</w:t>
      </w:r>
      <w:bookmarkStart w:id="2" w:name="_GoBack"/>
      <w:bookmarkEnd w:id="2"/>
    </w:p>
    <w:p w14:paraId="313129F1">
      <w:pPr>
        <w:spacing w:line="360" w:lineRule="auto"/>
        <w:ind w:firstLine="480" w:firstLineChars="200"/>
        <w:jc w:val="left"/>
        <w:rPr>
          <w:rFonts w:hint="eastAsia" w:ascii="宋体" w:hAnsi="宋体" w:cs="宋体"/>
          <w:sz w:val="24"/>
        </w:rPr>
      </w:pPr>
      <w:r>
        <w:rPr>
          <w:rFonts w:hint="eastAsia" w:ascii="宋体" w:hAnsi="宋体" w:cs="宋体"/>
          <w:sz w:val="24"/>
        </w:rPr>
        <w:t>2.标注“▲”的指标为重要的技术指标，不满足将导致其在第四章评标标准中对采购需求的响应情况被扣除相应分值。</w:t>
      </w:r>
    </w:p>
    <w:p w14:paraId="37D3E986">
      <w:pPr>
        <w:spacing w:line="360" w:lineRule="auto"/>
        <w:ind w:firstLine="480" w:firstLineChars="200"/>
        <w:jc w:val="left"/>
        <w:rPr>
          <w:rFonts w:hint="eastAsia" w:ascii="宋体" w:hAnsi="宋体" w:cs="宋体"/>
          <w:sz w:val="24"/>
        </w:rPr>
      </w:pPr>
      <w:r>
        <w:rPr>
          <w:rFonts w:hint="eastAsia" w:ascii="宋体" w:hAnsi="宋体" w:cs="宋体"/>
          <w:sz w:val="24"/>
        </w:rPr>
        <w:t>3.对于采购需求三、技术要求（二）具体要求中标注“★”“▲”号的技术指标，投标人须在投标文件中按照招标文件技术规格的要求提供技术应答的证明材料，其中证明材料除招标文件中有明确规定的证明材料（如有）外，其余“★”“▲”号的技术指标可提供产品说明书或产品彩页或技术白皮书或检验/检测报告或实验图谱或实物图片或软件功能界面截图等。如投标人技术响应与证明材料不一致，将以证明材料为准。对于投标人提供的投标文件技术应答未按本条款要求提供证明材料的，评标委员会可不予认可，并可认为该技术应答不符合招标文件要求，由此产生的风险由投标人承担。</w:t>
      </w:r>
    </w:p>
    <w:p w14:paraId="2E01D767">
      <w:r>
        <w:rPr>
          <w:rFonts w:hint="eastAsia" w:ascii="宋体" w:hAnsi="宋体" w:cs="宋体"/>
          <w:sz w:val="24"/>
        </w:rPr>
        <w:t>4.对于采购需求“三、技术要求”中“（二）具体要求”所列的技术指标，如应提供且可以提供设备的真实技术指标参数但投标人不提供，只照抄招标文件参数要求，经评标委员会认定，投标人对该项指标的响应为“负偏离”。</w:t>
      </w:r>
      <w:bookmarkEnd w:id="0"/>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20CD3"/>
    <w:rsid w:val="157175E7"/>
    <w:rsid w:val="158445FD"/>
    <w:rsid w:val="1829020E"/>
    <w:rsid w:val="2F9724A4"/>
    <w:rsid w:val="30DD752B"/>
    <w:rsid w:val="40BE1BF9"/>
    <w:rsid w:val="4CAC4D8F"/>
    <w:rsid w:val="518855B2"/>
    <w:rsid w:val="56624473"/>
    <w:rsid w:val="570A507F"/>
    <w:rsid w:val="62BF6114"/>
    <w:rsid w:val="78420CD3"/>
    <w:rsid w:val="786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3">
    <w:name w:val="heading 3"/>
    <w:basedOn w:val="1"/>
    <w:next w:val="4"/>
    <w:link w:val="11"/>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paragraph" w:styleId="5">
    <w:name w:val="heading 5"/>
    <w:basedOn w:val="1"/>
    <w:next w:val="1"/>
    <w:unhideWhenUsed/>
    <w:qFormat/>
    <w:uiPriority w:val="0"/>
    <w:pPr>
      <w:keepNext/>
      <w:keepLines/>
      <w:spacing w:line="360" w:lineRule="auto"/>
      <w:outlineLvl w:val="4"/>
    </w:pPr>
    <w:rPr>
      <w:b/>
      <w:sz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6">
    <w:name w:val="toc 2"/>
    <w:basedOn w:val="1"/>
    <w:next w:val="1"/>
    <w:qFormat/>
    <w:uiPriority w:val="0"/>
    <w:pPr>
      <w:ind w:left="420" w:leftChars="200"/>
    </w:pPr>
  </w:style>
  <w:style w:type="paragraph" w:styleId="7">
    <w:name w:val="Body Text 2"/>
    <w:basedOn w:val="1"/>
    <w:qFormat/>
    <w:uiPriority w:val="0"/>
    <w:pPr>
      <w:spacing w:after="120" w:afterLines="0" w:afterAutospacing="0" w:line="480" w:lineRule="auto"/>
    </w:pPr>
  </w:style>
  <w:style w:type="character" w:styleId="10">
    <w:name w:val="Hyperlink"/>
    <w:qFormat/>
    <w:uiPriority w:val="0"/>
    <w:rPr>
      <w:rFonts w:ascii="Times New Roman" w:hAnsi="Times New Roman" w:eastAsia="宋体"/>
      <w:color w:val="0000FF"/>
      <w:u w:val="single"/>
    </w:rPr>
  </w:style>
  <w:style w:type="character" w:customStyle="1" w:styleId="11">
    <w:name w:val="标题 3 字符2"/>
    <w:link w:val="3"/>
    <w:qFormat/>
    <w:uiPriority w:val="9"/>
    <w:rPr>
      <w:rFonts w:ascii="宋体" w:hAnsi="宋体" w:eastAsia="宋体" w:cs="Times New Roman"/>
      <w:b/>
      <w:bCs/>
      <w:sz w:val="22"/>
      <w:szCs w:val="32"/>
      <w:u w:val="none"/>
    </w:rPr>
  </w:style>
  <w:style w:type="paragraph" w:customStyle="1" w:styleId="12">
    <w:name w:val="列出段落1"/>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6139</Words>
  <Characters>7083</Characters>
  <Lines>0</Lines>
  <Paragraphs>0</Paragraphs>
  <TotalTime>0</TotalTime>
  <ScaleCrop>false</ScaleCrop>
  <LinksUpToDate>false</LinksUpToDate>
  <CharactersWithSpaces>7154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2026-07-23T08:17:00Z</dcterms:created>
  <dc:creator>用户</dc:creator>
  <cp:lastModifiedBy>用户</cp:lastModifiedBy>
  <dcterms:modified xsi:type="dcterms:W3CDTF">2026-08-18T10:38:11Z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61010691E0FE4B779E87F0D4C1DF5534_11</vt:lpwstr>
  </property>
  <property fmtid="{D5CDD505-2E9C-101B-9397-08002B2CF9AE}" pid="4" name="KSOTemplateDocerSaveRecord">
    <vt:lpwstr>eyJoZGlkIjoiNDM0NjI5NmI2YTJkZjcyNjQ4YTRjZjliZTQxZjVhYTAiLCJ1c2VySWQiOiIyOTI2NjUzMzQifQ==</vt:lpwstr>
  </property>
</Properties>
</file>