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lang w:eastAsia="zh-CN"/>
        </w:rPr>
      </w:pPr>
      <w:bookmarkStart w:id="0" w:name="_Toc28359001"/>
      <w:bookmarkStart w:id="1" w:name="_Toc35393789"/>
      <w:r>
        <w:rPr>
          <w:rFonts w:hint="eastAsia" w:ascii="宋体" w:hAnsi="宋体" w:eastAsia="宋体" w:cs="宋体"/>
          <w:sz w:val="24"/>
          <w:szCs w:val="24"/>
        </w:rPr>
        <w:t>招标公告</w:t>
      </w:r>
      <w:bookmarkEnd w:id="0"/>
      <w:bookmarkEnd w:id="1"/>
      <w:r>
        <w:rPr>
          <w:rFonts w:hint="eastAsia" w:ascii="宋体" w:hAnsi="宋体" w:cs="宋体"/>
          <w:sz w:val="24"/>
          <w:szCs w:val="24"/>
          <w:lang w:eastAsia="zh-CN"/>
        </w:rPr>
        <w:t>（</w:t>
      </w:r>
      <w:r>
        <w:rPr>
          <w:rFonts w:hint="eastAsia" w:ascii="宋体" w:hAnsi="宋体" w:cs="宋体"/>
          <w:sz w:val="24"/>
          <w:szCs w:val="24"/>
          <w:lang w:val="en-US" w:eastAsia="zh-CN"/>
        </w:rPr>
        <w:t>01、02、04、06包</w:t>
      </w:r>
      <w:r>
        <w:rPr>
          <w:rFonts w:hint="eastAsia" w:ascii="宋体" w:hAnsi="宋体" w:cs="宋体"/>
          <w:sz w:val="24"/>
          <w:szCs w:val="24"/>
          <w:lang w:eastAsia="zh-CN"/>
        </w:rPr>
        <w:t>）</w:t>
      </w:r>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北京天坛医院国家中心维保</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9</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16</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上</w:t>
      </w:r>
      <w:r>
        <w:rPr>
          <w:rFonts w:hint="eastAsia" w:ascii="宋体" w:hAnsi="宋体" w:eastAsia="宋体" w:cs="宋体"/>
          <w:sz w:val="24"/>
          <w:szCs w:val="24"/>
          <w:highlight w:val="none"/>
          <w:u w:val="single"/>
          <w:lang w:eastAsia="zh-CN"/>
        </w:rPr>
        <w:t>午</w:t>
      </w:r>
      <w:r>
        <w:rPr>
          <w:rFonts w:hint="eastAsia" w:ascii="宋体" w:hAnsi="宋体" w:cs="宋体"/>
          <w:sz w:val="24"/>
          <w:szCs w:val="24"/>
          <w:highlight w:val="none"/>
          <w:u w:val="single"/>
          <w:lang w:val="en-US" w:eastAsia="zh-CN"/>
        </w:rPr>
        <w:t>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3"/>
        <w:spacing w:before="0" w:line="360" w:lineRule="auto"/>
        <w:rPr>
          <w:rFonts w:hint="eastAsia" w:ascii="宋体" w:hAnsi="宋体" w:eastAsia="宋体" w:cs="宋体"/>
          <w:b w:val="0"/>
          <w:sz w:val="24"/>
          <w:szCs w:val="24"/>
        </w:rPr>
      </w:pPr>
      <w:bookmarkStart w:id="2" w:name="_Toc35393621"/>
      <w:bookmarkStart w:id="3" w:name="_Toc28359002"/>
      <w:bookmarkStart w:id="4" w:name="_Toc28359079"/>
      <w:bookmarkStart w:id="5" w:name="_Toc35393790"/>
      <w:bookmarkStart w:id="6" w:name="_Hlk24379207"/>
      <w:r>
        <w:rPr>
          <w:rFonts w:hint="eastAsia" w:ascii="宋体" w:hAnsi="宋体" w:eastAsia="宋体" w:cs="宋体"/>
          <w:b w:val="0"/>
          <w:sz w:val="24"/>
          <w:szCs w:val="24"/>
        </w:rPr>
        <w:t>一、项目基本情况</w:t>
      </w:r>
      <w:bookmarkEnd w:id="2"/>
      <w:bookmarkEnd w:id="3"/>
      <w:bookmarkEnd w:id="4"/>
      <w:bookmarkEnd w:id="5"/>
    </w:p>
    <w:p w14:paraId="59151AD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1.项目编号：</w:t>
      </w:r>
      <w:r>
        <w:rPr>
          <w:rFonts w:hint="eastAsia" w:ascii="宋体" w:hAnsi="宋体" w:eastAsia="宋体" w:cs="宋体"/>
          <w:sz w:val="24"/>
          <w:szCs w:val="24"/>
          <w:lang w:eastAsia="zh-CN"/>
        </w:rPr>
        <w:t>0686-26110I045578Z</w:t>
      </w:r>
    </w:p>
    <w:p w14:paraId="47304DCF">
      <w:pPr>
        <w:spacing w:line="360" w:lineRule="auto"/>
        <w:ind w:left="1879" w:leftChars="266" w:hanging="1320" w:hangingChars="550"/>
        <w:rPr>
          <w:rFonts w:hint="eastAsia" w:ascii="宋体" w:hAnsi="宋体" w:eastAsia="宋体" w:cs="宋体"/>
          <w:sz w:val="24"/>
          <w:szCs w:val="24"/>
          <w:lang w:eastAsia="zh-CN"/>
        </w:rPr>
      </w:pPr>
      <w:r>
        <w:rPr>
          <w:rFonts w:hint="eastAsia" w:ascii="宋体" w:hAnsi="宋体" w:eastAsia="宋体" w:cs="宋体"/>
          <w:sz w:val="24"/>
          <w:szCs w:val="24"/>
        </w:rPr>
        <w:t>2.项目名称：</w:t>
      </w:r>
      <w:bookmarkEnd w:id="6"/>
      <w:r>
        <w:rPr>
          <w:rFonts w:hint="eastAsia" w:ascii="宋体" w:hAnsi="宋体" w:cs="宋体"/>
          <w:sz w:val="24"/>
          <w:szCs w:val="24"/>
          <w:lang w:eastAsia="zh-CN"/>
        </w:rPr>
        <w:t>北京天坛医院国家中心维保</w:t>
      </w:r>
    </w:p>
    <w:p w14:paraId="343D5C26">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3.项目预算金额：225.794万元；</w:t>
      </w:r>
      <w:bookmarkStart w:id="29" w:name="_GoBack"/>
      <w:bookmarkEnd w:id="29"/>
    </w:p>
    <w:p w14:paraId="50C0B7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4.采购需求：</w:t>
      </w:r>
    </w:p>
    <w:tbl>
      <w:tblPr>
        <w:tblStyle w:val="13"/>
        <w:tblW w:w="500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6"/>
        <w:gridCol w:w="3816"/>
        <w:gridCol w:w="1089"/>
        <w:gridCol w:w="2332"/>
        <w:gridCol w:w="2328"/>
      </w:tblGrid>
      <w:tr w14:paraId="04651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441" w:type="pct"/>
            <w:vAlign w:val="center"/>
          </w:tcPr>
          <w:p w14:paraId="7E5676F6">
            <w:pPr>
              <w:pStyle w:val="51"/>
              <w:jc w:val="center"/>
              <w:rPr>
                <w:spacing w:val="0"/>
                <w:sz w:val="24"/>
                <w:szCs w:val="24"/>
                <w:lang w:eastAsia="zh-CN"/>
              </w:rPr>
            </w:pPr>
            <w:r>
              <w:rPr>
                <w:rFonts w:hint="eastAsia"/>
                <w:spacing w:val="0"/>
                <w:sz w:val="24"/>
                <w:szCs w:val="24"/>
                <w:lang w:eastAsia="zh-CN"/>
              </w:rPr>
              <w:t>包号</w:t>
            </w:r>
          </w:p>
        </w:tc>
        <w:tc>
          <w:tcPr>
            <w:tcW w:w="1818" w:type="pct"/>
            <w:vAlign w:val="center"/>
          </w:tcPr>
          <w:p w14:paraId="0A211449">
            <w:pPr>
              <w:jc w:val="center"/>
              <w:rPr>
                <w:bCs/>
                <w:spacing w:val="0"/>
                <w:sz w:val="24"/>
                <w:szCs w:val="24"/>
                <w:lang w:eastAsia="zh-CN"/>
              </w:rPr>
            </w:pPr>
            <w:r>
              <w:rPr>
                <w:rFonts w:hint="eastAsia"/>
                <w:bCs/>
                <w:spacing w:val="0"/>
                <w:sz w:val="24"/>
                <w:szCs w:val="24"/>
              </w:rPr>
              <w:t>标的名称</w:t>
            </w:r>
          </w:p>
        </w:tc>
        <w:tc>
          <w:tcPr>
            <w:tcW w:w="519" w:type="pct"/>
            <w:vAlign w:val="center"/>
          </w:tcPr>
          <w:p w14:paraId="74539E42">
            <w:pPr>
              <w:pStyle w:val="51"/>
              <w:jc w:val="center"/>
              <w:rPr>
                <w:spacing w:val="0"/>
                <w:sz w:val="24"/>
                <w:szCs w:val="24"/>
                <w:lang w:eastAsia="zh-CN"/>
              </w:rPr>
            </w:pPr>
            <w:r>
              <w:rPr>
                <w:rFonts w:hint="eastAsia"/>
                <w:spacing w:val="0"/>
                <w:sz w:val="24"/>
                <w:szCs w:val="24"/>
                <w:lang w:eastAsia="zh-CN"/>
              </w:rPr>
              <w:t>数量</w:t>
            </w:r>
          </w:p>
        </w:tc>
        <w:tc>
          <w:tcPr>
            <w:tcW w:w="1111" w:type="pct"/>
            <w:vAlign w:val="center"/>
          </w:tcPr>
          <w:p w14:paraId="48BF2757">
            <w:pPr>
              <w:pStyle w:val="51"/>
              <w:jc w:val="center"/>
              <w:rPr>
                <w:rFonts w:hint="eastAsia"/>
                <w:spacing w:val="0"/>
                <w:sz w:val="24"/>
                <w:szCs w:val="24"/>
                <w:lang w:eastAsia="zh-CN"/>
              </w:rPr>
            </w:pPr>
            <w:r>
              <w:rPr>
                <w:rFonts w:hint="eastAsia"/>
                <w:spacing w:val="0"/>
                <w:sz w:val="24"/>
                <w:szCs w:val="24"/>
                <w:lang w:eastAsia="zh-CN"/>
              </w:rPr>
              <w:t>采购包预算金额（万元）</w:t>
            </w:r>
          </w:p>
        </w:tc>
        <w:tc>
          <w:tcPr>
            <w:tcW w:w="1109" w:type="pct"/>
            <w:vAlign w:val="center"/>
          </w:tcPr>
          <w:p w14:paraId="70043DE8">
            <w:pPr>
              <w:pStyle w:val="51"/>
              <w:jc w:val="center"/>
              <w:rPr>
                <w:spacing w:val="0"/>
                <w:sz w:val="24"/>
                <w:szCs w:val="24"/>
                <w:lang w:eastAsia="zh-CN"/>
              </w:rPr>
            </w:pPr>
            <w:r>
              <w:rPr>
                <w:rFonts w:hint="eastAsia"/>
                <w:spacing w:val="0"/>
                <w:sz w:val="24"/>
                <w:szCs w:val="24"/>
                <w:lang w:eastAsia="zh-CN"/>
              </w:rPr>
              <w:t>简要技术需求或服务要求</w:t>
            </w:r>
          </w:p>
        </w:tc>
      </w:tr>
      <w:tr w14:paraId="57A0F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441" w:type="pct"/>
            <w:vAlign w:val="center"/>
          </w:tcPr>
          <w:p w14:paraId="680BB1E6">
            <w:pPr>
              <w:pStyle w:val="51"/>
              <w:jc w:val="center"/>
              <w:rPr>
                <w:rFonts w:hint="eastAsia" w:ascii="宋体" w:hAnsi="宋体" w:eastAsia="宋体" w:cs="宋体"/>
                <w:spacing w:val="0"/>
                <w:sz w:val="24"/>
                <w:szCs w:val="24"/>
                <w:lang w:val="en-US" w:eastAsia="zh-CN" w:bidi="ar-SA"/>
              </w:rPr>
            </w:pPr>
            <w:r>
              <w:rPr>
                <w:rFonts w:hint="eastAsia"/>
                <w:spacing w:val="0"/>
                <w:sz w:val="24"/>
                <w:szCs w:val="24"/>
                <w:lang w:eastAsia="zh-CN"/>
              </w:rPr>
              <w:t>1</w:t>
            </w:r>
          </w:p>
        </w:tc>
        <w:tc>
          <w:tcPr>
            <w:tcW w:w="1818" w:type="pct"/>
            <w:vAlign w:val="center"/>
          </w:tcPr>
          <w:p w14:paraId="17CC33F4">
            <w:pPr>
              <w:spacing w:before="156" w:beforeLines="50" w:after="200" w:line="240" w:lineRule="auto"/>
              <w:jc w:val="center"/>
              <w:rPr>
                <w:rFonts w:hint="eastAsia" w:ascii="宋体" w:hAnsi="宋体" w:eastAsia="宋体" w:cs="宋体"/>
                <w:spacing w:val="0"/>
                <w:sz w:val="24"/>
                <w:szCs w:val="24"/>
                <w:lang w:val="en-US" w:eastAsia="zh-CN"/>
              </w:rPr>
            </w:pPr>
            <w:r>
              <w:rPr>
                <w:rFonts w:hint="eastAsia" w:ascii="宋体" w:hAnsi="宋体" w:eastAsia="宋体" w:cs="宋体"/>
                <w:b w:val="0"/>
                <w:bCs/>
                <w:sz w:val="24"/>
                <w:szCs w:val="24"/>
                <w:lang w:val="en-US" w:eastAsia="zh-CN"/>
              </w:rPr>
              <w:t>BD流式细胞仪维保</w:t>
            </w:r>
          </w:p>
        </w:tc>
        <w:tc>
          <w:tcPr>
            <w:tcW w:w="519" w:type="pct"/>
            <w:vAlign w:val="center"/>
          </w:tcPr>
          <w:p w14:paraId="1D25096A">
            <w:pPr>
              <w:pStyle w:val="51"/>
              <w:jc w:val="center"/>
              <w:rPr>
                <w:rFonts w:hint="eastAsia"/>
                <w:spacing w:val="0"/>
                <w:sz w:val="24"/>
                <w:szCs w:val="24"/>
                <w:lang w:val="en-US" w:eastAsia="zh-CN"/>
              </w:rPr>
            </w:pPr>
            <w:r>
              <w:rPr>
                <w:rFonts w:hint="eastAsia" w:ascii="宋体" w:hAnsi="宋体" w:eastAsia="宋体" w:cs="宋体"/>
                <w:b w:val="0"/>
                <w:bCs/>
                <w:sz w:val="24"/>
                <w:szCs w:val="24"/>
                <w:lang w:val="en-US" w:eastAsia="zh-CN"/>
              </w:rPr>
              <w:t>3台</w:t>
            </w:r>
          </w:p>
        </w:tc>
        <w:tc>
          <w:tcPr>
            <w:tcW w:w="1111" w:type="pct"/>
            <w:vAlign w:val="center"/>
          </w:tcPr>
          <w:p w14:paraId="3817C4B1">
            <w:pPr>
              <w:keepNext w:val="0"/>
              <w:keepLines w:val="0"/>
              <w:widowControl/>
              <w:suppressLineNumbers w:val="0"/>
              <w:jc w:val="center"/>
              <w:textAlignment w:val="center"/>
              <w:rPr>
                <w:rFonts w:hint="eastAsia" w:ascii="宋体" w:hAnsi="宋体" w:eastAsia="宋体" w:cs="宋体"/>
                <w:b w:val="0"/>
                <w:bCs/>
                <w:sz w:val="24"/>
                <w:szCs w:val="24"/>
                <w:lang w:val="en-US" w:eastAsia="zh-CN"/>
              </w:rPr>
            </w:pPr>
            <w:r>
              <w:rPr>
                <w:rFonts w:hint="eastAsia" w:ascii="宋体" w:hAnsi="宋体" w:cs="宋体"/>
                <w:b w:val="0"/>
                <w:bCs/>
                <w:i w:val="0"/>
                <w:iCs w:val="0"/>
                <w:color w:val="000000"/>
                <w:kern w:val="2"/>
                <w:sz w:val="24"/>
                <w:szCs w:val="24"/>
                <w:u w:val="none"/>
                <w:lang w:val="en-US" w:eastAsia="zh-CN" w:bidi="ar-SA"/>
              </w:rPr>
              <w:t>43.8</w:t>
            </w:r>
          </w:p>
        </w:tc>
        <w:tc>
          <w:tcPr>
            <w:tcW w:w="1109" w:type="pct"/>
            <w:vMerge w:val="restart"/>
            <w:vAlign w:val="center"/>
          </w:tcPr>
          <w:p w14:paraId="075D4A03">
            <w:pPr>
              <w:pStyle w:val="51"/>
              <w:jc w:val="center"/>
              <w:rPr>
                <w:rFonts w:hint="default"/>
                <w:spacing w:val="0"/>
                <w:sz w:val="24"/>
                <w:szCs w:val="24"/>
                <w:lang w:val="en-US" w:eastAsia="zh-CN"/>
              </w:rPr>
            </w:pPr>
            <w:r>
              <w:rPr>
                <w:rFonts w:hint="eastAsia"/>
                <w:spacing w:val="0"/>
                <w:sz w:val="24"/>
                <w:szCs w:val="24"/>
                <w:lang w:val="en-US" w:eastAsia="zh-CN"/>
              </w:rPr>
              <w:t>详见“采购需求”</w:t>
            </w:r>
          </w:p>
        </w:tc>
      </w:tr>
      <w:tr w14:paraId="22AE3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441" w:type="pct"/>
            <w:vAlign w:val="center"/>
          </w:tcPr>
          <w:p w14:paraId="7EB47EAA">
            <w:pPr>
              <w:pStyle w:val="51"/>
              <w:jc w:val="center"/>
              <w:rPr>
                <w:rFonts w:hint="default"/>
                <w:spacing w:val="0"/>
                <w:sz w:val="24"/>
                <w:szCs w:val="24"/>
                <w:lang w:val="en-US" w:eastAsia="zh-CN"/>
              </w:rPr>
            </w:pPr>
            <w:r>
              <w:rPr>
                <w:rFonts w:hint="eastAsia"/>
                <w:spacing w:val="0"/>
                <w:sz w:val="24"/>
                <w:szCs w:val="24"/>
                <w:lang w:val="en-US" w:eastAsia="zh-CN"/>
              </w:rPr>
              <w:t>2</w:t>
            </w:r>
          </w:p>
        </w:tc>
        <w:tc>
          <w:tcPr>
            <w:tcW w:w="1818" w:type="pct"/>
            <w:vAlign w:val="center"/>
          </w:tcPr>
          <w:p w14:paraId="31793757">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b w:val="0"/>
                <w:bCs/>
                <w:i w:val="0"/>
                <w:iCs w:val="0"/>
                <w:color w:val="000000"/>
                <w:kern w:val="2"/>
                <w:sz w:val="24"/>
                <w:szCs w:val="24"/>
                <w:u w:val="none"/>
                <w:lang w:val="en-US" w:eastAsia="zh-CN" w:bidi="ar-SA"/>
              </w:rPr>
              <w:t>全自动核酸纯化仪、超低温冰箱等设备维保</w:t>
            </w:r>
          </w:p>
        </w:tc>
        <w:tc>
          <w:tcPr>
            <w:tcW w:w="519" w:type="pct"/>
            <w:vAlign w:val="center"/>
          </w:tcPr>
          <w:p w14:paraId="419DA9FE">
            <w:pPr>
              <w:jc w:val="center"/>
              <w:rPr>
                <w:rFonts w:hint="eastAsia"/>
                <w:spacing w:val="0"/>
                <w:sz w:val="24"/>
                <w:szCs w:val="24"/>
                <w:lang w:val="en-US" w:eastAsia="zh-CN"/>
              </w:rPr>
            </w:pPr>
            <w:r>
              <w:rPr>
                <w:rFonts w:hint="eastAsia" w:ascii="宋体" w:hAnsi="宋体" w:cs="宋体"/>
                <w:b w:val="0"/>
                <w:bCs/>
                <w:i w:val="0"/>
                <w:iCs w:val="0"/>
                <w:color w:val="000000"/>
                <w:kern w:val="2"/>
                <w:sz w:val="24"/>
                <w:szCs w:val="24"/>
                <w:u w:val="none"/>
                <w:lang w:val="en-US" w:eastAsia="zh-CN" w:bidi="ar-SA"/>
              </w:rPr>
              <w:t>21</w:t>
            </w:r>
            <w:r>
              <w:rPr>
                <w:rFonts w:hint="eastAsia" w:ascii="宋体" w:hAnsi="宋体" w:eastAsia="宋体" w:cs="宋体"/>
                <w:b w:val="0"/>
                <w:bCs/>
                <w:i w:val="0"/>
                <w:iCs w:val="0"/>
                <w:color w:val="000000"/>
                <w:kern w:val="2"/>
                <w:sz w:val="24"/>
                <w:szCs w:val="24"/>
                <w:u w:val="none"/>
                <w:lang w:val="en-US" w:eastAsia="zh-CN" w:bidi="ar-SA"/>
              </w:rPr>
              <w:t>台</w:t>
            </w:r>
          </w:p>
        </w:tc>
        <w:tc>
          <w:tcPr>
            <w:tcW w:w="1111" w:type="pct"/>
            <w:vAlign w:val="center"/>
          </w:tcPr>
          <w:p w14:paraId="2DFC7AC4">
            <w:pPr>
              <w:keepNext w:val="0"/>
              <w:keepLines w:val="0"/>
              <w:widowControl/>
              <w:suppressLineNumbers w:val="0"/>
              <w:jc w:val="center"/>
              <w:textAlignment w:val="center"/>
              <w:rPr>
                <w:rFonts w:hint="eastAsia" w:ascii="宋体" w:hAnsi="宋体" w:cs="宋体"/>
                <w:b w:val="0"/>
                <w:bCs/>
                <w:i w:val="0"/>
                <w:iCs w:val="0"/>
                <w:color w:val="000000"/>
                <w:kern w:val="2"/>
                <w:sz w:val="24"/>
                <w:szCs w:val="24"/>
                <w:u w:val="none"/>
                <w:lang w:val="en-US" w:eastAsia="zh-CN" w:bidi="ar-SA"/>
              </w:rPr>
            </w:pPr>
            <w:r>
              <w:rPr>
                <w:rFonts w:hint="eastAsia" w:ascii="宋体" w:hAnsi="宋体" w:cs="宋体"/>
                <w:b w:val="0"/>
                <w:bCs/>
                <w:i w:val="0"/>
                <w:iCs w:val="0"/>
                <w:color w:val="000000"/>
                <w:kern w:val="2"/>
                <w:sz w:val="24"/>
                <w:szCs w:val="24"/>
                <w:u w:val="none"/>
                <w:lang w:val="en-US" w:eastAsia="zh-CN" w:bidi="ar-SA"/>
              </w:rPr>
              <w:t>6.57</w:t>
            </w:r>
          </w:p>
        </w:tc>
        <w:tc>
          <w:tcPr>
            <w:tcW w:w="1109" w:type="pct"/>
            <w:vMerge w:val="continue"/>
            <w:vAlign w:val="center"/>
          </w:tcPr>
          <w:p w14:paraId="50DA0EC5">
            <w:pPr>
              <w:pStyle w:val="51"/>
              <w:jc w:val="center"/>
              <w:rPr>
                <w:rFonts w:hint="eastAsia"/>
                <w:spacing w:val="0"/>
                <w:sz w:val="24"/>
                <w:szCs w:val="24"/>
                <w:lang w:val="en-US" w:eastAsia="zh-CN"/>
              </w:rPr>
            </w:pPr>
          </w:p>
        </w:tc>
      </w:tr>
      <w:tr w14:paraId="4656B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441" w:type="pct"/>
            <w:vAlign w:val="center"/>
          </w:tcPr>
          <w:p w14:paraId="3191CAE8">
            <w:pPr>
              <w:pStyle w:val="51"/>
              <w:jc w:val="center"/>
              <w:rPr>
                <w:rFonts w:hint="default"/>
                <w:spacing w:val="0"/>
                <w:sz w:val="24"/>
                <w:szCs w:val="24"/>
                <w:lang w:val="en-US" w:eastAsia="zh-CN"/>
              </w:rPr>
            </w:pPr>
            <w:r>
              <w:rPr>
                <w:rFonts w:hint="eastAsia"/>
                <w:spacing w:val="0"/>
                <w:sz w:val="24"/>
                <w:szCs w:val="24"/>
                <w:lang w:val="en-US" w:eastAsia="zh-CN"/>
              </w:rPr>
              <w:t>4</w:t>
            </w:r>
          </w:p>
        </w:tc>
        <w:tc>
          <w:tcPr>
            <w:tcW w:w="1818" w:type="pct"/>
            <w:vAlign w:val="center"/>
          </w:tcPr>
          <w:p w14:paraId="52692B69">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b w:val="0"/>
                <w:bCs/>
                <w:i w:val="0"/>
                <w:iCs w:val="0"/>
                <w:color w:val="000000"/>
                <w:kern w:val="2"/>
                <w:sz w:val="24"/>
                <w:szCs w:val="24"/>
                <w:u w:val="none"/>
                <w:lang w:val="en-US" w:eastAsia="zh-CN" w:bidi="ar-SA"/>
              </w:rPr>
              <w:t>超高分辨液质联用仪等设备维保</w:t>
            </w:r>
          </w:p>
        </w:tc>
        <w:tc>
          <w:tcPr>
            <w:tcW w:w="519" w:type="pct"/>
            <w:vAlign w:val="center"/>
          </w:tcPr>
          <w:p w14:paraId="50CEB986">
            <w:pPr>
              <w:jc w:val="center"/>
              <w:rPr>
                <w:rFonts w:hint="eastAsia"/>
                <w:spacing w:val="0"/>
                <w:sz w:val="24"/>
                <w:szCs w:val="24"/>
                <w:lang w:val="en-US" w:eastAsia="zh-CN"/>
              </w:rPr>
            </w:pPr>
            <w:r>
              <w:rPr>
                <w:rFonts w:hint="eastAsia" w:ascii="宋体" w:hAnsi="宋体" w:cs="宋体"/>
                <w:b w:val="0"/>
                <w:bCs/>
                <w:i w:val="0"/>
                <w:iCs w:val="0"/>
                <w:color w:val="000000"/>
                <w:kern w:val="2"/>
                <w:sz w:val="24"/>
                <w:szCs w:val="24"/>
                <w:u w:val="none"/>
                <w:lang w:val="en-US" w:eastAsia="zh-CN" w:bidi="ar-SA"/>
              </w:rPr>
              <w:t>9</w:t>
            </w:r>
            <w:r>
              <w:rPr>
                <w:rFonts w:hint="eastAsia" w:ascii="宋体" w:hAnsi="宋体" w:eastAsia="宋体" w:cs="宋体"/>
                <w:b w:val="0"/>
                <w:bCs/>
                <w:i w:val="0"/>
                <w:iCs w:val="0"/>
                <w:color w:val="000000"/>
                <w:kern w:val="2"/>
                <w:sz w:val="24"/>
                <w:szCs w:val="24"/>
                <w:u w:val="none"/>
                <w:lang w:val="en-US" w:eastAsia="zh-CN" w:bidi="ar-SA"/>
              </w:rPr>
              <w:t>台</w:t>
            </w:r>
          </w:p>
        </w:tc>
        <w:tc>
          <w:tcPr>
            <w:tcW w:w="1111" w:type="pct"/>
            <w:vAlign w:val="center"/>
          </w:tcPr>
          <w:p w14:paraId="562DEB03">
            <w:pPr>
              <w:keepNext w:val="0"/>
              <w:keepLines w:val="0"/>
              <w:widowControl/>
              <w:suppressLineNumbers w:val="0"/>
              <w:jc w:val="center"/>
              <w:textAlignment w:val="center"/>
              <w:rPr>
                <w:rFonts w:hint="eastAsia" w:ascii="宋体" w:hAnsi="宋体" w:cs="宋体"/>
                <w:b w:val="0"/>
                <w:bCs/>
                <w:i w:val="0"/>
                <w:iCs w:val="0"/>
                <w:color w:val="000000"/>
                <w:kern w:val="2"/>
                <w:sz w:val="24"/>
                <w:szCs w:val="24"/>
                <w:u w:val="none"/>
                <w:lang w:val="en-US" w:eastAsia="zh-CN" w:bidi="ar-SA"/>
              </w:rPr>
            </w:pPr>
            <w:r>
              <w:rPr>
                <w:rFonts w:hint="eastAsia" w:ascii="宋体" w:hAnsi="宋体" w:cs="宋体"/>
                <w:b w:val="0"/>
                <w:bCs/>
                <w:i w:val="0"/>
                <w:iCs w:val="0"/>
                <w:color w:val="000000"/>
                <w:kern w:val="2"/>
                <w:sz w:val="24"/>
                <w:szCs w:val="24"/>
                <w:u w:val="none"/>
                <w:lang w:val="en-US" w:eastAsia="zh-CN" w:bidi="ar-SA"/>
              </w:rPr>
              <w:t>73.824</w:t>
            </w:r>
          </w:p>
        </w:tc>
        <w:tc>
          <w:tcPr>
            <w:tcW w:w="1109" w:type="pct"/>
            <w:vMerge w:val="continue"/>
            <w:vAlign w:val="center"/>
          </w:tcPr>
          <w:p w14:paraId="7571A2AD">
            <w:pPr>
              <w:pStyle w:val="51"/>
              <w:jc w:val="center"/>
              <w:rPr>
                <w:rFonts w:hint="eastAsia"/>
                <w:spacing w:val="0"/>
                <w:sz w:val="24"/>
                <w:szCs w:val="24"/>
                <w:lang w:val="en-US" w:eastAsia="zh-CN"/>
              </w:rPr>
            </w:pPr>
          </w:p>
        </w:tc>
      </w:tr>
      <w:tr w14:paraId="69AB1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441" w:type="pct"/>
            <w:vAlign w:val="center"/>
          </w:tcPr>
          <w:p w14:paraId="39CE8B7B">
            <w:pPr>
              <w:pStyle w:val="51"/>
              <w:jc w:val="center"/>
              <w:rPr>
                <w:rFonts w:hint="default"/>
                <w:spacing w:val="0"/>
                <w:sz w:val="24"/>
                <w:szCs w:val="24"/>
                <w:lang w:val="en-US" w:eastAsia="zh-CN"/>
              </w:rPr>
            </w:pPr>
            <w:r>
              <w:rPr>
                <w:rFonts w:hint="eastAsia"/>
                <w:spacing w:val="0"/>
                <w:sz w:val="24"/>
                <w:szCs w:val="24"/>
                <w:lang w:val="en-US" w:eastAsia="zh-CN"/>
              </w:rPr>
              <w:t>6</w:t>
            </w:r>
          </w:p>
        </w:tc>
        <w:tc>
          <w:tcPr>
            <w:tcW w:w="1818" w:type="pct"/>
            <w:vAlign w:val="center"/>
          </w:tcPr>
          <w:p w14:paraId="4DAB7453">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b w:val="0"/>
                <w:bCs/>
                <w:sz w:val="24"/>
                <w:szCs w:val="24"/>
                <w:lang w:val="en-US" w:eastAsia="zh-CN"/>
              </w:rPr>
              <w:t>超高分辨率扫描系统维保</w:t>
            </w:r>
          </w:p>
        </w:tc>
        <w:tc>
          <w:tcPr>
            <w:tcW w:w="519" w:type="pct"/>
            <w:vAlign w:val="center"/>
          </w:tcPr>
          <w:p w14:paraId="2753F67C">
            <w:pPr>
              <w:jc w:val="center"/>
              <w:rPr>
                <w:rFonts w:hint="eastAsia"/>
                <w:spacing w:val="0"/>
                <w:sz w:val="24"/>
                <w:szCs w:val="24"/>
                <w:lang w:val="en-US" w:eastAsia="zh-CN"/>
              </w:rPr>
            </w:pPr>
            <w:r>
              <w:rPr>
                <w:rFonts w:hint="eastAsia" w:ascii="宋体" w:hAnsi="宋体" w:cs="宋体"/>
                <w:b w:val="0"/>
                <w:bCs/>
                <w:sz w:val="24"/>
                <w:szCs w:val="24"/>
                <w:lang w:val="en-US" w:eastAsia="zh-CN"/>
              </w:rPr>
              <w:t>1</w:t>
            </w:r>
            <w:r>
              <w:rPr>
                <w:rFonts w:hint="eastAsia" w:ascii="宋体" w:hAnsi="宋体" w:eastAsia="宋体" w:cs="宋体"/>
                <w:b w:val="0"/>
                <w:bCs/>
                <w:sz w:val="24"/>
                <w:szCs w:val="24"/>
                <w:lang w:val="en-US" w:eastAsia="zh-CN"/>
              </w:rPr>
              <w:t>台</w:t>
            </w:r>
          </w:p>
        </w:tc>
        <w:tc>
          <w:tcPr>
            <w:tcW w:w="1111" w:type="pct"/>
            <w:vAlign w:val="center"/>
          </w:tcPr>
          <w:p w14:paraId="7FD574F8">
            <w:pPr>
              <w:keepNext w:val="0"/>
              <w:keepLines w:val="0"/>
              <w:widowControl/>
              <w:suppressLineNumbers w:val="0"/>
              <w:jc w:val="center"/>
              <w:textAlignment w:val="center"/>
              <w:rPr>
                <w:rFonts w:hint="eastAsia" w:ascii="宋体" w:hAnsi="宋体" w:cs="宋体"/>
                <w:b w:val="0"/>
                <w:bCs/>
                <w:sz w:val="24"/>
                <w:szCs w:val="24"/>
                <w:lang w:val="en-US" w:eastAsia="zh-CN"/>
              </w:rPr>
            </w:pPr>
            <w:r>
              <w:rPr>
                <w:rFonts w:hint="eastAsia" w:ascii="宋体" w:hAnsi="宋体" w:cs="宋体"/>
                <w:b w:val="0"/>
                <w:bCs/>
                <w:i w:val="0"/>
                <w:iCs w:val="0"/>
                <w:color w:val="000000"/>
                <w:kern w:val="2"/>
                <w:sz w:val="24"/>
                <w:szCs w:val="24"/>
                <w:u w:val="none"/>
                <w:lang w:val="en-US" w:eastAsia="zh-CN" w:bidi="ar-SA"/>
              </w:rPr>
              <w:t>21</w:t>
            </w:r>
          </w:p>
        </w:tc>
        <w:tc>
          <w:tcPr>
            <w:tcW w:w="1109" w:type="pct"/>
            <w:vMerge w:val="continue"/>
            <w:vAlign w:val="center"/>
          </w:tcPr>
          <w:p w14:paraId="7E86CD33">
            <w:pPr>
              <w:pStyle w:val="51"/>
              <w:jc w:val="center"/>
              <w:rPr>
                <w:rFonts w:hint="eastAsia"/>
                <w:spacing w:val="0"/>
                <w:sz w:val="24"/>
                <w:szCs w:val="24"/>
                <w:lang w:val="en-US" w:eastAsia="zh-CN"/>
              </w:rPr>
            </w:pPr>
          </w:p>
        </w:tc>
      </w:tr>
    </w:tbl>
    <w:p w14:paraId="75129488">
      <w:pPr>
        <w:pStyle w:val="17"/>
        <w:spacing w:line="360" w:lineRule="auto"/>
        <w:rPr>
          <w:rFonts w:hint="eastAsia" w:ascii="宋体" w:hAnsi="宋体" w:eastAsia="宋体" w:cs="宋体"/>
          <w:sz w:val="24"/>
          <w:szCs w:val="24"/>
          <w:lang w:val="en-US" w:eastAsia="zh-CN"/>
        </w:rPr>
      </w:pPr>
    </w:p>
    <w:p w14:paraId="13FE7BCD">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5.合同履行期限：</w:t>
      </w:r>
      <w:r>
        <w:rPr>
          <w:rFonts w:hint="eastAsia" w:ascii="宋体" w:hAnsi="宋体" w:eastAsia="宋体" w:cs="宋体"/>
          <w:sz w:val="24"/>
          <w:szCs w:val="24"/>
          <w:lang w:eastAsia="zh-CN"/>
        </w:rPr>
        <w:t>按采购人要求</w:t>
      </w:r>
    </w:p>
    <w:p w14:paraId="73F7730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本项目是否接受联合体投标：□是</w:t>
      </w:r>
      <w:r>
        <w:rPr>
          <w:rFonts w:hint="eastAsia" w:ascii="宋体" w:hAnsi="宋体" w:eastAsia="宋体" w:cs="宋体"/>
          <w:sz w:val="24"/>
          <w:szCs w:val="24"/>
          <w:lang w:eastAsia="zh-CN"/>
        </w:rPr>
        <w:tab/>
      </w:r>
      <w:r>
        <w:rPr>
          <w:rFonts w:hint="eastAsia" w:ascii="宋体" w:hAnsi="宋体" w:eastAsia="宋体" w:cs="宋体"/>
          <w:sz w:val="24"/>
          <w:szCs w:val="24"/>
          <w:lang w:eastAsia="zh-CN"/>
        </w:rPr>
        <w:t>■否。</w:t>
      </w:r>
    </w:p>
    <w:p w14:paraId="6DC1024A">
      <w:pPr>
        <w:pStyle w:val="3"/>
        <w:spacing w:line="360" w:lineRule="auto"/>
        <w:rPr>
          <w:rFonts w:hint="eastAsia" w:ascii="宋体" w:hAnsi="宋体" w:eastAsia="宋体" w:cs="宋体"/>
          <w:b w:val="0"/>
          <w:sz w:val="24"/>
          <w:szCs w:val="24"/>
        </w:rPr>
      </w:pPr>
      <w:bookmarkStart w:id="7" w:name="_Toc28359003"/>
      <w:bookmarkStart w:id="8" w:name="_Toc28359080"/>
      <w:bookmarkStart w:id="9" w:name="_Toc35393622"/>
      <w:bookmarkStart w:id="10" w:name="_Toc35393791"/>
      <w:r>
        <w:rPr>
          <w:rFonts w:hint="eastAsia" w:ascii="宋体" w:hAnsi="宋体" w:eastAsia="宋体" w:cs="宋体"/>
          <w:b w:val="0"/>
          <w:sz w:val="24"/>
          <w:szCs w:val="24"/>
        </w:rPr>
        <w:t>二、申请人的资格要求：</w:t>
      </w:r>
      <w:bookmarkEnd w:id="7"/>
      <w:bookmarkEnd w:id="8"/>
      <w:bookmarkEnd w:id="9"/>
      <w:bookmarkEnd w:id="10"/>
    </w:p>
    <w:p w14:paraId="18258B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3C231543">
      <w:pPr>
        <w:spacing w:line="360" w:lineRule="auto"/>
        <w:ind w:firstLine="480" w:firstLineChars="200"/>
        <w:rPr>
          <w:rFonts w:hint="eastAsia" w:ascii="宋体" w:hAnsi="宋体" w:eastAsia="宋体" w:cs="宋体"/>
          <w:sz w:val="24"/>
          <w:szCs w:val="24"/>
        </w:rPr>
      </w:pPr>
      <w:bookmarkStart w:id="11" w:name="_Toc28359004"/>
      <w:bookmarkStart w:id="12" w:name="_Toc28359081"/>
      <w:r>
        <w:rPr>
          <w:rFonts w:hint="eastAsia" w:ascii="宋体" w:hAnsi="宋体" w:eastAsia="宋体" w:cs="宋体"/>
          <w:sz w:val="24"/>
          <w:szCs w:val="24"/>
        </w:rPr>
        <w:t>2.落实政府采购政策需满足的资格要求：</w:t>
      </w:r>
    </w:p>
    <w:p w14:paraId="529292F1">
      <w:pPr>
        <w:pStyle w:val="54"/>
        <w:keepNext w:val="0"/>
        <w:keepLines w:val="0"/>
        <w:pageBreakBefore w:val="0"/>
        <w:widowControl w:val="0"/>
        <w:numPr>
          <w:ilvl w:val="1"/>
          <w:numId w:val="0"/>
        </w:numPr>
        <w:tabs>
          <w:tab w:val="left" w:pos="1201"/>
          <w:tab w:val="left" w:pos="8160"/>
        </w:tabs>
        <w:kinsoku/>
        <w:wordWrap/>
        <w:overflowPunct/>
        <w:topLinePunct w:val="0"/>
        <w:autoSpaceDE w:val="0"/>
        <w:autoSpaceDN w:val="0"/>
        <w:bidi w:val="0"/>
        <w:adjustRightInd/>
        <w:spacing w:before="0" w:line="384" w:lineRule="auto"/>
        <w:ind w:firstLine="480" w:firstLineChars="200"/>
        <w:textAlignment w:val="auto"/>
        <w:outlineLvl w:val="9"/>
        <w:rPr>
          <w:rFonts w:hint="eastAsia" w:ascii="宋体" w:hAnsi="宋体" w:eastAsia="宋体" w:cs="宋体"/>
          <w:spacing w:val="0"/>
          <w:sz w:val="24"/>
          <w:szCs w:val="24"/>
          <w:lang w:eastAsia="zh-CN"/>
        </w:rPr>
      </w:pPr>
      <w:bookmarkStart w:id="13" w:name="_Toc35393792"/>
      <w:bookmarkStart w:id="14" w:name="_Toc35393623"/>
      <w:r>
        <w:rPr>
          <w:rFonts w:hint="eastAsia" w:ascii="宋体" w:hAnsi="宋体" w:eastAsia="宋体" w:cs="宋体"/>
          <w:spacing w:val="0"/>
          <w:sz w:val="24"/>
          <w:szCs w:val="24"/>
          <w:lang w:eastAsia="zh-CN"/>
        </w:rPr>
        <w:t>2.1</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lang w:eastAsia="zh-CN"/>
        </w:rPr>
        <w:t>中小企业政策</w:t>
      </w:r>
    </w:p>
    <w:p w14:paraId="213D38D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■本项目不专门面向中小企业预留采购份额。</w:t>
      </w:r>
    </w:p>
    <w:p w14:paraId="0284049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□本项目专门面向  □中小 □小微企业  采购。即：提供的货物全部由符合政策要求的中小/小微企业制造、服务全部由符合政策要求的中小/小微企业承接。</w:t>
      </w:r>
    </w:p>
    <w:p w14:paraId="342600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38DA5F9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其它落实政府采购政策的资格要求：/。</w:t>
      </w:r>
    </w:p>
    <w:p w14:paraId="6D90DA2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46F0CE88">
      <w:pPr>
        <w:keepNext w:val="0"/>
        <w:keepLines w:val="0"/>
        <w:pageBreakBefore w:val="0"/>
        <w:widowControl w:val="0"/>
        <w:tabs>
          <w:tab w:val="left" w:pos="900"/>
          <w:tab w:val="left" w:pos="1134"/>
          <w:tab w:val="left" w:pos="1589"/>
          <w:tab w:val="left" w:pos="5521"/>
        </w:tabs>
        <w:kinsoku/>
        <w:wordWrap/>
        <w:overflowPunct/>
        <w:topLinePunct w:val="0"/>
        <w:autoSpaceDE w:val="0"/>
        <w:autoSpaceDN w:val="0"/>
        <w:bidi w:val="0"/>
        <w:snapToGrid w:val="0"/>
        <w:spacing w:line="560" w:lineRule="exact"/>
        <w:ind w:firstLine="480"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3.1</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lang w:eastAsia="zh-CN"/>
        </w:rPr>
        <w:t>本项目是否接受分支机构参与投标：</w:t>
      </w:r>
      <w:r>
        <w:rPr>
          <w:rFonts w:hint="eastAsia" w:ascii="宋体" w:hAnsi="宋体" w:eastAsia="宋体" w:cs="宋体"/>
          <w:b/>
          <w:color w:val="000000"/>
          <w:spacing w:val="0"/>
          <w:sz w:val="24"/>
          <w:szCs w:val="24"/>
          <w:lang w:eastAsia="zh-CN"/>
        </w:rPr>
        <w:t>□</w:t>
      </w:r>
      <w:r>
        <w:rPr>
          <w:rFonts w:hint="eastAsia" w:ascii="宋体" w:hAnsi="宋体" w:eastAsia="宋体" w:cs="宋体"/>
          <w:spacing w:val="0"/>
          <w:sz w:val="24"/>
          <w:szCs w:val="24"/>
          <w:lang w:eastAsia="zh-CN"/>
        </w:rPr>
        <w:t xml:space="preserve">是   </w:t>
      </w:r>
      <w:r>
        <w:rPr>
          <w:rFonts w:hint="eastAsia" w:ascii="宋体" w:hAnsi="宋体" w:eastAsia="宋体" w:cs="宋体"/>
          <w:b/>
          <w:color w:val="000000"/>
          <w:spacing w:val="0"/>
          <w:sz w:val="24"/>
          <w:szCs w:val="24"/>
          <w:lang w:eastAsia="zh-CN"/>
        </w:rPr>
        <w:t>■</w:t>
      </w:r>
      <w:r>
        <w:rPr>
          <w:rFonts w:hint="eastAsia" w:ascii="宋体" w:hAnsi="宋体" w:eastAsia="宋体" w:cs="宋体"/>
          <w:spacing w:val="0"/>
          <w:sz w:val="24"/>
          <w:szCs w:val="24"/>
          <w:lang w:eastAsia="zh-CN"/>
        </w:rPr>
        <w:t>否；</w:t>
      </w:r>
    </w:p>
    <w:p w14:paraId="49FDC77A">
      <w:pPr>
        <w:keepNext w:val="0"/>
        <w:keepLines w:val="0"/>
        <w:pageBreakBefore w:val="0"/>
        <w:widowControl w:val="0"/>
        <w:tabs>
          <w:tab w:val="left" w:pos="900"/>
          <w:tab w:val="left" w:pos="1134"/>
          <w:tab w:val="left" w:pos="1589"/>
          <w:tab w:val="left" w:pos="5521"/>
        </w:tabs>
        <w:kinsoku/>
        <w:wordWrap/>
        <w:overflowPunct/>
        <w:topLinePunct w:val="0"/>
        <w:autoSpaceDE w:val="0"/>
        <w:autoSpaceDN w:val="0"/>
        <w:bidi w:val="0"/>
        <w:snapToGrid w:val="0"/>
        <w:spacing w:line="560" w:lineRule="exact"/>
        <w:ind w:firstLine="480"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3.2</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lang w:eastAsia="zh-CN"/>
        </w:rPr>
        <w:t>本项目是否属于政府购买服务：</w:t>
      </w:r>
    </w:p>
    <w:p w14:paraId="38EC3672">
      <w:pPr>
        <w:keepNext w:val="0"/>
        <w:keepLines w:val="0"/>
        <w:pageBreakBefore w:val="0"/>
        <w:widowControl w:val="0"/>
        <w:tabs>
          <w:tab w:val="left" w:pos="900"/>
          <w:tab w:val="left" w:pos="1134"/>
          <w:tab w:val="left" w:pos="1589"/>
          <w:tab w:val="left" w:pos="5521"/>
        </w:tabs>
        <w:kinsoku/>
        <w:wordWrap/>
        <w:overflowPunct/>
        <w:topLinePunct w:val="0"/>
        <w:autoSpaceDE w:val="0"/>
        <w:autoSpaceDN w:val="0"/>
        <w:bidi w:val="0"/>
        <w:snapToGrid w:val="0"/>
        <w:spacing w:line="560" w:lineRule="exact"/>
        <w:ind w:firstLine="482"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b/>
          <w:color w:val="000000"/>
          <w:spacing w:val="0"/>
          <w:sz w:val="24"/>
          <w:szCs w:val="24"/>
          <w:lang w:eastAsia="zh-CN"/>
        </w:rPr>
        <w:t>■</w:t>
      </w:r>
      <w:r>
        <w:rPr>
          <w:rFonts w:hint="eastAsia" w:ascii="宋体" w:hAnsi="宋体" w:eastAsia="宋体" w:cs="宋体"/>
          <w:b/>
          <w:color w:val="000000"/>
          <w:spacing w:val="0"/>
          <w:sz w:val="24"/>
          <w:szCs w:val="24"/>
          <w:lang w:val="en-US" w:eastAsia="zh-CN"/>
        </w:rPr>
        <w:t xml:space="preserve"> </w:t>
      </w:r>
      <w:r>
        <w:rPr>
          <w:rFonts w:hint="eastAsia" w:ascii="宋体" w:hAnsi="宋体" w:eastAsia="宋体" w:cs="宋体"/>
          <w:spacing w:val="0"/>
          <w:sz w:val="24"/>
          <w:szCs w:val="24"/>
          <w:lang w:eastAsia="zh-CN"/>
        </w:rPr>
        <w:t>否</w:t>
      </w:r>
    </w:p>
    <w:p w14:paraId="17C9BFB7">
      <w:pPr>
        <w:keepNext w:val="0"/>
        <w:keepLines w:val="0"/>
        <w:pageBreakBefore w:val="0"/>
        <w:widowControl w:val="0"/>
        <w:tabs>
          <w:tab w:val="left" w:pos="900"/>
          <w:tab w:val="left" w:pos="1134"/>
          <w:tab w:val="left" w:pos="1589"/>
          <w:tab w:val="left" w:pos="5521"/>
        </w:tabs>
        <w:kinsoku/>
        <w:wordWrap/>
        <w:overflowPunct/>
        <w:topLinePunct w:val="0"/>
        <w:autoSpaceDE w:val="0"/>
        <w:autoSpaceDN w:val="0"/>
        <w:bidi w:val="0"/>
        <w:snapToGrid w:val="0"/>
        <w:spacing w:line="560" w:lineRule="exact"/>
        <w:ind w:firstLine="482"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b/>
          <w:color w:val="000000"/>
          <w:spacing w:val="0"/>
          <w:sz w:val="24"/>
          <w:szCs w:val="24"/>
          <w:lang w:eastAsia="zh-CN"/>
        </w:rPr>
        <w:t>□</w:t>
      </w:r>
      <w:r>
        <w:rPr>
          <w:rFonts w:hint="eastAsia" w:ascii="宋体" w:hAnsi="宋体" w:eastAsia="宋体" w:cs="宋体"/>
          <w:b/>
          <w:color w:val="000000"/>
          <w:spacing w:val="0"/>
          <w:sz w:val="24"/>
          <w:szCs w:val="24"/>
          <w:lang w:val="en-US" w:eastAsia="zh-CN"/>
        </w:rPr>
        <w:t xml:space="preserve"> </w:t>
      </w:r>
      <w:r>
        <w:rPr>
          <w:rFonts w:hint="eastAsia" w:ascii="宋体" w:hAnsi="宋体" w:eastAsia="宋体" w:cs="宋体"/>
          <w:spacing w:val="0"/>
          <w:sz w:val="24"/>
          <w:szCs w:val="24"/>
          <w:lang w:eastAsia="zh-CN"/>
        </w:rPr>
        <w:t>是，公益一类事业单位、使用事业编制且由财政拨款保障的群团组织，不得作为承接主体；</w:t>
      </w:r>
    </w:p>
    <w:p w14:paraId="6CBA93D2">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3.3</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lang w:eastAsia="zh-CN"/>
        </w:rPr>
        <w:t>其他特定资格要求：</w:t>
      </w:r>
      <w:r>
        <w:rPr>
          <w:rFonts w:hint="eastAsia"/>
          <w:sz w:val="24"/>
          <w:szCs w:val="24"/>
          <w:lang w:val="en-US" w:eastAsia="zh-CN"/>
        </w:rPr>
        <w:t>无</w:t>
      </w:r>
    </w:p>
    <w:p w14:paraId="7F827E0E">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1.时</w:t>
      </w:r>
      <w:r>
        <w:rPr>
          <w:rFonts w:hint="eastAsia" w:ascii="宋体" w:hAnsi="宋体" w:eastAsia="宋体" w:cs="宋体"/>
          <w:sz w:val="24"/>
          <w:szCs w:val="24"/>
          <w:highlight w:val="none"/>
        </w:rPr>
        <w:t>间：</w:t>
      </w:r>
      <w:r>
        <w:rPr>
          <w:rFonts w:hint="eastAsia" w:ascii="宋体" w:hAnsi="宋体" w:eastAsia="宋体" w:cs="宋体"/>
          <w:sz w:val="24"/>
          <w:szCs w:val="24"/>
          <w:highlight w:val="none"/>
          <w:lang w:eastAsia="zh-CN"/>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lang w:val="en-US" w:eastAsia="zh-CN"/>
        </w:rPr>
        <w:t>26</w:t>
      </w:r>
      <w:r>
        <w:rPr>
          <w:rFonts w:hint="eastAsia" w:ascii="宋体" w:hAnsi="宋体" w:eastAsia="宋体" w:cs="宋体"/>
          <w:sz w:val="24"/>
          <w:szCs w:val="24"/>
          <w:highlight w:val="none"/>
          <w:lang w:val="en-US" w:eastAsia="zh-CN"/>
        </w:rPr>
        <w:t>日</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eastAsia="zh-CN"/>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2.地点：北京市政府采购电子交易平台</w:t>
      </w:r>
      <w:r>
        <w:rPr>
          <w:rFonts w:hint="eastAsia" w:ascii="宋体" w:hAnsi="宋体" w:eastAsia="宋体" w:cs="宋体"/>
          <w:sz w:val="24"/>
          <w:szCs w:val="24"/>
          <w:lang w:val="en-US" w:eastAsia="zh-CN"/>
        </w:rPr>
        <w:t>。</w:t>
      </w:r>
    </w:p>
    <w:p w14:paraId="2B9414F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w:t>
      </w:r>
      <w:r>
        <w:rPr>
          <w:rFonts w:hint="eastAsia" w:ascii="宋体" w:hAnsi="宋体" w:eastAsia="宋体" w:cs="宋体"/>
          <w:sz w:val="24"/>
          <w:szCs w:val="24"/>
          <w:lang w:eastAsia="zh-CN"/>
        </w:rPr>
        <w:t>：</w:t>
      </w:r>
      <w:r>
        <w:rPr>
          <w:rFonts w:hint="eastAsia" w:ascii="宋体" w:hAnsi="宋体" w:eastAsia="宋体" w:cs="宋体"/>
          <w:sz w:val="24"/>
          <w:szCs w:val="24"/>
        </w:rPr>
        <w:t>//zbcg-bjzc.zhongcy.com/bjczj-portal-site/index.html#/home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4.售价：0元。</w:t>
      </w:r>
    </w:p>
    <w:p w14:paraId="47AD5CA7">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84"/>
      <w:bookmarkStart w:id="20" w:name="_Toc28359007"/>
      <w:bookmarkStart w:id="21" w:name="_Toc35393625"/>
      <w:bookmarkStart w:id="22" w:name="_Toc3539379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w:t>
      </w:r>
      <w:r>
        <w:rPr>
          <w:rFonts w:hint="eastAsia" w:ascii="宋体" w:hAnsi="宋体" w:eastAsia="宋体" w:cs="宋体"/>
          <w:bCs/>
          <w:sz w:val="24"/>
          <w:szCs w:val="24"/>
          <w:highlight w:val="none"/>
          <w:lang w:val="en-US" w:eastAsia="zh-CN"/>
        </w:rPr>
        <w:t>6</w:t>
      </w:r>
      <w:r>
        <w:rPr>
          <w:rFonts w:hint="eastAsia" w:ascii="宋体" w:hAnsi="宋体" w:eastAsia="宋体" w:cs="宋体"/>
          <w:bCs/>
          <w:sz w:val="24"/>
          <w:szCs w:val="24"/>
          <w:highlight w:val="none"/>
          <w:lang w:eastAsia="zh-CN"/>
        </w:rPr>
        <w:t>年</w:t>
      </w:r>
      <w:r>
        <w:rPr>
          <w:rFonts w:hint="eastAsia" w:ascii="宋体" w:hAnsi="宋体" w:eastAsia="宋体" w:cs="宋体"/>
          <w:bCs/>
          <w:sz w:val="24"/>
          <w:szCs w:val="24"/>
          <w:highlight w:val="none"/>
          <w:lang w:val="en-US" w:eastAsia="zh-CN"/>
        </w:rPr>
        <w:t>9</w:t>
      </w:r>
      <w:r>
        <w:rPr>
          <w:rFonts w:hint="eastAsia" w:ascii="宋体" w:hAnsi="宋体" w:eastAsia="宋体" w:cs="宋体"/>
          <w:bCs/>
          <w:sz w:val="24"/>
          <w:szCs w:val="24"/>
          <w:highlight w:val="none"/>
          <w:lang w:eastAsia="zh-CN"/>
        </w:rPr>
        <w:t>月</w:t>
      </w:r>
      <w:r>
        <w:rPr>
          <w:rFonts w:hint="eastAsia" w:ascii="宋体" w:hAnsi="宋体" w:eastAsia="宋体" w:cs="宋体"/>
          <w:bCs/>
          <w:sz w:val="24"/>
          <w:szCs w:val="24"/>
          <w:highlight w:val="none"/>
          <w:lang w:val="en-US" w:eastAsia="zh-CN"/>
        </w:rPr>
        <w:t>16</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上</w:t>
      </w:r>
      <w:r>
        <w:rPr>
          <w:rFonts w:hint="eastAsia" w:ascii="宋体" w:hAnsi="宋体" w:eastAsia="宋体" w:cs="宋体"/>
          <w:bCs/>
          <w:sz w:val="24"/>
          <w:szCs w:val="24"/>
          <w:highlight w:val="none"/>
          <w:lang w:val="en-US" w:eastAsia="zh-CN"/>
        </w:rPr>
        <w:t>午</w:t>
      </w:r>
      <w:r>
        <w:rPr>
          <w:rFonts w:hint="eastAsia" w:ascii="宋体" w:hAnsi="宋体" w:cs="宋体"/>
          <w:bCs/>
          <w:sz w:val="24"/>
          <w:szCs w:val="24"/>
          <w:highlight w:val="none"/>
          <w:lang w:val="en-US" w:eastAsia="zh-CN"/>
        </w:rPr>
        <w:t>9</w:t>
      </w:r>
      <w:r>
        <w:rPr>
          <w:rFonts w:hint="eastAsia" w:ascii="宋体" w:hAnsi="宋体" w:eastAsia="宋体" w:cs="宋体"/>
          <w:bCs/>
          <w:sz w:val="24"/>
          <w:szCs w:val="24"/>
          <w:highlight w:val="none"/>
          <w:lang w:eastAsia="zh-CN"/>
        </w:rPr>
        <w:t>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85"/>
      <w:bookmarkStart w:id="28" w:name="_Toc28359008"/>
    </w:p>
    <w:p w14:paraId="7876ECBA">
      <w:pPr>
        <w:widowControl w:val="0"/>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autoSpaceDE w:val="0"/>
        <w:autoSpaceDN w:val="0"/>
        <w:spacing w:line="560" w:lineRule="exact"/>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1.本项目需要落实的政府采购政策：</w:t>
      </w:r>
      <w:r>
        <w:rPr>
          <w:rFonts w:hint="eastAsia" w:ascii="宋体" w:hAnsi="宋体" w:eastAsia="宋体" w:cs="宋体"/>
          <w:sz w:val="24"/>
          <w:szCs w:val="24"/>
          <w:highlight w:val="none"/>
          <w:lang w:val="en-US" w:eastAsia="en-US" w:bidi="ar-SA"/>
        </w:rPr>
        <w:t>促进中小企业发展政策、监狱企业扶持政策、促进残疾人就业政府采购政策、鼓励节能、环保政策</w:t>
      </w:r>
      <w:r>
        <w:rPr>
          <w:rFonts w:hint="eastAsia" w:ascii="宋体" w:hAnsi="宋体" w:eastAsia="宋体" w:cs="宋体"/>
          <w:sz w:val="24"/>
          <w:szCs w:val="24"/>
          <w:highlight w:val="none"/>
          <w:lang w:val="en-US" w:eastAsia="zh-CN" w:bidi="ar-SA"/>
        </w:rPr>
        <w:t>、</w:t>
      </w:r>
      <w:r>
        <w:rPr>
          <w:rFonts w:hint="eastAsia" w:ascii="宋体" w:hAnsi="宋体" w:eastAsia="宋体" w:cs="宋体"/>
          <w:i w:val="0"/>
          <w:iCs w:val="0"/>
          <w:caps w:val="0"/>
          <w:color w:val="383838"/>
          <w:spacing w:val="0"/>
          <w:sz w:val="24"/>
          <w:szCs w:val="24"/>
          <w:highlight w:val="none"/>
          <w:shd w:val="clear" w:fill="FFFFFF"/>
          <w:lang w:val="en-US" w:eastAsia="en-US" w:bidi="ar-SA"/>
        </w:rPr>
        <w:t>实施本国产品标准及相关政策</w:t>
      </w:r>
      <w:r>
        <w:rPr>
          <w:rFonts w:hint="eastAsia" w:ascii="宋体" w:hAnsi="宋体" w:eastAsia="宋体" w:cs="宋体"/>
          <w:i w:val="0"/>
          <w:iCs w:val="0"/>
          <w:caps w:val="0"/>
          <w:color w:val="383838"/>
          <w:spacing w:val="0"/>
          <w:sz w:val="24"/>
          <w:szCs w:val="24"/>
          <w:highlight w:val="none"/>
          <w:shd w:val="clear" w:fill="FFFFFF"/>
          <w:lang w:val="en-US" w:eastAsia="zh-CN" w:bidi="ar-SA"/>
        </w:rPr>
        <w:t>等</w:t>
      </w:r>
      <w:r>
        <w:rPr>
          <w:rFonts w:hint="eastAsia" w:ascii="宋体" w:hAnsi="宋体" w:eastAsia="宋体" w:cs="宋体"/>
          <w:sz w:val="24"/>
          <w:szCs w:val="24"/>
          <w:highlight w:val="none"/>
          <w:lang w:val="en-US" w:eastAsia="en-US" w:bidi="ar-SA"/>
        </w:rPr>
        <w:t xml:space="preserve">。具体落实情况详见招标文件。 </w:t>
      </w:r>
    </w:p>
    <w:p w14:paraId="71E7EABA">
      <w:pPr>
        <w:widowControl w:val="0"/>
        <w:numPr>
          <w:ilvl w:val="0"/>
          <w:numId w:val="2"/>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申请人的资格要求补充： </w:t>
      </w:r>
    </w:p>
    <w:p w14:paraId="5545B32E">
      <w:pPr>
        <w:widowControl w:val="0"/>
        <w:numPr>
          <w:ilvl w:val="0"/>
          <w:numId w:val="3"/>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356C56DD">
      <w:pPr>
        <w:widowControl w:val="0"/>
        <w:numPr>
          <w:ilvl w:val="0"/>
          <w:numId w:val="3"/>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单位负责人为同一人或者存在直接控股、管理关系的不同供应商，不得参加同一包的投标或者未划分包的同一招标项目的投标。 </w:t>
      </w:r>
    </w:p>
    <w:p w14:paraId="45F4C62D">
      <w:pPr>
        <w:widowControl w:val="0"/>
        <w:numPr>
          <w:ilvl w:val="0"/>
          <w:numId w:val="4"/>
        </w:numPr>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本条所指单位负责人为同一人指单位法定代表人或者法律、行政法规规定代表单位行使职权的主要负责人。 </w:t>
      </w:r>
    </w:p>
    <w:p w14:paraId="7E0830F8">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2) 本条所指控股关系指单位或股东的控股关系。控股股东指：</w:t>
      </w:r>
    </w:p>
    <w:p w14:paraId="264105E9">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a.出资额占有限责任公司资本总额百分之五十以上或者其持有的股份占股份有限公司股本总额百分之五十以上的股东； </w:t>
      </w:r>
    </w:p>
    <w:p w14:paraId="5C288512">
      <w:pPr>
        <w:widowControl w:val="0"/>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b.出资额或者持有股份的比例不足百分之五十，但其出资额或者持有的股份所享有的表决权已足以对股东会、股东大会的决议产生重大影响的股东。 </w:t>
      </w:r>
    </w:p>
    <w:p w14:paraId="5241CFB5">
      <w:pPr>
        <w:widowControl w:val="0"/>
        <w:numPr>
          <w:ilvl w:val="0"/>
          <w:numId w:val="5"/>
        </w:numPr>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本条所指管理关系指不具有出资持股关系的其他单位之间存在的管理与被管理关系。 </w:t>
      </w:r>
    </w:p>
    <w:p w14:paraId="4427BF31">
      <w:pPr>
        <w:widowControl w:val="0"/>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注：本条所指的控股、管理关系仅限于直接控股、直接管理关系，不包括间接控股或管理关系。 </w:t>
      </w:r>
    </w:p>
    <w:p w14:paraId="08FE12BF">
      <w:pPr>
        <w:widowControl w:val="0"/>
        <w:numPr>
          <w:ilvl w:val="0"/>
          <w:numId w:val="6"/>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为本采购项目提供过整体设计、规范编制或者项目管理、监理、检测等服务的供应商及其附属机构，不得再参加本采购项目的投标活动。 </w:t>
      </w:r>
    </w:p>
    <w:p w14:paraId="5548B965">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（4）按照招标公告要求获取了招标文件。 </w:t>
      </w:r>
    </w:p>
    <w:p w14:paraId="78FE0108">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（5）符合法律、行政法规规定的其他要求。</w:t>
      </w:r>
    </w:p>
    <w:p w14:paraId="107CCD71">
      <w:pPr>
        <w:tabs>
          <w:tab w:val="left" w:pos="3469"/>
          <w:tab w:val="left" w:pos="5579"/>
          <w:tab w:val="left" w:pos="8166"/>
        </w:tabs>
        <w:autoSpaceDE w:val="0"/>
        <w:autoSpaceDN w:val="0"/>
        <w:spacing w:line="560" w:lineRule="exact"/>
        <w:ind w:right="169"/>
        <w:jc w:val="left"/>
        <w:rPr>
          <w:rFonts w:ascii="宋体" w:hAnsi="宋体" w:cs="宋体"/>
          <w:i/>
          <w:kern w:val="0"/>
          <w:sz w:val="24"/>
          <w:szCs w:val="24"/>
          <w:highlight w:val="none"/>
          <w:lang w:eastAsia="zh-CN"/>
        </w:rPr>
      </w:pPr>
      <w:r>
        <w:rPr>
          <w:rFonts w:hint="eastAsia" w:ascii="宋体" w:hAnsi="宋体" w:cs="宋体"/>
          <w:kern w:val="0"/>
          <w:sz w:val="24"/>
          <w:szCs w:val="24"/>
          <w:highlight w:val="none"/>
          <w:lang w:eastAsia="zh-CN"/>
        </w:rPr>
        <w:t>3.本次招标供应商必须以包为单位进行投标响应，评标和合同授予也以包为单位。</w:t>
      </w:r>
    </w:p>
    <w:p w14:paraId="7BEE467A">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w:t>
      </w:r>
      <w:r>
        <w:rPr>
          <w:rFonts w:hint="eastAsia" w:ascii="宋体" w:hAnsi="宋体" w:eastAsia="宋体" w:cs="宋体"/>
          <w:b/>
          <w:bCs/>
          <w:sz w:val="24"/>
          <w:szCs w:val="24"/>
          <w:highlight w:val="none"/>
          <w:lang w:val="en-US" w:eastAsia="zh-CN" w:bidi="ar"/>
        </w:rPr>
        <w:t>本项目采用全流程电子化招标方式</w:t>
      </w:r>
      <w:r>
        <w:rPr>
          <w:rFonts w:hint="eastAsia" w:ascii="宋体" w:hAnsi="宋体" w:eastAsia="宋体" w:cs="宋体"/>
          <w:b/>
          <w:bCs/>
          <w:sz w:val="24"/>
          <w:szCs w:val="24"/>
          <w:highlight w:val="none"/>
          <w:lang w:val="en-US" w:eastAsia="zh-CN" w:bidi="ar-SA"/>
        </w:rPr>
        <w:t>，</w:t>
      </w:r>
      <w:r>
        <w:rPr>
          <w:rFonts w:hint="eastAsia" w:ascii="宋体" w:hAnsi="宋体" w:eastAsia="宋体" w:cs="宋体"/>
          <w:sz w:val="24"/>
          <w:szCs w:val="24"/>
          <w:highlight w:val="none"/>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highlight w:val="none"/>
          <w:lang w:val="en-US" w:eastAsia="zh-CN" w:bidi="ar-SA"/>
        </w:rPr>
        <w:t>C</w:t>
      </w:r>
      <w:r>
        <w:rPr>
          <w:rFonts w:hint="eastAsia" w:ascii="宋体" w:hAnsi="宋体" w:eastAsia="宋体" w:cs="宋体"/>
          <w:w w:val="92"/>
          <w:sz w:val="24"/>
          <w:szCs w:val="24"/>
          <w:highlight w:val="none"/>
          <w:lang w:val="en-US" w:eastAsia="zh-CN" w:bidi="ar-SA"/>
        </w:rPr>
        <w:t>A</w:t>
      </w:r>
      <w:r>
        <w:rPr>
          <w:rFonts w:hint="eastAsia" w:ascii="宋体" w:hAnsi="宋体" w:eastAsia="宋体" w:cs="宋体"/>
          <w:sz w:val="24"/>
          <w:szCs w:val="24"/>
          <w:highlight w:val="none"/>
          <w:lang w:val="en-US" w:eastAsia="zh-CN" w:bidi="ar-SA"/>
        </w:rPr>
        <w:t>数字证书或电子营业执照、进行北京市政府采购电子交易平台注册绑定，并认真核实CA数字证书或电子营业执照情况确认是否符合本项目电子化采购流程要求。</w:t>
      </w:r>
    </w:p>
    <w:p w14:paraId="7719B98B">
      <w:pPr>
        <w:widowControl w:val="0"/>
        <w:autoSpaceDE w:val="0"/>
        <w:autoSpaceDN w:val="0"/>
        <w:spacing w:line="560" w:lineRule="exact"/>
        <w:ind w:left="601"/>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CA 数字证书服务热线 010-58511086</w:t>
      </w:r>
    </w:p>
    <w:p w14:paraId="05BBF7A8">
      <w:pPr>
        <w:widowControl w:val="0"/>
        <w:autoSpaceDE w:val="0"/>
        <w:autoSpaceDN w:val="0"/>
        <w:spacing w:line="560" w:lineRule="exact"/>
        <w:ind w:left="601"/>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电子营业执照服务热线  400-699-7000</w:t>
      </w:r>
    </w:p>
    <w:p w14:paraId="6B02A994">
      <w:pPr>
        <w:widowControl w:val="0"/>
        <w:tabs>
          <w:tab w:val="left" w:pos="3001"/>
        </w:tabs>
        <w:autoSpaceDE w:val="0"/>
        <w:autoSpaceDN w:val="0"/>
        <w:spacing w:line="560" w:lineRule="exact"/>
        <w:ind w:left="601"/>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技术支持服务热线  010-86483801</w:t>
      </w:r>
    </w:p>
    <w:p w14:paraId="6055285C">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4.1 办理 CA 数字证书或电子营业执照</w:t>
      </w:r>
    </w:p>
    <w:p w14:paraId="3B1E5DE5">
      <w:pPr>
        <w:widowControl w:val="0"/>
        <w:autoSpaceDE w:val="0"/>
        <w:autoSpaceDN w:val="0"/>
        <w:spacing w:line="560" w:lineRule="exact"/>
        <w:ind w:right="464"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供应商登录北京市政府采购电子交易平台查阅 “用户指南”—“操作指南”—“市场主体 CA 办理操作流程指引”/“电子营业执照使用指南”，按照程序要求办理。</w:t>
      </w:r>
    </w:p>
    <w:p w14:paraId="2684E578">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4.2 注册</w:t>
      </w:r>
    </w:p>
    <w:p w14:paraId="02624B73">
      <w:pPr>
        <w:widowControl w:val="0"/>
        <w:autoSpaceDE w:val="0"/>
        <w:autoSpaceDN w:val="0"/>
        <w:spacing w:line="560" w:lineRule="exact"/>
        <w:ind w:left="121" w:right="464" w:firstLine="47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供应商登录北京市政府采购电子交易平台“用户指南”—“操作指南”—“市场主体注册入库操作流程指引”进行自助注册绑定。</w:t>
      </w:r>
    </w:p>
    <w:p w14:paraId="0B6306DB">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4.3 驱动、客户端下载</w:t>
      </w:r>
    </w:p>
    <w:p w14:paraId="7F4FCAB1">
      <w:pPr>
        <w:widowControl w:val="0"/>
        <w:autoSpaceDE w:val="0"/>
        <w:autoSpaceDN w:val="0"/>
        <w:spacing w:line="560" w:lineRule="exact"/>
        <w:ind w:left="121" w:right="464" w:firstLine="47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供应商登录北京市政府采购电子交易平台“用户指南”—“工具下载”—“招标采购系统文件驱动安装包”下载相关驱动。</w:t>
      </w:r>
    </w:p>
    <w:p w14:paraId="72B102DB">
      <w:pPr>
        <w:widowControl w:val="0"/>
        <w:autoSpaceDE w:val="0"/>
        <w:autoSpaceDN w:val="0"/>
        <w:spacing w:line="560" w:lineRule="exact"/>
        <w:ind w:left="121" w:right="464" w:firstLine="47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供应商登录北京市政府采购电子交易平台“用户指南”—“工具下载”—“投标文件编制工具”下载相关客户端。</w:t>
      </w:r>
    </w:p>
    <w:p w14:paraId="5C8F43B7">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4.4 获取电子招标文件</w:t>
      </w:r>
    </w:p>
    <w:p w14:paraId="084F90E6">
      <w:pPr>
        <w:widowControl w:val="0"/>
        <w:autoSpaceDE w:val="0"/>
        <w:autoSpaceDN w:val="0"/>
        <w:spacing w:line="560" w:lineRule="exact"/>
        <w:ind w:left="121" w:right="147"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供应商使用 CA 数字证书或电子营业执照登录北京市政府采购电子交易平台获取电子招标文件。</w:t>
      </w:r>
    </w:p>
    <w:p w14:paraId="45B6E6B6">
      <w:pPr>
        <w:widowControl w:val="0"/>
        <w:autoSpaceDE w:val="0"/>
        <w:autoSpaceDN w:val="0"/>
        <w:spacing w:line="560" w:lineRule="exact"/>
        <w:ind w:left="121" w:right="303" w:firstLine="479"/>
        <w:jc w:val="both"/>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4BE1DD1D">
      <w:pPr>
        <w:autoSpaceDE w:val="0"/>
        <w:autoSpaceDN w:val="0"/>
        <w:adjustRightInd w:val="0"/>
        <w:snapToGrid w:val="0"/>
        <w:spacing w:line="560" w:lineRule="exact"/>
        <w:jc w:val="left"/>
        <w:rPr>
          <w:rFonts w:ascii="宋体" w:hAnsi="宋体" w:cs="宋体"/>
          <w:kern w:val="0"/>
          <w:sz w:val="24"/>
          <w:szCs w:val="24"/>
          <w:highlight w:val="none"/>
          <w:lang w:eastAsia="zh-CN" w:bidi="ar"/>
        </w:rPr>
      </w:pPr>
      <w:r>
        <w:rPr>
          <w:rFonts w:hint="eastAsia" w:ascii="宋体" w:hAnsi="宋体" w:cs="宋体"/>
          <w:kern w:val="0"/>
          <w:sz w:val="24"/>
          <w:szCs w:val="24"/>
          <w:highlight w:val="none"/>
          <w:lang w:eastAsia="zh-CN" w:bidi="ar"/>
        </w:rPr>
        <w:t>4.5 编制电子投标文件</w:t>
      </w:r>
    </w:p>
    <w:p w14:paraId="39FFC1ED">
      <w:pPr>
        <w:autoSpaceDE w:val="0"/>
        <w:autoSpaceDN w:val="0"/>
        <w:adjustRightInd w:val="0"/>
        <w:snapToGrid w:val="0"/>
        <w:spacing w:line="560" w:lineRule="exact"/>
        <w:ind w:firstLine="480" w:firstLineChars="200"/>
        <w:jc w:val="left"/>
        <w:rPr>
          <w:rFonts w:ascii="宋体" w:hAnsi="宋体" w:cs="宋体"/>
          <w:kern w:val="0"/>
          <w:sz w:val="24"/>
          <w:szCs w:val="24"/>
          <w:highlight w:val="none"/>
          <w:lang w:eastAsia="zh-CN" w:bidi="ar"/>
        </w:rPr>
      </w:pPr>
      <w:r>
        <w:rPr>
          <w:rFonts w:hint="eastAsia" w:ascii="宋体" w:hAnsi="宋体" w:cs="宋体"/>
          <w:kern w:val="0"/>
          <w:sz w:val="24"/>
          <w:szCs w:val="24"/>
          <w:highlight w:val="none"/>
          <w:lang w:eastAsia="zh-CN" w:bidi="ar"/>
        </w:rPr>
        <w:t>供应商应使用电子投标客户端编制电子投标文件并进行线上投标，供应商电子投标文件需要加密并加盖电子签章</w:t>
      </w:r>
      <w:r>
        <w:rPr>
          <w:rFonts w:hint="eastAsia" w:ascii="宋体" w:hAnsi="宋体" w:cs="宋体"/>
          <w:bCs/>
          <w:kern w:val="0"/>
          <w:sz w:val="24"/>
          <w:szCs w:val="24"/>
          <w:highlight w:val="none"/>
          <w:lang w:eastAsia="zh-CN" w:bidi="ar"/>
        </w:rPr>
        <w:t>，如无法按照要求在电子投标文件中加盖电子签章和加密，请及时通过技术支持服务热线联系技术人员</w:t>
      </w:r>
      <w:r>
        <w:rPr>
          <w:rFonts w:hint="eastAsia" w:ascii="宋体" w:hAnsi="宋体" w:cs="宋体"/>
          <w:kern w:val="0"/>
          <w:sz w:val="24"/>
          <w:szCs w:val="24"/>
          <w:highlight w:val="none"/>
          <w:lang w:eastAsia="zh-CN" w:bidi="ar"/>
        </w:rPr>
        <w:t>。</w:t>
      </w:r>
    </w:p>
    <w:p w14:paraId="3A52CA72">
      <w:pPr>
        <w:widowControl/>
        <w:autoSpaceDE w:val="0"/>
        <w:autoSpaceDN w:val="0"/>
        <w:snapToGrid w:val="0"/>
        <w:spacing w:line="560" w:lineRule="exact"/>
        <w:jc w:val="left"/>
        <w:rPr>
          <w:rFonts w:ascii="宋体" w:hAnsi="宋体" w:cs="宋体"/>
          <w:kern w:val="0"/>
          <w:sz w:val="24"/>
          <w:szCs w:val="24"/>
          <w:highlight w:val="none"/>
          <w:lang w:val="zh-TW" w:eastAsia="zh-CN" w:bidi="ar"/>
        </w:rPr>
      </w:pPr>
      <w:r>
        <w:rPr>
          <w:rFonts w:hint="eastAsia" w:ascii="宋体" w:hAnsi="宋体" w:cs="宋体"/>
          <w:kern w:val="0"/>
          <w:sz w:val="24"/>
          <w:szCs w:val="24"/>
          <w:highlight w:val="none"/>
          <w:lang w:eastAsia="zh-CN" w:bidi="ar"/>
        </w:rPr>
        <w:t>4</w:t>
      </w:r>
      <w:r>
        <w:rPr>
          <w:rFonts w:hint="eastAsia" w:ascii="宋体" w:hAnsi="宋体" w:cs="宋体"/>
          <w:kern w:val="0"/>
          <w:sz w:val="24"/>
          <w:szCs w:val="24"/>
          <w:highlight w:val="none"/>
          <w:lang w:val="zh-TW" w:eastAsia="zh-TW" w:bidi="ar"/>
        </w:rPr>
        <w:t>.6</w:t>
      </w:r>
      <w:r>
        <w:rPr>
          <w:rFonts w:hint="eastAsia" w:ascii="宋体" w:hAnsi="宋体" w:cs="宋体"/>
          <w:kern w:val="0"/>
          <w:sz w:val="24"/>
          <w:szCs w:val="24"/>
          <w:highlight w:val="none"/>
          <w:lang w:eastAsia="zh-CN" w:bidi="ar"/>
        </w:rPr>
        <w:t xml:space="preserve"> </w:t>
      </w:r>
      <w:r>
        <w:rPr>
          <w:rFonts w:hint="eastAsia" w:ascii="宋体" w:hAnsi="宋体" w:cs="宋体"/>
          <w:kern w:val="0"/>
          <w:sz w:val="24"/>
          <w:szCs w:val="24"/>
          <w:highlight w:val="none"/>
          <w:lang w:val="zh-TW" w:eastAsia="zh-CN" w:bidi="ar"/>
        </w:rPr>
        <w:t>提交电子投标文件</w:t>
      </w:r>
    </w:p>
    <w:p w14:paraId="1112CD10">
      <w:pPr>
        <w:widowControl/>
        <w:autoSpaceDE w:val="0"/>
        <w:autoSpaceDN w:val="0"/>
        <w:snapToGrid w:val="0"/>
        <w:spacing w:line="560" w:lineRule="exact"/>
        <w:ind w:firstLine="480" w:firstLineChars="200"/>
        <w:jc w:val="left"/>
        <w:rPr>
          <w:rFonts w:ascii="宋体" w:hAnsi="宋体" w:cs="宋体"/>
          <w:kern w:val="0"/>
          <w:sz w:val="24"/>
          <w:szCs w:val="24"/>
          <w:highlight w:val="none"/>
          <w:lang w:eastAsia="zh-CN" w:bidi="ar"/>
        </w:rPr>
      </w:pPr>
      <w:r>
        <w:rPr>
          <w:rFonts w:hint="eastAsia" w:ascii="宋体" w:hAnsi="宋体" w:cs="宋体"/>
          <w:kern w:val="0"/>
          <w:sz w:val="24"/>
          <w:szCs w:val="24"/>
          <w:highlight w:val="none"/>
          <w:lang w:eastAsia="zh-CN" w:bidi="ar"/>
        </w:rPr>
        <w:t>供应商应于投标截止时间前在北京市政府采购电子交易平台提交电子投标文件，上传电子投标文件过程中请保持与互联网的连接畅通。</w:t>
      </w:r>
    </w:p>
    <w:p w14:paraId="68B0F14B">
      <w:pPr>
        <w:widowControl/>
        <w:autoSpaceDE w:val="0"/>
        <w:autoSpaceDN w:val="0"/>
        <w:snapToGrid w:val="0"/>
        <w:spacing w:line="560" w:lineRule="exact"/>
        <w:jc w:val="left"/>
        <w:rPr>
          <w:rFonts w:ascii="宋体" w:hAnsi="宋体" w:cs="宋体"/>
          <w:kern w:val="0"/>
          <w:sz w:val="24"/>
          <w:szCs w:val="24"/>
          <w:highlight w:val="none"/>
          <w:lang w:eastAsia="zh-TW" w:bidi="ar"/>
        </w:rPr>
      </w:pPr>
      <w:r>
        <w:rPr>
          <w:rFonts w:hint="eastAsia" w:ascii="宋体" w:hAnsi="宋体" w:cs="宋体"/>
          <w:kern w:val="0"/>
          <w:sz w:val="24"/>
          <w:szCs w:val="24"/>
          <w:highlight w:val="none"/>
          <w:lang w:eastAsia="zh-CN" w:bidi="ar"/>
        </w:rPr>
        <w:t>4</w:t>
      </w:r>
      <w:r>
        <w:rPr>
          <w:rFonts w:hint="eastAsia" w:ascii="宋体" w:hAnsi="宋体" w:cs="宋体"/>
          <w:kern w:val="0"/>
          <w:sz w:val="24"/>
          <w:szCs w:val="24"/>
          <w:highlight w:val="none"/>
          <w:lang w:val="zh-TW" w:eastAsia="zh-CN" w:bidi="ar"/>
        </w:rPr>
        <w:t>.</w:t>
      </w:r>
      <w:r>
        <w:rPr>
          <w:rFonts w:hint="eastAsia" w:ascii="宋体" w:hAnsi="宋体" w:cs="宋体"/>
          <w:kern w:val="0"/>
          <w:sz w:val="24"/>
          <w:szCs w:val="24"/>
          <w:highlight w:val="none"/>
          <w:lang w:val="zh-TW" w:eastAsia="zh-TW" w:bidi="ar"/>
        </w:rPr>
        <w:t>7</w:t>
      </w:r>
      <w:r>
        <w:rPr>
          <w:rFonts w:hint="eastAsia" w:ascii="宋体" w:hAnsi="宋体" w:cs="宋体"/>
          <w:kern w:val="0"/>
          <w:sz w:val="24"/>
          <w:szCs w:val="24"/>
          <w:highlight w:val="none"/>
          <w:lang w:eastAsia="zh-CN" w:bidi="ar"/>
        </w:rPr>
        <w:t xml:space="preserve"> </w:t>
      </w:r>
      <w:r>
        <w:rPr>
          <w:rFonts w:hint="eastAsia" w:ascii="宋体" w:hAnsi="宋体" w:cs="宋体"/>
          <w:kern w:val="0"/>
          <w:sz w:val="24"/>
          <w:szCs w:val="24"/>
          <w:highlight w:val="none"/>
          <w:lang w:val="zh-TW" w:eastAsia="zh-CN" w:bidi="ar"/>
        </w:rPr>
        <w:t>电子开标</w:t>
      </w:r>
    </w:p>
    <w:p w14:paraId="0E6669AA">
      <w:pPr>
        <w:widowControl w:val="0"/>
        <w:autoSpaceDE w:val="0"/>
        <w:autoSpaceDN w:val="0"/>
        <w:spacing w:line="560" w:lineRule="exact"/>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zh-TW" w:eastAsia="zh-CN" w:bidi="ar"/>
        </w:rPr>
        <w:t>供应商在开标地点使用</w:t>
      </w:r>
      <w:r>
        <w:rPr>
          <w:rFonts w:hint="eastAsia" w:ascii="宋体" w:hAnsi="宋体" w:eastAsia="宋体" w:cs="宋体"/>
          <w:sz w:val="24"/>
          <w:szCs w:val="24"/>
          <w:highlight w:val="none"/>
          <w:lang w:val="en-US" w:eastAsia="zh-CN" w:bidi="ar"/>
        </w:rPr>
        <w:t>CA认证证书</w:t>
      </w:r>
      <w:r>
        <w:rPr>
          <w:rFonts w:hint="eastAsia" w:ascii="宋体" w:hAnsi="宋体" w:eastAsia="宋体" w:cs="宋体"/>
          <w:sz w:val="24"/>
          <w:szCs w:val="24"/>
          <w:highlight w:val="none"/>
          <w:lang w:val="zh-TW" w:eastAsia="zh-CN" w:bidi="ar"/>
        </w:rPr>
        <w:t>登录</w:t>
      </w:r>
      <w:r>
        <w:rPr>
          <w:rFonts w:hint="eastAsia" w:ascii="宋体" w:hAnsi="宋体" w:eastAsia="宋体" w:cs="宋体"/>
          <w:sz w:val="24"/>
          <w:szCs w:val="24"/>
          <w:highlight w:val="none"/>
          <w:lang w:val="en-US" w:eastAsia="zh-CN" w:bidi="ar"/>
        </w:rPr>
        <w:t>北京市政府采购电子交易平台进行电子开标</w:t>
      </w:r>
      <w:r>
        <w:rPr>
          <w:rFonts w:hint="eastAsia" w:ascii="宋体" w:hAnsi="宋体" w:eastAsia="宋体" w:cs="宋体"/>
          <w:sz w:val="24"/>
          <w:szCs w:val="24"/>
          <w:highlight w:val="none"/>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2C1"/>
    <w:multiLevelType w:val="singleLevel"/>
    <w:tmpl w:val="68A6D2C1"/>
    <w:lvl w:ilvl="0" w:tentative="0">
      <w:start w:val="1"/>
      <w:numFmt w:val="decimal"/>
      <w:suff w:val="nothing"/>
      <w:lvlText w:val="（%1）"/>
      <w:lvlJc w:val="left"/>
    </w:lvl>
  </w:abstractNum>
  <w:abstractNum w:abstractNumId="3">
    <w:nsid w:val="68A6D345"/>
    <w:multiLevelType w:val="singleLevel"/>
    <w:tmpl w:val="68A6D345"/>
    <w:lvl w:ilvl="0" w:tentative="0">
      <w:start w:val="1"/>
      <w:numFmt w:val="decimal"/>
      <w:suff w:val="nothing"/>
      <w:lvlText w:val="%1)"/>
      <w:lvlJc w:val="left"/>
    </w:lvl>
  </w:abstractNum>
  <w:abstractNum w:abstractNumId="4">
    <w:nsid w:val="68A6D371"/>
    <w:multiLevelType w:val="singleLevel"/>
    <w:tmpl w:val="68A6D371"/>
    <w:lvl w:ilvl="0" w:tentative="0">
      <w:start w:val="3"/>
      <w:numFmt w:val="decimal"/>
      <w:suff w:val="nothing"/>
      <w:lvlText w:val="%1)"/>
      <w:lvlJc w:val="left"/>
    </w:lvl>
  </w:abstractNum>
  <w:abstractNum w:abstractNumId="5">
    <w:nsid w:val="68A6D3C0"/>
    <w:multiLevelType w:val="singleLevel"/>
    <w:tmpl w:val="68A6D3C0"/>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27500A"/>
    <w:rsid w:val="387B69BA"/>
    <w:rsid w:val="390377C3"/>
    <w:rsid w:val="391F00CC"/>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E419C7"/>
    <w:rsid w:val="45757D68"/>
    <w:rsid w:val="459660BA"/>
    <w:rsid w:val="46050649"/>
    <w:rsid w:val="46853538"/>
    <w:rsid w:val="46AF7F09"/>
    <w:rsid w:val="46CA2B46"/>
    <w:rsid w:val="46D52298"/>
    <w:rsid w:val="471D6BB8"/>
    <w:rsid w:val="47CD2118"/>
    <w:rsid w:val="48A87680"/>
    <w:rsid w:val="494E49AA"/>
    <w:rsid w:val="4AF339B7"/>
    <w:rsid w:val="4B9E1324"/>
    <w:rsid w:val="4BB5041C"/>
    <w:rsid w:val="4C6F0B7D"/>
    <w:rsid w:val="4C9F5D25"/>
    <w:rsid w:val="4CAB781B"/>
    <w:rsid w:val="4D21520B"/>
    <w:rsid w:val="4D771C1E"/>
    <w:rsid w:val="4D9C11A0"/>
    <w:rsid w:val="4E212C99"/>
    <w:rsid w:val="4E3C38DE"/>
    <w:rsid w:val="4E524648"/>
    <w:rsid w:val="4EB8286A"/>
    <w:rsid w:val="4EBA744A"/>
    <w:rsid w:val="4FC96956"/>
    <w:rsid w:val="502C0B41"/>
    <w:rsid w:val="50B018E0"/>
    <w:rsid w:val="50C8175A"/>
    <w:rsid w:val="512C73D2"/>
    <w:rsid w:val="5186480E"/>
    <w:rsid w:val="5202664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4D52ED"/>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6E225B5"/>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344F56"/>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toc 2"/>
    <w:basedOn w:val="1"/>
    <w:next w:val="1"/>
    <w:qFormat/>
    <w:uiPriority w:val="0"/>
    <w:pPr>
      <w:ind w:left="420" w:leftChars="2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6"/>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2485</Words>
  <Characters>2868</Characters>
  <Lines>18</Lines>
  <Paragraphs>5</Paragraphs>
  <TotalTime>1</TotalTime>
  <ScaleCrop>false</ScaleCrop>
  <LinksUpToDate>false</LinksUpToDate>
  <CharactersWithSpaces>2943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2026-08-26T08:23:24Z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