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05C952">
      <w:pPr>
        <w:spacing w:line="360" w:lineRule="auto"/>
        <w:jc w:val="center"/>
        <w:outlineLvl w:val="0"/>
        <w:rPr>
          <w:rFonts w:hint="eastAsia" w:ascii="宋体" w:hAnsi="宋体"/>
          <w:b/>
          <w:sz w:val="36"/>
          <w:szCs w:val="36"/>
        </w:rPr>
      </w:pPr>
      <w:bookmarkStart w:id="1" w:name="_GoBack"/>
      <w:bookmarkEnd w:id="1"/>
      <w:bookmarkStart w:id="0" w:name="_Toc20096"/>
      <w:r>
        <w:rPr>
          <w:rFonts w:hint="eastAsia" w:ascii="宋体" w:hAnsi="宋体"/>
          <w:b/>
          <w:sz w:val="36"/>
          <w:szCs w:val="36"/>
        </w:rPr>
        <w:t xml:space="preserve">  </w:t>
      </w:r>
      <w:r>
        <w:rPr>
          <w:rFonts w:ascii="宋体" w:hAnsi="宋体"/>
          <w:b/>
          <w:sz w:val="36"/>
          <w:szCs w:val="36"/>
        </w:rPr>
        <w:t>采购需求</w:t>
      </w:r>
      <w:bookmarkEnd w:id="0"/>
    </w:p>
    <w:p w14:paraId="2809579C">
      <w:pPr>
        <w:pStyle w:val="7"/>
        <w:numPr>
          <w:ilvl w:val="0"/>
          <w:numId w:val="1"/>
        </w:numPr>
        <w:spacing w:line="360" w:lineRule="auto"/>
        <w:ind w:firstLineChars="0"/>
        <w:contextualSpacing/>
        <w:rPr>
          <w:rFonts w:hint="eastAsia" w:ascii="宋体" w:hAnsi="宋体" w:cs="宋体"/>
          <w:b/>
          <w:sz w:val="24"/>
          <w:szCs w:val="24"/>
        </w:rPr>
      </w:pPr>
      <w:r>
        <w:rPr>
          <w:rFonts w:hint="eastAsia" w:ascii="宋体" w:hAnsi="宋体" w:cs="宋体"/>
          <w:b/>
          <w:sz w:val="24"/>
          <w:szCs w:val="24"/>
        </w:rPr>
        <w:t>采购标的</w:t>
      </w:r>
    </w:p>
    <w:tbl>
      <w:tblPr>
        <w:tblStyle w:val="5"/>
        <w:tblW w:w="867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1608"/>
        <w:gridCol w:w="1250"/>
        <w:gridCol w:w="2314"/>
        <w:gridCol w:w="1134"/>
        <w:gridCol w:w="1559"/>
      </w:tblGrid>
      <w:tr w14:paraId="36B45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11" w:type="dxa"/>
            <w:vAlign w:val="center"/>
          </w:tcPr>
          <w:p w14:paraId="0972C93A">
            <w:pPr>
              <w:jc w:val="center"/>
              <w:rPr>
                <w:rFonts w:hint="eastAsia" w:ascii="宋体" w:hAnsi="宋体" w:cs="宋体"/>
                <w:b/>
                <w:bCs/>
                <w:sz w:val="24"/>
              </w:rPr>
            </w:pPr>
            <w:r>
              <w:rPr>
                <w:rFonts w:hint="eastAsia" w:ascii="宋体" w:hAnsi="宋体" w:cs="宋体"/>
                <w:b/>
                <w:bCs/>
                <w:sz w:val="24"/>
              </w:rPr>
              <w:t>序号</w:t>
            </w:r>
          </w:p>
        </w:tc>
        <w:tc>
          <w:tcPr>
            <w:tcW w:w="1608" w:type="dxa"/>
            <w:vAlign w:val="center"/>
          </w:tcPr>
          <w:p w14:paraId="139E6979">
            <w:pPr>
              <w:jc w:val="center"/>
              <w:rPr>
                <w:rFonts w:hint="eastAsia" w:ascii="宋体" w:hAnsi="宋体" w:cs="宋体"/>
                <w:b/>
                <w:bCs/>
                <w:sz w:val="24"/>
              </w:rPr>
            </w:pPr>
            <w:r>
              <w:rPr>
                <w:rFonts w:hint="eastAsia" w:ascii="宋体" w:hAnsi="宋体" w:cs="宋体"/>
                <w:b/>
                <w:bCs/>
                <w:sz w:val="24"/>
              </w:rPr>
              <w:t>标的名称</w:t>
            </w:r>
          </w:p>
        </w:tc>
        <w:tc>
          <w:tcPr>
            <w:tcW w:w="1250" w:type="dxa"/>
            <w:vAlign w:val="center"/>
          </w:tcPr>
          <w:p w14:paraId="3F4111A9">
            <w:pPr>
              <w:jc w:val="center"/>
              <w:rPr>
                <w:rFonts w:hint="eastAsia" w:ascii="宋体" w:hAnsi="宋体" w:cs="宋体"/>
                <w:b/>
                <w:bCs/>
                <w:sz w:val="24"/>
              </w:rPr>
            </w:pPr>
            <w:r>
              <w:rPr>
                <w:rFonts w:hint="eastAsia" w:ascii="宋体" w:hAnsi="宋体" w:cs="宋体"/>
                <w:b/>
                <w:bCs/>
                <w:sz w:val="24"/>
              </w:rPr>
              <w:t>数量</w:t>
            </w:r>
          </w:p>
          <w:p w14:paraId="3E4F5DE8">
            <w:pPr>
              <w:jc w:val="center"/>
              <w:rPr>
                <w:rFonts w:hint="eastAsia" w:ascii="宋体" w:hAnsi="宋体" w:cs="宋体"/>
                <w:b/>
                <w:bCs/>
                <w:sz w:val="24"/>
              </w:rPr>
            </w:pPr>
            <w:r>
              <w:rPr>
                <w:rFonts w:hint="eastAsia" w:ascii="宋体" w:hAnsi="宋体" w:cs="宋体"/>
                <w:b/>
                <w:bCs/>
                <w:sz w:val="24"/>
              </w:rPr>
              <w:t>（台/套）</w:t>
            </w:r>
          </w:p>
        </w:tc>
        <w:tc>
          <w:tcPr>
            <w:tcW w:w="2314" w:type="dxa"/>
            <w:vAlign w:val="center"/>
          </w:tcPr>
          <w:p w14:paraId="4339E95C">
            <w:pPr>
              <w:jc w:val="center"/>
              <w:rPr>
                <w:rFonts w:ascii="宋体" w:hAnsi="宋体" w:cs="宋体"/>
                <w:b/>
                <w:bCs/>
                <w:sz w:val="24"/>
              </w:rPr>
            </w:pPr>
            <w:r>
              <w:rPr>
                <w:rFonts w:hint="eastAsia" w:ascii="宋体" w:hAnsi="宋体" w:cs="宋体"/>
                <w:b/>
                <w:bCs/>
                <w:sz w:val="24"/>
              </w:rPr>
              <w:t>单价最高限价</w:t>
            </w:r>
          </w:p>
          <w:p w14:paraId="05D25B23">
            <w:pPr>
              <w:jc w:val="center"/>
              <w:rPr>
                <w:rFonts w:hint="eastAsia" w:ascii="宋体" w:hAnsi="宋体" w:cs="宋体"/>
                <w:b/>
                <w:bCs/>
                <w:sz w:val="24"/>
              </w:rPr>
            </w:pPr>
            <w:r>
              <w:rPr>
                <w:rFonts w:hint="eastAsia" w:ascii="宋体" w:hAnsi="宋体" w:cs="宋体"/>
                <w:b/>
                <w:bCs/>
                <w:sz w:val="24"/>
              </w:rPr>
              <w:t>（万元/台（套））</w:t>
            </w:r>
          </w:p>
        </w:tc>
        <w:tc>
          <w:tcPr>
            <w:tcW w:w="1134" w:type="dxa"/>
            <w:vAlign w:val="center"/>
          </w:tcPr>
          <w:p w14:paraId="71FEF69F">
            <w:pPr>
              <w:jc w:val="center"/>
              <w:rPr>
                <w:rFonts w:hint="eastAsia" w:ascii="宋体" w:hAnsi="宋体" w:cs="宋体"/>
                <w:b/>
                <w:bCs/>
                <w:sz w:val="24"/>
              </w:rPr>
            </w:pPr>
            <w:r>
              <w:rPr>
                <w:rFonts w:hint="eastAsia" w:ascii="宋体" w:hAnsi="宋体" w:cs="宋体"/>
                <w:b/>
                <w:bCs/>
                <w:sz w:val="24"/>
              </w:rPr>
              <w:t>是否允许进口</w:t>
            </w:r>
          </w:p>
        </w:tc>
        <w:tc>
          <w:tcPr>
            <w:tcW w:w="1559" w:type="dxa"/>
            <w:vAlign w:val="center"/>
          </w:tcPr>
          <w:p w14:paraId="5D4838B5">
            <w:pPr>
              <w:jc w:val="center"/>
              <w:rPr>
                <w:rFonts w:hint="eastAsia" w:ascii="宋体" w:hAnsi="宋体" w:cs="宋体"/>
                <w:b/>
                <w:bCs/>
                <w:sz w:val="24"/>
              </w:rPr>
            </w:pPr>
            <w:r>
              <w:rPr>
                <w:rFonts w:hint="eastAsia" w:ascii="宋体" w:hAnsi="宋体" w:cs="宋体"/>
                <w:b/>
                <w:bCs/>
                <w:sz w:val="24"/>
              </w:rPr>
              <w:t>是否为核心产品</w:t>
            </w:r>
          </w:p>
        </w:tc>
      </w:tr>
      <w:tr w14:paraId="26320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11" w:type="dxa"/>
            <w:vAlign w:val="center"/>
          </w:tcPr>
          <w:p w14:paraId="3F743CD7">
            <w:pPr>
              <w:widowControl/>
              <w:jc w:val="center"/>
              <w:textAlignment w:val="center"/>
              <w:rPr>
                <w:rFonts w:hint="eastAsia" w:ascii="宋体" w:hAnsi="宋体" w:cs="宋体"/>
                <w:bCs/>
                <w:sz w:val="24"/>
              </w:rPr>
            </w:pPr>
            <w:r>
              <w:rPr>
                <w:rFonts w:hint="eastAsia" w:ascii="宋体" w:hAnsi="宋体" w:cs="宋体"/>
                <w:color w:val="000000"/>
                <w:kern w:val="0"/>
                <w:sz w:val="22"/>
                <w:szCs w:val="22"/>
                <w:lang w:bidi="ar"/>
              </w:rPr>
              <w:t>1</w:t>
            </w:r>
          </w:p>
        </w:tc>
        <w:tc>
          <w:tcPr>
            <w:tcW w:w="1608" w:type="dxa"/>
            <w:vAlign w:val="center"/>
          </w:tcPr>
          <w:p w14:paraId="694EC990">
            <w:pPr>
              <w:widowControl/>
              <w:jc w:val="center"/>
              <w:textAlignment w:val="center"/>
              <w:rPr>
                <w:rFonts w:hint="eastAsia" w:ascii="宋体" w:hAnsi="宋体" w:cs="宋体"/>
                <w:bCs/>
                <w:sz w:val="24"/>
              </w:rPr>
            </w:pPr>
            <w:r>
              <w:rPr>
                <w:rFonts w:hint="eastAsia" w:ascii="宋体" w:hAnsi="宋体" w:cs="宋体"/>
                <w:color w:val="000000"/>
                <w:kern w:val="0"/>
                <w:sz w:val="22"/>
                <w:szCs w:val="22"/>
                <w:lang w:bidi="ar"/>
              </w:rPr>
              <w:t>脑电图仪</w:t>
            </w:r>
          </w:p>
        </w:tc>
        <w:tc>
          <w:tcPr>
            <w:tcW w:w="1250" w:type="dxa"/>
            <w:vAlign w:val="center"/>
          </w:tcPr>
          <w:p w14:paraId="0E9781C4">
            <w:pPr>
              <w:widowControl/>
              <w:jc w:val="center"/>
              <w:textAlignment w:val="center"/>
              <w:rPr>
                <w:rFonts w:hint="eastAsia" w:ascii="宋体" w:hAnsi="宋体" w:cs="宋体"/>
                <w:bCs/>
                <w:sz w:val="24"/>
              </w:rPr>
            </w:pPr>
            <w:r>
              <w:rPr>
                <w:rFonts w:hint="eastAsia" w:ascii="宋体" w:hAnsi="宋体" w:cs="宋体"/>
                <w:color w:val="000000"/>
                <w:kern w:val="0"/>
                <w:sz w:val="22"/>
                <w:szCs w:val="22"/>
                <w:lang w:bidi="ar"/>
              </w:rPr>
              <w:t>1</w:t>
            </w:r>
          </w:p>
        </w:tc>
        <w:tc>
          <w:tcPr>
            <w:tcW w:w="2314" w:type="dxa"/>
            <w:vAlign w:val="center"/>
          </w:tcPr>
          <w:p w14:paraId="6559F79F">
            <w:pPr>
              <w:widowControl/>
              <w:jc w:val="center"/>
              <w:textAlignment w:val="center"/>
              <w:rPr>
                <w:rFonts w:hint="eastAsia" w:ascii="宋体" w:hAnsi="宋体" w:cs="宋体"/>
                <w:bCs/>
                <w:sz w:val="24"/>
              </w:rPr>
            </w:pPr>
            <w:r>
              <w:rPr>
                <w:rFonts w:hint="eastAsia" w:ascii="宋体" w:hAnsi="宋体" w:cs="宋体"/>
                <w:color w:val="000000"/>
                <w:kern w:val="0"/>
                <w:sz w:val="22"/>
                <w:szCs w:val="22"/>
                <w:lang w:bidi="ar"/>
              </w:rPr>
              <w:t>48</w:t>
            </w:r>
          </w:p>
        </w:tc>
        <w:tc>
          <w:tcPr>
            <w:tcW w:w="1134" w:type="dxa"/>
            <w:vAlign w:val="center"/>
          </w:tcPr>
          <w:p w14:paraId="477D6A2D">
            <w:pPr>
              <w:widowControl/>
              <w:jc w:val="center"/>
              <w:textAlignment w:val="center"/>
              <w:rPr>
                <w:rFonts w:hint="eastAsia" w:ascii="宋体" w:hAnsi="宋体" w:cs="宋体"/>
                <w:bCs/>
                <w:sz w:val="24"/>
              </w:rPr>
            </w:pPr>
            <w:r>
              <w:rPr>
                <w:rFonts w:hint="eastAsia" w:ascii="宋体" w:hAnsi="宋体" w:cs="宋体"/>
                <w:bCs/>
                <w:sz w:val="24"/>
              </w:rPr>
              <w:t>是</w:t>
            </w:r>
          </w:p>
        </w:tc>
        <w:tc>
          <w:tcPr>
            <w:tcW w:w="1559" w:type="dxa"/>
            <w:vAlign w:val="center"/>
          </w:tcPr>
          <w:p w14:paraId="315F0AE7">
            <w:pPr>
              <w:widowControl/>
              <w:jc w:val="center"/>
              <w:textAlignment w:val="center"/>
              <w:rPr>
                <w:rFonts w:hint="eastAsia" w:ascii="宋体" w:hAnsi="宋体" w:cs="宋体"/>
                <w:bCs/>
                <w:sz w:val="24"/>
              </w:rPr>
            </w:pPr>
            <w:r>
              <w:rPr>
                <w:rFonts w:hAnsi="宋体" w:cs="宋体"/>
                <w:sz w:val="24"/>
              </w:rPr>
              <w:t>单一产品采购项目</w:t>
            </w:r>
          </w:p>
        </w:tc>
      </w:tr>
    </w:tbl>
    <w:p w14:paraId="69892ADD">
      <w:pPr>
        <w:pStyle w:val="4"/>
        <w:spacing w:line="360" w:lineRule="auto"/>
        <w:rPr>
          <w:rFonts w:hint="eastAsia" w:ascii="宋体" w:hAnsi="宋体" w:cs="宋体"/>
          <w:b/>
          <w:sz w:val="24"/>
        </w:rPr>
      </w:pPr>
      <w:r>
        <w:rPr>
          <w:rFonts w:hint="eastAsia" w:ascii="宋体" w:hAnsi="宋体" w:cs="宋体"/>
          <w:bCs/>
          <w:sz w:val="24"/>
        </w:rPr>
        <w:t>二、</w:t>
      </w:r>
      <w:r>
        <w:rPr>
          <w:rFonts w:hint="eastAsia" w:ascii="宋体" w:hAnsi="宋体" w:cs="宋体"/>
          <w:b/>
          <w:sz w:val="24"/>
        </w:rPr>
        <w:t>商务要求</w:t>
      </w:r>
    </w:p>
    <w:p w14:paraId="4E3E552C">
      <w:pPr>
        <w:spacing w:line="360" w:lineRule="auto"/>
        <w:ind w:firstLine="482" w:firstLineChars="200"/>
        <w:contextualSpacing/>
        <w:jc w:val="left"/>
        <w:rPr>
          <w:rFonts w:hint="eastAsia" w:ascii="宋体" w:hAnsi="宋体" w:cs="宋体"/>
          <w:b/>
          <w:sz w:val="24"/>
        </w:rPr>
      </w:pPr>
      <w:r>
        <w:rPr>
          <w:rFonts w:hint="eastAsia" w:ascii="宋体" w:hAnsi="宋体" w:cs="宋体"/>
          <w:b/>
          <w:sz w:val="24"/>
        </w:rPr>
        <w:t>（一）交货时间和地点：</w:t>
      </w:r>
    </w:p>
    <w:p w14:paraId="4856609C">
      <w:pPr>
        <w:pStyle w:val="2"/>
        <w:spacing w:line="360" w:lineRule="auto"/>
        <w:ind w:firstLine="480" w:firstLineChars="200"/>
        <w:rPr>
          <w:rFonts w:hint="eastAsia" w:hAnsi="宋体" w:cs="宋体"/>
          <w:bCs/>
        </w:rPr>
      </w:pPr>
      <w:r>
        <w:rPr>
          <w:rFonts w:hint="eastAsia" w:hAnsi="宋体" w:cs="宋体"/>
          <w:bCs/>
        </w:rPr>
        <w:t>1.交货时间：</w:t>
      </w:r>
      <w:r>
        <w:rPr>
          <w:rFonts w:hint="eastAsia" w:hAnsi="宋体"/>
        </w:rPr>
        <w:t>合同签订后90日内完成交货</w:t>
      </w:r>
      <w:r>
        <w:rPr>
          <w:rFonts w:hint="eastAsia" w:hAnsi="宋体" w:cs="宋体"/>
          <w:bCs/>
        </w:rPr>
        <w:t>。</w:t>
      </w:r>
    </w:p>
    <w:p w14:paraId="34C52287">
      <w:pPr>
        <w:pStyle w:val="2"/>
        <w:spacing w:line="360" w:lineRule="auto"/>
        <w:ind w:firstLine="480" w:firstLineChars="200"/>
        <w:rPr>
          <w:rFonts w:hint="eastAsia" w:hAnsi="宋体" w:cs="宋体"/>
          <w:bCs/>
        </w:rPr>
      </w:pPr>
      <w:r>
        <w:rPr>
          <w:rFonts w:hint="eastAsia" w:hAnsi="宋体" w:cs="宋体"/>
          <w:bCs/>
        </w:rPr>
        <w:t>2.交货地点：采购人指定地点</w:t>
      </w:r>
    </w:p>
    <w:p w14:paraId="09CA776D">
      <w:pPr>
        <w:spacing w:line="360" w:lineRule="auto"/>
        <w:ind w:firstLine="482" w:firstLineChars="200"/>
        <w:contextualSpacing/>
        <w:jc w:val="left"/>
        <w:rPr>
          <w:rFonts w:hint="eastAsia" w:ascii="宋体" w:hAnsi="宋体" w:cs="宋体"/>
          <w:sz w:val="24"/>
        </w:rPr>
      </w:pPr>
      <w:r>
        <w:rPr>
          <w:rFonts w:hint="eastAsia" w:ascii="宋体" w:hAnsi="宋体" w:cs="宋体"/>
          <w:b/>
          <w:sz w:val="24"/>
        </w:rPr>
        <w:t>（二）付款条件（进度和方式）：</w:t>
      </w:r>
      <w:r>
        <w:rPr>
          <w:rFonts w:hint="eastAsia" w:ascii="宋体" w:hAnsi="宋体" w:cs="宋体"/>
          <w:bCs/>
          <w:sz w:val="24"/>
        </w:rPr>
        <w:t>见第六章拟签订的合同文本</w:t>
      </w:r>
    </w:p>
    <w:p w14:paraId="37545708">
      <w:pPr>
        <w:pStyle w:val="3"/>
        <w:spacing w:line="360" w:lineRule="auto"/>
        <w:ind w:left="0" w:leftChars="0" w:firstLine="482" w:firstLineChars="200"/>
        <w:jc w:val="left"/>
        <w:rPr>
          <w:rFonts w:hint="eastAsia" w:ascii="宋体" w:hAnsi="宋体" w:cs="宋体"/>
          <w:sz w:val="24"/>
        </w:rPr>
      </w:pPr>
      <w:r>
        <w:rPr>
          <w:rFonts w:hint="eastAsia" w:ascii="宋体" w:hAnsi="宋体" w:cs="宋体"/>
          <w:b/>
          <w:bCs/>
          <w:sz w:val="24"/>
        </w:rPr>
        <w:t>（三）包装和运输</w:t>
      </w:r>
      <w:r>
        <w:rPr>
          <w:rFonts w:hint="eastAsia" w:ascii="宋体" w:hAnsi="宋体" w:cs="宋体"/>
          <w:sz w:val="24"/>
        </w:rPr>
        <w:t>（如适用）：须满足《关于印发〈商品包装政府采购需求标准（试行）〉、〈快递包装政府采购需求标准（试行）〉的通知》（财办库﹝2020﹞123号）</w:t>
      </w:r>
    </w:p>
    <w:p w14:paraId="399B9DDB">
      <w:pPr>
        <w:spacing w:line="360" w:lineRule="auto"/>
        <w:ind w:firstLine="482" w:firstLineChars="200"/>
        <w:contextualSpacing/>
        <w:rPr>
          <w:rFonts w:hint="eastAsia" w:ascii="宋体" w:hAnsi="宋体"/>
          <w:sz w:val="24"/>
        </w:rPr>
      </w:pPr>
      <w:r>
        <w:rPr>
          <w:rFonts w:hint="eastAsia" w:ascii="宋体" w:hAnsi="宋体"/>
          <w:b/>
          <w:sz w:val="24"/>
        </w:rPr>
        <w:t>（四）质保期</w:t>
      </w:r>
      <w:r>
        <w:rPr>
          <w:rFonts w:hint="eastAsia" w:ascii="宋体" w:hAnsi="宋体"/>
          <w:sz w:val="24"/>
        </w:rPr>
        <w:t>：≥5年。</w:t>
      </w:r>
    </w:p>
    <w:p w14:paraId="2203AD22">
      <w:pPr>
        <w:spacing w:line="360" w:lineRule="auto"/>
        <w:ind w:firstLine="482" w:firstLineChars="200"/>
        <w:outlineLvl w:val="1"/>
        <w:rPr>
          <w:rFonts w:hint="eastAsia" w:ascii="宋体" w:hAnsi="宋体" w:cs="宋体"/>
          <w:b/>
          <w:bCs/>
          <w:sz w:val="24"/>
        </w:rPr>
      </w:pPr>
      <w:r>
        <w:rPr>
          <w:rFonts w:hint="eastAsia" w:ascii="宋体" w:hAnsi="宋体" w:cs="宋体"/>
          <w:b/>
          <w:bCs/>
          <w:sz w:val="24"/>
        </w:rPr>
        <w:t>三、技术要求</w:t>
      </w:r>
    </w:p>
    <w:p w14:paraId="0215AB46">
      <w:pPr>
        <w:spacing w:line="360" w:lineRule="auto"/>
        <w:ind w:firstLine="482" w:firstLineChars="200"/>
        <w:contextualSpacing/>
        <w:outlineLvl w:val="1"/>
        <w:rPr>
          <w:rFonts w:hint="eastAsia" w:ascii="宋体" w:hAnsi="宋体" w:cs="宋体"/>
          <w:b/>
          <w:bCs/>
          <w:sz w:val="24"/>
        </w:rPr>
      </w:pPr>
      <w:r>
        <w:rPr>
          <w:rFonts w:hint="eastAsia" w:ascii="宋体" w:hAnsi="宋体" w:cs="宋体"/>
          <w:b/>
          <w:bCs/>
          <w:sz w:val="24"/>
        </w:rPr>
        <w:t>（一）基本要求</w:t>
      </w:r>
    </w:p>
    <w:p w14:paraId="14585F92">
      <w:pPr>
        <w:spacing w:line="360" w:lineRule="auto"/>
        <w:ind w:firstLine="482" w:firstLineChars="200"/>
        <w:contextualSpacing/>
        <w:rPr>
          <w:rFonts w:hint="eastAsia" w:ascii="宋体" w:hAnsi="宋体" w:cs="宋体"/>
          <w:b/>
          <w:bCs/>
          <w:sz w:val="24"/>
        </w:rPr>
      </w:pPr>
      <w:r>
        <w:rPr>
          <w:rFonts w:hint="eastAsia" w:ascii="宋体" w:hAnsi="宋体" w:cs="宋体"/>
          <w:b/>
          <w:bCs/>
          <w:sz w:val="24"/>
        </w:rPr>
        <w:t>1.采购标的需实现的功能或者目标</w:t>
      </w:r>
    </w:p>
    <w:p w14:paraId="1D570DEE">
      <w:pPr>
        <w:spacing w:line="360" w:lineRule="auto"/>
        <w:ind w:firstLine="480" w:firstLineChars="200"/>
        <w:contextualSpacing/>
        <w:rPr>
          <w:rFonts w:hint="eastAsia" w:ascii="宋体" w:hAnsi="宋体" w:cs="宋体"/>
          <w:b/>
          <w:bCs/>
          <w:sz w:val="24"/>
        </w:rPr>
      </w:pPr>
      <w:r>
        <w:rPr>
          <w:rFonts w:hint="eastAsia" w:ascii="宋体" w:hAnsi="宋体"/>
          <w:sz w:val="24"/>
        </w:rPr>
        <w:t>本次采购是“国家重点研发计划课题科研设备购置项目”，供应商应根据招标文件所提出的设备技术规格和服务要求，以满足招标文件要求的产品、优良的货物和优惠的价格，充分显示自己的竞争实力。</w:t>
      </w:r>
    </w:p>
    <w:p w14:paraId="2FBE1C2F">
      <w:pPr>
        <w:spacing w:line="360" w:lineRule="auto"/>
        <w:ind w:firstLine="482" w:firstLineChars="200"/>
        <w:contextualSpacing/>
        <w:rPr>
          <w:rFonts w:hint="eastAsia" w:ascii="宋体" w:hAnsi="宋体" w:cs="宋体"/>
          <w:kern w:val="0"/>
          <w:sz w:val="24"/>
        </w:rPr>
      </w:pPr>
      <w:r>
        <w:rPr>
          <w:rFonts w:hint="eastAsia" w:ascii="宋体" w:hAnsi="宋体" w:cs="宋体"/>
          <w:b/>
          <w:bCs/>
          <w:sz w:val="24"/>
        </w:rPr>
        <w:t>2.需执行的国家相关标准、行业标准、地方标准或者其他标准、规范：</w:t>
      </w:r>
      <w:r>
        <w:rPr>
          <w:rFonts w:hint="eastAsia" w:ascii="宋体" w:hAnsi="宋体" w:cs="宋体"/>
          <w:kern w:val="0"/>
          <w:sz w:val="24"/>
        </w:rPr>
        <w:t>投标产品及制造商应符合国家有关部门规定的相应技术法规及标准，如国家有关部门对投标产品或其制造商有强制性规定或要求的，投标产品或其制造商必须符合相应规定或要求。</w:t>
      </w:r>
    </w:p>
    <w:p w14:paraId="2B4BFDCF">
      <w:pPr>
        <w:spacing w:line="360" w:lineRule="auto"/>
        <w:ind w:firstLine="482" w:firstLineChars="200"/>
        <w:contextualSpacing/>
        <w:rPr>
          <w:rFonts w:hint="eastAsia" w:ascii="宋体" w:hAnsi="宋体" w:cs="宋体"/>
          <w:b/>
          <w:bCs/>
          <w:sz w:val="24"/>
        </w:rPr>
      </w:pPr>
      <w:r>
        <w:rPr>
          <w:rFonts w:hint="eastAsia" w:ascii="宋体" w:hAnsi="宋体" w:cs="宋体"/>
          <w:b/>
          <w:bCs/>
          <w:sz w:val="24"/>
        </w:rPr>
        <w:t>3.为落实政府采购政策需满足的要求</w:t>
      </w:r>
    </w:p>
    <w:p w14:paraId="1D54B3A9">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557D1C7B">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3BBA7C77">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3.3促进残疾人就业政府采购政策：根据《三部门联合发布关于促进残疾人就业政府采购政策的通知》（财库〔2017〕141 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7C45BCA4">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1A62D07F">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5BE567C9">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3.6实施本国产品标准及相关政策：依据《国务院办公厅关于在政府采购中实施本国产品标准及相关政策的通知》（国办发〔2025〕34号）规定，本项目</w:t>
      </w:r>
      <w:r>
        <w:rPr>
          <w:rFonts w:hint="eastAsia" w:ascii="宋体" w:hAnsi="宋体"/>
          <w:sz w:val="24"/>
        </w:rPr>
        <w:t>既有本国产品又有非本国产品参与竞争的，如</w:t>
      </w:r>
      <w:r>
        <w:rPr>
          <w:rFonts w:hint="eastAsia" w:ascii="宋体" w:hAnsi="宋体" w:cs="宋体"/>
          <w:kern w:val="0"/>
          <w:sz w:val="24"/>
        </w:rPr>
        <w:t>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投标人应出具招标文件要求的证明材料给予证明，否则评标时不予认可。投标人应对提交的证明材料真实性负责，提交证明材料不真实的，应承担相应的法律责任。</w:t>
      </w:r>
    </w:p>
    <w:p w14:paraId="0ACB6716">
      <w:pPr>
        <w:spacing w:line="360" w:lineRule="auto"/>
        <w:ind w:firstLine="482" w:firstLineChars="200"/>
        <w:jc w:val="left"/>
        <w:outlineLvl w:val="1"/>
        <w:rPr>
          <w:rFonts w:hint="eastAsia" w:ascii="宋体" w:hAnsi="宋体" w:cs="宋体"/>
          <w:sz w:val="24"/>
        </w:rPr>
      </w:pPr>
      <w:r>
        <w:rPr>
          <w:rFonts w:hint="eastAsia" w:ascii="宋体" w:hAnsi="宋体" w:cs="宋体"/>
          <w:b/>
          <w:bCs/>
          <w:sz w:val="24"/>
        </w:rPr>
        <w:t>（二）具体要求</w:t>
      </w:r>
    </w:p>
    <w:p w14:paraId="383E5B09">
      <w:pPr>
        <w:spacing w:line="360" w:lineRule="auto"/>
        <w:ind w:firstLine="480" w:firstLineChars="200"/>
        <w:rPr>
          <w:rFonts w:hint="eastAsia" w:ascii="宋体" w:hAnsi="宋体" w:cs="宋体"/>
          <w:sz w:val="24"/>
        </w:rPr>
      </w:pPr>
      <w:r>
        <w:rPr>
          <w:rFonts w:hint="eastAsia" w:ascii="宋体" w:hAnsi="宋体" w:cs="宋体"/>
          <w:sz w:val="24"/>
        </w:rPr>
        <w:t>1.放大器要求</w:t>
      </w:r>
    </w:p>
    <w:p w14:paraId="4B3729E8">
      <w:pPr>
        <w:spacing w:line="360" w:lineRule="auto"/>
        <w:ind w:firstLine="480" w:firstLineChars="200"/>
        <w:rPr>
          <w:rFonts w:hint="eastAsia" w:ascii="宋体" w:hAnsi="宋体" w:cs="宋体"/>
          <w:sz w:val="24"/>
        </w:rPr>
      </w:pPr>
      <w:r>
        <w:rPr>
          <w:rFonts w:hint="eastAsia" w:ascii="宋体" w:hAnsi="宋体" w:cs="宋体"/>
          <w:sz w:val="24"/>
        </w:rPr>
        <w:t>1.1放大器采用模块化设计，基本单元为≥64通道数字化放大器，可搭配系统控制器作为单套≥64通道长程视频脑电来使用。</w:t>
      </w:r>
    </w:p>
    <w:p w14:paraId="1E4F879E">
      <w:pPr>
        <w:spacing w:line="360" w:lineRule="auto"/>
        <w:ind w:firstLine="480" w:firstLineChars="200"/>
        <w:rPr>
          <w:rFonts w:hint="eastAsia" w:ascii="宋体" w:hAnsi="宋体" w:cs="宋体"/>
          <w:sz w:val="24"/>
        </w:rPr>
      </w:pPr>
      <w:r>
        <w:rPr>
          <w:rFonts w:hint="eastAsia" w:ascii="宋体" w:hAnsi="宋体" w:cs="宋体"/>
          <w:sz w:val="24"/>
        </w:rPr>
        <w:t>1.2采用直流耦合式放大器</w:t>
      </w:r>
    </w:p>
    <w:p w14:paraId="6C12862C">
      <w:pPr>
        <w:spacing w:line="360" w:lineRule="auto"/>
        <w:ind w:firstLine="480" w:firstLineChars="200"/>
        <w:rPr>
          <w:rFonts w:hint="eastAsia" w:ascii="宋体" w:hAnsi="宋体" w:cs="宋体"/>
          <w:sz w:val="24"/>
        </w:rPr>
      </w:pPr>
      <w:r>
        <w:rPr>
          <w:rFonts w:hint="eastAsia" w:ascii="宋体" w:hAnsi="宋体" w:cs="宋体"/>
          <w:sz w:val="24"/>
        </w:rPr>
        <w:t>▲1.3通道总孔数：≥74个（此为单个放大器参数，多个单体放大器拼装无效）</w:t>
      </w:r>
    </w:p>
    <w:p w14:paraId="1DB234A8">
      <w:pPr>
        <w:spacing w:line="360" w:lineRule="auto"/>
        <w:ind w:firstLine="480" w:firstLineChars="200"/>
        <w:rPr>
          <w:rFonts w:hint="eastAsia" w:ascii="宋体" w:hAnsi="宋体" w:cs="宋体"/>
          <w:sz w:val="24"/>
        </w:rPr>
      </w:pPr>
      <w:r>
        <w:rPr>
          <w:rFonts w:hint="eastAsia" w:ascii="宋体" w:hAnsi="宋体" w:cs="宋体"/>
          <w:sz w:val="24"/>
        </w:rPr>
        <w:t>1.4参比通道：≥64个（此为单个放大器参数，多个单体放大器拼装无效）</w:t>
      </w:r>
    </w:p>
    <w:p w14:paraId="589ACF72">
      <w:pPr>
        <w:spacing w:line="360" w:lineRule="auto"/>
        <w:ind w:firstLine="480" w:firstLineChars="200"/>
        <w:rPr>
          <w:rFonts w:hint="eastAsia" w:ascii="宋体" w:hAnsi="宋体" w:cs="宋体"/>
          <w:sz w:val="24"/>
        </w:rPr>
      </w:pPr>
      <w:r>
        <w:rPr>
          <w:rFonts w:hint="eastAsia" w:ascii="宋体" w:hAnsi="宋体" w:cs="宋体"/>
          <w:sz w:val="24"/>
        </w:rPr>
        <w:t>1.5双极信号通道：≥4个（此为单个放大器参数，多个单体放大器拼装无效）</w:t>
      </w:r>
    </w:p>
    <w:p w14:paraId="46152E04">
      <w:pPr>
        <w:spacing w:line="360" w:lineRule="auto"/>
        <w:ind w:firstLine="480" w:firstLineChars="200"/>
        <w:rPr>
          <w:rFonts w:hint="eastAsia" w:ascii="宋体" w:hAnsi="宋体" w:cs="宋体"/>
          <w:sz w:val="24"/>
        </w:rPr>
      </w:pPr>
      <w:r>
        <w:rPr>
          <w:rFonts w:hint="eastAsia" w:ascii="宋体" w:hAnsi="宋体" w:cs="宋体"/>
          <w:sz w:val="24"/>
        </w:rPr>
        <w:t>▲1.6高密度脑电，通道数具备扩展空间，增加放大器单元可继续对≥64通道进行扩展，最高可扩展到≥512通道。</w:t>
      </w:r>
    </w:p>
    <w:p w14:paraId="359334FB">
      <w:pPr>
        <w:spacing w:line="360" w:lineRule="auto"/>
        <w:ind w:firstLine="480" w:firstLineChars="200"/>
        <w:rPr>
          <w:rFonts w:hint="eastAsia" w:ascii="宋体" w:hAnsi="宋体" w:cs="宋体"/>
          <w:sz w:val="24"/>
        </w:rPr>
      </w:pPr>
      <w:r>
        <w:rPr>
          <w:rFonts w:hint="eastAsia" w:ascii="宋体" w:hAnsi="宋体" w:cs="宋体"/>
          <w:sz w:val="24"/>
        </w:rPr>
        <w:t>1.7数据传导方式：网线传输</w:t>
      </w:r>
    </w:p>
    <w:p w14:paraId="6B645FBE">
      <w:pPr>
        <w:spacing w:line="360" w:lineRule="auto"/>
        <w:ind w:firstLine="480" w:firstLineChars="200"/>
        <w:rPr>
          <w:rFonts w:hint="eastAsia" w:ascii="宋体" w:hAnsi="宋体" w:cs="宋体"/>
          <w:sz w:val="24"/>
        </w:rPr>
      </w:pPr>
      <w:r>
        <w:rPr>
          <w:rFonts w:hint="eastAsia" w:ascii="宋体" w:hAnsi="宋体" w:cs="宋体"/>
          <w:sz w:val="24"/>
        </w:rPr>
        <w:t>▲1.8同步控制盒：单个控制盒最多可控制≥4个放大器，确保放大器采集数据的同步性，支持系统在原有基础上最高可升级至≥512导联；</w:t>
      </w:r>
    </w:p>
    <w:p w14:paraId="04B9DEB5">
      <w:pPr>
        <w:spacing w:line="360" w:lineRule="auto"/>
        <w:ind w:firstLine="480" w:firstLineChars="200"/>
        <w:rPr>
          <w:rFonts w:hint="eastAsia" w:ascii="宋体" w:hAnsi="宋体" w:cs="宋体"/>
          <w:sz w:val="24"/>
        </w:rPr>
      </w:pPr>
      <w:r>
        <w:rPr>
          <w:rFonts w:hint="eastAsia" w:ascii="宋体" w:hAnsi="宋体" w:cs="宋体"/>
          <w:sz w:val="24"/>
        </w:rPr>
        <w:t>▲1.9输入阻抗≥10GΩ</w:t>
      </w:r>
    </w:p>
    <w:p w14:paraId="69A181C5">
      <w:pPr>
        <w:spacing w:line="360" w:lineRule="auto"/>
        <w:ind w:firstLine="480" w:firstLineChars="200"/>
        <w:rPr>
          <w:rFonts w:hint="eastAsia" w:ascii="宋体" w:hAnsi="宋体" w:cs="宋体"/>
          <w:sz w:val="24"/>
        </w:rPr>
      </w:pPr>
      <w:r>
        <w:rPr>
          <w:rFonts w:hint="eastAsia" w:ascii="宋体" w:hAnsi="宋体" w:cs="宋体"/>
          <w:sz w:val="24"/>
        </w:rPr>
        <w:t>1.10共模抑制比(CMRR)：≥110dB</w:t>
      </w:r>
    </w:p>
    <w:p w14:paraId="73FC4F5C">
      <w:pPr>
        <w:spacing w:line="360" w:lineRule="auto"/>
        <w:ind w:firstLine="480" w:firstLineChars="200"/>
        <w:rPr>
          <w:rFonts w:hint="eastAsia" w:ascii="宋体" w:hAnsi="宋体" w:cs="宋体"/>
          <w:sz w:val="24"/>
        </w:rPr>
      </w:pPr>
      <w:r>
        <w:rPr>
          <w:rFonts w:hint="eastAsia" w:ascii="宋体" w:hAnsi="宋体" w:cs="宋体"/>
          <w:sz w:val="24"/>
        </w:rPr>
        <w:t>1.11内部噪音水平：≤1.5μVp-p</w:t>
      </w:r>
    </w:p>
    <w:p w14:paraId="317D72BC">
      <w:pPr>
        <w:spacing w:line="360" w:lineRule="auto"/>
        <w:ind w:firstLine="480" w:firstLineChars="200"/>
        <w:rPr>
          <w:rFonts w:hint="eastAsia" w:ascii="宋体" w:hAnsi="宋体" w:cs="宋体"/>
          <w:sz w:val="24"/>
        </w:rPr>
      </w:pPr>
      <w:r>
        <w:rPr>
          <w:rFonts w:hint="eastAsia" w:ascii="宋体" w:hAnsi="宋体" w:cs="宋体"/>
          <w:sz w:val="24"/>
        </w:rPr>
        <w:t>1.12信号采样：各电极同步采样，原始信号记录</w:t>
      </w:r>
    </w:p>
    <w:p w14:paraId="34A768F2">
      <w:pPr>
        <w:spacing w:line="360" w:lineRule="auto"/>
        <w:ind w:firstLine="480" w:firstLineChars="200"/>
        <w:rPr>
          <w:rFonts w:hint="eastAsia" w:ascii="宋体" w:hAnsi="宋体" w:cs="宋体"/>
          <w:sz w:val="24"/>
        </w:rPr>
      </w:pPr>
      <w:r>
        <w:rPr>
          <w:rFonts w:hint="eastAsia" w:ascii="宋体" w:hAnsi="宋体" w:cs="宋体"/>
          <w:sz w:val="24"/>
        </w:rPr>
        <w:t>▲1.13 A/D转换：≥24位</w:t>
      </w:r>
    </w:p>
    <w:p w14:paraId="1571CCCE">
      <w:pPr>
        <w:spacing w:line="360" w:lineRule="auto"/>
        <w:ind w:firstLine="480" w:firstLineChars="200"/>
        <w:rPr>
          <w:rFonts w:hint="eastAsia" w:ascii="宋体" w:hAnsi="宋体" w:cs="宋体"/>
          <w:sz w:val="24"/>
        </w:rPr>
      </w:pPr>
      <w:r>
        <w:rPr>
          <w:rFonts w:hint="eastAsia" w:ascii="宋体" w:hAnsi="宋体" w:cs="宋体"/>
          <w:sz w:val="24"/>
        </w:rPr>
        <w:t>1.14每通道采样频率：≥20000Hz</w:t>
      </w:r>
    </w:p>
    <w:p w14:paraId="49CAB9DA">
      <w:pPr>
        <w:spacing w:line="360" w:lineRule="auto"/>
        <w:ind w:firstLine="480" w:firstLineChars="200"/>
        <w:rPr>
          <w:rFonts w:hint="eastAsia" w:ascii="宋体" w:hAnsi="宋体" w:cs="宋体"/>
          <w:sz w:val="24"/>
        </w:rPr>
      </w:pPr>
      <w:r>
        <w:rPr>
          <w:rFonts w:hint="eastAsia" w:ascii="宋体" w:hAnsi="宋体" w:cs="宋体"/>
          <w:sz w:val="24"/>
        </w:rPr>
        <w:t>▲1.15每通道存储频率：≥10000Hz</w:t>
      </w:r>
    </w:p>
    <w:p w14:paraId="0148B0D3">
      <w:pPr>
        <w:spacing w:line="360" w:lineRule="auto"/>
        <w:ind w:firstLine="480" w:firstLineChars="200"/>
        <w:rPr>
          <w:rFonts w:hint="eastAsia" w:ascii="宋体" w:hAnsi="宋体" w:cs="宋体"/>
          <w:sz w:val="24"/>
        </w:rPr>
      </w:pPr>
      <w:r>
        <w:rPr>
          <w:rFonts w:hint="eastAsia" w:ascii="宋体" w:hAnsi="宋体" w:cs="宋体"/>
          <w:sz w:val="24"/>
        </w:rPr>
        <w:t>▲1.16带宽：DC：0Hz-3500Hz</w:t>
      </w:r>
    </w:p>
    <w:p w14:paraId="5CB42CD9">
      <w:pPr>
        <w:spacing w:line="360" w:lineRule="auto"/>
        <w:ind w:firstLine="480" w:firstLineChars="200"/>
        <w:rPr>
          <w:rFonts w:hint="eastAsia" w:ascii="宋体" w:hAnsi="宋体" w:cs="宋体"/>
          <w:sz w:val="24"/>
        </w:rPr>
      </w:pPr>
      <w:r>
        <w:rPr>
          <w:rFonts w:hint="eastAsia" w:ascii="宋体" w:hAnsi="宋体" w:cs="宋体"/>
          <w:sz w:val="24"/>
        </w:rPr>
        <w:t>1.17高通数字滤波，软件基础显示0.5,1,3,10Hz,根据需要可自定义设置</w:t>
      </w:r>
    </w:p>
    <w:p w14:paraId="07296265">
      <w:pPr>
        <w:spacing w:line="360" w:lineRule="auto"/>
        <w:ind w:firstLine="480" w:firstLineChars="200"/>
        <w:rPr>
          <w:rFonts w:hint="eastAsia" w:ascii="宋体" w:hAnsi="宋体" w:cs="宋体"/>
          <w:sz w:val="24"/>
        </w:rPr>
      </w:pPr>
      <w:r>
        <w:rPr>
          <w:rFonts w:hint="eastAsia" w:ascii="宋体" w:hAnsi="宋体" w:cs="宋体"/>
          <w:sz w:val="24"/>
        </w:rPr>
        <w:t>1.18低通数字滤波，软件基础显示15,30,70或者关闭,根据需要可自定义设置</w:t>
      </w:r>
    </w:p>
    <w:p w14:paraId="59B0684C">
      <w:pPr>
        <w:spacing w:line="360" w:lineRule="auto"/>
        <w:ind w:firstLine="480" w:firstLineChars="200"/>
        <w:rPr>
          <w:rFonts w:hint="eastAsia" w:ascii="宋体" w:hAnsi="宋体" w:cs="宋体"/>
          <w:sz w:val="24"/>
        </w:rPr>
      </w:pPr>
      <w:r>
        <w:rPr>
          <w:rFonts w:hint="eastAsia" w:ascii="宋体" w:hAnsi="宋体" w:cs="宋体"/>
          <w:sz w:val="24"/>
        </w:rPr>
        <w:t>1.19 Notch信号通路:50Hz,60Hz或者关闭</w:t>
      </w:r>
    </w:p>
    <w:p w14:paraId="5F9E20DF">
      <w:pPr>
        <w:spacing w:line="360" w:lineRule="auto"/>
        <w:ind w:firstLine="480" w:firstLineChars="200"/>
        <w:rPr>
          <w:rFonts w:hint="eastAsia" w:ascii="宋体" w:hAnsi="宋体" w:cs="宋体"/>
          <w:sz w:val="24"/>
        </w:rPr>
      </w:pPr>
      <w:r>
        <w:rPr>
          <w:rFonts w:hint="eastAsia" w:ascii="宋体" w:hAnsi="宋体" w:cs="宋体"/>
          <w:sz w:val="24"/>
        </w:rPr>
        <w:t>1.20直流偏移：±200mv（设备参考点和输入端之间）。</w:t>
      </w:r>
    </w:p>
    <w:p w14:paraId="505FEF1E">
      <w:pPr>
        <w:spacing w:line="360" w:lineRule="auto"/>
        <w:ind w:firstLine="480" w:firstLineChars="200"/>
        <w:rPr>
          <w:rFonts w:hint="eastAsia" w:ascii="宋体" w:hAnsi="宋体" w:cs="宋体"/>
          <w:sz w:val="24"/>
        </w:rPr>
      </w:pPr>
      <w:r>
        <w:rPr>
          <w:rFonts w:hint="eastAsia" w:ascii="宋体" w:hAnsi="宋体" w:cs="宋体"/>
          <w:sz w:val="24"/>
        </w:rPr>
        <w:t>▲1.21在进行≥64通道脑波记录的同时进行睡眠研究，可完成完整的睡眠分析诊断，具备：压力鼻气流传感器、热敏口鼻气流传感器、腹式呼吸绑带、胸式呼吸绑带、体位探头传感器、呼吸模块、血氧模块、血氧饱和度探头等</w:t>
      </w:r>
    </w:p>
    <w:p w14:paraId="0B651F27">
      <w:pPr>
        <w:spacing w:line="360" w:lineRule="auto"/>
        <w:ind w:firstLine="480" w:firstLineChars="200"/>
        <w:rPr>
          <w:rFonts w:hint="eastAsia" w:ascii="宋体" w:hAnsi="宋体" w:cs="宋体"/>
          <w:sz w:val="24"/>
        </w:rPr>
      </w:pPr>
      <w:r>
        <w:rPr>
          <w:rFonts w:hint="eastAsia" w:ascii="宋体" w:hAnsi="宋体" w:cs="宋体"/>
          <w:sz w:val="24"/>
        </w:rPr>
        <w:t>1.22具备事件按钮输入通道</w:t>
      </w:r>
    </w:p>
    <w:p w14:paraId="4168D90F">
      <w:pPr>
        <w:spacing w:line="360" w:lineRule="auto"/>
        <w:ind w:firstLine="480" w:firstLineChars="200"/>
        <w:rPr>
          <w:rFonts w:hint="eastAsia" w:ascii="宋体" w:hAnsi="宋体" w:cs="宋体"/>
          <w:sz w:val="24"/>
        </w:rPr>
      </w:pPr>
      <w:r>
        <w:rPr>
          <w:rFonts w:hint="eastAsia" w:ascii="宋体" w:hAnsi="宋体" w:cs="宋体"/>
          <w:sz w:val="24"/>
        </w:rPr>
        <w:t>1.23有延长式的背夹头盒</w:t>
      </w:r>
    </w:p>
    <w:p w14:paraId="6E5BEFA2">
      <w:pPr>
        <w:spacing w:line="360" w:lineRule="auto"/>
        <w:ind w:firstLine="480" w:firstLineChars="200"/>
        <w:rPr>
          <w:rFonts w:hint="eastAsia" w:ascii="宋体" w:hAnsi="宋体" w:cs="宋体"/>
          <w:sz w:val="24"/>
        </w:rPr>
      </w:pPr>
      <w:r>
        <w:rPr>
          <w:rFonts w:hint="eastAsia" w:ascii="宋体" w:hAnsi="宋体" w:cs="宋体"/>
          <w:sz w:val="24"/>
        </w:rPr>
        <w:t>1.24 ≥64导脑电极帽，所有电极都很清楚地标记在帽子上，不是在放大器的接口上</w:t>
      </w:r>
    </w:p>
    <w:p w14:paraId="58051C3A">
      <w:pPr>
        <w:spacing w:line="360" w:lineRule="auto"/>
        <w:ind w:firstLine="480" w:firstLineChars="200"/>
        <w:rPr>
          <w:rFonts w:hint="eastAsia" w:ascii="宋体" w:hAnsi="宋体" w:cs="宋体"/>
          <w:sz w:val="24"/>
        </w:rPr>
      </w:pPr>
      <w:r>
        <w:rPr>
          <w:rFonts w:hint="eastAsia" w:ascii="宋体" w:hAnsi="宋体" w:cs="宋体"/>
          <w:sz w:val="24"/>
        </w:rPr>
        <w:t>2.脑电采集软件功能要求</w:t>
      </w:r>
    </w:p>
    <w:p w14:paraId="5718B902">
      <w:pPr>
        <w:spacing w:line="360" w:lineRule="auto"/>
        <w:ind w:firstLine="480" w:firstLineChars="200"/>
        <w:rPr>
          <w:rFonts w:hint="eastAsia" w:ascii="宋体" w:hAnsi="宋体" w:cs="宋体"/>
          <w:sz w:val="24"/>
        </w:rPr>
      </w:pPr>
      <w:r>
        <w:rPr>
          <w:rFonts w:hint="eastAsia" w:ascii="宋体" w:hAnsi="宋体" w:cs="宋体"/>
          <w:sz w:val="24"/>
        </w:rPr>
        <w:t>2.1中文软件操作界面脑电分析软件</w:t>
      </w:r>
    </w:p>
    <w:p w14:paraId="6A7E56B1">
      <w:pPr>
        <w:spacing w:line="360" w:lineRule="auto"/>
        <w:ind w:firstLine="480" w:firstLineChars="200"/>
        <w:rPr>
          <w:rFonts w:hint="eastAsia" w:ascii="宋体" w:hAnsi="宋体" w:cs="宋体"/>
          <w:sz w:val="24"/>
        </w:rPr>
      </w:pPr>
      <w:r>
        <w:rPr>
          <w:rFonts w:hint="eastAsia" w:ascii="宋体" w:hAnsi="宋体" w:cs="宋体"/>
          <w:sz w:val="24"/>
        </w:rPr>
        <w:t>2.2具备两种阻抗测试系统（软件和硬件测试），均可获知当前阻抗情况，软件测试中有颜色和数值双重显示。</w:t>
      </w:r>
    </w:p>
    <w:p w14:paraId="0BD0C3C2">
      <w:pPr>
        <w:spacing w:line="360" w:lineRule="auto"/>
        <w:ind w:firstLine="480" w:firstLineChars="200"/>
        <w:rPr>
          <w:rFonts w:hint="eastAsia" w:ascii="宋体" w:hAnsi="宋体" w:cs="宋体"/>
          <w:sz w:val="24"/>
        </w:rPr>
      </w:pPr>
      <w:r>
        <w:rPr>
          <w:rFonts w:hint="eastAsia" w:ascii="宋体" w:hAnsi="宋体" w:cs="宋体"/>
          <w:sz w:val="24"/>
        </w:rPr>
        <w:t>2.3</w:t>
      </w:r>
      <w:r>
        <w:rPr>
          <w:rFonts w:ascii="宋体" w:hAnsi="宋体" w:cs="宋体"/>
          <w:sz w:val="24"/>
        </w:rPr>
        <w:t>导联组合</w:t>
      </w:r>
      <w:r>
        <w:rPr>
          <w:rFonts w:hint="eastAsia" w:ascii="宋体" w:hAnsi="宋体" w:cs="宋体"/>
          <w:sz w:val="24"/>
        </w:rPr>
        <w:t>及多导图的设定，可根据需要创建所需要的波形显示方式，可创建多个监测导联组合以满足不同的监测需要,在监测过程中可以修改</w:t>
      </w:r>
    </w:p>
    <w:p w14:paraId="62F29BD4">
      <w:pPr>
        <w:spacing w:line="360" w:lineRule="auto"/>
        <w:ind w:firstLine="480" w:firstLineChars="200"/>
        <w:rPr>
          <w:rFonts w:hint="eastAsia" w:ascii="宋体" w:hAnsi="宋体" w:cs="宋体"/>
          <w:sz w:val="24"/>
        </w:rPr>
      </w:pPr>
      <w:r>
        <w:rPr>
          <w:rFonts w:hint="eastAsia" w:ascii="宋体" w:hAnsi="宋体" w:cs="宋体"/>
          <w:sz w:val="24"/>
        </w:rPr>
        <w:t>2.4诱发试验检查流程预设功能：可对过度换气、闪光刺激等进行流程预设，系统按照自定义顺序自动完成检查。</w:t>
      </w:r>
    </w:p>
    <w:p w14:paraId="1050F041">
      <w:pPr>
        <w:spacing w:line="360" w:lineRule="auto"/>
        <w:ind w:firstLine="480" w:firstLineChars="200"/>
        <w:rPr>
          <w:rFonts w:hint="eastAsia" w:ascii="宋体" w:hAnsi="宋体" w:cs="宋体"/>
          <w:sz w:val="24"/>
        </w:rPr>
      </w:pPr>
      <w:r>
        <w:rPr>
          <w:rFonts w:hint="eastAsia" w:ascii="宋体" w:hAnsi="宋体" w:cs="宋体"/>
          <w:sz w:val="24"/>
        </w:rPr>
        <w:t>▲2.5双采样率功能：支持双采样率记录。可同时存储高采样和低采样率脑电图，高采样率进行精确分析，低采样率进行快速浏览和查找。</w:t>
      </w:r>
      <w:r>
        <w:rPr>
          <w:rFonts w:hint="eastAsia" w:ascii="宋体" w:hAnsi="宋体" w:cs="宋体"/>
          <w:b/>
          <w:bCs/>
          <w:sz w:val="24"/>
        </w:rPr>
        <w:t>（提供软件功能截图加盖供应商单位公章）</w:t>
      </w:r>
    </w:p>
    <w:p w14:paraId="0C1DB818">
      <w:pPr>
        <w:spacing w:line="360" w:lineRule="auto"/>
        <w:ind w:firstLine="480" w:firstLineChars="200"/>
        <w:rPr>
          <w:rFonts w:hint="eastAsia" w:ascii="宋体" w:hAnsi="宋体" w:cs="宋体"/>
          <w:sz w:val="24"/>
        </w:rPr>
      </w:pPr>
      <w:r>
        <w:rPr>
          <w:rFonts w:hint="eastAsia" w:ascii="宋体" w:hAnsi="宋体" w:cs="宋体"/>
          <w:sz w:val="24"/>
        </w:rPr>
        <w:t>2.6多窗口工作功能：可以同时打开多个回放窗口对多个病例进行回放和分析操作。</w:t>
      </w:r>
    </w:p>
    <w:p w14:paraId="6B2C3952">
      <w:pPr>
        <w:spacing w:line="360" w:lineRule="auto"/>
        <w:ind w:firstLine="480" w:firstLineChars="200"/>
        <w:rPr>
          <w:rFonts w:hint="eastAsia" w:ascii="宋体" w:hAnsi="宋体" w:cs="宋体"/>
          <w:sz w:val="24"/>
        </w:rPr>
      </w:pPr>
      <w:r>
        <w:rPr>
          <w:rFonts w:hint="eastAsia" w:ascii="宋体" w:hAnsi="宋体" w:cs="宋体"/>
          <w:sz w:val="24"/>
        </w:rPr>
        <w:t>2.7在线脑地形图分析功能。要包括：2维脑地形图、3D脑地形图、脑地形图动画、频谱图和颅脑相干图。</w:t>
      </w:r>
    </w:p>
    <w:p w14:paraId="1A9FFF5E">
      <w:pPr>
        <w:spacing w:line="360" w:lineRule="auto"/>
        <w:ind w:firstLine="480" w:firstLineChars="200"/>
        <w:rPr>
          <w:rFonts w:hint="eastAsia" w:ascii="宋体" w:hAnsi="宋体" w:cs="宋体"/>
          <w:sz w:val="24"/>
        </w:rPr>
      </w:pPr>
      <w:r>
        <w:rPr>
          <w:rFonts w:hint="eastAsia" w:ascii="宋体" w:hAnsi="宋体" w:cs="宋体"/>
          <w:sz w:val="24"/>
        </w:rPr>
        <w:t>2.8快速傅立叶转换FFT查看功能。任意选择一段曲线就可以进行FFT转换并显示频域的曲线和数据。</w:t>
      </w:r>
    </w:p>
    <w:p w14:paraId="0714874D">
      <w:pPr>
        <w:spacing w:line="360" w:lineRule="auto"/>
        <w:ind w:firstLine="480" w:firstLineChars="200"/>
        <w:rPr>
          <w:rFonts w:hint="eastAsia" w:ascii="宋体" w:hAnsi="宋体" w:cs="宋体"/>
          <w:sz w:val="24"/>
        </w:rPr>
      </w:pPr>
      <w:r>
        <w:rPr>
          <w:rFonts w:hint="eastAsia" w:ascii="宋体" w:hAnsi="宋体" w:cs="宋体"/>
          <w:sz w:val="24"/>
        </w:rPr>
        <w:t>▲2.9具有高频振荡HFO检测和分析功能</w:t>
      </w:r>
      <w:r>
        <w:rPr>
          <w:rFonts w:hint="eastAsia" w:ascii="宋体" w:hAnsi="宋体" w:cs="宋体"/>
          <w:b/>
          <w:bCs/>
          <w:sz w:val="24"/>
        </w:rPr>
        <w:t>（提供软件功能截图加盖供应商单位公章）</w:t>
      </w:r>
    </w:p>
    <w:p w14:paraId="399759C2">
      <w:pPr>
        <w:spacing w:line="360" w:lineRule="auto"/>
        <w:ind w:firstLine="480" w:firstLineChars="200"/>
        <w:rPr>
          <w:rFonts w:hint="eastAsia" w:ascii="宋体" w:hAnsi="宋体" w:cs="宋体"/>
          <w:sz w:val="24"/>
        </w:rPr>
      </w:pPr>
      <w:r>
        <w:rPr>
          <w:rFonts w:hint="eastAsia" w:ascii="宋体" w:hAnsi="宋体" w:cs="宋体"/>
          <w:sz w:val="24"/>
        </w:rPr>
        <w:t>2.10内置Butterworth，Besse，Chebyshev等三钟不同滤波器，进行不同的临床信号呈现方式。</w:t>
      </w:r>
    </w:p>
    <w:p w14:paraId="7E5B3792">
      <w:pPr>
        <w:spacing w:line="360" w:lineRule="auto"/>
        <w:ind w:firstLine="480" w:firstLineChars="200"/>
        <w:rPr>
          <w:rFonts w:hint="eastAsia" w:ascii="宋体" w:hAnsi="宋体" w:cs="宋体"/>
          <w:sz w:val="24"/>
        </w:rPr>
      </w:pPr>
      <w:r>
        <w:rPr>
          <w:rFonts w:hint="eastAsia" w:ascii="宋体" w:hAnsi="宋体" w:cs="宋体"/>
          <w:sz w:val="24"/>
        </w:rPr>
        <w:t>2.11具有心率分析功能。包括：高于率值、低于率值、滞后、阈值和心脏停搏等事件</w:t>
      </w:r>
    </w:p>
    <w:p w14:paraId="0C6FE2EA">
      <w:pPr>
        <w:spacing w:line="360" w:lineRule="auto"/>
        <w:ind w:firstLine="480" w:firstLineChars="200"/>
        <w:rPr>
          <w:rFonts w:hint="eastAsia" w:ascii="宋体" w:hAnsi="宋体" w:cs="宋体"/>
          <w:sz w:val="24"/>
        </w:rPr>
      </w:pPr>
      <w:r>
        <w:rPr>
          <w:rFonts w:hint="eastAsia" w:ascii="宋体" w:hAnsi="宋体" w:cs="宋体"/>
          <w:sz w:val="24"/>
        </w:rPr>
        <w:t>2.12具有血氧分析功能。包括：血氧下降、滞后、漏失时间</w:t>
      </w:r>
    </w:p>
    <w:p w14:paraId="3B60DCB0">
      <w:pPr>
        <w:spacing w:line="360" w:lineRule="auto"/>
        <w:ind w:firstLine="480" w:firstLineChars="200"/>
        <w:rPr>
          <w:rFonts w:hint="eastAsia" w:ascii="宋体" w:hAnsi="宋体" w:cs="宋体"/>
          <w:sz w:val="24"/>
        </w:rPr>
      </w:pPr>
      <w:r>
        <w:rPr>
          <w:rFonts w:hint="eastAsia" w:ascii="宋体" w:hAnsi="宋体" w:cs="宋体"/>
          <w:sz w:val="24"/>
        </w:rPr>
        <w:t>2.13可以用ASCII码读入和输出数据</w:t>
      </w:r>
    </w:p>
    <w:p w14:paraId="0DFF0FD3">
      <w:pPr>
        <w:spacing w:line="360" w:lineRule="auto"/>
        <w:ind w:firstLine="480" w:firstLineChars="200"/>
        <w:rPr>
          <w:rFonts w:hint="eastAsia" w:ascii="宋体" w:hAnsi="宋体" w:cs="宋体"/>
          <w:sz w:val="24"/>
        </w:rPr>
      </w:pPr>
      <w:r>
        <w:rPr>
          <w:rFonts w:hint="eastAsia" w:ascii="宋体" w:hAnsi="宋体" w:cs="宋体"/>
          <w:sz w:val="24"/>
        </w:rPr>
        <w:t>3.PSG睡眠软件功能</w:t>
      </w:r>
    </w:p>
    <w:p w14:paraId="0D0EDADC">
      <w:pPr>
        <w:spacing w:line="360" w:lineRule="auto"/>
        <w:ind w:firstLine="480" w:firstLineChars="200"/>
        <w:rPr>
          <w:rFonts w:hint="eastAsia" w:ascii="宋体" w:hAnsi="宋体" w:cs="宋体"/>
          <w:sz w:val="24"/>
        </w:rPr>
      </w:pPr>
      <w:r>
        <w:rPr>
          <w:rFonts w:hint="eastAsia" w:ascii="宋体" w:hAnsi="宋体" w:cs="宋体"/>
          <w:sz w:val="24"/>
        </w:rPr>
        <w:t>3.1 R&amp;K和AASM互相转换，具有全中文操作界面、全中文报告，并具有婴幼儿、儿童、成人三种分析软件。</w:t>
      </w:r>
    </w:p>
    <w:p w14:paraId="0DEEEF29">
      <w:pPr>
        <w:spacing w:line="360" w:lineRule="auto"/>
        <w:ind w:firstLine="480" w:firstLineChars="200"/>
        <w:rPr>
          <w:rFonts w:hint="eastAsia" w:ascii="宋体" w:hAnsi="宋体" w:cs="宋体"/>
          <w:sz w:val="24"/>
        </w:rPr>
      </w:pPr>
      <w:r>
        <w:rPr>
          <w:rFonts w:hint="eastAsia" w:ascii="宋体" w:hAnsi="宋体" w:cs="宋体"/>
          <w:sz w:val="24"/>
        </w:rPr>
        <w:t>3.2软件具备在记录病人数据的同时可对数据进行实时自动或手动分析。</w:t>
      </w:r>
    </w:p>
    <w:p w14:paraId="2259A514">
      <w:pPr>
        <w:spacing w:line="360" w:lineRule="auto"/>
        <w:ind w:firstLine="480" w:firstLineChars="200"/>
        <w:rPr>
          <w:rFonts w:hint="eastAsia" w:ascii="宋体" w:hAnsi="宋体" w:cs="宋体"/>
          <w:sz w:val="24"/>
        </w:rPr>
      </w:pPr>
      <w:r>
        <w:rPr>
          <w:rFonts w:hint="eastAsia" w:ascii="宋体" w:hAnsi="宋体" w:cs="宋体"/>
          <w:sz w:val="24"/>
        </w:rPr>
        <w:t>3.3高频信号（如：EEG，ECG，EMG，EOG）与低频信号（如血氧、口鼻气流、体位、腿动等）可以分别采用≥12种扫描速度同屏显示。</w:t>
      </w:r>
    </w:p>
    <w:p w14:paraId="641EB80C">
      <w:pPr>
        <w:spacing w:line="360" w:lineRule="auto"/>
        <w:ind w:firstLine="480" w:firstLineChars="200"/>
        <w:rPr>
          <w:rFonts w:hint="eastAsia" w:ascii="宋体" w:hAnsi="宋体" w:cs="宋体"/>
          <w:sz w:val="24"/>
        </w:rPr>
      </w:pPr>
      <w:r>
        <w:rPr>
          <w:rFonts w:hint="eastAsia" w:ascii="宋体" w:hAnsi="宋体" w:cs="宋体"/>
          <w:sz w:val="24"/>
        </w:rPr>
        <w:t>3.4专业PSG多导睡眠采集分析软件包括：睡眠分期、呼吸事件、心血管事件分析、睡眠微结构分析、体位分析、腿动分析、微觉醒事件分析、异态睡眠分析等。</w:t>
      </w:r>
    </w:p>
    <w:p w14:paraId="09877EA7">
      <w:pPr>
        <w:spacing w:line="360" w:lineRule="auto"/>
        <w:ind w:firstLine="480" w:firstLineChars="200"/>
        <w:rPr>
          <w:rFonts w:hint="eastAsia" w:ascii="宋体" w:hAnsi="宋体" w:cs="宋体"/>
          <w:sz w:val="24"/>
        </w:rPr>
      </w:pPr>
      <w:r>
        <w:rPr>
          <w:rFonts w:hint="eastAsia" w:ascii="宋体" w:hAnsi="宋体" w:cs="宋体"/>
          <w:sz w:val="24"/>
        </w:rPr>
        <w:t>3.5采集时病人发生异常情况，如血氧过低、脉率异常等可声光报警。</w:t>
      </w:r>
    </w:p>
    <w:p w14:paraId="2E127B6D">
      <w:pPr>
        <w:spacing w:line="360" w:lineRule="auto"/>
        <w:ind w:firstLine="480" w:firstLineChars="200"/>
        <w:rPr>
          <w:rFonts w:hint="eastAsia" w:ascii="宋体" w:hAnsi="宋体" w:cs="宋体"/>
          <w:sz w:val="24"/>
        </w:rPr>
      </w:pPr>
      <w:r>
        <w:rPr>
          <w:rFonts w:hint="eastAsia" w:ascii="宋体" w:hAnsi="宋体" w:cs="宋体"/>
          <w:sz w:val="24"/>
        </w:rPr>
        <w:t>3.6采用开放式通道设置，可任意增加信号导联。</w:t>
      </w:r>
    </w:p>
    <w:p w14:paraId="1615C543">
      <w:pPr>
        <w:spacing w:line="360" w:lineRule="auto"/>
        <w:ind w:firstLine="480" w:firstLineChars="200"/>
        <w:rPr>
          <w:rFonts w:hint="eastAsia" w:ascii="宋体" w:hAnsi="宋体" w:cs="宋体"/>
          <w:sz w:val="24"/>
        </w:rPr>
      </w:pPr>
      <w:r>
        <w:rPr>
          <w:rFonts w:hint="eastAsia" w:ascii="宋体" w:hAnsi="宋体" w:cs="宋体"/>
          <w:sz w:val="24"/>
        </w:rPr>
        <w:t>3.7功能丰富的回放分析软件，以色标标记睡眠各期纺锤波Spindles，K复合波，Delta波，REM期的反相眼球运动等。并可进行远程呼吸机压力滴定、多发小睡试验（MSLT）和清醒维持试验（MWT）。</w:t>
      </w:r>
    </w:p>
    <w:p w14:paraId="5C3D6BD0">
      <w:pPr>
        <w:spacing w:line="360" w:lineRule="auto"/>
        <w:ind w:firstLine="480" w:firstLineChars="200"/>
        <w:rPr>
          <w:rFonts w:hint="eastAsia" w:ascii="宋体" w:hAnsi="宋体" w:cs="宋体"/>
          <w:sz w:val="24"/>
        </w:rPr>
      </w:pPr>
      <w:r>
        <w:rPr>
          <w:rFonts w:hint="eastAsia" w:ascii="宋体" w:hAnsi="宋体" w:cs="宋体"/>
          <w:sz w:val="24"/>
        </w:rPr>
        <w:t>3.8具有学术研究管理软件。</w:t>
      </w:r>
    </w:p>
    <w:p w14:paraId="3B5DE78D">
      <w:pPr>
        <w:spacing w:line="360" w:lineRule="auto"/>
        <w:ind w:firstLine="480" w:firstLineChars="200"/>
        <w:rPr>
          <w:rFonts w:hint="eastAsia" w:ascii="宋体" w:hAnsi="宋体" w:cs="宋体"/>
          <w:sz w:val="24"/>
        </w:rPr>
      </w:pPr>
      <w:r>
        <w:rPr>
          <w:rFonts w:hint="eastAsia" w:ascii="宋体" w:hAnsi="宋体" w:cs="宋体"/>
          <w:sz w:val="24"/>
        </w:rPr>
        <w:t>3.9采用Word中英文报告格式，医生可根据需要进行任意编辑，可以产生整夜、分夜报告，得到诊断和治疗情况。</w:t>
      </w:r>
    </w:p>
    <w:p w14:paraId="1C88CFA9">
      <w:pPr>
        <w:spacing w:line="360" w:lineRule="auto"/>
        <w:ind w:firstLine="480" w:firstLineChars="200"/>
        <w:rPr>
          <w:rFonts w:hint="eastAsia" w:ascii="宋体" w:hAnsi="宋体" w:cs="宋体"/>
          <w:sz w:val="24"/>
        </w:rPr>
      </w:pPr>
      <w:r>
        <w:rPr>
          <w:rFonts w:hint="eastAsia" w:ascii="宋体" w:hAnsi="宋体" w:cs="宋体"/>
          <w:sz w:val="24"/>
        </w:rPr>
        <w:t>3.10数据采集和回顾时，可实时添加或改变灯光状态等事件。</w:t>
      </w:r>
    </w:p>
    <w:p w14:paraId="47934C27">
      <w:pPr>
        <w:spacing w:line="360" w:lineRule="auto"/>
        <w:ind w:firstLine="480" w:firstLineChars="200"/>
        <w:rPr>
          <w:rFonts w:hint="eastAsia" w:ascii="宋体" w:hAnsi="宋体" w:cs="宋体"/>
          <w:sz w:val="24"/>
        </w:rPr>
      </w:pPr>
      <w:r>
        <w:rPr>
          <w:rFonts w:hint="eastAsia" w:ascii="宋体" w:hAnsi="宋体" w:cs="宋体"/>
          <w:sz w:val="24"/>
        </w:rPr>
        <w:t>3.11睡眠紊乱事件自动分析软件：呼吸事件、血氧饱和度、自发性微觉醒、运动相关性微觉醒、呼吸相关性微觉醒、PLM腿动、鼾声及其他自定义事件。</w:t>
      </w:r>
    </w:p>
    <w:p w14:paraId="78DD5220">
      <w:pPr>
        <w:spacing w:line="360" w:lineRule="auto"/>
        <w:ind w:firstLine="480" w:firstLineChars="200"/>
        <w:rPr>
          <w:rFonts w:hint="eastAsia" w:ascii="宋体" w:hAnsi="宋体" w:cs="宋体"/>
          <w:sz w:val="24"/>
        </w:rPr>
      </w:pPr>
      <w:r>
        <w:rPr>
          <w:rFonts w:hint="eastAsia" w:ascii="宋体" w:hAnsi="宋体" w:cs="宋体"/>
          <w:sz w:val="24"/>
        </w:rPr>
        <w:t>3.12每帧都有纺锤波、Delta波等的自动数量统计图。</w:t>
      </w:r>
    </w:p>
    <w:p w14:paraId="5DA48D49">
      <w:pPr>
        <w:spacing w:line="360" w:lineRule="auto"/>
        <w:ind w:firstLine="480" w:firstLineChars="200"/>
        <w:rPr>
          <w:rFonts w:hint="eastAsia" w:ascii="宋体" w:hAnsi="宋体" w:cs="宋体"/>
          <w:sz w:val="24"/>
        </w:rPr>
      </w:pPr>
      <w:r>
        <w:rPr>
          <w:rFonts w:hint="eastAsia" w:ascii="宋体" w:hAnsi="宋体" w:cs="宋体"/>
          <w:sz w:val="24"/>
        </w:rPr>
        <w:t>3.13具备AHI和RDI（包括AHI、RERA和气流受限等不确定呼吸事件）指标。</w:t>
      </w:r>
    </w:p>
    <w:p w14:paraId="0CCD0682">
      <w:pPr>
        <w:spacing w:line="360" w:lineRule="auto"/>
        <w:ind w:firstLine="480" w:firstLineChars="200"/>
        <w:rPr>
          <w:rFonts w:hint="eastAsia" w:ascii="宋体" w:hAnsi="宋体" w:cs="宋体"/>
          <w:sz w:val="24"/>
        </w:rPr>
      </w:pPr>
      <w:r>
        <w:rPr>
          <w:rFonts w:hint="eastAsia" w:ascii="宋体" w:hAnsi="宋体" w:cs="宋体"/>
          <w:sz w:val="24"/>
        </w:rPr>
        <w:t>3.14 RBD特殊事件分析软件stream，可以分析RAM期肌张力增高程度</w:t>
      </w:r>
    </w:p>
    <w:p w14:paraId="307F6CAA">
      <w:pPr>
        <w:spacing w:line="360" w:lineRule="auto"/>
        <w:ind w:firstLine="480" w:firstLineChars="200"/>
        <w:rPr>
          <w:rFonts w:hint="eastAsia" w:ascii="宋体" w:hAnsi="宋体" w:cs="宋体"/>
          <w:sz w:val="24"/>
        </w:rPr>
      </w:pPr>
      <w:r>
        <w:rPr>
          <w:rFonts w:hint="eastAsia" w:ascii="宋体" w:hAnsi="宋体" w:cs="宋体"/>
          <w:sz w:val="24"/>
        </w:rPr>
        <w:t>3.15具有对EEG、EOG、EMG等滤除心电干扰软件。</w:t>
      </w:r>
    </w:p>
    <w:p w14:paraId="23787B85">
      <w:pPr>
        <w:spacing w:line="360" w:lineRule="auto"/>
        <w:ind w:firstLine="480" w:firstLineChars="200"/>
        <w:rPr>
          <w:rFonts w:hint="eastAsia" w:ascii="宋体" w:hAnsi="宋体" w:cs="宋体"/>
          <w:sz w:val="24"/>
        </w:rPr>
      </w:pPr>
      <w:r>
        <w:rPr>
          <w:rFonts w:hint="eastAsia" w:ascii="宋体" w:hAnsi="宋体" w:cs="宋体"/>
          <w:sz w:val="24"/>
        </w:rPr>
        <w:t>3.16数据可转成EDF以及MATLAB格式输出ASCII格式输出。</w:t>
      </w:r>
    </w:p>
    <w:p w14:paraId="602754E9">
      <w:pPr>
        <w:spacing w:line="360" w:lineRule="auto"/>
        <w:ind w:firstLine="480" w:firstLineChars="200"/>
        <w:rPr>
          <w:rFonts w:hint="eastAsia" w:ascii="宋体" w:hAnsi="宋体" w:cs="宋体"/>
          <w:sz w:val="24"/>
        </w:rPr>
      </w:pPr>
      <w:r>
        <w:rPr>
          <w:rFonts w:hint="eastAsia" w:ascii="宋体" w:hAnsi="宋体" w:cs="宋体"/>
          <w:sz w:val="24"/>
        </w:rPr>
        <w:t>▲3.17具备教学软件。不同医生可对同一病例进行分析，分析结果可进行匹配对比，软件能自动标记不同之处，并提供链接快速跳转相应数据界面。</w:t>
      </w:r>
    </w:p>
    <w:p w14:paraId="5FF1664E">
      <w:pPr>
        <w:spacing w:line="360" w:lineRule="auto"/>
        <w:ind w:firstLine="480" w:firstLineChars="200"/>
        <w:rPr>
          <w:rFonts w:hint="eastAsia" w:ascii="宋体" w:hAnsi="宋体" w:cs="宋体"/>
          <w:sz w:val="24"/>
        </w:rPr>
      </w:pPr>
      <w:r>
        <w:rPr>
          <w:rFonts w:hint="eastAsia" w:ascii="宋体" w:hAnsi="宋体" w:cs="宋体"/>
          <w:sz w:val="24"/>
        </w:rPr>
        <w:t>3.18提供在线帮助软件；在线滤波及增益调节。</w:t>
      </w:r>
    </w:p>
    <w:p w14:paraId="4AEE9B3F">
      <w:pPr>
        <w:spacing w:line="360" w:lineRule="auto"/>
        <w:ind w:firstLine="480" w:firstLineChars="200"/>
        <w:rPr>
          <w:rFonts w:hint="eastAsia" w:ascii="宋体" w:hAnsi="宋体" w:cs="宋体"/>
          <w:sz w:val="24"/>
        </w:rPr>
      </w:pPr>
      <w:r>
        <w:rPr>
          <w:rFonts w:hint="eastAsia" w:ascii="宋体" w:hAnsi="宋体" w:cs="宋体"/>
          <w:sz w:val="24"/>
        </w:rPr>
        <w:t>3.19具备呼吸流速-容量环，监测上呼吸道阻力；具备胸腹相位二维图，帮助判断胸腹呼吸努力程度和矛盾呼吸。</w:t>
      </w:r>
    </w:p>
    <w:p w14:paraId="3EC6A2B8">
      <w:pPr>
        <w:spacing w:line="360" w:lineRule="auto"/>
        <w:ind w:firstLine="480" w:firstLineChars="200"/>
        <w:rPr>
          <w:rFonts w:hint="eastAsia" w:ascii="宋体" w:hAnsi="宋体" w:cs="宋体"/>
          <w:sz w:val="24"/>
        </w:rPr>
      </w:pPr>
      <w:r>
        <w:rPr>
          <w:rFonts w:hint="eastAsia" w:ascii="宋体" w:hAnsi="宋体" w:cs="宋体"/>
          <w:sz w:val="24"/>
        </w:rPr>
        <w:t>3.20 FFT脑能量分析软件，对不同睡眠分期，统计不同脑波的频域范围。提供波形输出端口。</w:t>
      </w:r>
    </w:p>
    <w:p w14:paraId="655D36B9">
      <w:pPr>
        <w:spacing w:line="360" w:lineRule="auto"/>
        <w:ind w:firstLine="480" w:firstLineChars="200"/>
        <w:rPr>
          <w:rFonts w:hint="eastAsia" w:ascii="宋体" w:hAnsi="宋体" w:cs="宋体"/>
          <w:sz w:val="24"/>
        </w:rPr>
      </w:pPr>
      <w:r>
        <w:rPr>
          <w:rFonts w:hint="eastAsia" w:ascii="宋体" w:hAnsi="宋体" w:cs="宋体"/>
          <w:sz w:val="24"/>
        </w:rPr>
        <w:t>3.21软件具备连续小波频谱转换图查看功能、快速傅里叶变换直方图查看功能。</w:t>
      </w:r>
    </w:p>
    <w:p w14:paraId="440934CB">
      <w:pPr>
        <w:spacing w:line="360" w:lineRule="auto"/>
        <w:ind w:firstLine="480" w:firstLineChars="200"/>
        <w:rPr>
          <w:rFonts w:hint="eastAsia" w:ascii="宋体" w:hAnsi="宋体" w:cs="宋体"/>
          <w:sz w:val="24"/>
        </w:rPr>
      </w:pPr>
      <w:r>
        <w:rPr>
          <w:rFonts w:hint="eastAsia" w:ascii="宋体" w:hAnsi="宋体" w:cs="宋体"/>
          <w:sz w:val="24"/>
        </w:rPr>
        <w:t>3.22具备PTT（脉搏传输时间）功能反映睡眠呼吸事件发生时的血压变化趋势，并能辅助呼吸事件判断。</w:t>
      </w:r>
    </w:p>
    <w:p w14:paraId="303B2491">
      <w:pPr>
        <w:spacing w:line="360" w:lineRule="auto"/>
        <w:ind w:firstLine="480" w:firstLineChars="200"/>
        <w:rPr>
          <w:rFonts w:hint="eastAsia" w:ascii="宋体" w:hAnsi="宋体" w:cs="宋体"/>
          <w:sz w:val="24"/>
        </w:rPr>
      </w:pPr>
      <w:r>
        <w:rPr>
          <w:rFonts w:hint="eastAsia" w:ascii="宋体" w:hAnsi="宋体" w:cs="宋体"/>
          <w:sz w:val="24"/>
        </w:rPr>
        <w:t>▲3.23 CAP分析并可出具报告、REM密度分析并可出具报告、RERA分析上气道呼吸努力相关性微觉醒并可出具报告。</w:t>
      </w:r>
    </w:p>
    <w:p w14:paraId="67F699D4">
      <w:pPr>
        <w:spacing w:line="360" w:lineRule="auto"/>
        <w:ind w:firstLine="480" w:firstLineChars="200"/>
        <w:rPr>
          <w:rFonts w:hint="eastAsia" w:ascii="宋体" w:hAnsi="宋体" w:cs="宋体"/>
          <w:sz w:val="24"/>
        </w:rPr>
      </w:pPr>
      <w:r>
        <w:rPr>
          <w:rFonts w:hint="eastAsia" w:ascii="宋体" w:hAnsi="宋体" w:cs="宋体"/>
          <w:sz w:val="24"/>
        </w:rPr>
        <w:t>3.24具有≥128个书签功能，可快速插入书签能够准确查找异常事件。</w:t>
      </w:r>
    </w:p>
    <w:p w14:paraId="7A783AF8">
      <w:pPr>
        <w:spacing w:line="360" w:lineRule="auto"/>
        <w:ind w:firstLine="480" w:firstLineChars="200"/>
        <w:rPr>
          <w:rFonts w:hint="eastAsia" w:ascii="宋体" w:hAnsi="宋体" w:cs="宋体"/>
          <w:sz w:val="24"/>
        </w:rPr>
      </w:pPr>
      <w:r>
        <w:rPr>
          <w:rFonts w:hint="eastAsia" w:ascii="宋体" w:hAnsi="宋体" w:cs="宋体"/>
          <w:sz w:val="24"/>
        </w:rPr>
        <w:t>4.工作站：≥16G内存、1T以上硬盘、DVD刻录机、独立显卡，附带一套脑电软件</w:t>
      </w:r>
    </w:p>
    <w:p w14:paraId="717B3DF1">
      <w:pPr>
        <w:spacing w:line="360" w:lineRule="auto"/>
        <w:ind w:firstLine="480" w:firstLineChars="200"/>
        <w:rPr>
          <w:rFonts w:hint="eastAsia" w:ascii="宋体" w:hAnsi="宋体" w:cs="宋体"/>
          <w:sz w:val="24"/>
        </w:rPr>
      </w:pPr>
      <w:r>
        <w:rPr>
          <w:rFonts w:hint="eastAsia" w:ascii="宋体" w:hAnsi="宋体" w:cs="宋体"/>
          <w:sz w:val="24"/>
        </w:rPr>
        <w:t>5.视频</w:t>
      </w:r>
    </w:p>
    <w:p w14:paraId="20043E83">
      <w:pPr>
        <w:spacing w:line="360" w:lineRule="auto"/>
        <w:ind w:firstLine="480" w:firstLineChars="200"/>
        <w:rPr>
          <w:rFonts w:hint="eastAsia" w:ascii="宋体" w:hAnsi="宋体" w:cs="宋体"/>
          <w:sz w:val="24"/>
        </w:rPr>
      </w:pPr>
      <w:r>
        <w:rPr>
          <w:rFonts w:hint="eastAsia" w:ascii="宋体" w:hAnsi="宋体" w:cs="宋体"/>
          <w:sz w:val="24"/>
        </w:rPr>
        <w:t>5.1视频同步软件</w:t>
      </w:r>
    </w:p>
    <w:p w14:paraId="5DDEFA16">
      <w:pPr>
        <w:spacing w:line="360" w:lineRule="auto"/>
        <w:ind w:firstLine="480" w:firstLineChars="200"/>
        <w:rPr>
          <w:rFonts w:hint="eastAsia" w:ascii="宋体" w:hAnsi="宋体" w:cs="宋体"/>
          <w:sz w:val="24"/>
        </w:rPr>
      </w:pPr>
      <w:r>
        <w:rPr>
          <w:rFonts w:hint="eastAsia" w:ascii="宋体" w:hAnsi="宋体" w:cs="宋体"/>
          <w:sz w:val="24"/>
        </w:rPr>
        <w:t>5.2 ≥1080P高清数字摄像头</w:t>
      </w:r>
    </w:p>
    <w:p w14:paraId="4E2CF74E">
      <w:pPr>
        <w:spacing w:line="360" w:lineRule="auto"/>
        <w:ind w:firstLine="480" w:firstLineChars="200"/>
        <w:rPr>
          <w:rFonts w:hint="eastAsia" w:ascii="宋体" w:hAnsi="宋体" w:cs="宋体"/>
          <w:sz w:val="24"/>
        </w:rPr>
      </w:pPr>
      <w:r>
        <w:rPr>
          <w:rFonts w:hint="eastAsia" w:ascii="宋体" w:hAnsi="宋体" w:cs="宋体"/>
          <w:sz w:val="24"/>
        </w:rPr>
        <w:t>5.3支持H.265视频编码标准</w:t>
      </w:r>
    </w:p>
    <w:p w14:paraId="2E1858F5">
      <w:pPr>
        <w:spacing w:line="360" w:lineRule="auto"/>
        <w:ind w:firstLine="480" w:firstLineChars="200"/>
        <w:rPr>
          <w:rFonts w:hint="eastAsia" w:ascii="宋体" w:hAnsi="宋体" w:cs="宋体"/>
          <w:sz w:val="24"/>
        </w:rPr>
      </w:pPr>
      <w:r>
        <w:rPr>
          <w:rFonts w:hint="eastAsia" w:ascii="宋体" w:hAnsi="宋体" w:cs="宋体"/>
          <w:sz w:val="24"/>
        </w:rPr>
        <w:t>6.多模态分析系统</w:t>
      </w:r>
    </w:p>
    <w:p w14:paraId="77197EE0">
      <w:pPr>
        <w:spacing w:line="360" w:lineRule="auto"/>
        <w:ind w:firstLine="480" w:firstLineChars="200"/>
        <w:rPr>
          <w:rFonts w:hint="eastAsia" w:ascii="宋体" w:hAnsi="宋体" w:cs="宋体"/>
          <w:sz w:val="24"/>
        </w:rPr>
      </w:pPr>
      <w:r>
        <w:rPr>
          <w:rFonts w:hint="eastAsia" w:ascii="宋体" w:hAnsi="宋体" w:cs="宋体"/>
          <w:sz w:val="24"/>
        </w:rPr>
        <w:t>6.1 EEG软件的ERP事件标记和记录的数据格式支持Curry信号处理分析软件。</w:t>
      </w:r>
    </w:p>
    <w:p w14:paraId="28254958">
      <w:pPr>
        <w:spacing w:line="360" w:lineRule="auto"/>
        <w:ind w:firstLine="480" w:firstLineChars="200"/>
        <w:rPr>
          <w:rFonts w:hint="eastAsia" w:ascii="宋体" w:hAnsi="宋体" w:cs="宋体"/>
          <w:sz w:val="24"/>
        </w:rPr>
      </w:pPr>
      <w:r>
        <w:rPr>
          <w:rFonts w:hint="eastAsia" w:ascii="宋体" w:hAnsi="宋体" w:cs="宋体"/>
          <w:sz w:val="24"/>
        </w:rPr>
        <w:t>▲6.2提供信号处理分析软件，具备头部模型重建，偶极子分析，源定位，影像融合分析，信号采集以及分析功能。</w:t>
      </w:r>
      <w:r>
        <w:rPr>
          <w:rFonts w:hint="eastAsia" w:ascii="宋体" w:hAnsi="宋体" w:cs="宋体"/>
          <w:b/>
          <w:bCs/>
          <w:sz w:val="24"/>
        </w:rPr>
        <w:t>（提供软件功能截图加盖供应商单位公章）</w:t>
      </w:r>
    </w:p>
    <w:p w14:paraId="397B7316">
      <w:pPr>
        <w:spacing w:line="360" w:lineRule="auto"/>
        <w:ind w:firstLine="480" w:firstLineChars="200"/>
        <w:rPr>
          <w:rFonts w:hint="eastAsia" w:ascii="宋体" w:hAnsi="宋体" w:cs="宋体"/>
          <w:sz w:val="24"/>
        </w:rPr>
      </w:pPr>
      <w:r>
        <w:rPr>
          <w:rFonts w:hint="eastAsia" w:ascii="宋体" w:hAnsi="宋体" w:cs="宋体"/>
          <w:sz w:val="24"/>
        </w:rPr>
        <w:t>6.3能够进行基于刺激类型的分类叠加、记录反应的正确率和反应时、顺序识别。</w:t>
      </w:r>
    </w:p>
    <w:p w14:paraId="4FFADCB9">
      <w:pPr>
        <w:spacing w:line="360" w:lineRule="auto"/>
        <w:ind w:firstLine="480" w:firstLineChars="200"/>
        <w:rPr>
          <w:rFonts w:hint="eastAsia" w:ascii="宋体" w:hAnsi="宋体" w:cs="宋体"/>
          <w:sz w:val="24"/>
        </w:rPr>
      </w:pPr>
      <w:r>
        <w:rPr>
          <w:rFonts w:hint="eastAsia" w:ascii="宋体" w:hAnsi="宋体" w:cs="宋体"/>
          <w:sz w:val="24"/>
        </w:rPr>
        <w:t>6.4在线进行脑电频谱分析及时域特征分析、叠加平均；</w:t>
      </w:r>
    </w:p>
    <w:p w14:paraId="65F274DB">
      <w:pPr>
        <w:spacing w:line="360" w:lineRule="auto"/>
        <w:ind w:firstLine="480" w:firstLineChars="200"/>
        <w:rPr>
          <w:rFonts w:hint="eastAsia" w:ascii="宋体" w:hAnsi="宋体" w:cs="宋体"/>
          <w:sz w:val="24"/>
        </w:rPr>
      </w:pPr>
      <w:r>
        <w:rPr>
          <w:rFonts w:hint="eastAsia" w:ascii="宋体" w:hAnsi="宋体" w:cs="宋体"/>
          <w:sz w:val="24"/>
        </w:rPr>
        <w:t>6.5在线进行多种方式的数据呈现；</w:t>
      </w:r>
    </w:p>
    <w:p w14:paraId="2179D29F">
      <w:pPr>
        <w:spacing w:line="360" w:lineRule="auto"/>
        <w:ind w:firstLine="480" w:firstLineChars="200"/>
        <w:rPr>
          <w:rFonts w:hint="eastAsia" w:ascii="宋体" w:hAnsi="宋体" w:cs="宋体"/>
          <w:sz w:val="24"/>
        </w:rPr>
      </w:pPr>
      <w:r>
        <w:rPr>
          <w:rFonts w:hint="eastAsia" w:ascii="宋体" w:hAnsi="宋体" w:cs="宋体"/>
          <w:sz w:val="24"/>
        </w:rPr>
        <w:t>6.6在线分析功能，根据用户需求须提供现场演示；</w:t>
      </w:r>
    </w:p>
    <w:p w14:paraId="5991E82A">
      <w:pPr>
        <w:spacing w:line="360" w:lineRule="auto"/>
        <w:ind w:firstLine="480" w:firstLineChars="200"/>
        <w:rPr>
          <w:rFonts w:hint="eastAsia" w:ascii="宋体" w:hAnsi="宋体" w:cs="宋体"/>
          <w:sz w:val="24"/>
        </w:rPr>
      </w:pPr>
      <w:r>
        <w:rPr>
          <w:rFonts w:hint="eastAsia" w:ascii="宋体" w:hAnsi="宋体" w:cs="宋体"/>
          <w:sz w:val="24"/>
        </w:rPr>
        <w:t>6.7根据实验和研究需求进行数据滤波、去除眼电干扰及伪迹剃除；</w:t>
      </w:r>
    </w:p>
    <w:p w14:paraId="4D847B42">
      <w:pPr>
        <w:spacing w:line="360" w:lineRule="auto"/>
        <w:ind w:firstLine="480" w:firstLineChars="200"/>
        <w:rPr>
          <w:rFonts w:hint="eastAsia" w:ascii="宋体" w:hAnsi="宋体" w:cs="宋体"/>
          <w:sz w:val="24"/>
        </w:rPr>
      </w:pPr>
      <w:r>
        <w:rPr>
          <w:rFonts w:ascii="宋体" w:hAnsi="宋体" w:cs="宋体"/>
          <w:sz w:val="24"/>
        </w:rPr>
        <w:t>6.8提供宏命令，</w:t>
      </w:r>
      <w:r>
        <w:rPr>
          <w:rFonts w:hint="eastAsia" w:ascii="宋体" w:hAnsi="宋体" w:cs="宋体"/>
          <w:sz w:val="24"/>
        </w:rPr>
        <w:t>可一键式完成操作。</w:t>
      </w:r>
    </w:p>
    <w:p w14:paraId="6E79714F">
      <w:pPr>
        <w:spacing w:line="360" w:lineRule="auto"/>
        <w:ind w:firstLine="480" w:firstLineChars="200"/>
        <w:rPr>
          <w:rFonts w:hint="eastAsia" w:ascii="宋体" w:hAnsi="宋体" w:cs="宋体"/>
          <w:sz w:val="24"/>
        </w:rPr>
      </w:pPr>
      <w:r>
        <w:rPr>
          <w:rFonts w:hint="eastAsia" w:ascii="宋体" w:hAnsi="宋体" w:cs="宋体"/>
          <w:sz w:val="24"/>
        </w:rPr>
        <w:t>6.9数据分段：可以根据不同实验需要,选择从1到10十种的刺激信号标记进行分段；</w:t>
      </w:r>
    </w:p>
    <w:p w14:paraId="43FCD7D7">
      <w:pPr>
        <w:spacing w:line="360" w:lineRule="auto"/>
        <w:ind w:firstLine="480" w:firstLineChars="200"/>
        <w:rPr>
          <w:rFonts w:hint="eastAsia" w:ascii="宋体" w:hAnsi="宋体" w:cs="宋体"/>
          <w:sz w:val="24"/>
        </w:rPr>
      </w:pPr>
      <w:r>
        <w:rPr>
          <w:rFonts w:hint="eastAsia" w:ascii="宋体" w:hAnsi="宋体" w:cs="宋体"/>
          <w:sz w:val="24"/>
        </w:rPr>
        <w:t>6.10可直接读取*.cdt和*.cnt等格式数据。</w:t>
      </w:r>
    </w:p>
    <w:p w14:paraId="55F11B8F">
      <w:pPr>
        <w:widowControl/>
        <w:spacing w:line="360" w:lineRule="auto"/>
        <w:ind w:firstLine="482" w:firstLineChars="200"/>
        <w:contextualSpacing/>
        <w:jc w:val="left"/>
        <w:outlineLvl w:val="1"/>
        <w:rPr>
          <w:rFonts w:hint="eastAsia" w:ascii="宋体" w:hAnsi="宋体" w:cs="宋体"/>
          <w:b/>
          <w:bCs/>
          <w:sz w:val="24"/>
        </w:rPr>
      </w:pPr>
      <w:r>
        <w:rPr>
          <w:rFonts w:hint="eastAsia" w:ascii="宋体" w:hAnsi="宋体" w:cs="宋体"/>
          <w:b/>
          <w:bCs/>
          <w:sz w:val="24"/>
        </w:rPr>
        <w:t>（三）其他要求</w:t>
      </w:r>
    </w:p>
    <w:p w14:paraId="1DBB2F98">
      <w:pPr>
        <w:spacing w:line="360" w:lineRule="auto"/>
        <w:ind w:firstLine="480" w:firstLineChars="200"/>
        <w:contextualSpacing/>
        <w:rPr>
          <w:rFonts w:hint="eastAsia" w:ascii="宋体" w:hAnsi="宋体"/>
          <w:sz w:val="24"/>
        </w:rPr>
      </w:pPr>
      <w:r>
        <w:rPr>
          <w:rFonts w:hint="eastAsia" w:ascii="宋体" w:hAnsi="宋体"/>
          <w:sz w:val="24"/>
        </w:rPr>
        <w:t>1.供应商必须提供专业的安装服务，并确保设备投入运行符合所有功能要求。</w:t>
      </w:r>
    </w:p>
    <w:p w14:paraId="311D8A40">
      <w:pPr>
        <w:spacing w:line="360" w:lineRule="auto"/>
        <w:ind w:firstLine="480" w:firstLineChars="200"/>
        <w:contextualSpacing/>
        <w:rPr>
          <w:rFonts w:hint="eastAsia" w:ascii="宋体" w:hAnsi="宋体"/>
          <w:sz w:val="24"/>
        </w:rPr>
      </w:pPr>
      <w:r>
        <w:rPr>
          <w:rFonts w:hint="eastAsia" w:ascii="宋体" w:hAnsi="宋体"/>
          <w:sz w:val="24"/>
        </w:rPr>
        <w:t>2.培训：免费提供设备到达现场后的安装调试，应用培训，直至操作人员掌握为止。培训讲师师资力量构成，为技术专业人员，要求提供具体学历资质证书。</w:t>
      </w:r>
    </w:p>
    <w:p w14:paraId="554D7D49">
      <w:pPr>
        <w:spacing w:line="360" w:lineRule="auto"/>
        <w:ind w:firstLine="480" w:firstLineChars="200"/>
        <w:contextualSpacing/>
        <w:rPr>
          <w:rFonts w:hint="eastAsia" w:ascii="宋体" w:hAnsi="宋体"/>
          <w:sz w:val="24"/>
        </w:rPr>
      </w:pPr>
      <w:r>
        <w:rPr>
          <w:rFonts w:hint="eastAsia" w:ascii="宋体" w:hAnsi="宋体"/>
          <w:sz w:val="24"/>
        </w:rPr>
        <w:t>3.提供操作使用培训，提供完整的操作手册。</w:t>
      </w:r>
    </w:p>
    <w:p w14:paraId="18CC30AA">
      <w:pPr>
        <w:spacing w:line="360" w:lineRule="auto"/>
        <w:ind w:firstLine="480" w:firstLineChars="200"/>
        <w:contextualSpacing/>
        <w:rPr>
          <w:rFonts w:hint="eastAsia" w:ascii="宋体" w:hAnsi="宋体"/>
          <w:sz w:val="24"/>
        </w:rPr>
      </w:pPr>
      <w:r>
        <w:rPr>
          <w:rFonts w:hint="eastAsia" w:ascii="宋体" w:hAnsi="宋体"/>
          <w:sz w:val="24"/>
        </w:rPr>
        <w:t>4.技术支持：免费提供设备使用手册、培训教材、应用资料等；长期提供技术服务支持。</w:t>
      </w:r>
    </w:p>
    <w:p w14:paraId="6C73A6BF">
      <w:pPr>
        <w:spacing w:line="360" w:lineRule="auto"/>
        <w:ind w:firstLine="480" w:firstLineChars="200"/>
        <w:contextualSpacing/>
        <w:rPr>
          <w:rFonts w:hint="eastAsia" w:ascii="宋体" w:hAnsi="宋体"/>
          <w:sz w:val="24"/>
        </w:rPr>
      </w:pPr>
      <w:r>
        <w:rPr>
          <w:rFonts w:hint="eastAsia" w:ascii="宋体" w:hAnsi="宋体"/>
          <w:sz w:val="24"/>
        </w:rPr>
        <w:t>5.维修要求：在设备整个使用期内，卖方应确保设备的正常使用。在接到用户维修要求后须在2小时内作出回应，并在48小时内派员到达买方现场实施维修。</w:t>
      </w:r>
    </w:p>
    <w:p w14:paraId="2BD0E80C">
      <w:pPr>
        <w:spacing w:line="360" w:lineRule="auto"/>
        <w:ind w:firstLine="480" w:firstLineChars="200"/>
        <w:contextualSpacing/>
        <w:rPr>
          <w:rFonts w:hint="eastAsia" w:ascii="宋体" w:hAnsi="宋体"/>
          <w:sz w:val="24"/>
        </w:rPr>
      </w:pPr>
      <w:r>
        <w:rPr>
          <w:rFonts w:hint="eastAsia" w:ascii="宋体" w:hAnsi="宋体"/>
          <w:sz w:val="24"/>
        </w:rPr>
        <w:t>6.出保后软件终身免费升级，硬件老化更换只收取配件成本费用不收人工费。</w:t>
      </w:r>
    </w:p>
    <w:p w14:paraId="0862D52D">
      <w:pPr>
        <w:pStyle w:val="2"/>
        <w:spacing w:line="360" w:lineRule="auto"/>
        <w:ind w:firstLine="480" w:firstLineChars="200"/>
        <w:rPr>
          <w:rFonts w:hint="eastAsia" w:hAnsi="宋体" w:cs="宋体"/>
          <w:bCs/>
        </w:rPr>
      </w:pPr>
      <w:r>
        <w:rPr>
          <w:rFonts w:hint="eastAsia" w:hAnsi="宋体" w:cs="宋体"/>
          <w:bCs/>
        </w:rPr>
        <w:t>7.验收：产品到货后，采购人使用单位进行开箱检查，对于出现的产品损坏、数量不全、产品不符等问题时，采购人有权要求中标供应商退货、更换货物、补充货物。按合同文件的技术指标对产品的性能、配置进行选择性测试检查。</w:t>
      </w:r>
    </w:p>
    <w:p w14:paraId="5298D765">
      <w:pPr>
        <w:widowControl/>
        <w:spacing w:line="360" w:lineRule="auto"/>
        <w:ind w:firstLine="480" w:firstLineChars="200"/>
        <w:contextualSpacing/>
        <w:jc w:val="left"/>
        <w:rPr>
          <w:rFonts w:hint="eastAsia" w:ascii="宋体" w:hAnsi="宋体"/>
          <w:sz w:val="24"/>
        </w:rPr>
      </w:pPr>
      <w:r>
        <w:rPr>
          <w:rFonts w:hint="eastAsia" w:ascii="宋体" w:hAnsi="宋体"/>
          <w:sz w:val="24"/>
        </w:rPr>
        <w:t>8.投标人应在投标文件中提供：</w:t>
      </w:r>
    </w:p>
    <w:p w14:paraId="4C8C126F">
      <w:pPr>
        <w:widowControl/>
        <w:spacing w:line="360" w:lineRule="auto"/>
        <w:ind w:firstLine="480" w:firstLineChars="200"/>
        <w:contextualSpacing/>
        <w:jc w:val="left"/>
        <w:rPr>
          <w:rFonts w:hint="eastAsia" w:ascii="宋体" w:hAnsi="宋体"/>
          <w:sz w:val="24"/>
        </w:rPr>
      </w:pPr>
      <w:r>
        <w:rPr>
          <w:rFonts w:hint="eastAsia" w:ascii="宋体" w:hAnsi="宋体"/>
          <w:sz w:val="24"/>
        </w:rPr>
        <w:t>8.1供货、安装、验收方案，内容包括但不限于：</w:t>
      </w:r>
    </w:p>
    <w:p w14:paraId="34AC16E0">
      <w:pPr>
        <w:widowControl/>
        <w:spacing w:line="360" w:lineRule="auto"/>
        <w:ind w:firstLine="480" w:firstLineChars="200"/>
        <w:contextualSpacing/>
        <w:jc w:val="left"/>
        <w:rPr>
          <w:rFonts w:hint="eastAsia" w:ascii="宋体" w:hAnsi="宋体"/>
          <w:sz w:val="24"/>
        </w:rPr>
      </w:pPr>
      <w:r>
        <w:rPr>
          <w:rFonts w:hint="eastAsia" w:ascii="宋体" w:hAnsi="宋体"/>
          <w:sz w:val="24"/>
        </w:rPr>
        <w:t>8.1.1供货保障方案；</w:t>
      </w:r>
    </w:p>
    <w:p w14:paraId="48F64E17">
      <w:pPr>
        <w:widowControl/>
        <w:spacing w:line="360" w:lineRule="auto"/>
        <w:ind w:firstLine="480" w:firstLineChars="200"/>
        <w:contextualSpacing/>
        <w:jc w:val="left"/>
        <w:rPr>
          <w:rFonts w:hint="eastAsia" w:ascii="宋体" w:hAnsi="宋体"/>
          <w:sz w:val="24"/>
        </w:rPr>
      </w:pPr>
      <w:r>
        <w:rPr>
          <w:rFonts w:hint="eastAsia" w:ascii="宋体" w:hAnsi="宋体"/>
          <w:sz w:val="24"/>
        </w:rPr>
        <w:t>8.1.2安装实施方案；</w:t>
      </w:r>
    </w:p>
    <w:p w14:paraId="2C1EA378">
      <w:pPr>
        <w:widowControl/>
        <w:spacing w:line="360" w:lineRule="auto"/>
        <w:ind w:firstLine="480" w:firstLineChars="200"/>
        <w:contextualSpacing/>
        <w:jc w:val="left"/>
        <w:rPr>
          <w:rFonts w:hint="eastAsia" w:ascii="宋体" w:hAnsi="宋体"/>
          <w:sz w:val="24"/>
        </w:rPr>
      </w:pPr>
      <w:r>
        <w:rPr>
          <w:rFonts w:hint="eastAsia" w:ascii="宋体" w:hAnsi="宋体"/>
          <w:sz w:val="24"/>
        </w:rPr>
        <w:t>8.1.3验收标准与流程方案；</w:t>
      </w:r>
    </w:p>
    <w:p w14:paraId="2E7207A4">
      <w:pPr>
        <w:widowControl/>
        <w:spacing w:line="360" w:lineRule="auto"/>
        <w:ind w:firstLine="480" w:firstLineChars="200"/>
        <w:contextualSpacing/>
        <w:jc w:val="left"/>
        <w:rPr>
          <w:rFonts w:hint="eastAsia" w:ascii="宋体" w:hAnsi="宋体"/>
          <w:sz w:val="24"/>
        </w:rPr>
      </w:pPr>
      <w:r>
        <w:rPr>
          <w:rFonts w:hint="eastAsia" w:ascii="宋体" w:hAnsi="宋体"/>
          <w:sz w:val="24"/>
        </w:rPr>
        <w:t>8.1.4项目进度保障措施。</w:t>
      </w:r>
    </w:p>
    <w:p w14:paraId="679BD845">
      <w:pPr>
        <w:widowControl/>
        <w:spacing w:line="360" w:lineRule="auto"/>
        <w:ind w:firstLine="480" w:firstLineChars="200"/>
        <w:contextualSpacing/>
        <w:jc w:val="left"/>
        <w:rPr>
          <w:rFonts w:hint="eastAsia" w:ascii="宋体" w:hAnsi="宋体"/>
          <w:sz w:val="24"/>
        </w:rPr>
      </w:pPr>
      <w:r>
        <w:rPr>
          <w:rFonts w:hint="eastAsia" w:ascii="宋体" w:hAnsi="宋体"/>
          <w:sz w:val="24"/>
        </w:rPr>
        <w:t>8.2售后服务方案：内容包括但不限于：</w:t>
      </w:r>
    </w:p>
    <w:p w14:paraId="60C4CA06">
      <w:pPr>
        <w:widowControl/>
        <w:spacing w:line="360" w:lineRule="auto"/>
        <w:ind w:firstLine="480" w:firstLineChars="200"/>
        <w:contextualSpacing/>
        <w:jc w:val="left"/>
        <w:rPr>
          <w:rFonts w:hint="eastAsia" w:ascii="宋体" w:hAnsi="宋体"/>
          <w:sz w:val="24"/>
        </w:rPr>
      </w:pPr>
      <w:r>
        <w:rPr>
          <w:rFonts w:hint="eastAsia" w:ascii="宋体" w:hAnsi="宋体"/>
          <w:sz w:val="24"/>
        </w:rPr>
        <w:t>8.2.1售后服务承诺（售后响应及处理周期等）及保障措施；</w:t>
      </w:r>
    </w:p>
    <w:p w14:paraId="788724CA">
      <w:pPr>
        <w:widowControl/>
        <w:spacing w:line="360" w:lineRule="auto"/>
        <w:ind w:firstLine="480" w:firstLineChars="200"/>
        <w:contextualSpacing/>
        <w:jc w:val="left"/>
        <w:rPr>
          <w:rFonts w:hint="eastAsia" w:ascii="宋体" w:hAnsi="宋体"/>
          <w:sz w:val="24"/>
        </w:rPr>
      </w:pPr>
      <w:r>
        <w:rPr>
          <w:rFonts w:hint="eastAsia" w:ascii="宋体" w:hAnsi="宋体"/>
          <w:sz w:val="24"/>
        </w:rPr>
        <w:t>8.2.2售后备品备件情况；</w:t>
      </w:r>
    </w:p>
    <w:p w14:paraId="739B46B3">
      <w:pPr>
        <w:widowControl/>
        <w:spacing w:line="360" w:lineRule="auto"/>
        <w:ind w:firstLine="480" w:firstLineChars="200"/>
        <w:contextualSpacing/>
        <w:jc w:val="left"/>
        <w:rPr>
          <w:rFonts w:hint="eastAsia" w:ascii="宋体" w:hAnsi="宋体"/>
          <w:sz w:val="24"/>
        </w:rPr>
      </w:pPr>
      <w:r>
        <w:rPr>
          <w:rFonts w:hint="eastAsia" w:ascii="宋体" w:hAnsi="宋体"/>
          <w:sz w:val="24"/>
        </w:rPr>
        <w:t>8.2.3售后人员配置及回访方案。</w:t>
      </w:r>
    </w:p>
    <w:p w14:paraId="26F441D5">
      <w:pPr>
        <w:widowControl/>
        <w:spacing w:line="360" w:lineRule="auto"/>
        <w:ind w:firstLine="480" w:firstLineChars="200"/>
        <w:contextualSpacing/>
        <w:jc w:val="left"/>
        <w:rPr>
          <w:rFonts w:hint="eastAsia" w:ascii="宋体" w:hAnsi="宋体"/>
          <w:sz w:val="24"/>
        </w:rPr>
      </w:pPr>
      <w:r>
        <w:rPr>
          <w:rFonts w:hint="eastAsia" w:ascii="宋体" w:hAnsi="宋体"/>
          <w:sz w:val="24"/>
        </w:rPr>
        <w:t>8.3培训方案：内容包括但不限于：</w:t>
      </w:r>
    </w:p>
    <w:p w14:paraId="038E4526">
      <w:pPr>
        <w:widowControl/>
        <w:spacing w:line="360" w:lineRule="auto"/>
        <w:ind w:firstLine="480" w:firstLineChars="200"/>
        <w:contextualSpacing/>
        <w:jc w:val="left"/>
        <w:rPr>
          <w:rFonts w:hint="eastAsia" w:ascii="宋体" w:hAnsi="宋体"/>
          <w:sz w:val="24"/>
        </w:rPr>
      </w:pPr>
      <w:r>
        <w:rPr>
          <w:rFonts w:hint="eastAsia" w:ascii="宋体" w:hAnsi="宋体"/>
          <w:sz w:val="24"/>
        </w:rPr>
        <w:t>8.3.1培训的时间、培训方式、培训内容；</w:t>
      </w:r>
    </w:p>
    <w:p w14:paraId="03FF8233">
      <w:pPr>
        <w:widowControl/>
        <w:spacing w:line="360" w:lineRule="auto"/>
        <w:ind w:firstLine="480" w:firstLineChars="200"/>
        <w:contextualSpacing/>
        <w:jc w:val="left"/>
        <w:rPr>
          <w:rFonts w:hint="eastAsia" w:ascii="宋体" w:hAnsi="宋体"/>
          <w:sz w:val="24"/>
        </w:rPr>
      </w:pPr>
      <w:r>
        <w:rPr>
          <w:rFonts w:hint="eastAsia" w:ascii="宋体" w:hAnsi="宋体"/>
          <w:sz w:val="24"/>
        </w:rPr>
        <w:t>8.3.2培训师资与保障措施</w:t>
      </w:r>
    </w:p>
    <w:p w14:paraId="7C328543">
      <w:pPr>
        <w:widowControl/>
        <w:spacing w:line="360" w:lineRule="auto"/>
        <w:ind w:firstLine="480" w:firstLineChars="200"/>
        <w:contextualSpacing/>
        <w:jc w:val="left"/>
        <w:rPr>
          <w:rFonts w:hint="eastAsia" w:ascii="宋体" w:hAnsi="宋体" w:cs="宋体"/>
          <w:b/>
          <w:bCs/>
          <w:sz w:val="24"/>
        </w:rPr>
      </w:pPr>
      <w:r>
        <w:rPr>
          <w:rFonts w:hint="eastAsia" w:ascii="宋体" w:hAnsi="宋体"/>
          <w:sz w:val="24"/>
        </w:rPr>
        <w:t>8.3.3培训效果评估及考核方案。</w:t>
      </w:r>
    </w:p>
    <w:p w14:paraId="392F5805">
      <w:pPr>
        <w:widowControl/>
        <w:spacing w:line="360" w:lineRule="auto"/>
        <w:ind w:firstLine="482" w:firstLineChars="200"/>
        <w:contextualSpacing/>
        <w:jc w:val="left"/>
        <w:outlineLvl w:val="1"/>
        <w:rPr>
          <w:rFonts w:hint="eastAsia" w:ascii="宋体" w:hAnsi="宋体" w:cs="宋体"/>
          <w:b/>
          <w:bCs/>
          <w:sz w:val="24"/>
        </w:rPr>
      </w:pPr>
      <w:r>
        <w:rPr>
          <w:rFonts w:hint="eastAsia" w:ascii="宋体" w:hAnsi="宋体" w:cs="宋体"/>
          <w:b/>
          <w:bCs/>
          <w:sz w:val="24"/>
        </w:rPr>
        <w:t>（四）特别说明</w:t>
      </w:r>
    </w:p>
    <w:p w14:paraId="68509B3E">
      <w:pPr>
        <w:spacing w:line="360" w:lineRule="auto"/>
        <w:ind w:firstLine="480" w:firstLineChars="200"/>
        <w:jc w:val="left"/>
        <w:rPr>
          <w:rFonts w:hint="eastAsia" w:ascii="宋体" w:hAnsi="宋体"/>
          <w:sz w:val="24"/>
        </w:rPr>
      </w:pPr>
      <w:r>
        <w:rPr>
          <w:rFonts w:hint="eastAsia" w:ascii="宋体" w:hAnsi="宋体"/>
          <w:sz w:val="24"/>
        </w:rPr>
        <w:t>1.对于技术规格中标注“★”号（如有）的技术参数代表实质性指标，不满足该指标项将直接导致其投标无效。</w:t>
      </w:r>
    </w:p>
    <w:p w14:paraId="77609B25">
      <w:pPr>
        <w:spacing w:line="360" w:lineRule="auto"/>
        <w:ind w:firstLine="480" w:firstLineChars="200"/>
        <w:jc w:val="left"/>
        <w:rPr>
          <w:rFonts w:hint="eastAsia" w:ascii="宋体" w:hAnsi="宋体"/>
          <w:sz w:val="24"/>
        </w:rPr>
      </w:pPr>
      <w:r>
        <w:rPr>
          <w:rFonts w:hint="eastAsia" w:ascii="宋体" w:hAnsi="宋体"/>
          <w:sz w:val="24"/>
        </w:rPr>
        <w:t>2.标注“</w:t>
      </w:r>
      <w:r>
        <w:rPr>
          <w:rFonts w:hint="eastAsia" w:ascii="宋体" w:hAnsi="宋体" w:cs="宋体"/>
          <w:bCs/>
          <w:kern w:val="0"/>
          <w:sz w:val="24"/>
        </w:rPr>
        <w:t>▲</w:t>
      </w:r>
      <w:r>
        <w:rPr>
          <w:rFonts w:hint="eastAsia" w:ascii="宋体" w:hAnsi="宋体"/>
          <w:sz w:val="24"/>
        </w:rPr>
        <w:t>”的指标为重要的技术指标，</w:t>
      </w:r>
      <w:r>
        <w:rPr>
          <w:rFonts w:ascii="宋体" w:hAnsi="宋体" w:cs="宋体"/>
          <w:sz w:val="24"/>
        </w:rPr>
        <w:t>投标人不满足任意▲指标，</w:t>
      </w:r>
      <w:r>
        <w:rPr>
          <w:rFonts w:hint="eastAsia" w:ascii="宋体" w:hAnsi="宋体"/>
          <w:sz w:val="24"/>
        </w:rPr>
        <w:t>将导致其在第四章评标标准中对采购需求的响应情况被扣除相应分值。</w:t>
      </w:r>
    </w:p>
    <w:p w14:paraId="502CE3C9">
      <w:pPr>
        <w:widowControl/>
        <w:spacing w:line="360" w:lineRule="auto"/>
        <w:ind w:firstLine="480" w:firstLineChars="200"/>
        <w:contextualSpacing/>
        <w:jc w:val="left"/>
        <w:rPr>
          <w:rFonts w:hint="eastAsia" w:ascii="宋体" w:hAnsi="宋体"/>
          <w:b/>
          <w:sz w:val="36"/>
          <w:szCs w:val="36"/>
        </w:rPr>
      </w:pPr>
      <w:r>
        <w:rPr>
          <w:rFonts w:hint="eastAsia" w:ascii="宋体" w:hAnsi="宋体"/>
          <w:sz w:val="24"/>
        </w:rPr>
        <w:t>3.对于采购需求三、技术要求（二）具体要求中标注“▲”号的技术指标，</w:t>
      </w:r>
      <w:r>
        <w:rPr>
          <w:rFonts w:hint="eastAsia" w:ascii="宋体" w:hAnsi="宋体" w:cs="宋体"/>
          <w:sz w:val="24"/>
        </w:rPr>
        <w:t>投标人须在投标文件中按照招标文件技术规格的要求提供技术应答的证明材料，其中技术应答的证明材料指生产厂家公开发布的印刷资料或检测机构出具的检验报告（下文有特殊规定的从其规定）。若生产厂家公开发布的印刷资料与检测机构出具的检验报告不一致，以检测机构出具的检验报告为准。如投标人技术响应与技术应答的证明材料不一致，将以技术应答的证明材料为准。对于投标人提供的投标文件技术应答未按本条款要求提供技术应答的证明材料的，评标委员会可不予承认，并可认为该技术应答不符合招标文件要求。由此产生的风险由投标人承担</w:t>
      </w:r>
      <w:r>
        <w:rPr>
          <w:rFonts w:hint="eastAsia" w:ascii="宋体" w:hAnsi="宋体"/>
          <w:sz w:val="24"/>
        </w:rPr>
        <w:t>。</w:t>
      </w:r>
      <w:r>
        <w:rPr>
          <w:rFonts w:ascii="宋体" w:hAnsi="宋体"/>
          <w:b/>
          <w:sz w:val="36"/>
          <w:szCs w:val="36"/>
        </w:rPr>
        <w:br w:type="page"/>
      </w:r>
    </w:p>
    <w:p w14:paraId="75859BD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65342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styleId="3">
    <w:name w:val="toc 2"/>
    <w:basedOn w:val="1"/>
    <w:next w:val="1"/>
    <w:qFormat/>
    <w:uiPriority w:val="39"/>
    <w:pPr>
      <w:tabs>
        <w:tab w:val="right" w:leader="dot" w:pos="8937"/>
      </w:tabs>
      <w:spacing w:line="312" w:lineRule="auto"/>
      <w:ind w:left="420" w:leftChars="200"/>
    </w:pPr>
  </w:style>
  <w:style w:type="paragraph" w:styleId="4">
    <w:name w:val="Body Text 2"/>
    <w:basedOn w:val="1"/>
    <w:semiHidden/>
    <w:unhideWhenUsed/>
    <w:qFormat/>
    <w:uiPriority w:val="99"/>
    <w:pPr>
      <w:spacing w:after="120" w:line="480" w:lineRule="auto"/>
    </w:pPr>
  </w:style>
  <w:style w:type="paragraph" w:customStyle="1" w:styleId="7">
    <w:name w:val="列出段落1"/>
    <w:basedOn w:val="1"/>
    <w:autoRedefine/>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2026-08-31T05:51:39Z</dcterms:created>
  <dc:creator>zxhd2026</dc:creator>
  <cp:lastModifiedBy>用户</cp:lastModifiedBy>
  <dcterms:modified xsi:type="dcterms:W3CDTF">2026-08-31T05:52:11Z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eyJoZGlkIjoiNzdmODdjN2Y4NmFiNjdjZGFiMmRjZGU1NzVlN2NkYTMiLCJ1c2VySWQiOiIyOTI2NjUzMzQifQ==</vt:lpwstr>
  </property>
  <property fmtid="{D5CDD505-2E9C-101B-9397-08002B2CF9AE}" pid="4" name="ICV">
    <vt:lpwstr>05238B75405E45CE91008C00EB37E1FE_12</vt:lpwstr>
  </property>
</Properties>
</file>