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295F3">
      <w:pPr>
        <w:widowControl w:val="0"/>
        <w:numPr>
          <w:ilvl w:val="0"/>
          <w:numId w:val="1"/>
        </w:numPr>
        <w:tabs>
          <w:tab w:val="left" w:pos="1630"/>
        </w:tabs>
        <w:autoSpaceDE w:val="0"/>
        <w:autoSpaceDN w:val="0"/>
        <w:spacing w:line="460" w:lineRule="exact"/>
        <w:ind w:left="8"/>
        <w:jc w:val="center"/>
        <w:outlineLvl w:val="0"/>
        <w:rPr>
          <w:rFonts w:ascii="宋体" w:hAnsi="宋体" w:eastAsia="宋体" w:cs="宋体"/>
          <w:b/>
          <w:bCs/>
          <w:sz w:val="36"/>
          <w:szCs w:val="36"/>
          <w:lang w:val="en-US" w:eastAsia="en-US" w:bidi="ar-SA"/>
        </w:rPr>
      </w:pPr>
      <w:bookmarkStart w:id="0" w:name="_Toc23191"/>
      <w:r>
        <w:rPr>
          <w:rFonts w:hint="eastAsia" w:ascii="宋体" w:hAnsi="宋体" w:eastAsia="宋体" w:cs="宋体"/>
          <w:b/>
          <w:bCs/>
          <w:sz w:val="36"/>
          <w:szCs w:val="36"/>
          <w:lang w:val="en-US" w:eastAsia="en-US" w:bidi="ar-SA"/>
        </w:rPr>
        <w:t>采购需求</w:t>
      </w:r>
      <w:bookmarkEnd w:id="0"/>
    </w:p>
    <w:p w14:paraId="61803420"/>
    <w:p w14:paraId="07CC883C">
      <w:pPr>
        <w:widowControl w:val="0"/>
        <w:autoSpaceDE w:val="0"/>
        <w:autoSpaceDN w:val="0"/>
        <w:spacing w:before="1"/>
        <w:ind w:left="121"/>
        <w:rPr>
          <w:rFonts w:ascii="宋体" w:hAnsi="宋体" w:eastAsia="宋体" w:cs="宋体"/>
          <w:b/>
          <w:bCs/>
          <w:sz w:val="24"/>
          <w:szCs w:val="24"/>
          <w:lang w:val="en-US" w:eastAsia="en-US" w:bidi="ar-SA"/>
        </w:rPr>
      </w:pPr>
      <w:r>
        <w:rPr>
          <w:rFonts w:hint="eastAsia" w:ascii="宋体" w:hAnsi="宋体" w:eastAsia="宋体" w:cs="宋体"/>
          <w:b/>
          <w:bCs/>
          <w:sz w:val="24"/>
          <w:szCs w:val="24"/>
          <w:lang w:val="en-US" w:eastAsia="en-US" w:bidi="ar-SA"/>
        </w:rPr>
        <w:t>一、采购标的</w:t>
      </w:r>
    </w:p>
    <w:p w14:paraId="74BEEE7D">
      <w:pPr>
        <w:widowControl w:val="0"/>
        <w:tabs>
          <w:tab w:val="left" w:pos="470"/>
          <w:tab w:val="left" w:pos="7040"/>
        </w:tabs>
        <w:autoSpaceDE w:val="0"/>
        <w:autoSpaceDN w:val="0"/>
        <w:spacing w:before="154" w:line="338" w:lineRule="auto"/>
        <w:ind w:left="121" w:right="1830" w:firstLine="269" w:firstLineChars="100"/>
        <w:rPr>
          <w:rFonts w:ascii="宋体" w:hAnsi="宋体" w:eastAsia="宋体" w:cs="宋体"/>
          <w:sz w:val="24"/>
          <w:szCs w:val="22"/>
          <w:lang w:val="en-US" w:eastAsia="zh-CN" w:bidi="ar-SA"/>
        </w:rPr>
      </w:pPr>
      <w:r>
        <w:rPr>
          <w:rFonts w:hint="eastAsia" w:ascii="宋体" w:hAnsi="宋体" w:eastAsia="宋体" w:cs="宋体"/>
          <w:spacing w:val="-2"/>
          <w:w w:val="114"/>
          <w:sz w:val="24"/>
          <w:szCs w:val="24"/>
          <w:lang w:val="en-US" w:eastAsia="zh-CN" w:bidi="ar-SA"/>
        </w:rPr>
        <w:t>1.</w:t>
      </w:r>
      <w:r>
        <w:rPr>
          <w:rFonts w:hint="eastAsia" w:ascii="宋体" w:hAnsi="宋体" w:eastAsia="宋体" w:cs="宋体"/>
          <w:sz w:val="24"/>
          <w:szCs w:val="22"/>
          <w:lang w:val="en-US" w:eastAsia="zh-CN" w:bidi="ar-SA"/>
        </w:rPr>
        <w:t>采购标的（货物需求一览表）</w:t>
      </w:r>
    </w:p>
    <w:tbl>
      <w:tblPr>
        <w:tblStyle w:val="4"/>
        <w:tblW w:w="77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914"/>
        <w:gridCol w:w="1559"/>
        <w:gridCol w:w="2443"/>
      </w:tblGrid>
      <w:tr w14:paraId="7A24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823" w:type="dxa"/>
            <w:vAlign w:val="center"/>
          </w:tcPr>
          <w:p w14:paraId="6AC93A12">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包号</w:t>
            </w:r>
          </w:p>
        </w:tc>
        <w:tc>
          <w:tcPr>
            <w:tcW w:w="2914" w:type="dxa"/>
            <w:vAlign w:val="center"/>
          </w:tcPr>
          <w:p w14:paraId="09E6C091">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标的名称</w:t>
            </w:r>
          </w:p>
        </w:tc>
        <w:tc>
          <w:tcPr>
            <w:tcW w:w="1559" w:type="dxa"/>
            <w:vAlign w:val="center"/>
          </w:tcPr>
          <w:p w14:paraId="7140CC56">
            <w:pPr>
              <w:widowControl w:val="0"/>
              <w:autoSpaceDE w:val="0"/>
              <w:autoSpaceDN w:val="0"/>
              <w:jc w:val="center"/>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en-US" w:bidi="ar-SA"/>
              </w:rPr>
              <w:t>数量</w:t>
            </w:r>
          </w:p>
        </w:tc>
        <w:tc>
          <w:tcPr>
            <w:tcW w:w="2443" w:type="dxa"/>
            <w:vAlign w:val="center"/>
          </w:tcPr>
          <w:p w14:paraId="1BA81234">
            <w:pPr>
              <w:widowControl/>
              <w:jc w:val="center"/>
              <w:rPr>
                <w:b/>
                <w:bCs/>
                <w:sz w:val="24"/>
                <w:szCs w:val="24"/>
              </w:rPr>
            </w:pPr>
            <w:r>
              <w:rPr>
                <w:rFonts w:hint="eastAsia" w:eastAsia="宋体"/>
                <w:b/>
                <w:bCs/>
                <w:sz w:val="24"/>
                <w:lang w:eastAsia="zh-CN"/>
              </w:rPr>
              <w:t>服务</w:t>
            </w:r>
            <w:r>
              <w:rPr>
                <w:rFonts w:hint="eastAsia"/>
                <w:b/>
                <w:bCs/>
                <w:sz w:val="24"/>
              </w:rPr>
              <w:t>期限</w:t>
            </w:r>
          </w:p>
        </w:tc>
      </w:tr>
      <w:tr w14:paraId="5E262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823" w:type="dxa"/>
            <w:vAlign w:val="center"/>
          </w:tcPr>
          <w:p w14:paraId="6DFE7010">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p>
        </w:tc>
        <w:tc>
          <w:tcPr>
            <w:tcW w:w="2914" w:type="dxa"/>
            <w:vAlign w:val="center"/>
          </w:tcPr>
          <w:p w14:paraId="796EDFBC">
            <w:pPr>
              <w:widowControl/>
              <w:jc w:val="center"/>
              <w:textAlignment w:val="center"/>
              <w:rPr>
                <w:sz w:val="24"/>
                <w:szCs w:val="24"/>
                <w:lang w:eastAsia="zh-CN"/>
              </w:rPr>
            </w:pPr>
            <w:r>
              <w:rPr>
                <w:rFonts w:hint="eastAsia" w:eastAsia="宋体"/>
                <w:sz w:val="24"/>
                <w:szCs w:val="24"/>
                <w:lang w:eastAsia="zh-CN"/>
              </w:rPr>
              <w:t>2026年医责险</w:t>
            </w:r>
          </w:p>
        </w:tc>
        <w:tc>
          <w:tcPr>
            <w:tcW w:w="1559" w:type="dxa"/>
            <w:vAlign w:val="center"/>
          </w:tcPr>
          <w:p w14:paraId="6CFC8218">
            <w:pPr>
              <w:widowControl/>
              <w:jc w:val="center"/>
              <w:textAlignment w:val="center"/>
              <w:rPr>
                <w:sz w:val="24"/>
                <w:szCs w:val="24"/>
                <w:lang w:eastAsia="zh-CN"/>
              </w:rPr>
            </w:pPr>
            <w:r>
              <w:rPr>
                <w:rFonts w:hint="eastAsia" w:eastAsia="宋体"/>
                <w:sz w:val="24"/>
                <w:szCs w:val="24"/>
                <w:lang w:eastAsia="zh-CN"/>
              </w:rPr>
              <w:t>1项</w:t>
            </w:r>
          </w:p>
        </w:tc>
        <w:tc>
          <w:tcPr>
            <w:tcW w:w="2443" w:type="dxa"/>
            <w:vAlign w:val="center"/>
          </w:tcPr>
          <w:p w14:paraId="583F650F">
            <w:pPr>
              <w:spacing w:before="50"/>
              <w:jc w:val="center"/>
              <w:rPr>
                <w:rFonts w:ascii="Calibri" w:hAnsi="Calibri" w:eastAsia="宋体" w:cs="Calibri"/>
                <w:kern w:val="2"/>
                <w:sz w:val="24"/>
                <w:szCs w:val="24"/>
                <w:lang w:val="en-US" w:eastAsia="zh-CN" w:bidi="ar"/>
              </w:rPr>
            </w:pPr>
            <w:r>
              <w:rPr>
                <w:rFonts w:hint="eastAsia" w:ascii="Calibri" w:hAnsi="Calibri" w:eastAsia="宋体" w:cs="Calibri"/>
                <w:kern w:val="2"/>
                <w:sz w:val="24"/>
                <w:szCs w:val="24"/>
                <w:lang w:val="en-US" w:eastAsia="zh-CN" w:bidi="ar"/>
              </w:rPr>
              <w:t>一年</w:t>
            </w:r>
          </w:p>
        </w:tc>
      </w:tr>
    </w:tbl>
    <w:p w14:paraId="0D19B845">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二、商务要求</w:t>
      </w:r>
    </w:p>
    <w:p w14:paraId="6EC59B3E">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1.采购项目交付或者服务的时间和地点：</w:t>
      </w:r>
    </w:p>
    <w:p w14:paraId="1C1348C9">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1.1服务时间：按首都医科大学附属北京胸科医院要求</w:t>
      </w:r>
      <w:r>
        <w:rPr>
          <w:rFonts w:hint="eastAsia" w:ascii="宋体" w:hAnsi="宋体" w:eastAsia="宋体" w:cs="Arial"/>
          <w:iCs/>
          <w:sz w:val="24"/>
          <w:szCs w:val="22"/>
          <w:lang w:val="en-US" w:eastAsia="zh-CN" w:bidi="ar-SA"/>
        </w:rPr>
        <w:t>。</w:t>
      </w:r>
    </w:p>
    <w:p w14:paraId="67B74218">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1.2服务地点：首都医科大学附属北京胸科医院指定地点。</w:t>
      </w:r>
    </w:p>
    <w:p w14:paraId="12B7A553">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r>
        <w:rPr>
          <w:rFonts w:hint="eastAsia" w:ascii="宋体" w:hAnsi="宋体" w:eastAsia="宋体" w:cs="宋体"/>
          <w:b/>
          <w:bCs/>
          <w:sz w:val="24"/>
          <w:szCs w:val="24"/>
          <w:highlight w:val="none"/>
          <w:lang w:val="en-US" w:eastAsia="zh-CN" w:bidi="ar-SA"/>
        </w:rPr>
        <w:t>2.付款条件（进度和方式）</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lang w:val="en-US" w:eastAsia="zh-CN" w:bidi="ar-SA"/>
        </w:rPr>
        <w:t>合同签署后转账付款。</w:t>
      </w:r>
    </w:p>
    <w:p w14:paraId="4358A2C5">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三、技术要求</w:t>
      </w:r>
      <w:bookmarkStart w:id="9" w:name="_GoBack"/>
      <w:bookmarkEnd w:id="9"/>
    </w:p>
    <w:p w14:paraId="76A8384A">
      <w:pPr>
        <w:spacing w:line="486" w:lineRule="exact"/>
        <w:ind w:firstLine="241" w:firstLineChars="100"/>
        <w:contextualSpacing/>
        <w:rPr>
          <w:b/>
          <w:bCs/>
          <w:sz w:val="24"/>
          <w:szCs w:val="24"/>
          <w:lang w:eastAsia="zh-CN"/>
        </w:rPr>
      </w:pPr>
      <w:r>
        <w:rPr>
          <w:rFonts w:hint="eastAsia" w:eastAsia="宋体"/>
          <w:b/>
          <w:bCs/>
          <w:sz w:val="24"/>
          <w:szCs w:val="24"/>
          <w:lang w:eastAsia="zh-CN"/>
        </w:rPr>
        <w:t>1. 基本要求</w:t>
      </w:r>
    </w:p>
    <w:p w14:paraId="1BFE80C4">
      <w:pPr>
        <w:spacing w:line="486" w:lineRule="exact"/>
        <w:ind w:firstLine="241" w:firstLineChars="100"/>
        <w:contextualSpacing/>
        <w:rPr>
          <w:b/>
          <w:bCs/>
          <w:sz w:val="24"/>
          <w:szCs w:val="24"/>
          <w:lang w:eastAsia="zh-CN"/>
        </w:rPr>
      </w:pPr>
      <w:r>
        <w:rPr>
          <w:rFonts w:hint="eastAsia" w:eastAsia="宋体"/>
          <w:b/>
          <w:bCs/>
          <w:sz w:val="24"/>
          <w:szCs w:val="24"/>
          <w:lang w:eastAsia="zh-CN"/>
        </w:rPr>
        <w:t>1.1 采购标的需实现的功能或者目标</w:t>
      </w:r>
    </w:p>
    <w:p w14:paraId="09031ED2">
      <w:pPr>
        <w:spacing w:line="486" w:lineRule="exact"/>
        <w:ind w:firstLine="480" w:firstLineChars="200"/>
        <w:contextualSpacing/>
        <w:rPr>
          <w:bCs/>
          <w:sz w:val="24"/>
          <w:szCs w:val="24"/>
          <w:lang w:eastAsia="zh-CN"/>
        </w:rPr>
      </w:pPr>
      <w:r>
        <w:rPr>
          <w:rFonts w:hint="eastAsia" w:eastAsia="宋体"/>
          <w:bCs/>
          <w:sz w:val="24"/>
          <w:szCs w:val="24"/>
          <w:lang w:eastAsia="zh-CN"/>
        </w:rPr>
        <w:t>本次招标采购是为首都医科大学附属北京胸科医院提供</w:t>
      </w:r>
      <w:r>
        <w:rPr>
          <w:rFonts w:hint="eastAsia" w:ascii="宋体" w:eastAsia="宋体"/>
          <w:bCs/>
          <w:sz w:val="24"/>
          <w:szCs w:val="24"/>
          <w:lang w:val="en-US" w:eastAsia="zh-CN"/>
        </w:rPr>
        <w:t>2026</w:t>
      </w:r>
      <w:r>
        <w:rPr>
          <w:rFonts w:hint="eastAsia" w:eastAsia="宋体"/>
          <w:bCs/>
          <w:sz w:val="24"/>
          <w:szCs w:val="24"/>
          <w:lang w:eastAsia="zh-CN"/>
        </w:rPr>
        <w:t>医疗责任保险服务，投标人应根据招标文件所提出的采购需求，制定具体服务方案，确保服务质量符合要求，以优良的服务和优惠的价格，充分显示自己的竞争实力。</w:t>
      </w:r>
    </w:p>
    <w:p w14:paraId="50A37642">
      <w:pPr>
        <w:spacing w:line="486" w:lineRule="exact"/>
        <w:ind w:firstLine="241" w:firstLineChars="100"/>
        <w:contextualSpacing/>
        <w:rPr>
          <w:sz w:val="24"/>
          <w:szCs w:val="24"/>
          <w:lang w:eastAsia="zh-CN"/>
        </w:rPr>
      </w:pPr>
      <w:r>
        <w:rPr>
          <w:rFonts w:hint="eastAsia" w:eastAsia="宋体"/>
          <w:b/>
          <w:bCs/>
          <w:sz w:val="24"/>
          <w:szCs w:val="24"/>
          <w:lang w:eastAsia="zh-CN"/>
        </w:rPr>
        <w:t>1.2 需执行的国家相关标准、行业标准、地方标准或者其他标准、规范</w:t>
      </w:r>
    </w:p>
    <w:p w14:paraId="40E00187">
      <w:pPr>
        <w:spacing w:line="486" w:lineRule="exact"/>
        <w:ind w:firstLine="240" w:firstLineChars="100"/>
        <w:contextualSpacing/>
        <w:rPr>
          <w:sz w:val="24"/>
          <w:szCs w:val="24"/>
          <w:lang w:eastAsia="zh-CN"/>
        </w:rPr>
      </w:pPr>
      <w:r>
        <w:rPr>
          <w:rFonts w:hint="eastAsia" w:eastAsia="宋体"/>
          <w:sz w:val="24"/>
          <w:szCs w:val="24"/>
          <w:lang w:eastAsia="zh-CN"/>
        </w:rPr>
        <w:t>供应商应保证所提供的服务符合国家相关法律法规的要求。</w:t>
      </w:r>
    </w:p>
    <w:p w14:paraId="4896D6D6">
      <w:pPr>
        <w:spacing w:line="486" w:lineRule="exact"/>
        <w:ind w:firstLine="241" w:firstLineChars="100"/>
        <w:contextualSpacing/>
        <w:rPr>
          <w:b/>
          <w:bCs/>
          <w:sz w:val="24"/>
          <w:szCs w:val="24"/>
          <w:lang w:eastAsia="zh-CN"/>
        </w:rPr>
      </w:pPr>
      <w:r>
        <w:rPr>
          <w:rFonts w:hint="eastAsia" w:eastAsia="宋体"/>
          <w:b/>
          <w:bCs/>
          <w:sz w:val="24"/>
          <w:szCs w:val="24"/>
          <w:lang w:eastAsia="zh-CN"/>
        </w:rPr>
        <w:t>2.服务内容及要求</w:t>
      </w:r>
    </w:p>
    <w:p w14:paraId="393056D1">
      <w:pPr>
        <w:widowControl/>
        <w:spacing w:line="486" w:lineRule="exact"/>
        <w:ind w:left="-1" w:firstLine="241" w:firstLineChars="100"/>
        <w:contextualSpacing/>
        <w:rPr>
          <w:b/>
          <w:bCs/>
          <w:sz w:val="24"/>
          <w:szCs w:val="24"/>
          <w:lang w:eastAsia="zh-CN"/>
        </w:rPr>
      </w:pPr>
      <w:r>
        <w:rPr>
          <w:rFonts w:hint="eastAsia" w:eastAsia="宋体"/>
          <w:b/>
          <w:bCs/>
          <w:sz w:val="24"/>
          <w:szCs w:val="24"/>
          <w:lang w:eastAsia="zh-CN"/>
        </w:rPr>
        <w:t>2.1 采购标的需满足的、质量、安全、技术规格、物理特性等要求；</w:t>
      </w:r>
    </w:p>
    <w:p w14:paraId="3F014687">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w:t>
      </w:r>
      <w:r>
        <w:rPr>
          <w:rFonts w:hint="eastAsia" w:cs="宋体"/>
          <w:sz w:val="24"/>
          <w:szCs w:val="24"/>
          <w:lang w:val="en-US" w:eastAsia="zh-CN"/>
        </w:rPr>
        <w:t>1</w:t>
      </w:r>
      <w:r>
        <w:rPr>
          <w:rFonts w:hint="eastAsia" w:ascii="宋体" w:hAnsi="宋体" w:eastAsia="宋体" w:cs="宋体"/>
          <w:sz w:val="24"/>
          <w:szCs w:val="24"/>
        </w:rPr>
        <w:t>）项目概况</w:t>
      </w:r>
    </w:p>
    <w:p w14:paraId="3756A47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首都医科大学附属北京胸科医院是一家集医疗、科研、教学、预防为一体的三级甲等专科医院，以结核病和胸部疾病的诊疗闻名全国。</w:t>
      </w:r>
    </w:p>
    <w:p w14:paraId="5BB65855">
      <w:pPr>
        <w:widowControl w:val="0"/>
        <w:autoSpaceDE w:val="0"/>
        <w:autoSpaceDN w:val="0"/>
        <w:spacing w:line="360" w:lineRule="auto"/>
        <w:ind w:firstLine="480" w:firstLineChars="200"/>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现为我院及医护人员提供满足医疗责任保险风险保障需求的医方责任保险方案。须按照北京市卫生和计划生育委员会与北京保监局2016年发布的《关于进一步推进医疗责任保险工作的通知》及《北京市医疗责任保险费率规章》的有关规定，对医院依法应该承担的赔偿责任，制定医方责任保险方案。</w:t>
      </w:r>
    </w:p>
    <w:p w14:paraId="67132102">
      <w:pPr>
        <w:numPr>
          <w:ilvl w:val="0"/>
          <w:numId w:val="0"/>
        </w:numPr>
        <w:spacing w:line="360" w:lineRule="auto"/>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lang w:val="en-US" w:eastAsia="en-US" w:bidi="ar-SA"/>
        </w:rPr>
        <w:t>（</w:t>
      </w:r>
      <w:r>
        <w:rPr>
          <w:rFonts w:hint="eastAsia" w:cs="宋体"/>
          <w:kern w:val="0"/>
          <w:sz w:val="24"/>
          <w:szCs w:val="24"/>
          <w:lang w:val="en-US" w:eastAsia="zh-CN" w:bidi="ar-SA"/>
        </w:rPr>
        <w:t>2</w:t>
      </w:r>
      <w:r>
        <w:rPr>
          <w:rFonts w:hint="eastAsia" w:ascii="宋体" w:hAnsi="宋体" w:eastAsia="宋体" w:cs="宋体"/>
          <w:kern w:val="0"/>
          <w:sz w:val="24"/>
          <w:szCs w:val="24"/>
          <w:lang w:val="en-US" w:eastAsia="en-US" w:bidi="ar-SA"/>
        </w:rPr>
        <w:t>）</w:t>
      </w:r>
      <w:r>
        <w:rPr>
          <w:rFonts w:hint="eastAsia" w:ascii="宋体" w:hAnsi="宋体" w:eastAsia="宋体" w:cs="宋体"/>
          <w:kern w:val="0"/>
          <w:sz w:val="24"/>
          <w:szCs w:val="24"/>
        </w:rPr>
        <w:t>投保规模</w:t>
      </w:r>
    </w:p>
    <w:tbl>
      <w:tblPr>
        <w:tblStyle w:val="4"/>
        <w:tblW w:w="87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285"/>
        <w:gridCol w:w="2127"/>
        <w:gridCol w:w="3806"/>
        <w:gridCol w:w="1500"/>
      </w:tblGrid>
      <w:tr w14:paraId="5E263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2" w:hRule="atLeast"/>
          <w:jc w:val="center"/>
        </w:trPr>
        <w:tc>
          <w:tcPr>
            <w:tcW w:w="1285" w:type="dxa"/>
            <w:vAlign w:val="center"/>
          </w:tcPr>
          <w:p w14:paraId="6626D186">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内容</w:t>
            </w:r>
          </w:p>
        </w:tc>
        <w:tc>
          <w:tcPr>
            <w:tcW w:w="2127" w:type="dxa"/>
            <w:vAlign w:val="center"/>
          </w:tcPr>
          <w:p w14:paraId="47E32DC5">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分项</w:t>
            </w:r>
          </w:p>
        </w:tc>
        <w:tc>
          <w:tcPr>
            <w:tcW w:w="3806" w:type="dxa"/>
            <w:vAlign w:val="center"/>
          </w:tcPr>
          <w:p w14:paraId="2B59B70C">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数量</w:t>
            </w:r>
          </w:p>
        </w:tc>
        <w:tc>
          <w:tcPr>
            <w:tcW w:w="1500" w:type="dxa"/>
            <w:vAlign w:val="center"/>
          </w:tcPr>
          <w:p w14:paraId="4B69F1A7">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保险期限</w:t>
            </w:r>
          </w:p>
        </w:tc>
      </w:tr>
      <w:tr w14:paraId="5378A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restart"/>
            <w:vAlign w:val="center"/>
          </w:tcPr>
          <w:p w14:paraId="2269167B">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基础信息</w:t>
            </w:r>
          </w:p>
        </w:tc>
        <w:tc>
          <w:tcPr>
            <w:tcW w:w="2127" w:type="dxa"/>
            <w:vAlign w:val="center"/>
          </w:tcPr>
          <w:p w14:paraId="56BBF289">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医务人员保险费</w:t>
            </w:r>
          </w:p>
        </w:tc>
        <w:tc>
          <w:tcPr>
            <w:tcW w:w="3806" w:type="dxa"/>
            <w:vAlign w:val="center"/>
          </w:tcPr>
          <w:p w14:paraId="18C5FFF8">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医务人员（含医技药护）：</w:t>
            </w:r>
            <w:r>
              <w:rPr>
                <w:rFonts w:hint="eastAsia" w:ascii="宋体" w:hAnsi="宋体" w:eastAsia="宋体" w:cs="宋体"/>
                <w:color w:val="000000"/>
                <w:sz w:val="24"/>
                <w:szCs w:val="24"/>
                <w:lang w:val="en-US" w:eastAsia="zh-CN"/>
              </w:rPr>
              <w:t>874</w:t>
            </w:r>
            <w:r>
              <w:rPr>
                <w:rFonts w:hint="eastAsia" w:ascii="宋体" w:hAnsi="宋体" w:eastAsia="宋体" w:cs="宋体"/>
                <w:color w:val="000000"/>
                <w:sz w:val="24"/>
                <w:szCs w:val="24"/>
              </w:rPr>
              <w:t>人</w:t>
            </w:r>
          </w:p>
        </w:tc>
        <w:tc>
          <w:tcPr>
            <w:tcW w:w="1500" w:type="dxa"/>
            <w:vAlign w:val="center"/>
          </w:tcPr>
          <w:p w14:paraId="1797805D">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1年</w:t>
            </w:r>
          </w:p>
        </w:tc>
      </w:tr>
      <w:tr w14:paraId="592EC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continue"/>
            <w:vAlign w:val="center"/>
          </w:tcPr>
          <w:p w14:paraId="287C40BF">
            <w:pPr>
              <w:spacing w:line="240" w:lineRule="auto"/>
              <w:jc w:val="center"/>
              <w:rPr>
                <w:rFonts w:hint="eastAsia" w:ascii="宋体" w:hAnsi="宋体" w:eastAsia="宋体" w:cs="宋体"/>
                <w:color w:val="000000"/>
                <w:sz w:val="24"/>
                <w:szCs w:val="24"/>
              </w:rPr>
            </w:pPr>
          </w:p>
        </w:tc>
        <w:tc>
          <w:tcPr>
            <w:tcW w:w="2127" w:type="dxa"/>
            <w:vMerge w:val="restart"/>
            <w:vAlign w:val="center"/>
          </w:tcPr>
          <w:p w14:paraId="56DFDF14">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医疗机构保险费</w:t>
            </w:r>
          </w:p>
        </w:tc>
        <w:tc>
          <w:tcPr>
            <w:tcW w:w="3806" w:type="dxa"/>
            <w:vAlign w:val="center"/>
          </w:tcPr>
          <w:p w14:paraId="12649F1E">
            <w:pPr>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年总诊疗人次：</w:t>
            </w:r>
            <w:r>
              <w:rPr>
                <w:rFonts w:hint="eastAsia" w:ascii="宋体" w:hAnsi="宋体" w:eastAsia="宋体" w:cs="宋体"/>
                <w:color w:val="000000"/>
                <w:sz w:val="24"/>
                <w:szCs w:val="24"/>
                <w:lang w:val="en-US" w:eastAsia="zh-CN"/>
              </w:rPr>
              <w:t>282609</w:t>
            </w:r>
          </w:p>
        </w:tc>
        <w:tc>
          <w:tcPr>
            <w:tcW w:w="1500" w:type="dxa"/>
            <w:vAlign w:val="center"/>
          </w:tcPr>
          <w:p w14:paraId="5C8297EF">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1年</w:t>
            </w:r>
          </w:p>
        </w:tc>
      </w:tr>
      <w:tr w14:paraId="4F20D5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continue"/>
            <w:vAlign w:val="center"/>
          </w:tcPr>
          <w:p w14:paraId="03C203F8">
            <w:pPr>
              <w:spacing w:line="240" w:lineRule="auto"/>
              <w:jc w:val="center"/>
              <w:rPr>
                <w:rFonts w:hint="eastAsia" w:ascii="宋体" w:hAnsi="宋体" w:eastAsia="宋体" w:cs="宋体"/>
                <w:color w:val="000000"/>
                <w:sz w:val="24"/>
                <w:szCs w:val="24"/>
              </w:rPr>
            </w:pPr>
          </w:p>
        </w:tc>
        <w:tc>
          <w:tcPr>
            <w:tcW w:w="2127" w:type="dxa"/>
            <w:vMerge w:val="continue"/>
            <w:vAlign w:val="center"/>
          </w:tcPr>
          <w:p w14:paraId="75F92CB2">
            <w:pPr>
              <w:spacing w:line="240" w:lineRule="auto"/>
              <w:jc w:val="center"/>
              <w:rPr>
                <w:rFonts w:hint="eastAsia" w:ascii="宋体" w:hAnsi="宋体" w:eastAsia="宋体" w:cs="宋体"/>
                <w:color w:val="000000"/>
                <w:sz w:val="24"/>
                <w:szCs w:val="24"/>
              </w:rPr>
            </w:pPr>
          </w:p>
        </w:tc>
        <w:tc>
          <w:tcPr>
            <w:tcW w:w="3806" w:type="dxa"/>
            <w:vAlign w:val="center"/>
          </w:tcPr>
          <w:p w14:paraId="1863F26A">
            <w:pPr>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年出院人次：</w:t>
            </w:r>
            <w:r>
              <w:rPr>
                <w:rFonts w:hint="eastAsia" w:ascii="宋体" w:hAnsi="宋体" w:eastAsia="宋体" w:cs="宋体"/>
                <w:color w:val="000000"/>
                <w:sz w:val="24"/>
                <w:szCs w:val="24"/>
                <w:lang w:val="en-US" w:eastAsia="zh-CN"/>
              </w:rPr>
              <w:t>36997</w:t>
            </w:r>
          </w:p>
        </w:tc>
        <w:tc>
          <w:tcPr>
            <w:tcW w:w="1500" w:type="dxa"/>
            <w:vAlign w:val="center"/>
          </w:tcPr>
          <w:p w14:paraId="6B75CA09">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1年</w:t>
            </w:r>
          </w:p>
        </w:tc>
      </w:tr>
      <w:tr w14:paraId="4810D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continue"/>
            <w:vAlign w:val="center"/>
          </w:tcPr>
          <w:p w14:paraId="0DBE11C5">
            <w:pPr>
              <w:spacing w:line="240" w:lineRule="auto"/>
              <w:jc w:val="center"/>
              <w:rPr>
                <w:rFonts w:hint="eastAsia" w:ascii="宋体" w:hAnsi="宋体" w:eastAsia="宋体" w:cs="宋体"/>
                <w:color w:val="000000"/>
                <w:sz w:val="24"/>
                <w:szCs w:val="24"/>
              </w:rPr>
            </w:pPr>
          </w:p>
        </w:tc>
        <w:tc>
          <w:tcPr>
            <w:tcW w:w="2127" w:type="dxa"/>
            <w:vMerge w:val="continue"/>
            <w:vAlign w:val="center"/>
          </w:tcPr>
          <w:p w14:paraId="29E76AD3">
            <w:pPr>
              <w:spacing w:line="240" w:lineRule="auto"/>
              <w:jc w:val="center"/>
              <w:rPr>
                <w:rFonts w:hint="eastAsia" w:ascii="宋体" w:hAnsi="宋体" w:eastAsia="宋体" w:cs="宋体"/>
                <w:color w:val="000000"/>
                <w:sz w:val="24"/>
                <w:szCs w:val="24"/>
              </w:rPr>
            </w:pPr>
          </w:p>
        </w:tc>
        <w:tc>
          <w:tcPr>
            <w:tcW w:w="3806" w:type="dxa"/>
            <w:vAlign w:val="center"/>
          </w:tcPr>
          <w:p w14:paraId="3AA6A2CF">
            <w:pPr>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年住院病人手术人次：</w:t>
            </w:r>
            <w:r>
              <w:rPr>
                <w:rFonts w:hint="eastAsia" w:ascii="宋体" w:hAnsi="宋体" w:eastAsia="宋体" w:cs="宋体"/>
                <w:color w:val="000000"/>
                <w:sz w:val="24"/>
                <w:szCs w:val="24"/>
                <w:lang w:val="en-US" w:eastAsia="zh-CN"/>
              </w:rPr>
              <w:t>5095</w:t>
            </w:r>
          </w:p>
        </w:tc>
        <w:tc>
          <w:tcPr>
            <w:tcW w:w="1500" w:type="dxa"/>
            <w:vAlign w:val="center"/>
          </w:tcPr>
          <w:p w14:paraId="27C7AF9E">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1年</w:t>
            </w:r>
          </w:p>
        </w:tc>
      </w:tr>
      <w:tr w14:paraId="2F21CC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continue"/>
            <w:vAlign w:val="center"/>
          </w:tcPr>
          <w:p w14:paraId="1A0E8D1A">
            <w:pPr>
              <w:spacing w:line="240" w:lineRule="auto"/>
              <w:jc w:val="center"/>
              <w:rPr>
                <w:rFonts w:hint="eastAsia" w:ascii="宋体" w:hAnsi="宋体" w:eastAsia="宋体" w:cs="宋体"/>
                <w:color w:val="000000"/>
                <w:sz w:val="24"/>
                <w:szCs w:val="24"/>
              </w:rPr>
            </w:pPr>
          </w:p>
        </w:tc>
        <w:tc>
          <w:tcPr>
            <w:tcW w:w="2127" w:type="dxa"/>
            <w:vAlign w:val="center"/>
          </w:tcPr>
          <w:p w14:paraId="1F853A67">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附加险</w:t>
            </w:r>
          </w:p>
        </w:tc>
        <w:tc>
          <w:tcPr>
            <w:tcW w:w="5306" w:type="dxa"/>
            <w:gridSpan w:val="2"/>
            <w:vAlign w:val="center"/>
          </w:tcPr>
          <w:p w14:paraId="1D0D0B5F">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附加死亡赔偿金保险</w:t>
            </w:r>
          </w:p>
        </w:tc>
      </w:tr>
      <w:tr w14:paraId="13F736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restart"/>
            <w:vAlign w:val="center"/>
          </w:tcPr>
          <w:p w14:paraId="788A1947">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医疗责任限额</w:t>
            </w:r>
          </w:p>
        </w:tc>
        <w:tc>
          <w:tcPr>
            <w:tcW w:w="2127" w:type="dxa"/>
            <w:vAlign w:val="center"/>
          </w:tcPr>
          <w:p w14:paraId="67CDE594">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每次事故责任限额</w:t>
            </w:r>
          </w:p>
        </w:tc>
        <w:tc>
          <w:tcPr>
            <w:tcW w:w="5306" w:type="dxa"/>
            <w:gridSpan w:val="2"/>
            <w:vAlign w:val="center"/>
          </w:tcPr>
          <w:p w14:paraId="3ED3E28D">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0万元</w:t>
            </w:r>
          </w:p>
        </w:tc>
      </w:tr>
      <w:tr w14:paraId="18D1F1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continue"/>
            <w:vAlign w:val="center"/>
          </w:tcPr>
          <w:p w14:paraId="5AAAD777">
            <w:pPr>
              <w:spacing w:line="240" w:lineRule="auto"/>
              <w:jc w:val="center"/>
              <w:rPr>
                <w:rFonts w:hint="eastAsia" w:ascii="宋体" w:hAnsi="宋体" w:eastAsia="宋体" w:cs="宋体"/>
                <w:color w:val="000000"/>
                <w:sz w:val="24"/>
                <w:szCs w:val="24"/>
              </w:rPr>
            </w:pPr>
          </w:p>
        </w:tc>
        <w:tc>
          <w:tcPr>
            <w:tcW w:w="2127" w:type="dxa"/>
            <w:vAlign w:val="center"/>
          </w:tcPr>
          <w:p w14:paraId="463190E4">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精神损害每次责任限额</w:t>
            </w:r>
          </w:p>
        </w:tc>
        <w:tc>
          <w:tcPr>
            <w:tcW w:w="5306" w:type="dxa"/>
            <w:gridSpan w:val="2"/>
            <w:vAlign w:val="center"/>
          </w:tcPr>
          <w:p w14:paraId="6F23B60A">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12万元</w:t>
            </w:r>
          </w:p>
        </w:tc>
      </w:tr>
      <w:tr w14:paraId="385F13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continue"/>
            <w:vAlign w:val="center"/>
          </w:tcPr>
          <w:p w14:paraId="063E828E">
            <w:pPr>
              <w:spacing w:line="240" w:lineRule="auto"/>
              <w:jc w:val="center"/>
              <w:rPr>
                <w:rFonts w:hint="eastAsia" w:ascii="宋体" w:hAnsi="宋体" w:eastAsia="宋体" w:cs="宋体"/>
                <w:color w:val="000000"/>
                <w:sz w:val="24"/>
                <w:szCs w:val="24"/>
              </w:rPr>
            </w:pPr>
          </w:p>
        </w:tc>
        <w:tc>
          <w:tcPr>
            <w:tcW w:w="2127" w:type="dxa"/>
            <w:vAlign w:val="center"/>
          </w:tcPr>
          <w:p w14:paraId="0ECC2C68">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累计责任限额</w:t>
            </w:r>
          </w:p>
        </w:tc>
        <w:tc>
          <w:tcPr>
            <w:tcW w:w="5306" w:type="dxa"/>
            <w:gridSpan w:val="2"/>
            <w:vAlign w:val="center"/>
          </w:tcPr>
          <w:p w14:paraId="070B0E21">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300万元</w:t>
            </w:r>
          </w:p>
        </w:tc>
      </w:tr>
      <w:tr w14:paraId="18524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restart"/>
            <w:vAlign w:val="center"/>
          </w:tcPr>
          <w:p w14:paraId="0151111F">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法律费用限额</w:t>
            </w:r>
          </w:p>
        </w:tc>
        <w:tc>
          <w:tcPr>
            <w:tcW w:w="2127" w:type="dxa"/>
            <w:vAlign w:val="center"/>
          </w:tcPr>
          <w:p w14:paraId="21F12B92">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每次法律费用责任限额</w:t>
            </w:r>
          </w:p>
        </w:tc>
        <w:tc>
          <w:tcPr>
            <w:tcW w:w="5306" w:type="dxa"/>
            <w:gridSpan w:val="2"/>
            <w:vAlign w:val="center"/>
          </w:tcPr>
          <w:p w14:paraId="0C69F77E">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4万元</w:t>
            </w:r>
          </w:p>
        </w:tc>
      </w:tr>
      <w:tr w14:paraId="1740F8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1285" w:type="dxa"/>
            <w:vMerge w:val="continue"/>
            <w:vAlign w:val="center"/>
          </w:tcPr>
          <w:p w14:paraId="401280AA">
            <w:pPr>
              <w:spacing w:line="240" w:lineRule="auto"/>
              <w:jc w:val="center"/>
              <w:rPr>
                <w:rFonts w:hint="eastAsia" w:ascii="宋体" w:hAnsi="宋体" w:eastAsia="宋体" w:cs="宋体"/>
                <w:color w:val="000000"/>
                <w:sz w:val="24"/>
                <w:szCs w:val="24"/>
              </w:rPr>
            </w:pPr>
          </w:p>
        </w:tc>
        <w:tc>
          <w:tcPr>
            <w:tcW w:w="2127" w:type="dxa"/>
            <w:vAlign w:val="center"/>
          </w:tcPr>
          <w:p w14:paraId="14B143BD">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累积法律费用责任限额</w:t>
            </w:r>
          </w:p>
        </w:tc>
        <w:tc>
          <w:tcPr>
            <w:tcW w:w="5306" w:type="dxa"/>
            <w:gridSpan w:val="2"/>
            <w:vAlign w:val="center"/>
          </w:tcPr>
          <w:p w14:paraId="6F986166">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30万元</w:t>
            </w:r>
          </w:p>
        </w:tc>
      </w:tr>
      <w:tr w14:paraId="4D580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3412" w:type="dxa"/>
            <w:gridSpan w:val="2"/>
            <w:vAlign w:val="center"/>
          </w:tcPr>
          <w:p w14:paraId="272C7E46">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医疗责任每次事故免赔额（率）</w:t>
            </w:r>
          </w:p>
        </w:tc>
        <w:tc>
          <w:tcPr>
            <w:tcW w:w="5306" w:type="dxa"/>
            <w:gridSpan w:val="2"/>
            <w:vAlign w:val="center"/>
          </w:tcPr>
          <w:p w14:paraId="1B042CD0">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5000元或免赔偿金额的5%，二者以高者计。</w:t>
            </w:r>
          </w:p>
        </w:tc>
      </w:tr>
    </w:tbl>
    <w:p w14:paraId="359DDD8F">
      <w:pPr>
        <w:numPr>
          <w:ilvl w:val="0"/>
          <w:numId w:val="0"/>
        </w:numPr>
        <w:spacing w:line="360" w:lineRule="auto"/>
        <w:ind w:firstLine="240" w:firstLineChars="100"/>
        <w:rPr>
          <w:rFonts w:hint="eastAsia" w:ascii="宋体" w:hAnsi="宋体" w:eastAsia="宋体" w:cs="宋体"/>
          <w:bCs/>
          <w:kern w:val="0"/>
          <w:sz w:val="24"/>
          <w:szCs w:val="24"/>
          <w:highlight w:val="none"/>
        </w:rPr>
      </w:pPr>
      <w:r>
        <w:rPr>
          <w:rFonts w:hint="eastAsia" w:ascii="宋体" w:hAnsi="宋体" w:eastAsia="宋体" w:cs="宋体"/>
          <w:bCs/>
          <w:kern w:val="0"/>
          <w:sz w:val="24"/>
          <w:szCs w:val="24"/>
          <w:lang w:val="en-US" w:eastAsia="en-US" w:bidi="ar-SA"/>
        </w:rPr>
        <w:t>（</w:t>
      </w: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en-US" w:bidi="ar-SA"/>
        </w:rPr>
        <w:t>）</w:t>
      </w:r>
      <w:r>
        <w:rPr>
          <w:rFonts w:hint="eastAsia" w:ascii="宋体" w:hAnsi="宋体" w:eastAsia="宋体" w:cs="宋体"/>
          <w:bCs/>
          <w:kern w:val="0"/>
          <w:sz w:val="24"/>
          <w:szCs w:val="24"/>
          <w:highlight w:val="none"/>
        </w:rPr>
        <w:t xml:space="preserve">理赔服务 </w:t>
      </w:r>
    </w:p>
    <w:p w14:paraId="7D72C190">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highlight w:val="none"/>
        </w:rPr>
        <w:t>1</w:t>
      </w:r>
      <w:r>
        <w:rPr>
          <w:rFonts w:hint="eastAsia" w:cs="宋体"/>
          <w:bCs/>
          <w:kern w:val="0"/>
          <w:sz w:val="24"/>
          <w:szCs w:val="24"/>
          <w:highlight w:val="none"/>
          <w:lang w:eastAsia="zh-CN"/>
        </w:rPr>
        <w:t>）</w:t>
      </w:r>
      <w:r>
        <w:rPr>
          <w:rFonts w:hint="eastAsia" w:ascii="宋体" w:hAnsi="宋体" w:eastAsia="宋体" w:cs="宋体"/>
          <w:bCs/>
          <w:kern w:val="0"/>
          <w:sz w:val="24"/>
          <w:szCs w:val="24"/>
          <w:highlight w:val="none"/>
        </w:rPr>
        <w:t>在保险期间内，采购人及其医务人员在保险合同载明的区域范围内从事诊疗护理活动中，因执业过失</w:t>
      </w:r>
      <w:r>
        <w:rPr>
          <w:rFonts w:hint="eastAsia" w:ascii="宋体" w:hAnsi="宋体" w:eastAsia="宋体" w:cs="宋体"/>
          <w:bCs/>
          <w:kern w:val="0"/>
          <w:sz w:val="24"/>
          <w:szCs w:val="24"/>
        </w:rPr>
        <w:t xml:space="preserve">造成患者人身损害，由患者或其近亲属在保险期内首次向医院提出损害赔偿请求，应由医院承担的经济赔偿数额，供应商依据合同约定负责理赔。 </w:t>
      </w:r>
    </w:p>
    <w:p w14:paraId="19F06C70">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2</w:t>
      </w:r>
      <w:r>
        <w:rPr>
          <w:rFonts w:hint="eastAsia" w:cs="宋体"/>
          <w:bCs/>
          <w:kern w:val="0"/>
          <w:sz w:val="24"/>
          <w:szCs w:val="24"/>
          <w:highlight w:val="none"/>
          <w:lang w:eastAsia="zh-CN"/>
        </w:rPr>
        <w:t>）</w:t>
      </w:r>
      <w:r>
        <w:rPr>
          <w:rFonts w:hint="eastAsia" w:ascii="宋体" w:hAnsi="宋体" w:eastAsia="宋体" w:cs="宋体"/>
          <w:bCs/>
          <w:kern w:val="0"/>
          <w:sz w:val="24"/>
          <w:szCs w:val="24"/>
        </w:rPr>
        <w:t xml:space="preserve">保险事故发生后，医院因保险事故而被提起仲裁或者诉讼的，对应由医院支付的仲裁或诉讼费用以及事先经供应商书面同意支付的其他必要的、合理的费用，供应商也应负责理赔。 </w:t>
      </w:r>
    </w:p>
    <w:p w14:paraId="3DAC9D77">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3</w:t>
      </w:r>
      <w:r>
        <w:rPr>
          <w:rFonts w:hint="eastAsia" w:cs="宋体"/>
          <w:bCs/>
          <w:kern w:val="0"/>
          <w:sz w:val="24"/>
          <w:szCs w:val="24"/>
          <w:highlight w:val="none"/>
          <w:lang w:eastAsia="zh-CN"/>
        </w:rPr>
        <w:t>）</w:t>
      </w:r>
      <w:r>
        <w:rPr>
          <w:rFonts w:hint="eastAsia" w:ascii="宋体" w:hAnsi="宋体" w:eastAsia="宋体" w:cs="宋体"/>
          <w:bCs/>
          <w:kern w:val="0"/>
          <w:sz w:val="24"/>
          <w:szCs w:val="24"/>
        </w:rPr>
        <w:t xml:space="preserve">供应商在收到医院的理赔请求后，应当及时就是否属于保险责任作出核定，并将核定结果通知医院。情形复杂的，供应商在收到医院的赔偿请求后三十日内未能核定保险责任的，供应商与医院根据实际情形商议合理期间，供应商在商定的期间内作出核定结果并通知医院。对于属于保险责任的，在与医院达成有关赔偿金额的协议后十日内，履行赔偿义务。对于不属于保险责任的，应当自作出核定之日起三日内向医院发出拒绝赔偿保险金通知书，并说明理由。 </w:t>
      </w:r>
    </w:p>
    <w:p w14:paraId="738F09F4">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4</w:t>
      </w:r>
      <w:r>
        <w:rPr>
          <w:rFonts w:hint="eastAsia" w:cs="宋体"/>
          <w:bCs/>
          <w:kern w:val="0"/>
          <w:sz w:val="24"/>
          <w:szCs w:val="24"/>
          <w:highlight w:val="none"/>
          <w:lang w:eastAsia="zh-CN"/>
        </w:rPr>
        <w:t>）</w:t>
      </w:r>
      <w:r>
        <w:rPr>
          <w:rFonts w:hint="eastAsia" w:ascii="宋体" w:hAnsi="宋体" w:eastAsia="宋体" w:cs="宋体"/>
          <w:bCs/>
          <w:kern w:val="0"/>
          <w:sz w:val="24"/>
          <w:szCs w:val="24"/>
        </w:rPr>
        <w:t xml:space="preserve">供应商自收到理赔保险金的请求和有关证明、资料之日起六十日内完成理赔。对其理赔保险金的数额不能确定的，应当根据已有证明和资料可以确定的数额先予理赔；供应商最终确定理赔的数额后，应当支付相应的差额。 </w:t>
      </w:r>
    </w:p>
    <w:p w14:paraId="5E2C6504">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5</w:t>
      </w:r>
      <w:r>
        <w:rPr>
          <w:rFonts w:hint="eastAsia" w:cs="宋体"/>
          <w:bCs/>
          <w:kern w:val="0"/>
          <w:sz w:val="24"/>
          <w:szCs w:val="24"/>
          <w:highlight w:val="none"/>
          <w:lang w:eastAsia="zh-CN"/>
        </w:rPr>
        <w:t>）</w:t>
      </w:r>
      <w:r>
        <w:rPr>
          <w:rFonts w:hint="eastAsia" w:ascii="宋体" w:hAnsi="宋体" w:eastAsia="宋体" w:cs="宋体"/>
          <w:bCs/>
          <w:kern w:val="0"/>
          <w:sz w:val="24"/>
          <w:szCs w:val="24"/>
        </w:rPr>
        <w:t xml:space="preserve">供应商应定期向医院提供接报案清单、未决案件处理进度、赔付案件情况、典型案件分析等理赔信息。 </w:t>
      </w:r>
    </w:p>
    <w:p w14:paraId="6D896A33">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6</w:t>
      </w:r>
      <w:r>
        <w:rPr>
          <w:rFonts w:hint="eastAsia" w:cs="宋体"/>
          <w:bCs/>
          <w:kern w:val="0"/>
          <w:sz w:val="24"/>
          <w:szCs w:val="24"/>
          <w:highlight w:val="none"/>
          <w:lang w:eastAsia="zh-CN"/>
        </w:rPr>
        <w:t>）</w:t>
      </w:r>
      <w:r>
        <w:rPr>
          <w:rFonts w:hint="eastAsia" w:ascii="宋体" w:hAnsi="宋体" w:eastAsia="宋体" w:cs="宋体"/>
          <w:bCs/>
          <w:kern w:val="0"/>
          <w:sz w:val="24"/>
          <w:szCs w:val="24"/>
        </w:rPr>
        <w:t>供应商的理赔以下列方式之一确定的医院的赔偿责任为基础：</w:t>
      </w:r>
    </w:p>
    <w:p w14:paraId="57A242D2">
      <w:pPr>
        <w:numPr>
          <w:ilvl w:val="0"/>
          <w:numId w:val="0"/>
        </w:numPr>
        <w:spacing w:line="360" w:lineRule="auto"/>
        <w:ind w:left="140" w:leftChars="0" w:firstLine="240" w:firstLineChars="100"/>
        <w:rPr>
          <w:rFonts w:hint="eastAsia" w:ascii="宋体" w:hAnsi="宋体" w:eastAsia="宋体" w:cs="宋体"/>
          <w:bCs/>
          <w:kern w:val="0"/>
          <w:sz w:val="24"/>
          <w:szCs w:val="24"/>
        </w:rPr>
      </w:pPr>
      <w:r>
        <w:rPr>
          <w:rFonts w:hint="eastAsia" w:cs="宋体"/>
          <w:bCs/>
          <w:kern w:val="0"/>
          <w:sz w:val="24"/>
          <w:szCs w:val="24"/>
          <w:lang w:val="en-US" w:eastAsia="zh-CN"/>
        </w:rPr>
        <w:t>①</w:t>
      </w:r>
      <w:r>
        <w:rPr>
          <w:rFonts w:hint="eastAsia" w:ascii="宋体" w:hAnsi="宋体" w:eastAsia="宋体" w:cs="宋体"/>
          <w:bCs/>
          <w:kern w:val="0"/>
          <w:sz w:val="24"/>
          <w:szCs w:val="24"/>
        </w:rPr>
        <w:t xml:space="preserve">人民调解委员会调解； </w:t>
      </w:r>
    </w:p>
    <w:p w14:paraId="74015FC5">
      <w:pPr>
        <w:numPr>
          <w:ilvl w:val="0"/>
          <w:numId w:val="0"/>
        </w:numPr>
        <w:spacing w:line="360" w:lineRule="auto"/>
        <w:ind w:left="140" w:leftChars="0" w:firstLine="240" w:firstLineChars="100"/>
        <w:rPr>
          <w:rFonts w:hint="eastAsia" w:ascii="宋体" w:hAnsi="宋体" w:eastAsia="宋体" w:cs="宋体"/>
          <w:bCs/>
          <w:kern w:val="0"/>
          <w:sz w:val="24"/>
          <w:szCs w:val="24"/>
        </w:rPr>
      </w:pPr>
      <w:r>
        <w:rPr>
          <w:rFonts w:hint="eastAsia" w:cs="宋体"/>
          <w:bCs/>
          <w:kern w:val="0"/>
          <w:sz w:val="24"/>
          <w:szCs w:val="24"/>
          <w:lang w:val="en-US" w:eastAsia="zh-CN" w:bidi="ar-SA"/>
        </w:rPr>
        <w:t>②</w:t>
      </w:r>
      <w:r>
        <w:rPr>
          <w:rFonts w:hint="eastAsia" w:ascii="宋体" w:hAnsi="宋体" w:eastAsia="宋体" w:cs="宋体"/>
          <w:bCs/>
          <w:kern w:val="0"/>
          <w:sz w:val="24"/>
          <w:szCs w:val="24"/>
        </w:rPr>
        <w:t xml:space="preserve">行政调解； </w:t>
      </w:r>
    </w:p>
    <w:p w14:paraId="5AFE3AA3">
      <w:pPr>
        <w:numPr>
          <w:ilvl w:val="0"/>
          <w:numId w:val="0"/>
        </w:numPr>
        <w:spacing w:line="360" w:lineRule="auto"/>
        <w:ind w:left="140" w:leftChars="0" w:firstLine="240" w:firstLineChars="100"/>
        <w:rPr>
          <w:rFonts w:hint="eastAsia" w:ascii="宋体" w:hAnsi="宋体" w:eastAsia="宋体" w:cs="宋体"/>
          <w:bCs/>
          <w:kern w:val="0"/>
          <w:sz w:val="24"/>
          <w:szCs w:val="24"/>
        </w:rPr>
      </w:pPr>
      <w:r>
        <w:rPr>
          <w:rFonts w:hint="eastAsia" w:cs="宋体"/>
          <w:bCs/>
          <w:kern w:val="0"/>
          <w:sz w:val="24"/>
          <w:szCs w:val="24"/>
          <w:lang w:val="en-US" w:eastAsia="zh-CN" w:bidi="ar-SA"/>
        </w:rPr>
        <w:t>③</w:t>
      </w:r>
      <w:r>
        <w:rPr>
          <w:rFonts w:hint="eastAsia" w:ascii="宋体" w:hAnsi="宋体" w:eastAsia="宋体" w:cs="宋体"/>
          <w:bCs/>
          <w:kern w:val="0"/>
          <w:sz w:val="24"/>
          <w:szCs w:val="24"/>
        </w:rPr>
        <w:t xml:space="preserve">人民法院调解或判决； </w:t>
      </w:r>
    </w:p>
    <w:p w14:paraId="5A9A9693">
      <w:pPr>
        <w:numPr>
          <w:ilvl w:val="0"/>
          <w:numId w:val="0"/>
        </w:numPr>
        <w:spacing w:line="360" w:lineRule="auto"/>
        <w:ind w:left="140" w:leftChars="0" w:firstLine="240" w:firstLineChars="100"/>
        <w:rPr>
          <w:rFonts w:hint="eastAsia" w:ascii="宋体" w:hAnsi="宋体" w:eastAsia="宋体" w:cs="宋体"/>
          <w:bCs/>
          <w:kern w:val="0"/>
          <w:sz w:val="24"/>
          <w:szCs w:val="24"/>
        </w:rPr>
      </w:pPr>
      <w:r>
        <w:rPr>
          <w:rFonts w:hint="eastAsia" w:cs="宋体"/>
          <w:bCs/>
          <w:kern w:val="0"/>
          <w:sz w:val="24"/>
          <w:szCs w:val="24"/>
          <w:lang w:val="en-US" w:eastAsia="zh-CN" w:bidi="ar-SA"/>
        </w:rPr>
        <w:t>④</w:t>
      </w:r>
      <w:r>
        <w:rPr>
          <w:rFonts w:hint="eastAsia" w:ascii="宋体" w:hAnsi="宋体" w:eastAsia="宋体" w:cs="宋体"/>
          <w:bCs/>
          <w:kern w:val="0"/>
          <w:sz w:val="24"/>
          <w:szCs w:val="24"/>
        </w:rPr>
        <w:t>经供应商认可的医院与患方达成的和解协议；</w:t>
      </w:r>
    </w:p>
    <w:p w14:paraId="3E784F39">
      <w:pPr>
        <w:numPr>
          <w:ilvl w:val="0"/>
          <w:numId w:val="0"/>
        </w:numPr>
        <w:spacing w:line="360" w:lineRule="auto"/>
        <w:ind w:left="140" w:leftChars="0" w:firstLine="240" w:firstLineChars="100"/>
        <w:rPr>
          <w:rFonts w:hint="eastAsia" w:ascii="宋体" w:hAnsi="宋体" w:eastAsia="宋体" w:cs="宋体"/>
          <w:bCs/>
          <w:kern w:val="0"/>
          <w:sz w:val="24"/>
          <w:szCs w:val="24"/>
        </w:rPr>
      </w:pPr>
      <w:r>
        <w:rPr>
          <w:rFonts w:hint="eastAsia" w:cs="宋体"/>
          <w:bCs/>
          <w:kern w:val="0"/>
          <w:sz w:val="24"/>
          <w:szCs w:val="24"/>
          <w:lang w:val="en-US" w:eastAsia="zh-CN" w:bidi="ar-SA"/>
        </w:rPr>
        <w:t>⑤</w:t>
      </w:r>
      <w:r>
        <w:rPr>
          <w:rFonts w:hint="eastAsia" w:ascii="宋体" w:hAnsi="宋体" w:eastAsia="宋体" w:cs="宋体"/>
          <w:bCs/>
          <w:kern w:val="0"/>
          <w:sz w:val="24"/>
          <w:szCs w:val="24"/>
        </w:rPr>
        <w:t>供应商认可的其他方式。</w:t>
      </w:r>
    </w:p>
    <w:p w14:paraId="028DA082">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7</w:t>
      </w:r>
      <w:r>
        <w:rPr>
          <w:rFonts w:hint="eastAsia" w:cs="宋体"/>
          <w:bCs/>
          <w:kern w:val="0"/>
          <w:sz w:val="24"/>
          <w:szCs w:val="24"/>
          <w:lang w:eastAsia="zh-CN"/>
        </w:rPr>
        <w:t>）</w:t>
      </w:r>
      <w:r>
        <w:rPr>
          <w:rFonts w:hint="eastAsia" w:ascii="宋体" w:hAnsi="宋体" w:eastAsia="宋体" w:cs="宋体"/>
          <w:bCs/>
          <w:kern w:val="0"/>
          <w:sz w:val="24"/>
          <w:szCs w:val="24"/>
        </w:rPr>
        <w:t xml:space="preserve">医院向供应商请求理赔的诉讼时效期为三年。 </w:t>
      </w:r>
    </w:p>
    <w:p w14:paraId="3BA12F24">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w:t>
      </w:r>
      <w:r>
        <w:rPr>
          <w:rFonts w:hint="eastAsia" w:cs="宋体"/>
          <w:bCs/>
          <w:kern w:val="0"/>
          <w:sz w:val="24"/>
          <w:szCs w:val="24"/>
          <w:lang w:val="en-US" w:eastAsia="zh-CN"/>
        </w:rPr>
        <w:t>4</w:t>
      </w:r>
      <w:r>
        <w:rPr>
          <w:rFonts w:hint="eastAsia" w:ascii="宋体" w:hAnsi="宋体" w:eastAsia="宋体" w:cs="宋体"/>
          <w:bCs/>
          <w:kern w:val="0"/>
          <w:sz w:val="24"/>
          <w:szCs w:val="24"/>
        </w:rPr>
        <w:t>）其他服务项目</w:t>
      </w:r>
    </w:p>
    <w:p w14:paraId="69DF3C24">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1</w:t>
      </w:r>
      <w:r>
        <w:rPr>
          <w:rFonts w:hint="eastAsia" w:cs="宋体"/>
          <w:bCs/>
          <w:kern w:val="0"/>
          <w:sz w:val="24"/>
          <w:szCs w:val="24"/>
          <w:lang w:eastAsia="zh-CN"/>
        </w:rPr>
        <w:t>）</w:t>
      </w:r>
      <w:r>
        <w:rPr>
          <w:rFonts w:hint="eastAsia" w:ascii="宋体" w:hAnsi="宋体" w:eastAsia="宋体" w:cs="宋体"/>
          <w:bCs/>
          <w:kern w:val="0"/>
          <w:sz w:val="24"/>
          <w:szCs w:val="24"/>
        </w:rPr>
        <w:t>医责险增值服务</w:t>
      </w:r>
      <w:r>
        <w:rPr>
          <w:rFonts w:hint="eastAsia" w:cs="宋体"/>
          <w:bCs/>
          <w:kern w:val="0"/>
          <w:sz w:val="24"/>
          <w:szCs w:val="24"/>
          <w:lang w:eastAsia="zh-CN"/>
        </w:rPr>
        <w:t>，</w:t>
      </w:r>
      <w:r>
        <w:rPr>
          <w:rFonts w:hint="eastAsia" w:cs="宋体"/>
          <w:bCs/>
          <w:kern w:val="0"/>
          <w:sz w:val="24"/>
          <w:szCs w:val="24"/>
          <w:lang w:val="en-US" w:eastAsia="zh-CN"/>
        </w:rPr>
        <w:t>包括但不限于：</w:t>
      </w:r>
      <w:r>
        <w:rPr>
          <w:rFonts w:ascii="宋体" w:hAnsi="宋体" w:eastAsia="宋体" w:cs="宋体"/>
          <w:sz w:val="24"/>
          <w:szCs w:val="24"/>
        </w:rPr>
        <w:t>医疗纠纷培训、院内风险巡查、病案质控、纠纷前置调解等</w:t>
      </w:r>
      <w:r>
        <w:rPr>
          <w:rFonts w:hint="eastAsia" w:ascii="宋体" w:hAnsi="宋体" w:eastAsia="宋体" w:cs="宋体"/>
          <w:bCs/>
          <w:kern w:val="0"/>
          <w:sz w:val="24"/>
          <w:szCs w:val="24"/>
        </w:rPr>
        <w:t xml:space="preserve">； </w:t>
      </w:r>
    </w:p>
    <w:p w14:paraId="26F3EF1E">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2</w:t>
      </w:r>
      <w:r>
        <w:rPr>
          <w:rFonts w:hint="eastAsia" w:cs="宋体"/>
          <w:bCs/>
          <w:kern w:val="0"/>
          <w:sz w:val="24"/>
          <w:szCs w:val="24"/>
          <w:lang w:eastAsia="zh-CN"/>
        </w:rPr>
        <w:t>）</w:t>
      </w:r>
      <w:r>
        <w:rPr>
          <w:rFonts w:hint="eastAsia" w:ascii="宋体" w:hAnsi="宋体" w:eastAsia="宋体" w:cs="宋体"/>
          <w:bCs/>
          <w:kern w:val="0"/>
          <w:sz w:val="24"/>
          <w:szCs w:val="24"/>
        </w:rPr>
        <w:t xml:space="preserve">非医责险的其他涉医保险项目（自行拟定）。 </w:t>
      </w:r>
    </w:p>
    <w:p w14:paraId="3D064DB6">
      <w:pPr>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w:t>
      </w:r>
      <w:r>
        <w:rPr>
          <w:rFonts w:hint="eastAsia" w:cs="宋体"/>
          <w:bCs/>
          <w:kern w:val="0"/>
          <w:sz w:val="24"/>
          <w:szCs w:val="24"/>
          <w:lang w:val="en-US" w:eastAsia="zh-CN"/>
        </w:rPr>
        <w:t>5</w:t>
      </w:r>
      <w:r>
        <w:rPr>
          <w:rFonts w:hint="eastAsia" w:ascii="宋体" w:hAnsi="宋体" w:eastAsia="宋体" w:cs="宋体"/>
          <w:bCs/>
          <w:kern w:val="0"/>
          <w:sz w:val="24"/>
          <w:szCs w:val="24"/>
        </w:rPr>
        <w:t>）项目团队</w:t>
      </w:r>
    </w:p>
    <w:p w14:paraId="79B982BD">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1</w:t>
      </w:r>
      <w:r>
        <w:rPr>
          <w:rFonts w:hint="eastAsia" w:cs="宋体"/>
          <w:bCs/>
          <w:kern w:val="0"/>
          <w:sz w:val="24"/>
          <w:szCs w:val="24"/>
          <w:lang w:eastAsia="zh-CN"/>
        </w:rPr>
        <w:t>）</w:t>
      </w:r>
      <w:r>
        <w:rPr>
          <w:rFonts w:hint="eastAsia" w:ascii="宋体" w:hAnsi="宋体" w:eastAsia="宋体" w:cs="宋体"/>
          <w:bCs/>
          <w:kern w:val="0"/>
          <w:sz w:val="24"/>
          <w:szCs w:val="24"/>
        </w:rPr>
        <w:t xml:space="preserve">应设置并成立专门的部门承担医责险保险业务。 </w:t>
      </w:r>
    </w:p>
    <w:p w14:paraId="00B83FA6">
      <w:pPr>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2</w:t>
      </w:r>
      <w:r>
        <w:rPr>
          <w:rFonts w:hint="eastAsia" w:cs="宋体"/>
          <w:bCs/>
          <w:kern w:val="0"/>
          <w:sz w:val="24"/>
          <w:szCs w:val="24"/>
          <w:lang w:eastAsia="zh-CN"/>
        </w:rPr>
        <w:t>）</w:t>
      </w:r>
      <w:r>
        <w:rPr>
          <w:rFonts w:hint="eastAsia" w:ascii="宋体" w:hAnsi="宋体" w:eastAsia="宋体" w:cs="宋体"/>
          <w:bCs/>
          <w:kern w:val="0"/>
          <w:sz w:val="24"/>
          <w:szCs w:val="24"/>
        </w:rPr>
        <w:t>供应商应为本项目成立不少于5人的项目团队，团队成员均应具备医疗责任保险项目承保或理赔经验不少于5年，其中不少于1人专职服务本项目。（须</w:t>
      </w:r>
      <w:r>
        <w:rPr>
          <w:rFonts w:hint="eastAsia" w:cs="宋体"/>
          <w:bCs/>
          <w:kern w:val="0"/>
          <w:sz w:val="24"/>
          <w:szCs w:val="24"/>
          <w:lang w:val="en-US" w:eastAsia="zh-CN"/>
        </w:rPr>
        <w:t>提供上述人员资质证书、业绩经验证明，以及近半年内任意一个月社保缴纳证明并加盖公章。</w:t>
      </w:r>
      <w:r>
        <w:rPr>
          <w:rFonts w:hint="eastAsia" w:ascii="宋体" w:hAnsi="宋体" w:eastAsia="宋体" w:cs="宋体"/>
          <w:bCs/>
          <w:kern w:val="0"/>
          <w:sz w:val="24"/>
          <w:szCs w:val="24"/>
        </w:rPr>
        <w:t xml:space="preserve">） </w:t>
      </w:r>
    </w:p>
    <w:p w14:paraId="4C2564C0">
      <w:pPr>
        <w:widowControl w:val="0"/>
        <w:autoSpaceDE w:val="0"/>
        <w:autoSpaceDN w:val="0"/>
        <w:spacing w:line="360" w:lineRule="auto"/>
        <w:ind w:firstLine="480" w:firstLineChars="200"/>
        <w:rPr>
          <w:rFonts w:hint="eastAsia" w:ascii="宋体" w:hAnsi="宋体" w:eastAsia="宋体" w:cs="宋体"/>
          <w:sz w:val="22"/>
          <w:szCs w:val="22"/>
          <w:lang w:val="en-US" w:eastAsia="zh-CN" w:bidi="ar-SA"/>
        </w:rPr>
      </w:pPr>
      <w:r>
        <w:rPr>
          <w:rFonts w:hint="eastAsia" w:ascii="宋体" w:hAnsi="宋体" w:eastAsia="宋体" w:cs="宋体"/>
          <w:bCs/>
          <w:kern w:val="0"/>
          <w:sz w:val="24"/>
          <w:szCs w:val="24"/>
          <w:lang w:val="en-US" w:eastAsia="zh-CN" w:bidi="ar-SA"/>
        </w:rPr>
        <w:t>3）</w:t>
      </w:r>
      <w:r>
        <w:rPr>
          <w:rFonts w:ascii="宋体" w:hAnsi="宋体" w:eastAsia="宋体" w:cs="宋体"/>
          <w:sz w:val="24"/>
          <w:szCs w:val="24"/>
          <w:lang w:val="en-US" w:eastAsia="en-US" w:bidi="ar-SA"/>
        </w:rPr>
        <w:t>现场服务标准：7×24 小时报案通道，重大纠纷 2 小时内到场；每月固定驻院对接日</w:t>
      </w:r>
      <w:r>
        <w:rPr>
          <w:rFonts w:hint="eastAsia" w:ascii="宋体" w:hAnsi="宋体" w:eastAsia="宋体" w:cs="宋体"/>
          <w:sz w:val="24"/>
          <w:szCs w:val="24"/>
          <w:lang w:val="en-US" w:eastAsia="zh-CN" w:bidi="ar-SA"/>
        </w:rPr>
        <w:t>。</w:t>
      </w:r>
    </w:p>
    <w:p w14:paraId="1AE3C958">
      <w:pPr>
        <w:spacing w:line="360" w:lineRule="auto"/>
        <w:ind w:firstLine="240" w:firstLineChars="1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保密要求</w:t>
      </w:r>
    </w:p>
    <w:p w14:paraId="3674FF7C">
      <w:pPr>
        <w:spacing w:line="360" w:lineRule="auto"/>
        <w:ind w:firstLine="480" w:firstLineChars="200"/>
        <w:rPr>
          <w:rFonts w:hint="eastAsia" w:ascii="宋体" w:hAnsi="宋体" w:cs="宋体"/>
          <w:sz w:val="24"/>
          <w:lang w:val="en-US" w:eastAsia="zh-CN"/>
        </w:rPr>
      </w:pPr>
      <w:r>
        <w:rPr>
          <w:rFonts w:hint="eastAsia" w:ascii="宋体" w:hAnsi="宋体" w:cs="宋体"/>
          <w:sz w:val="24"/>
        </w:rPr>
        <w:t>针对我院</w:t>
      </w:r>
      <w:r>
        <w:rPr>
          <w:rFonts w:ascii="宋体" w:hAnsi="宋体" w:eastAsia="宋体" w:cs="宋体"/>
          <w:sz w:val="24"/>
          <w:szCs w:val="24"/>
        </w:rPr>
        <w:t>医疗纠纷、患者隐私、院内诊疗数据、病案信息</w:t>
      </w:r>
      <w:r>
        <w:rPr>
          <w:rFonts w:hint="eastAsia" w:cs="宋体"/>
          <w:sz w:val="24"/>
          <w:szCs w:val="24"/>
          <w:lang w:eastAsia="zh-CN"/>
        </w:rPr>
        <w:t>，</w:t>
      </w:r>
      <w:r>
        <w:rPr>
          <w:rFonts w:hint="eastAsia" w:cs="宋体"/>
          <w:sz w:val="24"/>
          <w:szCs w:val="24"/>
          <w:lang w:val="en-US" w:eastAsia="zh-CN"/>
        </w:rPr>
        <w:t>以及</w:t>
      </w:r>
      <w:r>
        <w:rPr>
          <w:rFonts w:hint="eastAsia" w:ascii="宋体" w:hAnsi="宋体" w:cs="宋体"/>
          <w:sz w:val="24"/>
        </w:rPr>
        <w:t>相关承保、理赔情况予以保密，未经院</w:t>
      </w:r>
      <w:r>
        <w:rPr>
          <w:rFonts w:hint="eastAsia" w:ascii="宋体" w:hAnsi="宋体" w:cs="宋体"/>
          <w:sz w:val="24"/>
          <w:lang w:eastAsia="zh-CN"/>
        </w:rPr>
        <w:t>方书面</w:t>
      </w:r>
      <w:r>
        <w:rPr>
          <w:rFonts w:hint="eastAsia" w:ascii="宋体" w:hAnsi="宋体" w:cs="宋体"/>
          <w:sz w:val="24"/>
        </w:rPr>
        <w:t>同意不得向第三方披露</w:t>
      </w:r>
      <w:r>
        <w:rPr>
          <w:rFonts w:hint="eastAsia" w:ascii="宋体" w:hAnsi="宋体" w:cs="宋体"/>
          <w:sz w:val="24"/>
          <w:lang w:eastAsia="zh-CN"/>
        </w:rPr>
        <w:t>，承诺签署保密协议；违反保密规定需承担由此带来的一切法律责任。（</w:t>
      </w:r>
      <w:r>
        <w:rPr>
          <w:rFonts w:hint="eastAsia" w:ascii="宋体" w:hAnsi="宋体" w:cs="宋体"/>
          <w:sz w:val="24"/>
        </w:rPr>
        <w:t>除外监管部门要求</w:t>
      </w:r>
      <w:r>
        <w:rPr>
          <w:rFonts w:hint="eastAsia" w:ascii="宋体" w:hAnsi="宋体" w:cs="宋体"/>
          <w:sz w:val="24"/>
          <w:lang w:eastAsia="zh-CN"/>
        </w:rPr>
        <w:t>等不可抗力情况）</w:t>
      </w:r>
      <w:r>
        <w:rPr>
          <w:rFonts w:hint="eastAsia" w:ascii="宋体" w:hAnsi="宋体" w:cs="宋体"/>
          <w:sz w:val="24"/>
          <w:lang w:val="en-US" w:eastAsia="zh-CN"/>
        </w:rPr>
        <w:t xml:space="preserve"> </w:t>
      </w:r>
    </w:p>
    <w:p w14:paraId="34C77FDD">
      <w:pPr>
        <w:widowControl w:val="0"/>
        <w:autoSpaceDE w:val="0"/>
        <w:autoSpaceDN w:val="0"/>
        <w:ind w:firstLine="440" w:firstLineChars="200"/>
        <w:rPr>
          <w:rFonts w:hint="eastAsia" w:ascii="宋体" w:hAnsi="宋体" w:eastAsia="宋体" w:cs="宋体"/>
          <w:sz w:val="22"/>
          <w:szCs w:val="22"/>
          <w:lang w:val="en-US" w:eastAsia="zh-CN" w:bidi="ar-SA"/>
        </w:rPr>
      </w:pPr>
    </w:p>
    <w:p w14:paraId="03FE215F">
      <w:pPr>
        <w:widowControl/>
        <w:spacing w:line="486" w:lineRule="exact"/>
        <w:ind w:firstLine="241" w:firstLineChars="100"/>
        <w:contextualSpacing/>
        <w:rPr>
          <w:b/>
          <w:bCs/>
          <w:sz w:val="24"/>
          <w:szCs w:val="24"/>
          <w:lang w:eastAsia="zh-CN"/>
        </w:rPr>
      </w:pPr>
      <w:r>
        <w:rPr>
          <w:rFonts w:hint="eastAsia" w:eastAsia="宋体"/>
          <w:b/>
          <w:bCs/>
          <w:sz w:val="24"/>
          <w:szCs w:val="24"/>
          <w:lang w:eastAsia="zh-CN"/>
        </w:rPr>
        <w:t>2.2 采购标的需满足的服务标准、期限、效率等要求；</w:t>
      </w:r>
    </w:p>
    <w:p w14:paraId="5CA87B0A">
      <w:pPr>
        <w:tabs>
          <w:tab w:val="left" w:pos="900"/>
        </w:tabs>
        <w:autoSpaceDE/>
        <w:autoSpaceDN/>
        <w:spacing w:line="486" w:lineRule="exact"/>
        <w:ind w:firstLine="240" w:firstLineChars="100"/>
        <w:rPr>
          <w:sz w:val="24"/>
          <w:szCs w:val="24"/>
          <w:lang w:eastAsia="zh-CN"/>
        </w:rPr>
      </w:pPr>
      <w:r>
        <w:rPr>
          <w:rFonts w:hint="eastAsia" w:eastAsia="宋体"/>
          <w:sz w:val="24"/>
          <w:szCs w:val="24"/>
          <w:lang w:eastAsia="zh-CN"/>
        </w:rPr>
        <w:t>（1）采购标的需满足的服务标准、效率要求</w:t>
      </w:r>
    </w:p>
    <w:p w14:paraId="6B7CE7CF">
      <w:pPr>
        <w:spacing w:line="486" w:lineRule="exact"/>
        <w:ind w:firstLine="480" w:firstLineChars="200"/>
        <w:contextualSpacing/>
        <w:rPr>
          <w:sz w:val="24"/>
          <w:szCs w:val="24"/>
          <w:lang w:eastAsia="zh-CN"/>
        </w:rPr>
      </w:pPr>
      <w:r>
        <w:rPr>
          <w:rFonts w:hint="eastAsia" w:eastAsia="宋体"/>
          <w:sz w:val="24"/>
          <w:szCs w:val="24"/>
          <w:lang w:eastAsia="zh-CN"/>
        </w:rPr>
        <w:t>详见 需满足的质量、安全、技术规格、物理特性等要求。</w:t>
      </w:r>
    </w:p>
    <w:p w14:paraId="1DDB96F3">
      <w:pPr>
        <w:tabs>
          <w:tab w:val="left" w:pos="900"/>
        </w:tabs>
        <w:autoSpaceDE/>
        <w:autoSpaceDN/>
        <w:spacing w:line="486" w:lineRule="exact"/>
        <w:ind w:firstLine="220" w:firstLineChars="100"/>
        <w:rPr>
          <w:sz w:val="24"/>
          <w:szCs w:val="24"/>
          <w:lang w:eastAsia="zh-CN"/>
        </w:rPr>
      </w:pPr>
      <w:r>
        <w:rPr>
          <w:rFonts w:hint="eastAsia" w:eastAsia="宋体"/>
          <w:szCs w:val="24"/>
          <w:lang w:eastAsia="zh-CN"/>
        </w:rPr>
        <w:t>（</w:t>
      </w:r>
      <w:r>
        <w:rPr>
          <w:rFonts w:hint="eastAsia" w:eastAsia="宋体"/>
          <w:sz w:val="24"/>
          <w:szCs w:val="24"/>
          <w:lang w:eastAsia="zh-CN"/>
        </w:rPr>
        <w:t>2）采购标的需满足的服务期限要求</w:t>
      </w:r>
    </w:p>
    <w:p w14:paraId="7AA59470">
      <w:pPr>
        <w:tabs>
          <w:tab w:val="left" w:pos="900"/>
        </w:tabs>
        <w:autoSpaceDE/>
        <w:autoSpaceDN/>
        <w:spacing w:line="486" w:lineRule="exact"/>
        <w:ind w:firstLine="480" w:firstLineChars="200"/>
        <w:rPr>
          <w:sz w:val="24"/>
          <w:szCs w:val="24"/>
          <w:lang w:eastAsia="zh-CN"/>
        </w:rPr>
      </w:pPr>
      <w:r>
        <w:rPr>
          <w:rFonts w:hint="eastAsia" w:eastAsia="宋体"/>
          <w:sz w:val="24"/>
          <w:szCs w:val="24"/>
          <w:lang w:eastAsia="zh-CN"/>
        </w:rPr>
        <w:t>服务期限：一年。</w:t>
      </w:r>
    </w:p>
    <w:p w14:paraId="53296A0E">
      <w:pPr>
        <w:tabs>
          <w:tab w:val="left" w:pos="900"/>
        </w:tabs>
        <w:spacing w:line="360" w:lineRule="auto"/>
        <w:ind w:firstLine="482" w:firstLineChars="200"/>
        <w:rPr>
          <w:b/>
          <w:bCs/>
          <w:sz w:val="24"/>
          <w:szCs w:val="24"/>
          <w:lang w:eastAsia="zh-CN"/>
        </w:rPr>
      </w:pPr>
      <w:r>
        <w:rPr>
          <w:rFonts w:hint="eastAsia" w:eastAsia="宋体"/>
          <w:b/>
          <w:bCs/>
          <w:sz w:val="24"/>
          <w:szCs w:val="24"/>
          <w:lang w:eastAsia="zh-CN"/>
        </w:rPr>
        <w:t>2.3为落实政府采购政策需满足的要求；</w:t>
      </w:r>
    </w:p>
    <w:p w14:paraId="049CEFD9">
      <w:pPr>
        <w:tabs>
          <w:tab w:val="left" w:pos="900"/>
        </w:tabs>
        <w:spacing w:line="486" w:lineRule="exact"/>
        <w:ind w:firstLine="480" w:firstLineChars="200"/>
        <w:rPr>
          <w:sz w:val="24"/>
          <w:szCs w:val="24"/>
          <w:lang w:eastAsia="zh-CN"/>
        </w:rPr>
      </w:pPr>
      <w:r>
        <w:rPr>
          <w:rFonts w:hint="eastAsia" w:eastAsia="宋体"/>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78C62290">
      <w:pPr>
        <w:tabs>
          <w:tab w:val="left" w:pos="900"/>
        </w:tabs>
        <w:spacing w:line="486" w:lineRule="exact"/>
        <w:ind w:firstLine="480" w:firstLineChars="200"/>
        <w:rPr>
          <w:sz w:val="24"/>
          <w:szCs w:val="24"/>
          <w:lang w:eastAsia="zh-CN"/>
        </w:rPr>
      </w:pPr>
      <w:r>
        <w:rPr>
          <w:rFonts w:hint="eastAsia" w:eastAsia="宋体"/>
          <w:sz w:val="24"/>
          <w:szCs w:val="24"/>
          <w:lang w:eastAsia="zh-CN"/>
        </w:rPr>
        <w:t>（2）监狱企业扶持政策：供应商所投产品为监狱企业制造的，将视同为小型或微型企业，将对该投标产品的投标价给予10%的扣除。</w:t>
      </w:r>
      <w:r>
        <w:rPr>
          <w:rFonts w:hint="eastAsia" w:eastAsia="宋体"/>
          <w:iCs/>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eastAsia="宋体"/>
          <w:sz w:val="24"/>
          <w:szCs w:val="24"/>
          <w:lang w:eastAsia="zh-CN"/>
        </w:rPr>
        <w:t>。（专门面向中小企业采购或预留份额的情况不适用）</w:t>
      </w:r>
    </w:p>
    <w:p w14:paraId="1C2CEB48">
      <w:pPr>
        <w:tabs>
          <w:tab w:val="left" w:pos="900"/>
        </w:tabs>
        <w:spacing w:line="486" w:lineRule="exact"/>
        <w:ind w:firstLine="480" w:firstLineChars="200"/>
        <w:rPr>
          <w:sz w:val="24"/>
          <w:szCs w:val="24"/>
          <w:lang w:eastAsia="zh-CN"/>
        </w:rPr>
      </w:pPr>
      <w:r>
        <w:rPr>
          <w:rFonts w:hint="eastAsia" w:eastAsia="宋体"/>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34E50809">
      <w:pPr>
        <w:autoSpaceDE/>
        <w:autoSpaceDN/>
        <w:spacing w:line="486" w:lineRule="exact"/>
        <w:ind w:firstLine="480" w:firstLineChars="200"/>
        <w:rPr>
          <w:sz w:val="24"/>
          <w:szCs w:val="24"/>
          <w:lang w:eastAsia="zh-CN"/>
        </w:rPr>
      </w:pPr>
      <w:r>
        <w:rPr>
          <w:rFonts w:hint="eastAsia" w:eastAsia="宋体"/>
          <w:sz w:val="24"/>
          <w:szCs w:val="24"/>
          <w:lang w:eastAsia="zh-CN"/>
        </w:rPr>
        <w:t>（4）鼓励节能、环保政策：依据《财政部发展改革委生态环境部市场监管总局关于调整优化节能产品、环境标志产品政府采购执行机制的通知（财库（2019）9号）》执行。</w:t>
      </w:r>
    </w:p>
    <w:p w14:paraId="5EDAA84D">
      <w:pPr>
        <w:tabs>
          <w:tab w:val="left" w:pos="900"/>
        </w:tabs>
        <w:autoSpaceDE/>
        <w:autoSpaceDN/>
        <w:spacing w:line="360" w:lineRule="auto"/>
        <w:ind w:firstLine="480" w:firstLineChars="200"/>
        <w:jc w:val="both"/>
        <w:rPr>
          <w:sz w:val="24"/>
          <w:szCs w:val="24"/>
          <w:lang w:eastAsia="zh-CN"/>
        </w:rPr>
      </w:pPr>
      <w:r>
        <w:rPr>
          <w:rFonts w:hint="eastAsia" w:eastAsia="宋体"/>
          <w:sz w:val="24"/>
          <w:szCs w:val="24"/>
          <w:lang w:eastAsia="zh-CN"/>
        </w:rPr>
        <w:t>（5）实施本国产品标准及相关政策：依据《</w:t>
      </w:r>
      <w:r>
        <w:rPr>
          <w:rFonts w:hint="eastAsia" w:eastAsia="宋体"/>
          <w:sz w:val="24"/>
          <w:szCs w:val="24"/>
          <w:shd w:val="clear" w:color="auto" w:fill="FFFFFF"/>
          <w:lang w:eastAsia="zh-CN"/>
        </w:rPr>
        <w:t>国务院办公厅关于在政府采购中实施本国产品标准及相关政策的通知</w:t>
      </w:r>
      <w:r>
        <w:rPr>
          <w:rFonts w:hint="eastAsia" w:eastAsia="宋体"/>
          <w:sz w:val="24"/>
          <w:szCs w:val="24"/>
          <w:lang w:eastAsia="zh-CN"/>
        </w:rPr>
        <w:t>》（国办发〔2025〕34号）规定，本项目供应商所投产品</w:t>
      </w:r>
      <w:r>
        <w:rPr>
          <w:rFonts w:hint="eastAsia" w:eastAsia="宋体"/>
          <w:sz w:val="24"/>
          <w:szCs w:val="24"/>
          <w:shd w:val="clear" w:color="auto" w:fill="FFFFFF"/>
          <w:lang w:eastAsia="zh-CN"/>
        </w:rPr>
        <w:t>在中国境内生产，即在中华人民共和国关境内实现从原材料、组件到产品的属性改变。且在中国境内生产的组件成本占比应当达到规定比例</w:t>
      </w:r>
      <w:r>
        <w:rPr>
          <w:rFonts w:hint="eastAsia" w:eastAsia="宋体"/>
          <w:sz w:val="24"/>
          <w:szCs w:val="24"/>
          <w:lang w:eastAsia="zh-CN"/>
        </w:rPr>
        <w:t>，</w:t>
      </w:r>
      <w:r>
        <w:rPr>
          <w:rFonts w:hint="eastAsia" w:eastAsia="宋体"/>
          <w:sz w:val="24"/>
          <w:szCs w:val="24"/>
          <w:shd w:val="clear" w:color="auto" w:fill="FFFFFF"/>
          <w:lang w:eastAsia="zh-CN"/>
        </w:rPr>
        <w:t>依法对本国产品给予价格评审优惠，对本国产品的报价给予20%的价格扣除，用扣除后的价格参与评审。</w:t>
      </w:r>
      <w:r>
        <w:rPr>
          <w:rFonts w:hint="eastAsia" w:eastAsia="宋体"/>
          <w:b/>
          <w:bCs/>
          <w:sz w:val="24"/>
          <w:szCs w:val="24"/>
          <w:lang w:eastAsia="zh-CN"/>
        </w:rPr>
        <w:t>供应商应出具招标文件要求的证明材料给予证明，否则评标时不予认可</w:t>
      </w:r>
      <w:r>
        <w:rPr>
          <w:rFonts w:hint="eastAsia" w:eastAsia="宋体"/>
          <w:sz w:val="24"/>
          <w:szCs w:val="24"/>
          <w:lang w:eastAsia="zh-CN"/>
        </w:rPr>
        <w:t>。</w:t>
      </w:r>
      <w:r>
        <w:rPr>
          <w:rFonts w:hint="eastAsia" w:eastAsia="宋体"/>
          <w:b/>
          <w:bCs/>
          <w:sz w:val="24"/>
          <w:szCs w:val="24"/>
          <w:lang w:eastAsia="zh-CN"/>
        </w:rPr>
        <w:t>供应商应对提交的证明材料真实性负责，</w:t>
      </w:r>
      <w:r>
        <w:rPr>
          <w:rFonts w:hint="eastAsia" w:eastAsia="宋体"/>
          <w:sz w:val="24"/>
          <w:szCs w:val="24"/>
          <w:lang w:eastAsia="zh-CN"/>
        </w:rPr>
        <w:t>提交证明材料不真实的，应承担相应的法律责任。</w:t>
      </w:r>
    </w:p>
    <w:p w14:paraId="48A1956B">
      <w:pPr>
        <w:autoSpaceDE/>
        <w:autoSpaceDN/>
        <w:spacing w:line="486" w:lineRule="exact"/>
        <w:ind w:firstLine="482" w:firstLineChars="200"/>
        <w:rPr>
          <w:b/>
          <w:bCs/>
          <w:sz w:val="24"/>
          <w:szCs w:val="24"/>
          <w:highlight w:val="none"/>
          <w:lang w:eastAsia="zh-CN"/>
        </w:rPr>
      </w:pPr>
      <w:r>
        <w:rPr>
          <w:rFonts w:hint="eastAsia" w:eastAsia="宋体"/>
          <w:b/>
          <w:bCs/>
          <w:sz w:val="24"/>
          <w:szCs w:val="24"/>
          <w:highlight w:val="none"/>
          <w:lang w:eastAsia="zh-CN"/>
        </w:rPr>
        <w:t>2.4采购标的的其他技术、服务等要求；</w:t>
      </w:r>
    </w:p>
    <w:p w14:paraId="117DC984">
      <w:pPr>
        <w:tabs>
          <w:tab w:val="left" w:pos="900"/>
        </w:tabs>
        <w:spacing w:line="360" w:lineRule="auto"/>
        <w:ind w:firstLine="480" w:firstLineChars="200"/>
        <w:rPr>
          <w:bCs/>
          <w:sz w:val="24"/>
          <w:szCs w:val="24"/>
          <w:highlight w:val="none"/>
          <w:lang w:eastAsia="zh-CN"/>
        </w:rPr>
      </w:pPr>
      <w:r>
        <w:rPr>
          <w:rFonts w:hint="eastAsia" w:eastAsia="宋体"/>
          <w:bCs/>
          <w:sz w:val="24"/>
          <w:szCs w:val="24"/>
          <w:highlight w:val="none"/>
          <w:lang w:eastAsia="zh-CN"/>
        </w:rPr>
        <w:t>投标人需按照招标文件要求提供</w:t>
      </w:r>
      <w:r>
        <w:rPr>
          <w:rFonts w:hint="eastAsia" w:ascii="宋体" w:eastAsia="宋体"/>
          <w:bCs/>
          <w:sz w:val="24"/>
          <w:szCs w:val="24"/>
          <w:highlight w:val="none"/>
          <w:lang w:val="en-US" w:eastAsia="zh-CN"/>
        </w:rPr>
        <w:t>整体</w:t>
      </w:r>
      <w:r>
        <w:rPr>
          <w:rFonts w:hint="eastAsia" w:eastAsia="宋体"/>
          <w:bCs/>
          <w:sz w:val="24"/>
          <w:szCs w:val="24"/>
          <w:highlight w:val="none"/>
          <w:lang w:eastAsia="zh-CN"/>
        </w:rPr>
        <w:t>服务方案、赔流程方案、保障扩展和方案、服务团队</w:t>
      </w:r>
      <w:r>
        <w:rPr>
          <w:rFonts w:hint="eastAsia" w:ascii="宋体" w:eastAsia="宋体"/>
          <w:bCs/>
          <w:sz w:val="24"/>
          <w:szCs w:val="24"/>
          <w:highlight w:val="none"/>
          <w:lang w:val="en-US" w:eastAsia="zh-CN"/>
        </w:rPr>
        <w:t>配备方案、</w:t>
      </w:r>
      <w:r>
        <w:rPr>
          <w:rFonts w:hint="eastAsia" w:eastAsia="宋体"/>
          <w:bCs/>
          <w:sz w:val="24"/>
          <w:szCs w:val="24"/>
          <w:highlight w:val="none"/>
          <w:lang w:eastAsia="zh-CN"/>
        </w:rPr>
        <w:t>服务承诺及服务质量保障措施等。</w:t>
      </w:r>
    </w:p>
    <w:p w14:paraId="7EC1EDBA">
      <w:pPr>
        <w:tabs>
          <w:tab w:val="left" w:pos="900"/>
        </w:tabs>
        <w:spacing w:line="360" w:lineRule="auto"/>
        <w:ind w:firstLine="482" w:firstLineChars="200"/>
        <w:rPr>
          <w:b/>
          <w:sz w:val="24"/>
          <w:szCs w:val="24"/>
          <w:lang w:eastAsia="zh-CN"/>
        </w:rPr>
      </w:pPr>
      <w:r>
        <w:rPr>
          <w:rFonts w:hint="eastAsia" w:eastAsia="宋体"/>
          <w:b/>
          <w:sz w:val="24"/>
          <w:szCs w:val="24"/>
          <w:lang w:eastAsia="zh-CN"/>
        </w:rPr>
        <w:t>3.采购标的的验收标准</w:t>
      </w:r>
    </w:p>
    <w:p w14:paraId="22A69FE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outlineLvl w:val="0"/>
        <w:rPr>
          <w:rFonts w:hint="eastAsia"/>
          <w:b w:val="0"/>
          <w:bCs w:val="0"/>
          <w:sz w:val="24"/>
          <w:szCs w:val="24"/>
          <w:lang w:eastAsia="zh-CN"/>
        </w:rPr>
      </w:pPr>
      <w:bookmarkStart w:id="1" w:name="_Toc3888"/>
      <w:bookmarkStart w:id="2" w:name="_Toc2657"/>
      <w:r>
        <w:rPr>
          <w:rFonts w:hint="eastAsia" w:ascii="宋体" w:eastAsia="宋体"/>
          <w:b w:val="0"/>
          <w:bCs w:val="0"/>
          <w:sz w:val="24"/>
          <w:szCs w:val="24"/>
          <w:lang w:val="en-US" w:eastAsia="zh-CN"/>
        </w:rPr>
        <w:t>3.</w:t>
      </w:r>
      <w:r>
        <w:rPr>
          <w:rFonts w:hint="eastAsia" w:eastAsia="宋体"/>
          <w:b w:val="0"/>
          <w:bCs w:val="0"/>
          <w:sz w:val="24"/>
          <w:szCs w:val="24"/>
          <w:lang w:eastAsia="zh-CN"/>
        </w:rPr>
        <w:t>1.符合采购人的人员选择条件和数量</w:t>
      </w:r>
      <w:bookmarkEnd w:id="1"/>
      <w:bookmarkEnd w:id="2"/>
    </w:p>
    <w:p w14:paraId="0A78F26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outlineLvl w:val="0"/>
        <w:rPr>
          <w:rFonts w:hint="eastAsia"/>
          <w:b w:val="0"/>
          <w:bCs w:val="0"/>
          <w:sz w:val="24"/>
          <w:szCs w:val="24"/>
          <w:lang w:eastAsia="zh-CN"/>
        </w:rPr>
      </w:pPr>
      <w:bookmarkStart w:id="3" w:name="_Toc12967"/>
      <w:bookmarkStart w:id="4" w:name="_Toc21237"/>
      <w:r>
        <w:rPr>
          <w:rFonts w:hint="eastAsia" w:ascii="宋体" w:eastAsia="宋体"/>
          <w:b w:val="0"/>
          <w:bCs w:val="0"/>
          <w:sz w:val="24"/>
          <w:szCs w:val="24"/>
          <w:lang w:val="en-US" w:eastAsia="zh-CN"/>
        </w:rPr>
        <w:t>3.</w:t>
      </w:r>
      <w:r>
        <w:rPr>
          <w:rFonts w:hint="eastAsia" w:eastAsia="宋体"/>
          <w:b w:val="0"/>
          <w:bCs w:val="0"/>
          <w:sz w:val="24"/>
          <w:szCs w:val="24"/>
          <w:lang w:eastAsia="zh-CN"/>
        </w:rPr>
        <w:t>2.完成采购人要求的工作内容</w:t>
      </w:r>
      <w:bookmarkEnd w:id="3"/>
      <w:bookmarkEnd w:id="4"/>
    </w:p>
    <w:p w14:paraId="760BB6A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outlineLvl w:val="0"/>
        <w:rPr>
          <w:rFonts w:hint="eastAsia"/>
          <w:b w:val="0"/>
          <w:bCs w:val="0"/>
          <w:sz w:val="24"/>
          <w:szCs w:val="24"/>
          <w:lang w:eastAsia="zh-CN"/>
        </w:rPr>
      </w:pPr>
      <w:bookmarkStart w:id="5" w:name="_Toc13928"/>
      <w:bookmarkStart w:id="6" w:name="_Toc19494"/>
      <w:r>
        <w:rPr>
          <w:rFonts w:hint="eastAsia" w:ascii="宋体" w:eastAsia="宋体"/>
          <w:b w:val="0"/>
          <w:bCs w:val="0"/>
          <w:sz w:val="24"/>
          <w:szCs w:val="24"/>
          <w:lang w:val="en-US" w:eastAsia="zh-CN"/>
        </w:rPr>
        <w:t>3.</w:t>
      </w:r>
      <w:r>
        <w:rPr>
          <w:rFonts w:hint="eastAsia" w:eastAsia="宋体"/>
          <w:b w:val="0"/>
          <w:bCs w:val="0"/>
          <w:sz w:val="24"/>
          <w:szCs w:val="24"/>
          <w:lang w:eastAsia="zh-CN"/>
        </w:rPr>
        <w:t>3.达到采购人要求的服务和质量标准</w:t>
      </w:r>
      <w:bookmarkEnd w:id="5"/>
      <w:bookmarkEnd w:id="6"/>
    </w:p>
    <w:p w14:paraId="7D826955">
      <w:pPr>
        <w:pStyle w:val="7"/>
        <w:spacing w:before="0" w:line="360" w:lineRule="auto"/>
      </w:pPr>
      <w:bookmarkStart w:id="7" w:name="_Toc2792"/>
      <w:bookmarkStart w:id="8" w:name="_Toc24829"/>
      <w:r>
        <w:rPr>
          <w:rFonts w:hint="eastAsia" w:ascii="宋体" w:eastAsia="宋体"/>
          <w:b w:val="0"/>
          <w:bCs w:val="0"/>
          <w:sz w:val="24"/>
          <w:szCs w:val="24"/>
          <w:lang w:val="en-US" w:eastAsia="zh-CN"/>
        </w:rPr>
        <w:t>3.</w:t>
      </w:r>
      <w:r>
        <w:rPr>
          <w:rFonts w:hint="eastAsia" w:eastAsia="宋体"/>
          <w:b w:val="0"/>
          <w:bCs w:val="0"/>
          <w:sz w:val="24"/>
          <w:szCs w:val="24"/>
          <w:lang w:eastAsia="zh-CN"/>
        </w:rPr>
        <w:t>4.采购人将对供应商提供相关服务按期进行满意度调查考核</w:t>
      </w:r>
      <w:bookmarkEnd w:id="7"/>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7C91A"/>
    <w:multiLevelType w:val="singleLevel"/>
    <w:tmpl w:val="2817C91A"/>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61F38"/>
    <w:rsid w:val="2FE93462"/>
    <w:rsid w:val="3D4A5933"/>
    <w:rsid w:val="3E361F38"/>
    <w:rsid w:val="421A08C5"/>
    <w:rsid w:val="5BEA7BFB"/>
    <w:rsid w:val="5DBA0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24"/>
      <w:szCs w:val="24"/>
    </w:rPr>
  </w:style>
  <w:style w:type="table" w:styleId="5">
    <w:name w:val="Table Grid"/>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表段落11"/>
    <w:basedOn w:val="1"/>
    <w:qFormat/>
    <w:uiPriority w:val="1"/>
    <w:pPr>
      <w:spacing w:before="134"/>
      <w:ind w:left="1196" w:hanging="720"/>
    </w:pPr>
    <w:rPr>
      <w:sz w:val="20"/>
    </w:rPr>
  </w:style>
  <w:style w:type="paragraph" w:customStyle="1" w:styleId="8">
    <w:name w:val="Table Paragraph"/>
    <w:basedOn w:val="1"/>
    <w:qFormat/>
    <w:uiPriority w:val="1"/>
  </w:style>
  <w:style w:type="paragraph" w:customStyle="1" w:styleId="9">
    <w:name w:val="正文3"/>
    <w:qFormat/>
    <w:uiPriority w:val="99"/>
    <w:pPr>
      <w:jc w:val="both"/>
    </w:pPr>
    <w:rPr>
      <w:rFonts w:ascii="Calibri" w:hAnsi="Calibri" w:eastAsia="宋体" w:cs="Calibri"/>
      <w:kern w:val="2"/>
      <w:sz w:val="21"/>
      <w:szCs w:val="21"/>
      <w:lang w:val="en-US" w:eastAsia="zh-CN" w:bidi="ar-SA"/>
    </w:rPr>
  </w:style>
  <w:style w:type="paragraph" w:customStyle="1" w:styleId="10">
    <w:name w:val="列出段落1"/>
    <w:basedOn w:val="1"/>
    <w:qFormat/>
    <w:uiPriority w:val="1"/>
    <w:pPr>
      <w:spacing w:before="134"/>
      <w:ind w:left="1196" w:hanging="720"/>
    </w:pPr>
    <w:rPr>
      <w:rFonts w:ascii="宋体" w:hAnsi="宋体" w:eastAsia="宋体"/>
      <w:sz w:val="20"/>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4668</Words>
  <Characters>5300</Characters>
  <Lines>0</Lines>
  <Paragraphs>0</Paragraphs>
  <TotalTime>0</TotalTime>
  <ScaleCrop>false</ScaleCrop>
  <LinksUpToDate>false</LinksUpToDate>
  <CharactersWithSpaces>5405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2026-03-26T08:19:00Z</dcterms:created>
  <dc:creator>王崴</dc:creator>
  <cp:lastModifiedBy>Serena</cp:lastModifiedBy>
  <dcterms:modified xsi:type="dcterms:W3CDTF">2026-08-19T06:49:21Z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624C93BAC3754732AEBC1D01AA24FFD1_11</vt:lpwstr>
  </property>
  <property fmtid="{D5CDD505-2E9C-101B-9397-08002B2CF9AE}" pid="4" name="KSOTemplateDocerSaveRecord">
    <vt:lpwstr>eyJoZGlkIjoiMTUxNjU4Y2I1ZTg1ZmY0MTJiZWRhYWQxYzNmOTNlNDEiLCJ1c2VySWQiOiIyMTg5Mjc5NjMifQ==</vt:lpwstr>
  </property>
</Properties>
</file>