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F6E4F">
      <w:pPr>
        <w:spacing w:line="360" w:lineRule="auto"/>
        <w:jc w:val="center"/>
        <w:outlineLvl w:val="0"/>
        <w:rPr>
          <w:b/>
          <w:sz w:val="36"/>
          <w:szCs w:val="36"/>
          <w:highlight w:val="none"/>
        </w:rPr>
      </w:pPr>
      <w:bookmarkStart w:id="1" w:name="_GoBack"/>
      <w:bookmarkEnd w:id="1"/>
      <w:bookmarkStart w:id="0" w:name="_Toc99301424"/>
      <w:r>
        <w:rPr>
          <w:b/>
          <w:sz w:val="36"/>
          <w:szCs w:val="36"/>
          <w:highlight w:val="none"/>
        </w:rPr>
        <w:t>采购需求</w:t>
      </w:r>
      <w:bookmarkEnd w:id="0"/>
    </w:p>
    <w:p w14:paraId="7733E357">
      <w:pPr>
        <w:widowControl w:val="0"/>
        <w:numPr>
          <w:ilvl w:val="0"/>
          <w:numId w:val="0"/>
        </w:numPr>
        <w:spacing w:line="360" w:lineRule="auto"/>
        <w:ind w:leftChars="0" w:firstLine="482" w:firstLineChars="200"/>
        <w:contextualSpacing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  <w:t>采购标的</w:t>
      </w:r>
    </w:p>
    <w:p w14:paraId="00880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bCs/>
          <w:sz w:val="24"/>
          <w:highlight w:val="none"/>
        </w:rPr>
      </w:pPr>
      <w:r>
        <w:rPr>
          <w:rFonts w:ascii="Times New Roman" w:hAnsi="Times New Roman" w:eastAsia="宋体" w:cs="Times New Roman"/>
          <w:bCs/>
          <w:sz w:val="24"/>
          <w:highlight w:val="none"/>
        </w:rPr>
        <w:t>1. 采购标的</w:t>
      </w:r>
    </w:p>
    <w:p w14:paraId="75C35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hint="default" w:ascii="Times New Roman" w:hAnsi="Times New Roman" w:eastAsia="宋体" w:cs="Times New Roman"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本</w:t>
      </w:r>
      <w:r>
        <w:rPr>
          <w:rFonts w:hint="eastAsia" w:cs="Times New Roman"/>
          <w:bCs/>
          <w:sz w:val="24"/>
          <w:highlight w:val="none"/>
          <w:lang w:val="en-US" w:eastAsia="zh-CN"/>
        </w:rPr>
        <w:t>项目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预算金额120.5万元，包含基础软件购置。</w:t>
      </w:r>
    </w:p>
    <w:tbl>
      <w:tblPr>
        <w:tblStyle w:val="3"/>
        <w:tblW w:w="97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9"/>
        <w:gridCol w:w="2822"/>
        <w:gridCol w:w="1286"/>
        <w:gridCol w:w="1125"/>
        <w:gridCol w:w="1854"/>
        <w:gridCol w:w="1854"/>
      </w:tblGrid>
      <w:tr w14:paraId="06ED7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E0DA1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2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AC4FC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采购标的名称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69495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数量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06614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单位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F2DFE7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highlight w:val="none"/>
              </w:rPr>
              <w:t>备注</w:t>
            </w:r>
          </w:p>
          <w:p w14:paraId="6B2E74AD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highlight w:val="none"/>
              </w:rPr>
              <w:t>（核心产品）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7C4B74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highlight w:val="none"/>
                <w:lang w:eastAsia="zh-CN"/>
              </w:rPr>
              <w:t>是否接受进口产品</w:t>
            </w:r>
          </w:p>
        </w:tc>
      </w:tr>
      <w:tr w14:paraId="0D32A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BE91F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A4F07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操作系统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6B74D4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91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78526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套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4674251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/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0AB94CC0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否</w:t>
            </w:r>
          </w:p>
        </w:tc>
      </w:tr>
      <w:tr w14:paraId="757C4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E28B8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2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D06C4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bidi="ar"/>
              </w:rPr>
              <w:t>数据库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75030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61051">
            <w:pPr>
              <w:widowControl/>
              <w:spacing w:after="0" w:line="240" w:lineRule="auto"/>
              <w:jc w:val="center"/>
              <w:textAlignment w:val="center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套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39DD8BA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highlight w:val="none"/>
              </w:rPr>
              <w:t>核心产品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29C20117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Cs/>
                <w:sz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否</w:t>
            </w:r>
          </w:p>
        </w:tc>
      </w:tr>
      <w:tr w14:paraId="50803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06CB0A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140290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中间件</w:t>
            </w:r>
          </w:p>
        </w:tc>
        <w:tc>
          <w:tcPr>
            <w:tcW w:w="12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21270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FAABB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套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2CDB90A">
            <w:pPr>
              <w:widowControl/>
              <w:spacing w:after="0" w:line="240" w:lineRule="auto"/>
              <w:jc w:val="center"/>
              <w:textAlignment w:val="center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/</w:t>
            </w:r>
          </w:p>
        </w:tc>
        <w:tc>
          <w:tcPr>
            <w:tcW w:w="18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3DC222B2">
            <w:pPr>
              <w:widowControl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否</w:t>
            </w:r>
          </w:p>
        </w:tc>
      </w:tr>
    </w:tbl>
    <w:p w14:paraId="6C7A1363">
      <w:pPr>
        <w:spacing w:after="0" w:line="360" w:lineRule="auto"/>
        <w:contextualSpacing/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</w:pPr>
    </w:p>
    <w:p w14:paraId="371B9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bCs/>
          <w:sz w:val="24"/>
          <w:highlight w:val="none"/>
        </w:rPr>
      </w:pPr>
      <w:r>
        <w:rPr>
          <w:rFonts w:ascii="Times New Roman" w:hAnsi="Times New Roman" w:eastAsia="宋体" w:cs="Times New Roman"/>
          <w:bCs/>
          <w:sz w:val="24"/>
          <w:highlight w:val="none"/>
        </w:rPr>
        <w:t>2. 项目背景/项目概述（如有）</w:t>
      </w:r>
    </w:p>
    <w:p w14:paraId="1CF3C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bCs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Cs/>
          <w:sz w:val="24"/>
          <w:highlight w:val="none"/>
          <w:lang w:val="en-US" w:eastAsia="zh-CN"/>
        </w:rPr>
        <w:t>本项目结合实战业务需求，规划并建设“1+3+6+N”侦查打击子系统。系统在原有刑侦信息专业应用系统的架构下，完善系统的资源服务架构、专业支撑体系，结合新型违法犯罪的最新发展态势，按照各类侦查打击需求，补充实战应用体系功能，重点强化打击防范专项能力，进一步提升标准化、数字化、智能化水平。</w:t>
      </w:r>
    </w:p>
    <w:p w14:paraId="0A9E6AF6">
      <w:pPr>
        <w:widowControl w:val="0"/>
        <w:numPr>
          <w:ilvl w:val="0"/>
          <w:numId w:val="0"/>
        </w:numPr>
        <w:spacing w:line="360" w:lineRule="auto"/>
        <w:ind w:firstLine="420" w:firstLineChars="0"/>
        <w:contextualSpacing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  <w:t>二、</w:t>
      </w:r>
      <w:r>
        <w:rPr>
          <w:rFonts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  <w:t>商务要求</w:t>
      </w:r>
    </w:p>
    <w:p w14:paraId="3BE91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bCs/>
          <w:sz w:val="24"/>
          <w:highlight w:val="none"/>
        </w:rPr>
      </w:pPr>
      <w:r>
        <w:rPr>
          <w:rFonts w:ascii="Times New Roman" w:hAnsi="Times New Roman" w:eastAsia="宋体" w:cs="Times New Roman"/>
          <w:bCs/>
          <w:sz w:val="24"/>
          <w:highlight w:val="none"/>
        </w:rPr>
        <w:t>1.交付（实施）的时间（期限）和地点（范围）</w:t>
      </w:r>
    </w:p>
    <w:p w14:paraId="2491D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hint="default" w:ascii="Times New Roman" w:hAnsi="Times New Roman" w:eastAsia="宋体" w:cs="Times New Roman"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交付时间：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本项目需在12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个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内完成项目整体建设，其中在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个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内完成全部货物到货。项目建设完成后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1个月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 xml:space="preserve">内完成初验，进入为期 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6个月</w:t>
      </w: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的试运行期，试运行期满无问题后进行最终验收。质保期不少于3年，从项目通过最终验收合格之日起开始计算。</w:t>
      </w:r>
    </w:p>
    <w:p w14:paraId="6B40D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Cs/>
          <w:sz w:val="24"/>
          <w:highlight w:val="none"/>
          <w:lang w:eastAsia="zh-CN"/>
        </w:rPr>
        <w:t>交付地点：采购人指定地点。</w:t>
      </w:r>
    </w:p>
    <w:p w14:paraId="08D10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Cs/>
          <w:sz w:val="24"/>
          <w:highlight w:val="none"/>
          <w:lang w:val="en-US" w:eastAsia="zh-CN"/>
        </w:rPr>
        <w:t>2.</w:t>
      </w:r>
      <w:r>
        <w:rPr>
          <w:rFonts w:ascii="Times New Roman" w:hAnsi="Times New Roman" w:eastAsia="宋体" w:cs="Times New Roman"/>
          <w:bCs/>
          <w:sz w:val="24"/>
          <w:highlight w:val="none"/>
        </w:rPr>
        <w:t>付款条件（进度和方式）</w:t>
      </w:r>
    </w:p>
    <w:p w14:paraId="2E9865E5">
      <w:pPr>
        <w:spacing w:after="0" w:line="360" w:lineRule="auto"/>
        <w:ind w:firstLine="420" w:firstLineChars="0"/>
        <w:contextualSpacing/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（1）合同签订生效后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个工作日内，采购人向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标人支付合同总价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50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%预付款：即人民币小写：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元，人民币大写：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。</w:t>
      </w:r>
    </w:p>
    <w:p w14:paraId="1C844951">
      <w:pPr>
        <w:spacing w:after="0" w:line="360" w:lineRule="auto"/>
        <w:ind w:firstLine="420" w:firstLineChars="0"/>
        <w:contextualSpacing/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（2）系统部署调试完成，通过项目初验后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个工作日内，采购人向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标人支付合同总价50%：即人民币小写：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元，人民币大写：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Times New Roman"/>
          <w:color w:val="auto"/>
          <w:sz w:val="24"/>
          <w:szCs w:val="24"/>
          <w:highlight w:val="none"/>
          <w:lang w:val="en-US" w:eastAsia="zh-CN"/>
        </w:rPr>
        <w:t>。</w:t>
      </w:r>
    </w:p>
    <w:p w14:paraId="44EEC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3. 包装和运输（须满足《关于印发〈商品包装政府采购需求标准（试行）〉、〈快递包装政府采购需求标准（试行）〉的通知》（财办库﹝2020﹞123号））</w:t>
      </w:r>
    </w:p>
    <w:p w14:paraId="67FF6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4. 售后服务（质保期）</w:t>
      </w:r>
    </w:p>
    <w:p w14:paraId="7DC5A25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投标人应保证货物是全新的、未使用过的，并完全符合合同规定的质量、规格和性能的要求。投标人应保证所提供的货物经正确安装、正常运转和维护，使其在使用寿命期内应具有满意的性能。在货物质量保证期之内，投标人应对由于设计、工艺或材料的缺陷而发生的任何不足或故障负责。</w:t>
      </w:r>
    </w:p>
    <w:p w14:paraId="39FBC28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根据技术合同约定的，或者在质量保证期内，如果货物的数量、质量或规格与合同不符，或证实货物是有缺陷的，包括潜在缺陷或使用不符合要求的材料等，采购人应尽快以书面形式通知投标人，提出索赔。</w:t>
      </w:r>
    </w:p>
    <w:p w14:paraId="66FBB227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在收到通知后2小时内响应，4小时以内解决问题；不能当场修复的，必须于2个日历日内采取提供备品、备件或备机等措施，以保证采购人的正常使用，相关费用应包含在投标总价中。投标人服务响应时间以各分项采购要求为准。</w:t>
      </w:r>
    </w:p>
    <w:p w14:paraId="75CE8FE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如果投标人在收到通知后10个日历日内没有弥补缺陷，采购人可采取必要的补救措施，但风险和费用将由投标人承担。</w:t>
      </w:r>
    </w:p>
    <w:p w14:paraId="61B61AC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投标人为项目提供的质保期不少于3年，质保期从项目通过最终验收合格之日起开始计算。对于质保期内更换的设备，质量保证期从设备更换之日起重新计算。其中对更换的存储设备提供故障设备不返还服务。相关费用应包含在投标总价中。</w:t>
      </w:r>
    </w:p>
    <w:p w14:paraId="77326B8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遇节假日、敏感时期及突发重大事件时，投标人根据采购人要求派相关人员提供现场系统维护保障服务。</w:t>
      </w:r>
    </w:p>
    <w:p w14:paraId="5792B8A6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质保期内，投标人负责对本项目所提供的软件进行小版本升级和保修；如果采购人实际要求修改软件时，投标人应及时修改，相关费用应包含在投标总价中。</w:t>
      </w:r>
    </w:p>
    <w:p w14:paraId="4FC344E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投标人负责为采购人技术人员提供必要的培训服务及现场技术支持，相关费用应包含在投标总价中。</w:t>
      </w:r>
    </w:p>
    <w:p w14:paraId="2DB2AB89">
      <w:pPr>
        <w:widowControl w:val="0"/>
        <w:numPr>
          <w:ilvl w:val="-1"/>
          <w:numId w:val="0"/>
        </w:numPr>
        <w:tabs>
          <w:tab w:val="left" w:pos="0"/>
        </w:tabs>
        <w:spacing w:line="360" w:lineRule="auto"/>
        <w:ind w:leftChars="0" w:firstLine="482" w:firstLineChars="200"/>
        <w:contextualSpacing w:val="0"/>
        <w:jc w:val="left"/>
        <w:rPr>
          <w:rFonts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  <w:t>三、</w:t>
      </w:r>
      <w:r>
        <w:rPr>
          <w:rFonts w:ascii="Times New Roman" w:hAnsi="Times New Roman" w:eastAsia="宋体" w:cs="Times New Roman"/>
          <w:b/>
          <w:kern w:val="2"/>
          <w:sz w:val="24"/>
          <w:szCs w:val="24"/>
          <w:highlight w:val="none"/>
          <w:lang w:val="en-US" w:eastAsia="zh-CN" w:bidi="ar-SA"/>
        </w:rPr>
        <w:t>技术要求</w:t>
      </w:r>
    </w:p>
    <w:p w14:paraId="6A6678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1. 基本要求</w:t>
      </w:r>
    </w:p>
    <w:p w14:paraId="53AC36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1.1 采购标的需实现的功能或者目标</w:t>
      </w:r>
    </w:p>
    <w:p w14:paraId="1434A4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通过基础软件的采购，支撑侦查打击子系统高效、平稳运行。</w:t>
      </w:r>
    </w:p>
    <w:p w14:paraId="3C0665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1.2 需执行的国家相关标准、行业标准、地方标准或者其他标准、规范</w:t>
      </w:r>
    </w:p>
    <w:p w14:paraId="46537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应</w:t>
      </w: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遵循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国家、北京市、</w:t>
      </w: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公安部发布的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信息化建设</w:t>
      </w: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相关标准规范。</w:t>
      </w:r>
    </w:p>
    <w:p w14:paraId="3B55FD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highlight w:val="none"/>
          <w:lang w:val="en-US" w:eastAsia="zh-CN" w:bidi="ar-SA"/>
        </w:rPr>
        <w:t>2.服务内容及要求/货物技术要求</w:t>
      </w:r>
    </w:p>
    <w:p w14:paraId="63CC8B5E">
      <w:pPr>
        <w:keepNext/>
        <w:keepLines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280" w:after="290" w:line="376" w:lineRule="atLeast"/>
        <w:ind w:firstLine="241" w:firstLineChars="100"/>
        <w:contextualSpacing w:val="0"/>
        <w:textAlignment w:val="baseline"/>
        <w:outlineLvl w:val="3"/>
        <w:rPr>
          <w:rFonts w:hint="eastAsia" w:ascii="宋体" w:hAnsi="宋体" w:eastAsia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  <w:t>2.1操作系统</w:t>
      </w:r>
    </w:p>
    <w:p w14:paraId="1F90341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2" w:firstLineChars="200"/>
        <w:contextualSpacing w:val="0"/>
        <w:textAlignment w:val="auto"/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★投标人承诺所投服务器操作系统满足《操作系统政府采购需求标准（2023年版）》（财库（2023年）34号）文件中“服务器操作系统政府采购需求标准”的全部要求，提供加盖投标人公章的承诺函，否则作无效投标处理。</w:t>
      </w:r>
    </w:p>
    <w:p w14:paraId="58D575CF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0" w:firstLineChars="0"/>
        <w:contextualSpacing w:val="0"/>
        <w:textAlignment w:val="auto"/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</w:pPr>
    </w:p>
    <w:p w14:paraId="2885672C">
      <w:pPr>
        <w:keepNext w:val="0"/>
        <w:keepLines w:val="0"/>
        <w:widowControl/>
        <w:adjustRightIn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  <w:t>2.2数据库</w:t>
      </w:r>
      <w:r>
        <w:rPr>
          <w:rFonts w:hint="eastAsia" w:ascii="宋体" w:hAnsi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  <w:t>（分布式）</w:t>
      </w:r>
    </w:p>
    <w:p w14:paraId="1D6B27EE">
      <w:pPr>
        <w:widowControl/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★投标人承诺所投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数据库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满足《数据库政府采购需求标准（2023年版）》（财库（2023年）34号）文件中“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分布式数据库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政府采购需求标准”的全部要求，提供加盖投标人公章的承诺函</w:t>
      </w:r>
      <w:r>
        <w:rPr>
          <w:rFonts w:hint="eastAsia" w:ascii="宋体" w:hAnsi="宋体" w:cs="宋体"/>
          <w:b/>
          <w:bCs/>
          <w:sz w:val="24"/>
          <w:highlight w:val="none"/>
          <w:lang w:val="en-US" w:eastAsia="zh-CN"/>
        </w:rPr>
        <w:t>，否则作无效投标处理。</w:t>
      </w:r>
    </w:p>
    <w:p w14:paraId="375778DA">
      <w:pPr>
        <w:pStyle w:val="2"/>
        <w:rPr>
          <w:rFonts w:hint="eastAsia"/>
          <w:highlight w:val="none"/>
          <w:lang w:val="en-US" w:eastAsia="zh-CN"/>
        </w:rPr>
      </w:pPr>
    </w:p>
    <w:p w14:paraId="42074C7D">
      <w:pPr>
        <w:keepNext w:val="0"/>
        <w:keepLines w:val="0"/>
        <w:widowControl/>
        <w:adjustRightInd/>
        <w:spacing w:before="0" w:after="0" w:line="360" w:lineRule="auto"/>
        <w:ind w:firstLine="482" w:firstLineChars="200"/>
        <w:jc w:val="left"/>
        <w:textAlignment w:val="auto"/>
        <w:outlineLvl w:val="9"/>
        <w:rPr>
          <w:rFonts w:hint="eastAsia" w:ascii="宋体" w:hAnsi="宋体" w:eastAsia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0"/>
          <w:sz w:val="24"/>
          <w:szCs w:val="20"/>
          <w:highlight w:val="none"/>
          <w:lang w:val="en-US" w:eastAsia="zh-CN" w:bidi="ar-SA"/>
        </w:rPr>
        <w:t>2.3中间件</w:t>
      </w:r>
    </w:p>
    <w:tbl>
      <w:tblPr>
        <w:tblStyle w:val="3"/>
        <w:tblW w:w="8965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237"/>
        <w:gridCol w:w="1920"/>
        <w:gridCol w:w="5087"/>
      </w:tblGrid>
      <w:tr w14:paraId="0346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F72B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BD5C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FDF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指标类型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720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指标要求</w:t>
            </w:r>
          </w:p>
        </w:tc>
      </w:tr>
      <w:tr w14:paraId="643A6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CE6C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7219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A443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容器功能要求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9F3A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提供完整的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Web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容器、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EJB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容器、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EJB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实例池、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JDBC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连接池和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Web Service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6C0C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85D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460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3083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中文手册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C2F1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提供完整的中文产品说明、使用手册、维护手册等使用、开发、运维过程中的必要文件，有随安装产品版本的对应电子版。</w:t>
            </w:r>
          </w:p>
        </w:tc>
      </w:tr>
      <w:tr w14:paraId="6E87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FB2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214D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CF4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操作系统平台支持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BB4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支持主流的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WINDOWS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UNIX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LINUX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、麒麟、统信等操作系统平台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2294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A5C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A610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44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数据库支持要求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D2C4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支持多种主流数据库系统，包括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Oracle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MySQL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、达梦、人大金仓、神通、南大通用等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685E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1DC7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8508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99D1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应用开发支持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D93A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Eclipse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等主流快速应用系统的统一开发工具。支持基于浏览器的调试，并支持远程应用的调试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3E03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24F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4776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8C74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JMS功能要求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939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JMS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集成服务，支持将第三方消息中间件作为消息服务代理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6FFA2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33E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CC2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A50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数据源可靠性功能要求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F8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支持优化的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JDBC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连接池，支持连接池自动回收泄露连接、自动检查数据库连接有效性、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JDBC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语句缓存、数据库驱动的动态加载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5ABC0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AC5E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BD1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260F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通讯协议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72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HTTP</w:t>
            </w:r>
            <w:r>
              <w:rPr>
                <w:rStyle w:val="6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2.0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协议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4350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F4F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96E3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37E2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容器化支持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A7FE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支持快速部署到容器云环境，支持作为业务应用的基础镜像，支持业务应用的二次镜像封装。</w:t>
            </w:r>
          </w:p>
        </w:tc>
      </w:tr>
      <w:tr w14:paraId="09B98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500DA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E95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156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中文支持功能要求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4DE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支持中文，如当页面中的超链接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URL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中包含中文、重定向到中文文件名的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JSP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时不出现页面错误或乱码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33BF7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2441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81747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AC08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提供监控接口功能要求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EABC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提供基于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JMX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或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rest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的接口访问，方便第三方插件调用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375E4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AF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2557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AA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扩展能力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D79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在业务系统不宕机的情况下，支持动态增加服务器，扩充系统性能。</w:t>
            </w:r>
          </w:p>
        </w:tc>
      </w:tr>
      <w:tr w14:paraId="28888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62A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E2C9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2C69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接口扩展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06CC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提供丰富的管理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API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接口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B35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6734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87E4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7B9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负载均衡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1AAA9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内置原生的负载均衡器。</w:t>
            </w:r>
          </w:p>
        </w:tc>
      </w:tr>
      <w:tr w14:paraId="1DD6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D44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8D45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B257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安全架构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4BD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提供开放的、可扩展的安全架构，安全架构提供认证、授权、身份识别、角色映射等功能，并允许和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RSA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CA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Novell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或用户定制接口进行功能集成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2A83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3FA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B54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2C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访问过滤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E5F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提供访问过滤配置功能，能够拒绝某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IP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或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IP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段的机器访问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Web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应用，达到防攻击效果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1CE1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73BB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DCFBD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B97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DDoS攻击防御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40C0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提供防止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DDoS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攻击功能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25F59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9422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04A5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E22F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数据传输安全保证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3D5D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HTTPS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协议，保证数据传输过程的安全性，支持标准的安全协议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SSL3.0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或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TLS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协议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5277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EE6D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6BA41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6470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XSS攻击防御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D11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提供防止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XSS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攻击功能，提高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cookie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安全性。支持禁用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trace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方法、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X-Frame-Options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属性设置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33F0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8C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DCC8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113B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有漏洞的安全协议禁用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85E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支持禁用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SSLv2,SSLv3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有漏洞的安全协议、提供控制台用户密码锁定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1D0C0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DAEF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5B15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2C37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Session复制技术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9907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支持配对复制和全复制。</w:t>
            </w:r>
          </w:p>
        </w:tc>
      </w:tr>
      <w:tr w14:paraId="0EE16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51658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F25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功能要求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7882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集群功能要求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DD0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支持多服务器群集部署、负载均衡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Web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层的集群和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EJB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集群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6930D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B143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1A29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B86C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远程管理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08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具备标准的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B/S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模式管理控制台，可对远程的应用服务器环境进行应用部署、管理维护和监控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5C1A4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D13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CA6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6D1C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集中管理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F64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支持集群的集中管理，包括：批量新建集群、节点安装、负载集群的自动配置，资源管理（如：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JDBC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数据源）、实例管理（如：集中部署、启停、状态监控等），集中监控（资源、实例）等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395F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B8E3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281E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FE44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易用性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4092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支持在管理控制台页面上配置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JVM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参数，无需手工修改启动脚本，就可以完成增加和修改启动应用服务器的参数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6E6EE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FC944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B509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E13C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服务标准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47F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一年内至少提供一次上门服务（包括安装、升级等）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，所涉及费用</w:t>
            </w:r>
            <w:r>
              <w:rPr>
                <w:rStyle w:val="5"/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包含在投标报价中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2787655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一年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5*8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小时远程维保升级，电话、邮件支持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，所涉及费用</w:t>
            </w:r>
            <w:r>
              <w:rPr>
                <w:rStyle w:val="5"/>
                <w:rFonts w:hint="eastAsia" w:ascii="宋体" w:hAnsi="宋体" w:cs="宋体"/>
                <w:sz w:val="24"/>
                <w:highlight w:val="none"/>
                <w:lang w:val="en-US" w:eastAsia="zh-CN" w:bidi="ar"/>
              </w:rPr>
              <w:t>包含在投标报价中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  <w:p w14:paraId="6E59850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提供专用技术支持服务电话及邮箱。接到采购人报修电话（或邮件）后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4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小时内响应并拿出解决方案，次日上门服务，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72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小时内排除故障。</w:t>
            </w:r>
          </w:p>
          <w:p w14:paraId="749914B9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在质保期内提供公网升级服务器供客户下载升级包，遇严重安全问题应在官网公开漏洞及修复包，主动联系客户，承诺所有升级服务。</w:t>
            </w:r>
          </w:p>
          <w:p w14:paraId="622C7E6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根据用户需要提供所投产品的安装、维护等技术培训。并提供相应培训的电子文档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04BD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8FF23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590A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5EC2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过质保期后维保收费标准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D741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过质保期后，提供维保升级服务，其收费标准每年不高于响应报价的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20%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。其中包含一次的上门服务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，所涉及费用</w:t>
            </w:r>
            <w:r>
              <w:rPr>
                <w:rFonts w:hint="eastAsia"/>
                <w:highlight w:val="none"/>
                <w:lang w:val="en-US" w:eastAsia="zh-CN"/>
              </w:rPr>
              <w:t>包含在投标报价中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7A8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359F6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F6669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CA352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无状态会话EJB本地调用（在单台服务器部署环境下）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0F322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90%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响应时间不超过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0.01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秒，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TPS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不低于</w:t>
            </w: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25</w:t>
            </w:r>
            <w:r>
              <w:rPr>
                <w:rStyle w:val="5"/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Style w:val="5"/>
                <w:rFonts w:hint="eastAsia" w:ascii="宋体" w:hAnsi="宋体" w:cs="宋体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79789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4EFFE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1096C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4EEF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动态资源访问（在单台服务器部署环境下）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A5592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90%响应时间不超过0.2秒，TPS不低于2万。</w:t>
            </w:r>
          </w:p>
        </w:tc>
      </w:tr>
      <w:tr w14:paraId="48A91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7E5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1360B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FCC6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静态资源访问（在单台服务器部署环境下）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3B1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90%响应时间不超过0.05秒，TPS不低于10万。</w:t>
            </w:r>
          </w:p>
        </w:tc>
      </w:tr>
      <w:tr w14:paraId="5EED8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68CC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F6AD8F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性能要求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F1FE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数据连接池直接访问（在单台服务器部署环境下）</w:t>
            </w:r>
          </w:p>
        </w:tc>
        <w:tc>
          <w:tcPr>
            <w:tcW w:w="5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DA0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90%响应时间不超过0.02秒，TPS不低于25万。</w:t>
            </w:r>
          </w:p>
        </w:tc>
      </w:tr>
    </w:tbl>
    <w:p w14:paraId="5A6F2F63">
      <w:pPr>
        <w:spacing w:after="0" w:line="240" w:lineRule="auto"/>
        <w:rPr>
          <w:rFonts w:hint="eastAsia" w:ascii="宋体" w:hAnsi="宋体" w:eastAsia="宋体" w:cs="Times New Roman"/>
          <w:highlight w:val="none"/>
          <w:lang w:val="en-US" w:eastAsia="zh-CN"/>
        </w:rPr>
      </w:pPr>
    </w:p>
    <w:p w14:paraId="66B6DC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ascii="Times New Roman" w:hAnsi="Times New Roman" w:eastAsia="宋体" w:cs="Times New Roman"/>
          <w:i/>
          <w:iCs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3. 验收标准</w:t>
      </w:r>
    </w:p>
    <w:p w14:paraId="44FAC0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3.1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到货验收</w:t>
      </w:r>
    </w:p>
    <w:p w14:paraId="53AFD6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3.1.1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合同签订生效后，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中标人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应做好全部货物交付准备工作，具体交付日期以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采购人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要求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为准（计划日期：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年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月）。</w:t>
      </w:r>
    </w:p>
    <w:p w14:paraId="7942D6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3.1.2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中标人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应于接到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采购人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要求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后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1个月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内完成全部货物的到货，经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采购人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、信息系统适配改造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服务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商到货验收，达到约定的设备功能和性能等要求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，且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均通过国家安全可靠测评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。</w:t>
      </w:r>
    </w:p>
    <w:p w14:paraId="5F3851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3.2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初验</w:t>
      </w:r>
    </w:p>
    <w:p w14:paraId="097B50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建设完成后，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采购人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执行部门应组织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中标人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、信息系统适配改造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服务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商进行项目初验。</w:t>
      </w:r>
    </w:p>
    <w:p w14:paraId="4D2FEE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3.3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最终验收</w:t>
      </w:r>
    </w:p>
    <w:p w14:paraId="0CAC7E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after="0" w:line="360" w:lineRule="auto"/>
        <w:ind w:firstLine="480" w:firstLineChars="200"/>
        <w:contextualSpacing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初步验收合格后进入至少为期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val="en-US" w:eastAsia="zh-CN"/>
        </w:rPr>
        <w:t>6个月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的试运行期。试运行期满无问题后，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采购人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项目管理部门、执行部门与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中标人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、信息系统适配改造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  <w:lang w:eastAsia="zh-CN"/>
        </w:rPr>
        <w:t>服务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商，按照合同约定的验收标准和</w:t>
      </w:r>
      <w:r>
        <w:rPr>
          <w:rFonts w:hint="eastAsia" w:cs="Times New Roman"/>
          <w:b w:val="0"/>
          <w:bCs/>
          <w:sz w:val="24"/>
          <w:highlight w:val="none"/>
          <w:lang w:eastAsia="zh-CN"/>
        </w:rPr>
        <w:t>采购人</w:t>
      </w:r>
      <w:r>
        <w:rPr>
          <w:rFonts w:hint="eastAsia" w:ascii="Times New Roman" w:hAnsi="Times New Roman" w:eastAsia="宋体" w:cs="Times New Roman"/>
          <w:b w:val="0"/>
          <w:bCs/>
          <w:sz w:val="24"/>
          <w:highlight w:val="none"/>
        </w:rPr>
        <w:t>项目管理相关规定进行最终验收。通过后出具最终验收结论。</w:t>
      </w:r>
    </w:p>
    <w:p w14:paraId="189E3E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 LT Pro">
    <w:altName w:val="Yu Gothic UI"/>
    <w:panose1 w:val="020B0504020202020204"/>
    <w:charset w:val="00"/>
    <w:family w:val="auto"/>
    <w:pitch w:val="default"/>
    <w:sig w:usb0="00000000" w:usb1="00000000" w:usb2="00000000" w:usb3="00000000" w:csb0="20000097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3D2330"/>
    <w:rsid w:val="627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21"/>
    <w:basedOn w:val="4"/>
    <w:qFormat/>
    <w:uiPriority w:val="0"/>
    <w:rPr>
      <w:rFonts w:ascii="Helvetica LT Pro" w:hAnsi="Helvetica LT Pro" w:eastAsia="Helvetica LT Pro" w:cs="Helvetica LT Pro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3516</Words>
  <Characters>3807</Characters>
  <Lines>0</Lines>
  <Paragraphs>0</Paragraphs>
  <TotalTime>0</TotalTime>
  <ScaleCrop>false</ScaleCrop>
  <LinksUpToDate>false</LinksUpToDate>
  <CharactersWithSpaces>3866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2026-08-14T03:30:00Z</dcterms:created>
  <dc:creator>luozhao</dc:creator>
  <cp:lastModifiedBy>LZ</cp:lastModifiedBy>
  <dcterms:modified xsi:type="dcterms:W3CDTF">2026-08-14T06:12:34Z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eyJoZGlkIjoiYWYwMGRlZTcyOWNjODRjYzgxOTBkZGNlN2RkNzY1MGEiLCJ1c2VySWQiOiIxNTUxNTE4MDk2In0=</vt:lpwstr>
  </property>
  <property fmtid="{D5CDD505-2E9C-101B-9397-08002B2CF9AE}" pid="4" name="ICV">
    <vt:lpwstr>E4A0B1032DA64AA48374ED2B5211C7FB_12</vt:lpwstr>
  </property>
</Properties>
</file>