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6086A">
      <w:pPr>
        <w:spacing w:line="360" w:lineRule="auto"/>
        <w:contextualSpacing/>
        <w:jc w:val="center"/>
        <w:rPr>
          <w:rFonts w:hint="eastAsia" w:ascii="Times New Roman" w:hAnsi="Times New Roman" w:eastAsia="宋体" w:cs="Times New Roman"/>
          <w:b/>
          <w:bCs/>
          <w:sz w:val="36"/>
          <w:szCs w:val="36"/>
          <w:highlight w:val="none"/>
          <w:lang w:val="en-US" w:eastAsia="zh-CN"/>
        </w:rPr>
      </w:pPr>
      <w:r>
        <w:rPr>
          <w:rFonts w:hint="eastAsia" w:ascii="Times New Roman" w:hAnsi="Times New Roman" w:eastAsia="宋体" w:cs="Times New Roman"/>
          <w:b/>
          <w:bCs/>
          <w:sz w:val="36"/>
          <w:szCs w:val="36"/>
          <w:highlight w:val="none"/>
          <w:lang w:val="en-US" w:eastAsia="zh-CN"/>
        </w:rPr>
        <w:t>采购需求</w:t>
      </w:r>
      <w:bookmarkStart w:id="0" w:name="_GoBack"/>
      <w:bookmarkEnd w:id="0"/>
    </w:p>
    <w:p w14:paraId="60EBD3AC">
      <w:pPr>
        <w:widowControl w:val="0"/>
        <w:numPr>
          <w:ilvl w:val="0"/>
          <w:numId w:val="1"/>
        </w:numPr>
        <w:spacing w:line="360" w:lineRule="auto"/>
        <w:ind w:left="500" w:hanging="500" w:firstLineChars="0"/>
        <w:contextualSpacing/>
        <w:jc w:val="both"/>
        <w:rPr>
          <w:rFonts w:ascii="Times New Roman" w:hAnsi="Times New Roman" w:eastAsia="宋体" w:cs="Times New Roman"/>
          <w:b/>
          <w:kern w:val="2"/>
          <w:sz w:val="24"/>
          <w:szCs w:val="24"/>
          <w:highlight w:val="none"/>
          <w:lang w:val="en-US" w:eastAsia="zh-CN" w:bidi="ar-SA"/>
        </w:rPr>
      </w:pPr>
      <w:r>
        <w:rPr>
          <w:rFonts w:ascii="Times New Roman" w:hAnsi="Times New Roman" w:eastAsia="宋体" w:cs="Times New Roman"/>
          <w:b/>
          <w:kern w:val="2"/>
          <w:sz w:val="24"/>
          <w:szCs w:val="24"/>
          <w:highlight w:val="none"/>
          <w:lang w:val="en-US" w:eastAsia="zh-CN" w:bidi="ar-SA"/>
        </w:rPr>
        <w:t>采购标的</w:t>
      </w:r>
    </w:p>
    <w:p w14:paraId="25C548B1">
      <w:pPr>
        <w:spacing w:line="360" w:lineRule="auto"/>
        <w:contextualSpacing/>
        <w:rPr>
          <w:rFonts w:ascii="Times New Roman" w:hAnsi="Times New Roman" w:eastAsia="宋体" w:cs="Times New Roman"/>
          <w:bCs/>
          <w:sz w:val="24"/>
          <w:highlight w:val="none"/>
        </w:rPr>
      </w:pPr>
      <w:r>
        <w:rPr>
          <w:rFonts w:ascii="Times New Roman" w:hAnsi="Times New Roman" w:eastAsia="宋体" w:cs="Times New Roman"/>
          <w:bCs/>
          <w:sz w:val="24"/>
          <w:highlight w:val="none"/>
        </w:rPr>
        <w:t>1. 采购标的</w:t>
      </w:r>
    </w:p>
    <w:p w14:paraId="31C70A79">
      <w:pPr>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项目名称：</w:t>
      </w:r>
      <w:r>
        <w:rPr>
          <w:rFonts w:hint="eastAsia" w:ascii="宋体" w:hAnsi="宋体" w:eastAsia="宋体" w:cs="宋体"/>
          <w:sz w:val="24"/>
          <w:highlight w:val="none"/>
          <w:u w:val="single"/>
        </w:rPr>
        <w:t>北京市市场监督管理局2026-2027年度政务云基础资源租用服务项目</w:t>
      </w:r>
    </w:p>
    <w:p w14:paraId="3CA6DB84">
      <w:pPr>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项目预算金额：</w:t>
      </w:r>
      <w:r>
        <w:rPr>
          <w:rFonts w:hint="eastAsia" w:ascii="宋体" w:hAnsi="宋体" w:eastAsia="宋体" w:cs="宋体"/>
          <w:sz w:val="24"/>
          <w:highlight w:val="none"/>
          <w:u w:val="single"/>
        </w:rPr>
        <w:t>440.040432</w:t>
      </w:r>
      <w:r>
        <w:rPr>
          <w:rFonts w:hint="eastAsia" w:ascii="宋体" w:hAnsi="宋体" w:eastAsia="宋体" w:cs="宋体"/>
          <w:sz w:val="24"/>
          <w:highlight w:val="none"/>
        </w:rPr>
        <w:t>万元</w:t>
      </w:r>
    </w:p>
    <w:p w14:paraId="0B35E2B1">
      <w:pPr>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采购包情况：</w:t>
      </w:r>
    </w:p>
    <w:tbl>
      <w:tblPr>
        <w:tblStyle w:val="2"/>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2740"/>
        <w:gridCol w:w="2991"/>
        <w:gridCol w:w="1751"/>
      </w:tblGrid>
      <w:tr w14:paraId="771E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9" w:type="dxa"/>
            <w:noWrap w:val="0"/>
            <w:vAlign w:val="center"/>
          </w:tcPr>
          <w:p w14:paraId="1D6685A2">
            <w:pPr>
              <w:adjustRightInd w:val="0"/>
              <w:snapToGrid w:val="0"/>
              <w:spacing w:line="360" w:lineRule="auto"/>
              <w:jc w:val="center"/>
              <w:rPr>
                <w:rFonts w:ascii="宋体" w:hAnsi="宋体" w:eastAsia="宋体" w:cs="宋体"/>
                <w:bCs/>
                <w:sz w:val="24"/>
                <w:highlight w:val="none"/>
              </w:rPr>
            </w:pPr>
            <w:r>
              <w:rPr>
                <w:rFonts w:hint="eastAsia" w:ascii="宋体" w:hAnsi="宋体" w:eastAsia="宋体" w:cs="宋体"/>
                <w:bCs/>
                <w:sz w:val="24"/>
                <w:highlight w:val="none"/>
              </w:rPr>
              <w:t>包号</w:t>
            </w:r>
          </w:p>
        </w:tc>
        <w:tc>
          <w:tcPr>
            <w:tcW w:w="2740" w:type="dxa"/>
            <w:noWrap w:val="0"/>
            <w:vAlign w:val="center"/>
          </w:tcPr>
          <w:p w14:paraId="7D527683">
            <w:pPr>
              <w:adjustRightInd w:val="0"/>
              <w:snapToGrid w:val="0"/>
              <w:spacing w:line="360" w:lineRule="auto"/>
              <w:jc w:val="center"/>
              <w:rPr>
                <w:rFonts w:ascii="宋体" w:hAnsi="宋体" w:eastAsia="宋体" w:cs="宋体"/>
                <w:bCs/>
                <w:sz w:val="24"/>
                <w:highlight w:val="none"/>
              </w:rPr>
            </w:pPr>
            <w:r>
              <w:rPr>
                <w:rFonts w:hint="eastAsia" w:ascii="宋体" w:hAnsi="宋体" w:eastAsia="宋体" w:cs="宋体"/>
                <w:bCs/>
                <w:sz w:val="24"/>
                <w:highlight w:val="none"/>
              </w:rPr>
              <w:t>标的名称</w:t>
            </w:r>
          </w:p>
        </w:tc>
        <w:tc>
          <w:tcPr>
            <w:tcW w:w="2991" w:type="dxa"/>
            <w:noWrap w:val="0"/>
            <w:vAlign w:val="center"/>
          </w:tcPr>
          <w:p w14:paraId="4658DAD7">
            <w:pPr>
              <w:adjustRightInd w:val="0"/>
              <w:snapToGrid w:val="0"/>
              <w:spacing w:line="360" w:lineRule="auto"/>
              <w:jc w:val="center"/>
              <w:rPr>
                <w:rFonts w:ascii="宋体" w:hAnsi="宋体" w:eastAsia="宋体" w:cs="宋体"/>
                <w:bCs/>
                <w:sz w:val="24"/>
                <w:highlight w:val="none"/>
              </w:rPr>
            </w:pPr>
            <w:r>
              <w:rPr>
                <w:rFonts w:hint="eastAsia" w:ascii="宋体" w:hAnsi="宋体" w:eastAsia="宋体" w:cs="宋体"/>
                <w:bCs/>
                <w:sz w:val="24"/>
                <w:highlight w:val="none"/>
              </w:rPr>
              <w:t>采购包预算金额</w:t>
            </w:r>
          </w:p>
          <w:p w14:paraId="692DC9CD">
            <w:pPr>
              <w:adjustRightInd w:val="0"/>
              <w:snapToGrid w:val="0"/>
              <w:spacing w:line="360" w:lineRule="auto"/>
              <w:jc w:val="center"/>
              <w:rPr>
                <w:rFonts w:ascii="宋体" w:hAnsi="宋体" w:eastAsia="宋体" w:cs="宋体"/>
                <w:bCs/>
                <w:sz w:val="24"/>
                <w:highlight w:val="none"/>
              </w:rPr>
            </w:pPr>
            <w:r>
              <w:rPr>
                <w:rFonts w:hint="eastAsia" w:ascii="宋体" w:hAnsi="宋体" w:eastAsia="宋体" w:cs="宋体"/>
                <w:bCs/>
                <w:sz w:val="24"/>
                <w:highlight w:val="none"/>
              </w:rPr>
              <w:t>（万元）</w:t>
            </w:r>
          </w:p>
        </w:tc>
        <w:tc>
          <w:tcPr>
            <w:tcW w:w="1751" w:type="dxa"/>
            <w:noWrap w:val="0"/>
            <w:vAlign w:val="center"/>
          </w:tcPr>
          <w:p w14:paraId="6F83FF71">
            <w:pPr>
              <w:adjustRightInd w:val="0"/>
              <w:snapToGrid w:val="0"/>
              <w:spacing w:line="360" w:lineRule="auto"/>
              <w:jc w:val="center"/>
              <w:rPr>
                <w:rFonts w:ascii="宋体" w:hAnsi="宋体" w:eastAsia="宋体" w:cs="宋体"/>
                <w:bCs/>
                <w:sz w:val="24"/>
                <w:highlight w:val="none"/>
              </w:rPr>
            </w:pPr>
            <w:r>
              <w:rPr>
                <w:rFonts w:hint="eastAsia" w:ascii="宋体" w:hAnsi="宋体" w:eastAsia="宋体" w:cs="宋体"/>
                <w:bCs/>
                <w:sz w:val="24"/>
                <w:highlight w:val="none"/>
              </w:rPr>
              <w:t>数量</w:t>
            </w:r>
          </w:p>
        </w:tc>
      </w:tr>
      <w:tr w14:paraId="3A5C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9" w:type="dxa"/>
            <w:noWrap w:val="0"/>
            <w:vAlign w:val="center"/>
          </w:tcPr>
          <w:p w14:paraId="77B45E1C">
            <w:pPr>
              <w:adjustRightInd w:val="0"/>
              <w:snapToGrid w:val="0"/>
              <w:spacing w:line="360" w:lineRule="auto"/>
              <w:jc w:val="center"/>
              <w:rPr>
                <w:rFonts w:ascii="宋体" w:hAnsi="宋体" w:eastAsia="宋体" w:cs="宋体"/>
                <w:bCs/>
                <w:sz w:val="24"/>
                <w:highlight w:val="none"/>
              </w:rPr>
            </w:pPr>
            <w:r>
              <w:rPr>
                <w:rFonts w:hint="eastAsia" w:ascii="宋体" w:hAnsi="宋体" w:eastAsia="宋体" w:cs="宋体"/>
                <w:bCs/>
                <w:sz w:val="24"/>
                <w:highlight w:val="none"/>
              </w:rPr>
              <w:t>01</w:t>
            </w:r>
          </w:p>
        </w:tc>
        <w:tc>
          <w:tcPr>
            <w:tcW w:w="2740" w:type="dxa"/>
            <w:noWrap w:val="0"/>
            <w:vAlign w:val="center"/>
          </w:tcPr>
          <w:p w14:paraId="090926E0">
            <w:pPr>
              <w:shd w:val="clear" w:color="auto" w:fill="auto"/>
              <w:jc w:val="center"/>
              <w:rPr>
                <w:rFonts w:ascii="宋体" w:hAnsi="宋体" w:eastAsia="宋体" w:cs="宋体"/>
                <w:bCs/>
                <w:sz w:val="24"/>
                <w:highlight w:val="none"/>
              </w:rPr>
            </w:pPr>
            <w:r>
              <w:rPr>
                <w:rFonts w:hint="default" w:ascii="Times New Roman" w:hAnsi="Times New Roman" w:eastAsia="宋体" w:cs="Times New Roman"/>
                <w:bCs/>
                <w:szCs w:val="21"/>
                <w:highlight w:val="none"/>
                <w:lang w:val="en-US" w:eastAsia="zh-CN"/>
              </w:rPr>
              <w:t>北京市市场监督管理局2026-2027年度政务云基础资源租用服务项目</w:t>
            </w:r>
          </w:p>
        </w:tc>
        <w:tc>
          <w:tcPr>
            <w:tcW w:w="2991" w:type="dxa"/>
            <w:noWrap w:val="0"/>
            <w:vAlign w:val="center"/>
          </w:tcPr>
          <w:p w14:paraId="2309BF7A">
            <w:pPr>
              <w:shd w:val="clear" w:color="auto" w:fill="auto"/>
              <w:jc w:val="center"/>
              <w:rPr>
                <w:rFonts w:ascii="宋体" w:hAnsi="宋体" w:eastAsia="宋体" w:cs="宋体"/>
                <w:bCs/>
                <w:sz w:val="24"/>
                <w:highlight w:val="none"/>
              </w:rPr>
            </w:pPr>
            <w:r>
              <w:rPr>
                <w:rFonts w:hint="default" w:ascii="Times New Roman" w:hAnsi="Times New Roman" w:eastAsia="宋体" w:cs="Times New Roman"/>
                <w:bCs/>
                <w:szCs w:val="21"/>
                <w:highlight w:val="none"/>
                <w:lang w:val="en-US" w:eastAsia="zh-CN"/>
              </w:rPr>
              <w:t>440.040432</w:t>
            </w:r>
          </w:p>
        </w:tc>
        <w:tc>
          <w:tcPr>
            <w:tcW w:w="1751" w:type="dxa"/>
            <w:noWrap w:val="0"/>
            <w:vAlign w:val="center"/>
          </w:tcPr>
          <w:p w14:paraId="352B9FDB">
            <w:pPr>
              <w:adjustRightInd w:val="0"/>
              <w:snapToGrid w:val="0"/>
              <w:spacing w:line="360" w:lineRule="auto"/>
              <w:jc w:val="center"/>
              <w:rPr>
                <w:rFonts w:ascii="宋体" w:hAnsi="宋体" w:eastAsia="宋体" w:cs="宋体"/>
                <w:bCs/>
                <w:sz w:val="24"/>
                <w:highlight w:val="none"/>
              </w:rPr>
            </w:pPr>
            <w:r>
              <w:rPr>
                <w:rFonts w:hint="eastAsia" w:ascii="宋体" w:hAnsi="宋体" w:eastAsia="宋体" w:cs="宋体"/>
                <w:bCs/>
                <w:sz w:val="24"/>
                <w:highlight w:val="none"/>
              </w:rPr>
              <w:t>1</w:t>
            </w:r>
          </w:p>
        </w:tc>
      </w:tr>
    </w:tbl>
    <w:p w14:paraId="38D2F09E">
      <w:pPr>
        <w:adjustRightInd w:val="0"/>
        <w:snapToGrid w:val="0"/>
        <w:spacing w:line="360" w:lineRule="auto"/>
        <w:rPr>
          <w:rFonts w:ascii="宋体" w:hAnsi="宋体" w:eastAsia="宋体" w:cs="宋体"/>
          <w:sz w:val="24"/>
          <w:highlight w:val="none"/>
          <w:u w:val="single"/>
        </w:rPr>
      </w:pPr>
      <w:r>
        <w:rPr>
          <w:rFonts w:hint="eastAsia" w:ascii="宋体" w:hAnsi="宋体" w:eastAsia="宋体" w:cs="宋体"/>
          <w:sz w:val="24"/>
          <w:highlight w:val="none"/>
        </w:rPr>
        <w:t>合同履行期限：自合同签订之日起为期</w:t>
      </w:r>
      <w:r>
        <w:rPr>
          <w:rFonts w:hint="eastAsia" w:ascii="宋体" w:hAnsi="宋体" w:eastAsia="宋体" w:cs="宋体"/>
          <w:sz w:val="24"/>
          <w:highlight w:val="none"/>
          <w:u w:val="single"/>
        </w:rPr>
        <w:t>12个月</w:t>
      </w:r>
    </w:p>
    <w:p w14:paraId="67558633">
      <w:pPr>
        <w:spacing w:line="360" w:lineRule="auto"/>
        <w:contextualSpacing/>
        <w:rPr>
          <w:rFonts w:ascii="Times New Roman" w:hAnsi="Times New Roman" w:eastAsia="宋体" w:cs="Times New Roman"/>
          <w:bCs/>
          <w:sz w:val="24"/>
          <w:highlight w:val="none"/>
        </w:rPr>
      </w:pPr>
      <w:r>
        <w:rPr>
          <w:rFonts w:hint="eastAsia" w:ascii="宋体" w:hAnsi="宋体" w:eastAsia="宋体" w:cs="宋体"/>
          <w:sz w:val="24"/>
          <w:highlight w:val="none"/>
        </w:rPr>
        <w:t>本项目是否接受联合体投标：</w:t>
      </w:r>
      <w:r>
        <w:rPr>
          <w:rFonts w:hint="eastAsia" w:ascii="宋体" w:hAnsi="宋体" w:eastAsia="宋体" w:cs="宋体"/>
          <w:sz w:val="24"/>
          <w:highlight w:val="none"/>
          <w:lang w:eastAsia="zh-CN"/>
        </w:rPr>
        <w:t>☑</w:t>
      </w:r>
      <w:r>
        <w:rPr>
          <w:rFonts w:hint="eastAsia" w:ascii="宋体" w:hAnsi="宋体" w:eastAsia="宋体" w:cs="宋体"/>
          <w:sz w:val="24"/>
          <w:highlight w:val="none"/>
        </w:rPr>
        <w:t>是  □否。</w:t>
      </w:r>
    </w:p>
    <w:p w14:paraId="01CE825D">
      <w:pPr>
        <w:spacing w:line="360" w:lineRule="auto"/>
        <w:contextualSpacing/>
        <w:rPr>
          <w:rFonts w:ascii="Times New Roman" w:hAnsi="Times New Roman" w:eastAsia="宋体" w:cs="Times New Roman"/>
          <w:bCs/>
          <w:sz w:val="24"/>
          <w:highlight w:val="none"/>
        </w:rPr>
      </w:pPr>
      <w:r>
        <w:rPr>
          <w:rFonts w:ascii="Times New Roman" w:hAnsi="Times New Roman" w:eastAsia="宋体" w:cs="Times New Roman"/>
          <w:bCs/>
          <w:sz w:val="24"/>
          <w:highlight w:val="none"/>
        </w:rPr>
        <w:t>2. 项目背景/项目概述</w:t>
      </w:r>
    </w:p>
    <w:p w14:paraId="375EEA4B">
      <w:pPr>
        <w:spacing w:line="360" w:lineRule="auto"/>
        <w:ind w:firstLine="482"/>
        <w:contextualSpacing/>
        <w:rPr>
          <w:rFonts w:ascii="Times New Roman" w:hAnsi="Times New Roman" w:eastAsia="宋体" w:cs="Times New Roman"/>
          <w:b w:val="0"/>
          <w:bCs/>
          <w:sz w:val="24"/>
          <w:highlight w:val="none"/>
        </w:rPr>
      </w:pPr>
      <w:r>
        <w:rPr>
          <w:rFonts w:hint="eastAsia" w:ascii="Times New Roman" w:hAnsi="Times New Roman" w:eastAsia="宋体" w:cs="Times New Roman"/>
          <w:b w:val="0"/>
          <w:bCs/>
          <w:sz w:val="24"/>
          <w:highlight w:val="none"/>
        </w:rPr>
        <w:t>为贯彻落实北京市经济和信息化局关于印发《北京市市级政务云管理办法的通知》（京经信委函（2019）150号）文件的要求，我单位现有信息系统北京市综合监管信息系统、北京市市场监督管理局事中监管系统、北京市法人基础信息数据库、北京市平台经济综合监管服务系统、北京市市场监督管理局产品质量监督业务管理平台、北京市商务楼宇信息监测系统、北京市市场监督管理局人力资源管理系统、北京市市场监督管理局数据中心系统、北京市市场监督管理局网站系统、北京市市场监督管理局综合财务管理信息系统、北京市计量器具管理系统、北京市市场监督管理局企业信用信息公示系统、北京市市场监督管理局市场主体网格监管系统、北京市企业网上年度申报系统、北京市市场监督管理局特种设备管理综合业务平台、北京市市场监督管理局广告监测系统、北京市市场监督管理局综合执法办案平台、北京市企业登记e窗通服务平台、北京市市场监督管理局企业档案信息综合安全管理系统、北京市统一社会信用代码数据库、北京市标准化管理信息系统共21个政务信息系统自2019年起迁入市政务云。</w:t>
      </w:r>
    </w:p>
    <w:p w14:paraId="5DDD830D">
      <w:pPr>
        <w:widowControl w:val="0"/>
        <w:numPr>
          <w:ilvl w:val="0"/>
          <w:numId w:val="1"/>
        </w:numPr>
        <w:spacing w:line="360" w:lineRule="auto"/>
        <w:ind w:left="500" w:hanging="500" w:firstLineChars="0"/>
        <w:contextualSpacing/>
        <w:jc w:val="both"/>
        <w:rPr>
          <w:rFonts w:ascii="Times New Roman" w:hAnsi="Times New Roman" w:eastAsia="宋体" w:cs="Times New Roman"/>
          <w:b/>
          <w:kern w:val="2"/>
          <w:sz w:val="24"/>
          <w:szCs w:val="24"/>
          <w:highlight w:val="none"/>
          <w:lang w:val="en-US" w:eastAsia="zh-CN" w:bidi="ar-SA"/>
        </w:rPr>
      </w:pPr>
      <w:r>
        <w:rPr>
          <w:rFonts w:ascii="Times New Roman" w:hAnsi="Times New Roman" w:eastAsia="宋体" w:cs="Times New Roman"/>
          <w:b/>
          <w:kern w:val="2"/>
          <w:sz w:val="24"/>
          <w:szCs w:val="24"/>
          <w:highlight w:val="none"/>
          <w:lang w:val="en-US" w:eastAsia="zh-CN" w:bidi="ar-SA"/>
        </w:rPr>
        <w:t>商务要求</w:t>
      </w:r>
    </w:p>
    <w:p w14:paraId="2DC6A846">
      <w:pPr>
        <w:spacing w:line="360" w:lineRule="auto"/>
        <w:contextualSpacing/>
        <w:rPr>
          <w:rFonts w:ascii="Times New Roman" w:hAnsi="Times New Roman" w:eastAsia="宋体" w:cs="Times New Roman"/>
          <w:i/>
          <w:sz w:val="24"/>
          <w:highlight w:val="none"/>
        </w:rPr>
      </w:pPr>
      <w:r>
        <w:rPr>
          <w:rFonts w:ascii="Times New Roman" w:hAnsi="Times New Roman" w:eastAsia="宋体" w:cs="Times New Roman"/>
          <w:sz w:val="24"/>
          <w:highlight w:val="none"/>
        </w:rPr>
        <w:t>1. 交付（实施）的时间（期限）和地点（范围）</w:t>
      </w:r>
    </w:p>
    <w:p w14:paraId="3DC23316">
      <w:pPr>
        <w:spacing w:line="360" w:lineRule="auto"/>
        <w:ind w:firstLine="482"/>
        <w:contextualSpacing/>
        <w:rPr>
          <w:rFonts w:hint="eastAsia" w:ascii="Times New Roman" w:hAnsi="Times New Roman" w:eastAsia="宋体" w:cs="Times New Roman"/>
          <w:b w:val="0"/>
          <w:bCs/>
          <w:sz w:val="24"/>
          <w:highlight w:val="none"/>
        </w:rPr>
      </w:pPr>
      <w:r>
        <w:rPr>
          <w:rFonts w:hint="eastAsia" w:ascii="Times New Roman" w:hAnsi="Times New Roman" w:eastAsia="宋体" w:cs="Times New Roman"/>
          <w:b w:val="0"/>
          <w:bCs/>
          <w:sz w:val="24"/>
          <w:highlight w:val="none"/>
        </w:rPr>
        <w:t>服务地点：北京市市场监督管理局指定地点</w:t>
      </w:r>
    </w:p>
    <w:p w14:paraId="19F01DF5">
      <w:pPr>
        <w:spacing w:line="360" w:lineRule="auto"/>
        <w:ind w:firstLine="482"/>
        <w:contextualSpacing/>
        <w:rPr>
          <w:rFonts w:hint="eastAsia" w:ascii="Times New Roman" w:hAnsi="Times New Roman" w:eastAsia="宋体" w:cs="Times New Roman"/>
          <w:b w:val="0"/>
          <w:bCs/>
          <w:sz w:val="24"/>
          <w:highlight w:val="none"/>
        </w:rPr>
      </w:pPr>
      <w:r>
        <w:rPr>
          <w:rFonts w:hint="eastAsia" w:ascii="Times New Roman" w:hAnsi="Times New Roman" w:eastAsia="宋体" w:cs="Times New Roman"/>
          <w:b w:val="0"/>
          <w:bCs/>
          <w:sz w:val="24"/>
          <w:highlight w:val="none"/>
        </w:rPr>
        <w:t>服务期限：服务期为12个月（具体日期为自合同签订之日起为期12个月）。</w:t>
      </w:r>
    </w:p>
    <w:p w14:paraId="4595FC54">
      <w:pPr>
        <w:spacing w:line="360" w:lineRule="auto"/>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 付款条件（进度和方式）</w:t>
      </w:r>
    </w:p>
    <w:p w14:paraId="3318146C">
      <w:pPr>
        <w:snapToGrid w:val="0"/>
        <w:spacing w:line="360" w:lineRule="auto"/>
        <w:ind w:firstLine="480" w:firstLineChars="200"/>
        <w:rPr>
          <w:rFonts w:ascii="宋体" w:hAnsi="宋体" w:eastAsia="宋体" w:cs="宋体"/>
          <w:b w:val="0"/>
          <w:color w:val="auto"/>
          <w:sz w:val="24"/>
          <w:szCs w:val="24"/>
          <w:highlight w:val="none"/>
          <w:u w:val="single"/>
        </w:rPr>
      </w:pPr>
      <w:r>
        <w:rPr>
          <w:rFonts w:hint="eastAsia" w:ascii="宋体" w:hAnsi="宋体" w:eastAsia="宋体" w:cs="宋体"/>
          <w:color w:val="auto"/>
          <w:sz w:val="24"/>
          <w:highlight w:val="none"/>
          <w:u w:val="single"/>
        </w:rPr>
        <w:t>本项目按合同总金额</w:t>
      </w:r>
      <w:r>
        <w:rPr>
          <w:rFonts w:hint="eastAsia" w:ascii="宋体" w:hAnsi="宋体" w:eastAsia="宋体" w:cs="宋体"/>
          <w:color w:val="auto"/>
          <w:sz w:val="24"/>
          <w:highlight w:val="none"/>
          <w:u w:val="single"/>
          <w:lang w:val="en-US" w:eastAsia="zh-CN"/>
        </w:rPr>
        <w:t>20</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en-US" w:eastAsia="zh-CN"/>
        </w:rPr>
        <w:t>55</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en-US" w:eastAsia="zh-CN"/>
        </w:rPr>
        <w:t>25</w:t>
      </w:r>
      <w:r>
        <w:rPr>
          <w:rFonts w:hint="eastAsia" w:ascii="宋体" w:hAnsi="宋体" w:eastAsia="宋体" w:cs="宋体"/>
          <w:color w:val="auto"/>
          <w:sz w:val="24"/>
          <w:highlight w:val="none"/>
          <w:u w:val="single"/>
        </w:rPr>
        <w:t>%的比例支付首款、</w:t>
      </w:r>
      <w:r>
        <w:rPr>
          <w:rFonts w:hint="eastAsia" w:ascii="宋体" w:hAnsi="宋体" w:eastAsia="宋体" w:cs="宋体"/>
          <w:color w:val="auto"/>
          <w:sz w:val="24"/>
          <w:highlight w:val="none"/>
          <w:u w:val="single"/>
          <w:lang w:val="en-US" w:eastAsia="zh-CN"/>
        </w:rPr>
        <w:t>中期款、</w:t>
      </w:r>
      <w:r>
        <w:rPr>
          <w:rFonts w:hint="eastAsia" w:ascii="宋体" w:hAnsi="宋体" w:eastAsia="宋体" w:cs="宋体"/>
          <w:color w:val="auto"/>
          <w:sz w:val="24"/>
          <w:highlight w:val="none"/>
          <w:u w:val="single"/>
        </w:rPr>
        <w:t>尾款（服务期满后）。</w:t>
      </w:r>
    </w:p>
    <w:p w14:paraId="1892209E">
      <w:pPr>
        <w:widowControl w:val="0"/>
        <w:numPr>
          <w:ilvl w:val="0"/>
          <w:numId w:val="1"/>
        </w:numPr>
        <w:spacing w:line="360" w:lineRule="auto"/>
        <w:ind w:left="500" w:hanging="500" w:firstLineChars="0"/>
        <w:contextualSpacing/>
        <w:jc w:val="both"/>
        <w:rPr>
          <w:rFonts w:ascii="Times New Roman" w:hAnsi="Times New Roman" w:eastAsia="宋体" w:cs="Times New Roman"/>
          <w:b/>
          <w:kern w:val="2"/>
          <w:sz w:val="24"/>
          <w:szCs w:val="24"/>
          <w:highlight w:val="none"/>
          <w:lang w:val="en-US" w:eastAsia="zh-CN" w:bidi="ar-SA"/>
        </w:rPr>
      </w:pPr>
      <w:r>
        <w:rPr>
          <w:rFonts w:ascii="Times New Roman" w:hAnsi="Times New Roman" w:eastAsia="宋体" w:cs="Times New Roman"/>
          <w:b/>
          <w:kern w:val="2"/>
          <w:sz w:val="24"/>
          <w:szCs w:val="24"/>
          <w:highlight w:val="none"/>
          <w:lang w:val="en-US" w:eastAsia="zh-CN" w:bidi="ar-SA"/>
        </w:rPr>
        <w:t>技术要求</w:t>
      </w:r>
    </w:p>
    <w:p w14:paraId="6FC7BEF4">
      <w:pPr>
        <w:spacing w:line="360" w:lineRule="auto"/>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1. 基本要求</w:t>
      </w:r>
    </w:p>
    <w:p w14:paraId="14A90690">
      <w:pPr>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1.1 采购标的需实现的功能或者目标</w:t>
      </w:r>
    </w:p>
    <w:p w14:paraId="16E9BBD9">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本项目的总体目标是通过租用政务云平台基础服务，对北京市市场监督管理局业务信息系统的运行环境进行持续优化，提供可靠、稳定、安全的政务云基础服务，具体包括：</w:t>
      </w:r>
    </w:p>
    <w:p w14:paraId="52B529A3">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（1）提供政务云基础服务，包括计算服务、存储服务和网络服务等基础环境日常维护、应急响应等工作。</w:t>
      </w:r>
    </w:p>
    <w:p w14:paraId="74A34702">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（2）提供7*24运维保障，做好重大活动和节假日应急值守保障服务，确保各系统在政务云环境中可靠稳定运行。</w:t>
      </w:r>
    </w:p>
    <w:p w14:paraId="0AE01757">
      <w:pPr>
        <w:spacing w:line="360" w:lineRule="auto"/>
        <w:ind w:firstLine="482"/>
        <w:contextualSpacing/>
        <w:rPr>
          <w:rFonts w:hint="eastAsia" w:ascii="Times New Roman" w:hAnsi="Times New Roman" w:eastAsia="宋体" w:cs="Times New Roman"/>
          <w:b w:val="0"/>
          <w:bCs/>
          <w:sz w:val="24"/>
          <w:highlight w:val="none"/>
          <w:lang w:eastAsia="zh-CN"/>
        </w:rPr>
      </w:pPr>
      <w:r>
        <w:rPr>
          <w:rFonts w:hint="eastAsia" w:ascii="Times New Roman" w:hAnsi="Times New Roman" w:eastAsia="宋体" w:cs="Times New Roman"/>
          <w:b w:val="0"/>
          <w:bCs/>
          <w:sz w:val="24"/>
          <w:highlight w:val="none"/>
          <w:lang w:val="en-US" w:eastAsia="zh-CN"/>
        </w:rPr>
        <w:t>（3）服务期内，投标人须完成信息系统的日常运维和安全运维服务工作（包括但不限于：云平台服务、日常运行维护、服务规范、安全及保密要求、响应的及时性），确保入云系统安全、稳定的运行。</w:t>
      </w:r>
    </w:p>
    <w:p w14:paraId="116CE4FB">
      <w:pPr>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1.2 需执行的国家相关标准、行业标准、地方标准或者其他标准、规范</w:t>
      </w:r>
    </w:p>
    <w:p w14:paraId="733A1222">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1.2.1国家及北京市有关政策</w:t>
      </w:r>
    </w:p>
    <w:p w14:paraId="0A95B06E">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《关键信息基础设施安全保护条例》（中华人民共和国国务院令第745号）</w:t>
      </w:r>
    </w:p>
    <w:p w14:paraId="1B35F0E0">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《国家政务信息化项目建设管理办法》（国办发〔2019〕57号）</w:t>
      </w:r>
    </w:p>
    <w:p w14:paraId="5DFA6BA1">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《政府采购需求管理办法》(财库〔2021〕22号)</w:t>
      </w:r>
    </w:p>
    <w:p w14:paraId="100CCA50">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《关于促进政府采购公平竞争优化营商环境的通知》（财库〔2019〕38号）</w:t>
      </w:r>
    </w:p>
    <w:p w14:paraId="3CE9A7CA">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《关于进一步提高政府采购透明度和采购效率相关事项的通知》（财办库〔2023〕243号）</w:t>
      </w:r>
    </w:p>
    <w:p w14:paraId="4FEE7B9E">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《工业和信息化部信息通信管理局关于督促互联网网络接入服务企业依法持证经营的通知》（工信管函〔2018〕84号）</w:t>
      </w:r>
    </w:p>
    <w:p w14:paraId="14A4AA1A">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《云计算服务安全评估办法》（国家互联网信息办公室、国家发展和改革委员会、工业和信息化部、财政部公告2019年2号）</w:t>
      </w:r>
    </w:p>
    <w:p w14:paraId="1FDE80C0">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《关于加强党政部门云计算服务网络安全管理的意见》（中网办发文〔2014〕14号）</w:t>
      </w:r>
    </w:p>
    <w:p w14:paraId="1BE44D95">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《基于云计算的电子政务公共平台顶层设计指南》</w:t>
      </w:r>
    </w:p>
    <w:p w14:paraId="0977E792">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《北京市财政局关于印发&lt;北京市政府采购负面清单&gt;的通知》（京财采购〔2020〕1345号）</w:t>
      </w:r>
    </w:p>
    <w:p w14:paraId="1C43852D">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《北京市财政局关于落实好政府采购支持中小企业发展的通知（京财采购〔2022〕1143号）</w:t>
      </w:r>
    </w:p>
    <w:p w14:paraId="008FAAE0">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《关于印发&lt;关于推进我市政务信息系统整合共享的实施方案&gt;的通知》（京经信委发〔2017〕89号）</w:t>
      </w:r>
    </w:p>
    <w:p w14:paraId="2D569A17">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《北京市人民政府关于印发&lt;北京市政务信息资源管理办法（试行）&gt;的通知》（京政发〔2017〕37号）</w:t>
      </w:r>
    </w:p>
    <w:p w14:paraId="4BBA95D7">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《关于印发&lt;北京市市级政务云管理办法&gt;的通知》（京经信函〔2019〕150号）</w:t>
      </w:r>
    </w:p>
    <w:p w14:paraId="1070D150">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《北京市政务网络和数据安全管理办法》（京经信发〔2023〕57号）</w:t>
      </w:r>
    </w:p>
    <w:p w14:paraId="5FD8D3AA">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《北京市“十四五”时期智慧城市建设控制性规划要求（试行）》（京大数据发〔2021〕2号）</w:t>
      </w:r>
    </w:p>
    <w:p w14:paraId="4F4444B4">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1.2.2国家相关标准</w:t>
      </w:r>
    </w:p>
    <w:p w14:paraId="62580E5C">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《国家电子政务外网安全接入平台技术规范》</w:t>
      </w:r>
    </w:p>
    <w:p w14:paraId="64285B0E">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《信息技术—云计算—云服务质量评价指标》（GB/T 37738-2019）</w:t>
      </w:r>
    </w:p>
    <w:p w14:paraId="5F223E98">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《信息技术—云计算—云服务计量指标》（GB/T 37735-2019）</w:t>
      </w:r>
    </w:p>
    <w:p w14:paraId="1FFB050F">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《信息技术—云计算—云服务采购指南》（GB/T 37734-2019）</w:t>
      </w:r>
    </w:p>
    <w:p w14:paraId="2295F746">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《信息技术—云计算—云存储系统服务接口功能》（GB/T 37732-2019）</w:t>
      </w:r>
    </w:p>
    <w:p w14:paraId="4527A4B0">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《信息技术—云计算—云资源监控通用要求》（GB/T 37736-2019）</w:t>
      </w:r>
    </w:p>
    <w:p w14:paraId="6ABA914C">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《信息技术—云计算—云平台间应用和数据迁移指南》（GB/T 37740-2019）</w:t>
      </w:r>
    </w:p>
    <w:p w14:paraId="0CA6753F">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《信息技术—云计算—云服务交付要求》（GB/T 37741-2019）</w:t>
      </w:r>
    </w:p>
    <w:p w14:paraId="4FBE12E2">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《信息系统灾难恢复规范》（GB/T 20988-2007）</w:t>
      </w:r>
    </w:p>
    <w:p w14:paraId="799BF095">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云计算服务安全能力要求》（GB/T 31168-2014）</w:t>
      </w:r>
    </w:p>
    <w:p w14:paraId="58410BB0">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网络安全等级保护定级指南》（GB/T 22240-2020）</w:t>
      </w:r>
    </w:p>
    <w:p w14:paraId="20F7606A">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网络安全等级保护基本要求》（GB/T 22239-2019）</w:t>
      </w:r>
    </w:p>
    <w:p w14:paraId="0335445E">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网络安全等级保护测评要求》（GB/T 28448-2019）</w:t>
      </w:r>
    </w:p>
    <w:p w14:paraId="6B772BCD">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信息系统密码应用基本要求》（GB/T39786-2021）</w:t>
      </w:r>
    </w:p>
    <w:p w14:paraId="17227ECB">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信息安全风险评估方法》（GB/T 20984-2022）</w:t>
      </w:r>
    </w:p>
    <w:p w14:paraId="693EB35D">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云计算服务安全指南》（GB/T 31167-2014）</w:t>
      </w:r>
    </w:p>
    <w:p w14:paraId="02A3F19A">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政府网站云计算服务安全指南》（GB/T 38249—2019）</w:t>
      </w:r>
    </w:p>
    <w:p w14:paraId="5BD79469">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云计算安全参考架构》（GB/T 35279—2017）</w:t>
      </w:r>
    </w:p>
    <w:p w14:paraId="6D912154">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云计算服务安全能力评估方法》GB/T 34942—2017</w:t>
      </w:r>
    </w:p>
    <w:p w14:paraId="73A0E2DB">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《信息安全技术 云计算服务运行监管框架》（GB/T 37972—2019）</w:t>
      </w:r>
    </w:p>
    <w:p w14:paraId="3E46797C">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《信息技术 云资源监控指标体系》（GB/T 37938-2019）</w:t>
      </w:r>
    </w:p>
    <w:p w14:paraId="1E74D3C5">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《电子信息系统机房设计规范》（GB50174-2017）</w:t>
      </w:r>
    </w:p>
    <w:p w14:paraId="0CD63033">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《数据中心电信基础设施标准》（ANSI/TIA-942）</w:t>
      </w:r>
    </w:p>
    <w:p w14:paraId="5EC57FF1">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《综合布线系统工程设计规范》（GB 50311—2016）</w:t>
      </w:r>
    </w:p>
    <w:p w14:paraId="6B570310">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《云计算关键领域安全指南V4.0》</w:t>
      </w:r>
    </w:p>
    <w:p w14:paraId="6F24DCF8">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1.2.3北京市相关标准</w:t>
      </w:r>
    </w:p>
    <w:p w14:paraId="50523E25">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《政务云平台建设技术要求》（DB11/T 2169-2023）</w:t>
      </w:r>
    </w:p>
    <w:p w14:paraId="29FD79EB">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《北京市政务云安全技术规范 IaaS云计算平台分册》</w:t>
      </w:r>
    </w:p>
    <w:p w14:paraId="38C0BDA9">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《北京市政务云安全技术规范 IaaS云计算平台安全监管接口分册》</w:t>
      </w:r>
    </w:p>
    <w:p w14:paraId="1F92056F">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《北京市政务云安全技术规范 信息安全服务接口分册》</w:t>
      </w:r>
    </w:p>
    <w:p w14:paraId="49F3AF77">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注：服务标准涉及的国家标准及北京市标准有更新的，执行最新标准。</w:t>
      </w:r>
    </w:p>
    <w:p w14:paraId="50923F6A">
      <w:pPr>
        <w:spacing w:line="360" w:lineRule="auto"/>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 服务内容及要求</w:t>
      </w:r>
    </w:p>
    <w:p w14:paraId="0312B8A9">
      <w:pPr>
        <w:widowControl/>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2.1采购标的需满足的性能、材料、结构、外观、质量、安全、技术规格、物理特性等要求</w:t>
      </w:r>
    </w:p>
    <w:tbl>
      <w:tblPr>
        <w:tblStyle w:val="2"/>
        <w:tblW w:w="8476" w:type="dxa"/>
        <w:tblInd w:w="0" w:type="dxa"/>
        <w:tblLayout w:type="fixed"/>
        <w:tblCellMar>
          <w:top w:w="0" w:type="dxa"/>
          <w:left w:w="108" w:type="dxa"/>
          <w:bottom w:w="0" w:type="dxa"/>
          <w:right w:w="108" w:type="dxa"/>
        </w:tblCellMar>
      </w:tblPr>
      <w:tblGrid>
        <w:gridCol w:w="919"/>
        <w:gridCol w:w="1309"/>
        <w:gridCol w:w="2291"/>
        <w:gridCol w:w="941"/>
        <w:gridCol w:w="903"/>
        <w:gridCol w:w="981"/>
        <w:gridCol w:w="1132"/>
      </w:tblGrid>
      <w:tr w14:paraId="4FBE7405">
        <w:tblPrEx>
          <w:tblCellMar>
            <w:top w:w="0" w:type="dxa"/>
            <w:left w:w="108" w:type="dxa"/>
            <w:bottom w:w="0" w:type="dxa"/>
            <w:right w:w="108" w:type="dxa"/>
          </w:tblCellMar>
        </w:tblPrEx>
        <w:trPr>
          <w:trHeight w:val="627" w:hRule="atLeast"/>
        </w:trPr>
        <w:tc>
          <w:tcPr>
            <w:tcW w:w="919"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7459BD72">
            <w:pPr>
              <w:widowControl/>
              <w:jc w:val="center"/>
              <w:textAlignment w:val="center"/>
              <w:rPr>
                <w:rFonts w:hint="eastAsia" w:ascii="宋体" w:hAnsi="宋体" w:eastAsia="宋体" w:cs="宋体"/>
                <w:b/>
                <w:bCs/>
                <w:color w:val="000000"/>
                <w:sz w:val="24"/>
                <w:highlight w:val="none"/>
                <w:lang w:bidi="ar"/>
              </w:rPr>
            </w:pPr>
            <w:r>
              <w:rPr>
                <w:rFonts w:hint="eastAsia" w:ascii="宋体" w:hAnsi="宋体" w:eastAsia="宋体" w:cs="宋体"/>
                <w:b/>
                <w:bCs/>
                <w:color w:val="000000"/>
                <w:sz w:val="24"/>
                <w:highlight w:val="none"/>
                <w:lang w:bidi="ar"/>
              </w:rPr>
              <w:t>服务类别</w:t>
            </w:r>
          </w:p>
        </w:tc>
        <w:tc>
          <w:tcPr>
            <w:tcW w:w="1309"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2BC219C9">
            <w:pPr>
              <w:widowControl/>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lang w:bidi="ar"/>
              </w:rPr>
              <w:t>服务子类</w:t>
            </w:r>
          </w:p>
        </w:tc>
        <w:tc>
          <w:tcPr>
            <w:tcW w:w="2291"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069023A">
            <w:pPr>
              <w:widowControl/>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lang w:bidi="ar"/>
              </w:rPr>
              <w:t>服务项</w:t>
            </w:r>
          </w:p>
        </w:tc>
        <w:tc>
          <w:tcPr>
            <w:tcW w:w="941"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9EDBAC8">
            <w:pPr>
              <w:widowControl/>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lang w:bidi="ar"/>
              </w:rPr>
              <w:t>计价单位</w:t>
            </w:r>
          </w:p>
        </w:tc>
        <w:tc>
          <w:tcPr>
            <w:tcW w:w="903"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C2CF428">
            <w:pPr>
              <w:widowControl/>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lang w:bidi="ar"/>
              </w:rPr>
              <w:t>报价单位</w:t>
            </w:r>
          </w:p>
        </w:tc>
        <w:tc>
          <w:tcPr>
            <w:tcW w:w="981"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50F9F0CA">
            <w:pPr>
              <w:widowControl/>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lang w:bidi="ar"/>
              </w:rPr>
              <w:t>数量</w:t>
            </w:r>
          </w:p>
        </w:tc>
        <w:tc>
          <w:tcPr>
            <w:tcW w:w="1132"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220C0CF5">
            <w:pPr>
              <w:widowControl/>
              <w:jc w:val="center"/>
              <w:textAlignment w:val="center"/>
              <w:rPr>
                <w:rFonts w:hint="eastAsia" w:ascii="宋体" w:hAnsi="宋体" w:eastAsia="宋体" w:cs="宋体"/>
                <w:b/>
                <w:bCs/>
                <w:color w:val="000000"/>
                <w:sz w:val="24"/>
                <w:highlight w:val="none"/>
                <w:lang w:bidi="ar"/>
              </w:rPr>
            </w:pPr>
            <w:r>
              <w:rPr>
                <w:rFonts w:hint="eastAsia" w:ascii="宋体" w:hAnsi="宋体" w:eastAsia="宋体" w:cs="宋体"/>
                <w:b/>
                <w:bCs/>
                <w:color w:val="000000"/>
                <w:sz w:val="24"/>
                <w:highlight w:val="none"/>
                <w:lang w:bidi="ar"/>
              </w:rPr>
              <w:t>服务期</w:t>
            </w:r>
          </w:p>
          <w:p w14:paraId="25B4A9B1">
            <w:pPr>
              <w:widowControl/>
              <w:jc w:val="center"/>
              <w:textAlignment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lang w:bidi="ar"/>
              </w:rPr>
              <w:t>（月）</w:t>
            </w:r>
          </w:p>
        </w:tc>
      </w:tr>
      <w:tr w14:paraId="0B9E3247">
        <w:tblPrEx>
          <w:tblCellMar>
            <w:top w:w="0" w:type="dxa"/>
            <w:left w:w="108" w:type="dxa"/>
            <w:bottom w:w="0" w:type="dxa"/>
            <w:right w:w="108" w:type="dxa"/>
          </w:tblCellMar>
        </w:tblPrEx>
        <w:trPr>
          <w:trHeight w:val="843" w:hRule="atLeast"/>
        </w:trPr>
        <w:tc>
          <w:tcPr>
            <w:tcW w:w="919" w:type="dxa"/>
            <w:vMerge w:val="restart"/>
            <w:tcBorders>
              <w:top w:val="single" w:color="000000" w:sz="4" w:space="0"/>
              <w:left w:val="single" w:color="000000" w:sz="4" w:space="0"/>
              <w:right w:val="single" w:color="000000" w:sz="4" w:space="0"/>
            </w:tcBorders>
            <w:noWrap w:val="0"/>
            <w:vAlign w:val="center"/>
          </w:tcPr>
          <w:p w14:paraId="4C023CDC">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计算服务</w:t>
            </w:r>
          </w:p>
        </w:tc>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697C24F4">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x86平台云主机服务</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053D5260">
            <w:pPr>
              <w:widowControl/>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vCPU（主频不低于2.4GHz）</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37BE8168">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1CPU</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73A44510">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元/月</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58C2412E">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4838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5DF237B">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w:t>
            </w:r>
          </w:p>
        </w:tc>
      </w:tr>
      <w:tr w14:paraId="051D04BB">
        <w:tblPrEx>
          <w:tblCellMar>
            <w:top w:w="0" w:type="dxa"/>
            <w:left w:w="108" w:type="dxa"/>
            <w:bottom w:w="0" w:type="dxa"/>
            <w:right w:w="108" w:type="dxa"/>
          </w:tblCellMar>
        </w:tblPrEx>
        <w:trPr>
          <w:trHeight w:val="489" w:hRule="atLeast"/>
        </w:trPr>
        <w:tc>
          <w:tcPr>
            <w:tcW w:w="919" w:type="dxa"/>
            <w:vMerge w:val="continue"/>
            <w:tcBorders>
              <w:left w:val="single" w:color="000000" w:sz="4" w:space="0"/>
              <w:bottom w:val="single" w:color="auto" w:sz="4" w:space="0"/>
              <w:right w:val="single" w:color="000000" w:sz="4" w:space="0"/>
            </w:tcBorders>
            <w:noWrap w:val="0"/>
            <w:vAlign w:val="center"/>
          </w:tcPr>
          <w:p w14:paraId="794285E6">
            <w:pPr>
              <w:widowControl/>
              <w:jc w:val="center"/>
              <w:textAlignment w:val="center"/>
              <w:rPr>
                <w:rFonts w:hint="eastAsia" w:ascii="宋体" w:hAnsi="宋体" w:eastAsia="宋体" w:cs="宋体"/>
                <w:color w:val="000000"/>
                <w:szCs w:val="21"/>
                <w:highlight w:val="none"/>
                <w:lang w:bidi="ar"/>
              </w:rPr>
            </w:pPr>
          </w:p>
        </w:tc>
        <w:tc>
          <w:tcPr>
            <w:tcW w:w="1309" w:type="dxa"/>
            <w:vMerge w:val="continue"/>
            <w:tcBorders>
              <w:top w:val="single" w:color="000000" w:sz="4" w:space="0"/>
              <w:left w:val="single" w:color="000000" w:sz="4" w:space="0"/>
              <w:bottom w:val="single" w:color="auto" w:sz="4" w:space="0"/>
              <w:right w:val="single" w:color="000000" w:sz="4" w:space="0"/>
            </w:tcBorders>
            <w:noWrap w:val="0"/>
            <w:vAlign w:val="center"/>
          </w:tcPr>
          <w:p w14:paraId="1EE1CCF5">
            <w:pPr>
              <w:jc w:val="center"/>
              <w:rPr>
                <w:rFonts w:hint="eastAsia" w:ascii="宋体" w:hAnsi="宋体" w:eastAsia="宋体" w:cs="宋体"/>
                <w:color w:val="000000"/>
                <w:szCs w:val="21"/>
                <w:highlight w:val="none"/>
              </w:rPr>
            </w:pPr>
          </w:p>
        </w:tc>
        <w:tc>
          <w:tcPr>
            <w:tcW w:w="2291" w:type="dxa"/>
            <w:tcBorders>
              <w:top w:val="single" w:color="000000" w:sz="4" w:space="0"/>
              <w:left w:val="single" w:color="000000" w:sz="4" w:space="0"/>
              <w:bottom w:val="single" w:color="auto" w:sz="4" w:space="0"/>
              <w:right w:val="single" w:color="000000" w:sz="4" w:space="0"/>
            </w:tcBorders>
            <w:noWrap w:val="0"/>
            <w:vAlign w:val="center"/>
          </w:tcPr>
          <w:p w14:paraId="7FFF2F36">
            <w:pPr>
              <w:widowControl/>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内存</w:t>
            </w:r>
          </w:p>
        </w:tc>
        <w:tc>
          <w:tcPr>
            <w:tcW w:w="941" w:type="dxa"/>
            <w:tcBorders>
              <w:top w:val="single" w:color="000000" w:sz="4" w:space="0"/>
              <w:left w:val="single" w:color="000000" w:sz="4" w:space="0"/>
              <w:bottom w:val="single" w:color="auto" w:sz="4" w:space="0"/>
              <w:right w:val="single" w:color="000000" w:sz="4" w:space="0"/>
            </w:tcBorders>
            <w:noWrap w:val="0"/>
            <w:vAlign w:val="center"/>
          </w:tcPr>
          <w:p w14:paraId="7E512235">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1GB</w:t>
            </w:r>
          </w:p>
        </w:tc>
        <w:tc>
          <w:tcPr>
            <w:tcW w:w="903" w:type="dxa"/>
            <w:tcBorders>
              <w:top w:val="single" w:color="000000" w:sz="4" w:space="0"/>
              <w:left w:val="single" w:color="000000" w:sz="4" w:space="0"/>
              <w:bottom w:val="single" w:color="auto" w:sz="4" w:space="0"/>
              <w:right w:val="single" w:color="000000" w:sz="4" w:space="0"/>
            </w:tcBorders>
            <w:noWrap w:val="0"/>
            <w:vAlign w:val="center"/>
          </w:tcPr>
          <w:p w14:paraId="7066C7B1">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元/月</w:t>
            </w:r>
          </w:p>
        </w:tc>
        <w:tc>
          <w:tcPr>
            <w:tcW w:w="981" w:type="dxa"/>
            <w:tcBorders>
              <w:top w:val="single" w:color="000000" w:sz="4" w:space="0"/>
              <w:left w:val="single" w:color="000000" w:sz="4" w:space="0"/>
              <w:bottom w:val="single" w:color="auto" w:sz="4" w:space="0"/>
              <w:right w:val="single" w:color="000000" w:sz="4" w:space="0"/>
            </w:tcBorders>
            <w:noWrap w:val="0"/>
            <w:vAlign w:val="center"/>
          </w:tcPr>
          <w:p w14:paraId="1DDF25AF">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10732</w:t>
            </w:r>
          </w:p>
        </w:tc>
        <w:tc>
          <w:tcPr>
            <w:tcW w:w="1132" w:type="dxa"/>
            <w:tcBorders>
              <w:top w:val="single" w:color="000000" w:sz="4" w:space="0"/>
              <w:left w:val="single" w:color="000000" w:sz="4" w:space="0"/>
              <w:bottom w:val="single" w:color="auto" w:sz="4" w:space="0"/>
              <w:right w:val="single" w:color="000000" w:sz="4" w:space="0"/>
            </w:tcBorders>
            <w:noWrap w:val="0"/>
            <w:vAlign w:val="center"/>
          </w:tcPr>
          <w:p w14:paraId="05542AEF">
            <w:pPr>
              <w:widowControl/>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12</w:t>
            </w:r>
          </w:p>
        </w:tc>
      </w:tr>
      <w:tr w14:paraId="69C929CE">
        <w:tblPrEx>
          <w:tblCellMar>
            <w:top w:w="0" w:type="dxa"/>
            <w:left w:w="108" w:type="dxa"/>
            <w:bottom w:w="0" w:type="dxa"/>
            <w:right w:w="108" w:type="dxa"/>
          </w:tblCellMar>
        </w:tblPrEx>
        <w:trPr>
          <w:trHeight w:val="1061" w:hRule="atLeast"/>
        </w:trPr>
        <w:tc>
          <w:tcPr>
            <w:tcW w:w="919" w:type="dxa"/>
            <w:vMerge w:val="restart"/>
            <w:tcBorders>
              <w:top w:val="single" w:color="auto" w:sz="4" w:space="0"/>
              <w:left w:val="single" w:color="000000" w:sz="4" w:space="0"/>
              <w:right w:val="single" w:color="000000" w:sz="4" w:space="0"/>
            </w:tcBorders>
            <w:noWrap w:val="0"/>
            <w:vAlign w:val="center"/>
          </w:tcPr>
          <w:p w14:paraId="4620AE74">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存储服务</w:t>
            </w:r>
          </w:p>
        </w:tc>
        <w:tc>
          <w:tcPr>
            <w:tcW w:w="1309" w:type="dxa"/>
            <w:tcBorders>
              <w:top w:val="single" w:color="auto" w:sz="4" w:space="0"/>
              <w:left w:val="single" w:color="000000" w:sz="4" w:space="0"/>
              <w:bottom w:val="single" w:color="000000" w:sz="4" w:space="0"/>
              <w:right w:val="single" w:color="000000" w:sz="4" w:space="0"/>
            </w:tcBorders>
            <w:noWrap w:val="0"/>
            <w:vAlign w:val="center"/>
          </w:tcPr>
          <w:p w14:paraId="11517E9A">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普通性能存储</w:t>
            </w:r>
          </w:p>
        </w:tc>
        <w:tc>
          <w:tcPr>
            <w:tcW w:w="2291" w:type="dxa"/>
            <w:tcBorders>
              <w:top w:val="single" w:color="auto" w:sz="4" w:space="0"/>
              <w:left w:val="single" w:color="000000" w:sz="4" w:space="0"/>
              <w:bottom w:val="single" w:color="000000" w:sz="4" w:space="0"/>
              <w:right w:val="single" w:color="000000" w:sz="4" w:space="0"/>
            </w:tcBorders>
            <w:noWrap w:val="0"/>
            <w:vAlign w:val="center"/>
          </w:tcPr>
          <w:p w14:paraId="0EE2CC1D">
            <w:pPr>
              <w:widowControl/>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普通存储（单盘技术指标:单盘IOPS</w:t>
            </w:r>
            <w:r>
              <w:rPr>
                <w:rFonts w:hint="eastAsia" w:ascii="宋体" w:hAnsi="宋体" w:eastAsia="宋体" w:cs="宋体"/>
                <w:color w:val="000000"/>
                <w:szCs w:val="21"/>
                <w:highlight w:val="none"/>
                <w:lang w:val="en-US" w:eastAsia="zh-CN" w:bidi="ar"/>
              </w:rPr>
              <w:t>1</w:t>
            </w:r>
            <w:r>
              <w:rPr>
                <w:rFonts w:hint="eastAsia" w:ascii="宋体" w:hAnsi="宋体" w:eastAsia="宋体" w:cs="宋体"/>
                <w:color w:val="000000"/>
                <w:szCs w:val="21"/>
                <w:highlight w:val="none"/>
                <w:lang w:bidi="ar"/>
              </w:rPr>
              <w:t>000-</w:t>
            </w:r>
            <w:r>
              <w:rPr>
                <w:rFonts w:hint="eastAsia" w:ascii="宋体" w:hAnsi="宋体" w:eastAsia="宋体" w:cs="宋体"/>
                <w:color w:val="000000"/>
                <w:szCs w:val="21"/>
                <w:highlight w:val="none"/>
                <w:lang w:val="en-US" w:eastAsia="zh-CN" w:bidi="ar"/>
              </w:rPr>
              <w:t>3</w:t>
            </w:r>
            <w:r>
              <w:rPr>
                <w:rFonts w:hint="eastAsia" w:ascii="宋体" w:hAnsi="宋体" w:eastAsia="宋体" w:cs="宋体"/>
                <w:color w:val="000000"/>
                <w:szCs w:val="21"/>
                <w:highlight w:val="none"/>
                <w:lang w:bidi="ar"/>
              </w:rPr>
              <w:t>000）</w:t>
            </w:r>
          </w:p>
        </w:tc>
        <w:tc>
          <w:tcPr>
            <w:tcW w:w="941" w:type="dxa"/>
            <w:tcBorders>
              <w:top w:val="single" w:color="auto" w:sz="4" w:space="0"/>
              <w:left w:val="single" w:color="000000" w:sz="4" w:space="0"/>
              <w:bottom w:val="single" w:color="000000" w:sz="4" w:space="0"/>
              <w:right w:val="single" w:color="000000" w:sz="4" w:space="0"/>
            </w:tcBorders>
            <w:noWrap w:val="0"/>
            <w:vAlign w:val="center"/>
          </w:tcPr>
          <w:p w14:paraId="636DE0C9">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1GB</w:t>
            </w:r>
          </w:p>
        </w:tc>
        <w:tc>
          <w:tcPr>
            <w:tcW w:w="903" w:type="dxa"/>
            <w:tcBorders>
              <w:top w:val="single" w:color="auto" w:sz="4" w:space="0"/>
              <w:left w:val="single" w:color="000000" w:sz="4" w:space="0"/>
              <w:bottom w:val="single" w:color="000000" w:sz="4" w:space="0"/>
              <w:right w:val="single" w:color="000000" w:sz="4" w:space="0"/>
            </w:tcBorders>
            <w:noWrap w:val="0"/>
            <w:vAlign w:val="center"/>
          </w:tcPr>
          <w:p w14:paraId="6367FF38">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元/月</w:t>
            </w:r>
          </w:p>
        </w:tc>
        <w:tc>
          <w:tcPr>
            <w:tcW w:w="981" w:type="dxa"/>
            <w:tcBorders>
              <w:top w:val="single" w:color="auto" w:sz="4" w:space="0"/>
              <w:left w:val="single" w:color="000000" w:sz="4" w:space="0"/>
              <w:bottom w:val="single" w:color="000000" w:sz="4" w:space="0"/>
              <w:right w:val="single" w:color="000000" w:sz="4" w:space="0"/>
            </w:tcBorders>
            <w:noWrap w:val="0"/>
            <w:vAlign w:val="center"/>
          </w:tcPr>
          <w:p w14:paraId="6819E630">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112514</w:t>
            </w:r>
          </w:p>
        </w:tc>
        <w:tc>
          <w:tcPr>
            <w:tcW w:w="1132" w:type="dxa"/>
            <w:tcBorders>
              <w:top w:val="single" w:color="auto" w:sz="4" w:space="0"/>
              <w:left w:val="single" w:color="000000" w:sz="4" w:space="0"/>
              <w:bottom w:val="single" w:color="000000" w:sz="4" w:space="0"/>
              <w:right w:val="single" w:color="000000" w:sz="4" w:space="0"/>
            </w:tcBorders>
            <w:noWrap w:val="0"/>
            <w:vAlign w:val="center"/>
          </w:tcPr>
          <w:p w14:paraId="3609E4B9">
            <w:pPr>
              <w:widowControl/>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12</w:t>
            </w:r>
          </w:p>
        </w:tc>
      </w:tr>
      <w:tr w14:paraId="1DDE6C44">
        <w:tblPrEx>
          <w:tblCellMar>
            <w:top w:w="0" w:type="dxa"/>
            <w:left w:w="108" w:type="dxa"/>
            <w:bottom w:w="0" w:type="dxa"/>
            <w:right w:w="108" w:type="dxa"/>
          </w:tblCellMar>
        </w:tblPrEx>
        <w:trPr>
          <w:trHeight w:val="820" w:hRule="atLeast"/>
        </w:trPr>
        <w:tc>
          <w:tcPr>
            <w:tcW w:w="919" w:type="dxa"/>
            <w:vMerge w:val="continue"/>
            <w:tcBorders>
              <w:left w:val="single" w:color="000000" w:sz="4" w:space="0"/>
              <w:bottom w:val="single" w:color="000000" w:sz="4" w:space="0"/>
              <w:right w:val="single" w:color="000000" w:sz="4" w:space="0"/>
            </w:tcBorders>
            <w:noWrap w:val="0"/>
            <w:vAlign w:val="center"/>
          </w:tcPr>
          <w:p w14:paraId="76CC6880">
            <w:pPr>
              <w:widowControl/>
              <w:jc w:val="center"/>
              <w:textAlignment w:val="center"/>
              <w:rPr>
                <w:rFonts w:hint="eastAsia" w:ascii="宋体" w:hAnsi="宋体" w:eastAsia="宋体" w:cs="宋体"/>
                <w:color w:val="000000"/>
                <w:szCs w:val="21"/>
                <w:highlight w:val="none"/>
                <w:lang w:bidi="ar"/>
              </w:rPr>
            </w:pP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7D9B1812">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高性能存储</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29BFB8D3">
            <w:pPr>
              <w:widowControl/>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高性能存储（单盘技术指标：单盘IOPS</w:t>
            </w:r>
            <w:r>
              <w:rPr>
                <w:rFonts w:hint="eastAsia" w:ascii="宋体" w:hAnsi="宋体" w:eastAsia="宋体" w:cs="宋体"/>
                <w:color w:val="000000"/>
                <w:szCs w:val="21"/>
                <w:highlight w:val="none"/>
                <w:lang w:val="en-US" w:eastAsia="zh-CN" w:bidi="ar"/>
              </w:rPr>
              <w:t>3000</w:t>
            </w:r>
            <w:r>
              <w:rPr>
                <w:rFonts w:hint="eastAsia" w:ascii="宋体" w:hAnsi="宋体" w:eastAsia="宋体" w:cs="宋体"/>
                <w:color w:val="000000"/>
                <w:szCs w:val="21"/>
                <w:highlight w:val="none"/>
                <w:lang w:bidi="ar"/>
              </w:rPr>
              <w:t>-2</w:t>
            </w:r>
            <w:r>
              <w:rPr>
                <w:rFonts w:hint="eastAsia" w:ascii="宋体" w:hAnsi="宋体" w:eastAsia="宋体" w:cs="宋体"/>
                <w:color w:val="000000"/>
                <w:szCs w:val="21"/>
                <w:highlight w:val="none"/>
                <w:lang w:val="en-US" w:eastAsia="zh-CN" w:bidi="ar"/>
              </w:rPr>
              <w:t>0</w:t>
            </w:r>
            <w:r>
              <w:rPr>
                <w:rFonts w:hint="eastAsia" w:ascii="宋体" w:hAnsi="宋体" w:eastAsia="宋体" w:cs="宋体"/>
                <w:color w:val="000000"/>
                <w:szCs w:val="21"/>
                <w:highlight w:val="none"/>
                <w:lang w:bidi="ar"/>
              </w:rPr>
              <w:t>000）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30F4187F">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1GB</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59EC84E2">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元/月</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6F6C6B44">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384336</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FD15E39">
            <w:pPr>
              <w:widowControl/>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12</w:t>
            </w:r>
          </w:p>
        </w:tc>
      </w:tr>
      <w:tr w14:paraId="25EF05B2">
        <w:tblPrEx>
          <w:tblCellMar>
            <w:top w:w="0" w:type="dxa"/>
            <w:left w:w="108" w:type="dxa"/>
            <w:bottom w:w="0" w:type="dxa"/>
            <w:right w:w="108" w:type="dxa"/>
          </w:tblCellMar>
        </w:tblPrEx>
        <w:trPr>
          <w:trHeight w:val="575" w:hRule="atLeast"/>
        </w:trPr>
        <w:tc>
          <w:tcPr>
            <w:tcW w:w="919" w:type="dxa"/>
            <w:vMerge w:val="restart"/>
            <w:tcBorders>
              <w:top w:val="single" w:color="000000" w:sz="4" w:space="0"/>
              <w:left w:val="single" w:color="000000" w:sz="4" w:space="0"/>
              <w:right w:val="single" w:color="000000" w:sz="4" w:space="0"/>
            </w:tcBorders>
            <w:noWrap w:val="0"/>
            <w:vAlign w:val="center"/>
          </w:tcPr>
          <w:p w14:paraId="5946C2E8">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网络服务</w:t>
            </w:r>
          </w:p>
        </w:tc>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08793C84">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互联网链路服务</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1D592877">
            <w:pPr>
              <w:widowControl/>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互联网链路带宽</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61446A98">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1Mb</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5705F67D">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元/月</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5A9A430A">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F937F2C">
            <w:pPr>
              <w:widowControl/>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12</w:t>
            </w:r>
            <w:r>
              <w:rPr>
                <w:rFonts w:hint="eastAsia" w:ascii="宋体" w:hAnsi="宋体" w:eastAsia="宋体" w:cs="宋体"/>
                <w:color w:val="000000"/>
                <w:szCs w:val="21"/>
                <w:highlight w:val="none"/>
              </w:rPr>
              <w:br w:type="textWrapping"/>
            </w:r>
          </w:p>
        </w:tc>
      </w:tr>
      <w:tr w14:paraId="289CA01D">
        <w:tblPrEx>
          <w:tblCellMar>
            <w:top w:w="0" w:type="dxa"/>
            <w:left w:w="108" w:type="dxa"/>
            <w:bottom w:w="0" w:type="dxa"/>
            <w:right w:w="108" w:type="dxa"/>
          </w:tblCellMar>
        </w:tblPrEx>
        <w:trPr>
          <w:trHeight w:val="550" w:hRule="atLeast"/>
        </w:trPr>
        <w:tc>
          <w:tcPr>
            <w:tcW w:w="919" w:type="dxa"/>
            <w:vMerge w:val="continue"/>
            <w:tcBorders>
              <w:left w:val="single" w:color="000000" w:sz="4" w:space="0"/>
              <w:right w:val="single" w:color="000000" w:sz="4" w:space="0"/>
            </w:tcBorders>
            <w:noWrap w:val="0"/>
            <w:vAlign w:val="center"/>
          </w:tcPr>
          <w:p w14:paraId="56414D17">
            <w:pPr>
              <w:widowControl/>
              <w:jc w:val="center"/>
              <w:textAlignment w:val="center"/>
              <w:rPr>
                <w:rFonts w:hint="eastAsia" w:ascii="宋体" w:hAnsi="宋体" w:eastAsia="宋体" w:cs="宋体"/>
                <w:color w:val="000000"/>
                <w:szCs w:val="21"/>
                <w:highlight w:val="none"/>
                <w:lang w:bidi="ar"/>
              </w:rPr>
            </w:pPr>
          </w:p>
        </w:tc>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3D58E2">
            <w:pPr>
              <w:jc w:val="center"/>
              <w:rPr>
                <w:rFonts w:hint="eastAsia" w:ascii="宋体" w:hAnsi="宋体" w:eastAsia="宋体" w:cs="宋体"/>
                <w:color w:val="000000"/>
                <w:szCs w:val="21"/>
                <w:highlight w:val="none"/>
              </w:rPr>
            </w:pP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2B7ED0AB">
            <w:pPr>
              <w:widowControl/>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互联网IP地址租用服务、并提供备案服务</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6D568D22">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1IP</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736FB955">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元/月</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3A84168C">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410E996">
            <w:pPr>
              <w:widowControl/>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12</w:t>
            </w:r>
          </w:p>
        </w:tc>
      </w:tr>
      <w:tr w14:paraId="180EB7C4">
        <w:tblPrEx>
          <w:tblCellMar>
            <w:top w:w="0" w:type="dxa"/>
            <w:left w:w="108" w:type="dxa"/>
            <w:bottom w:w="0" w:type="dxa"/>
            <w:right w:w="108" w:type="dxa"/>
          </w:tblCellMar>
        </w:tblPrEx>
        <w:trPr>
          <w:trHeight w:val="575" w:hRule="atLeast"/>
        </w:trPr>
        <w:tc>
          <w:tcPr>
            <w:tcW w:w="919" w:type="dxa"/>
            <w:vMerge w:val="continue"/>
            <w:tcBorders>
              <w:left w:val="single" w:color="000000" w:sz="4" w:space="0"/>
              <w:right w:val="single" w:color="000000" w:sz="4" w:space="0"/>
            </w:tcBorders>
            <w:noWrap w:val="0"/>
            <w:vAlign w:val="center"/>
          </w:tcPr>
          <w:p w14:paraId="42D8C949">
            <w:pPr>
              <w:widowControl/>
              <w:jc w:val="center"/>
              <w:textAlignment w:val="center"/>
              <w:rPr>
                <w:rFonts w:hint="eastAsia" w:ascii="宋体" w:hAnsi="宋体" w:eastAsia="宋体" w:cs="宋体"/>
                <w:color w:val="000000"/>
                <w:szCs w:val="21"/>
                <w:highlight w:val="none"/>
                <w:lang w:bidi="ar"/>
              </w:rPr>
            </w:pP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6E1D4E73">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主机负载均衡服务</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1313AC47">
            <w:pPr>
              <w:widowControl/>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主机负载均衡服务</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012F32A4">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1IP（内网）</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2ACD178A">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元/月</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43DADAC2">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764C3DA">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w:t>
            </w:r>
          </w:p>
        </w:tc>
      </w:tr>
      <w:tr w14:paraId="2137AA05">
        <w:tblPrEx>
          <w:tblCellMar>
            <w:top w:w="0" w:type="dxa"/>
            <w:left w:w="108" w:type="dxa"/>
            <w:bottom w:w="0" w:type="dxa"/>
            <w:right w:w="108" w:type="dxa"/>
          </w:tblCellMar>
        </w:tblPrEx>
        <w:trPr>
          <w:trHeight w:val="550" w:hRule="atLeast"/>
        </w:trPr>
        <w:tc>
          <w:tcPr>
            <w:tcW w:w="919" w:type="dxa"/>
            <w:vMerge w:val="continue"/>
            <w:tcBorders>
              <w:left w:val="single" w:color="000000" w:sz="4" w:space="0"/>
              <w:right w:val="single" w:color="000000" w:sz="4" w:space="0"/>
            </w:tcBorders>
            <w:noWrap w:val="0"/>
            <w:vAlign w:val="center"/>
          </w:tcPr>
          <w:p w14:paraId="51984448">
            <w:pPr>
              <w:widowControl/>
              <w:jc w:val="center"/>
              <w:textAlignment w:val="center"/>
              <w:rPr>
                <w:rFonts w:hint="eastAsia" w:ascii="宋体" w:hAnsi="宋体" w:eastAsia="宋体" w:cs="宋体"/>
                <w:color w:val="000000"/>
                <w:szCs w:val="21"/>
                <w:highlight w:val="none"/>
                <w:lang w:bidi="ar"/>
              </w:rPr>
            </w:pP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24D13FB0">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远程接入服务</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26267169">
            <w:pPr>
              <w:widowControl/>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远程接入服务</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061D4282">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1账号</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485B03B4">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元/月</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546F9CC6">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90C2A9D">
            <w:pPr>
              <w:widowControl/>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12</w:t>
            </w:r>
          </w:p>
        </w:tc>
      </w:tr>
      <w:tr w14:paraId="50240A0D">
        <w:tblPrEx>
          <w:tblCellMar>
            <w:top w:w="0" w:type="dxa"/>
            <w:left w:w="108" w:type="dxa"/>
            <w:bottom w:w="0" w:type="dxa"/>
            <w:right w:w="108" w:type="dxa"/>
          </w:tblCellMar>
        </w:tblPrEx>
        <w:trPr>
          <w:trHeight w:val="546" w:hRule="atLeast"/>
        </w:trPr>
        <w:tc>
          <w:tcPr>
            <w:tcW w:w="919" w:type="dxa"/>
            <w:vMerge w:val="continue"/>
            <w:tcBorders>
              <w:left w:val="single" w:color="000000" w:sz="4" w:space="0"/>
              <w:right w:val="single" w:color="000000" w:sz="4" w:space="0"/>
            </w:tcBorders>
            <w:noWrap w:val="0"/>
            <w:vAlign w:val="center"/>
          </w:tcPr>
          <w:p w14:paraId="0ACDCB7A">
            <w:pPr>
              <w:widowControl/>
              <w:jc w:val="center"/>
              <w:textAlignment w:val="center"/>
              <w:rPr>
                <w:rFonts w:hint="eastAsia" w:ascii="宋体" w:hAnsi="宋体" w:eastAsia="宋体" w:cs="宋体"/>
                <w:color w:val="000000"/>
                <w:szCs w:val="21"/>
                <w:highlight w:val="none"/>
                <w:lang w:bidi="ar"/>
              </w:rPr>
            </w:pPr>
          </w:p>
        </w:tc>
        <w:tc>
          <w:tcPr>
            <w:tcW w:w="1309" w:type="dxa"/>
            <w:vMerge w:val="restart"/>
            <w:tcBorders>
              <w:top w:val="single" w:color="000000" w:sz="4" w:space="0"/>
              <w:left w:val="single" w:color="000000" w:sz="4" w:space="0"/>
              <w:right w:val="single" w:color="000000" w:sz="4" w:space="0"/>
            </w:tcBorders>
            <w:noWrap w:val="0"/>
            <w:vAlign w:val="center"/>
          </w:tcPr>
          <w:p w14:paraId="798BEFA1">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VPN服务</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1ED3BDC2">
            <w:pPr>
              <w:widowControl/>
              <w:rPr>
                <w:rFonts w:hint="eastAsia" w:ascii="宋体" w:hAnsi="宋体" w:eastAsia="宋体" w:cs="宋体"/>
                <w:szCs w:val="21"/>
                <w:highlight w:val="none"/>
              </w:rPr>
            </w:pPr>
            <w:r>
              <w:rPr>
                <w:rFonts w:hint="eastAsia" w:ascii="宋体" w:hAnsi="宋体" w:eastAsia="宋体" w:cs="宋体"/>
                <w:szCs w:val="21"/>
                <w:highlight w:val="none"/>
              </w:rPr>
              <w:t>SSL VPN接入</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3734FB9B">
            <w:pPr>
              <w:widowControl/>
              <w:jc w:val="center"/>
              <w:rPr>
                <w:rFonts w:hint="eastAsia" w:ascii="宋体" w:hAnsi="宋体" w:eastAsia="宋体" w:cs="宋体"/>
                <w:szCs w:val="21"/>
                <w:highlight w:val="none"/>
              </w:rPr>
            </w:pPr>
            <w:r>
              <w:rPr>
                <w:rFonts w:hint="eastAsia" w:ascii="宋体" w:hAnsi="宋体" w:eastAsia="宋体" w:cs="宋体"/>
                <w:szCs w:val="21"/>
                <w:highlight w:val="none"/>
              </w:rPr>
              <w:t>1套</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234F98EE">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元/月</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091CC18F">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7227460">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w:t>
            </w:r>
          </w:p>
        </w:tc>
      </w:tr>
      <w:tr w14:paraId="757F8707">
        <w:tblPrEx>
          <w:tblCellMar>
            <w:top w:w="0" w:type="dxa"/>
            <w:left w:w="108" w:type="dxa"/>
            <w:bottom w:w="0" w:type="dxa"/>
            <w:right w:w="108" w:type="dxa"/>
          </w:tblCellMar>
        </w:tblPrEx>
        <w:trPr>
          <w:trHeight w:val="546" w:hRule="atLeast"/>
        </w:trPr>
        <w:tc>
          <w:tcPr>
            <w:tcW w:w="919" w:type="dxa"/>
            <w:vMerge w:val="continue"/>
            <w:tcBorders>
              <w:left w:val="single" w:color="000000" w:sz="4" w:space="0"/>
              <w:right w:val="single" w:color="000000" w:sz="4" w:space="0"/>
            </w:tcBorders>
            <w:noWrap w:val="0"/>
            <w:vAlign w:val="center"/>
          </w:tcPr>
          <w:p w14:paraId="3A23E4BD">
            <w:pPr>
              <w:widowControl/>
              <w:jc w:val="center"/>
              <w:textAlignment w:val="center"/>
              <w:rPr>
                <w:rFonts w:hint="eastAsia" w:ascii="宋体" w:hAnsi="宋体" w:eastAsia="宋体" w:cs="宋体"/>
                <w:color w:val="000000"/>
                <w:szCs w:val="21"/>
                <w:highlight w:val="none"/>
                <w:lang w:bidi="ar"/>
              </w:rPr>
            </w:pPr>
          </w:p>
        </w:tc>
        <w:tc>
          <w:tcPr>
            <w:tcW w:w="1309" w:type="dxa"/>
            <w:vMerge w:val="continue"/>
            <w:tcBorders>
              <w:left w:val="single" w:color="000000" w:sz="4" w:space="0"/>
              <w:bottom w:val="single" w:color="000000" w:sz="4" w:space="0"/>
              <w:right w:val="single" w:color="000000" w:sz="4" w:space="0"/>
            </w:tcBorders>
            <w:noWrap w:val="0"/>
            <w:vAlign w:val="center"/>
          </w:tcPr>
          <w:p w14:paraId="293F8A34">
            <w:pPr>
              <w:widowControl/>
              <w:jc w:val="center"/>
              <w:textAlignment w:val="center"/>
              <w:rPr>
                <w:rFonts w:hint="eastAsia" w:ascii="宋体" w:hAnsi="宋体" w:eastAsia="宋体" w:cs="宋体"/>
                <w:color w:val="000000"/>
                <w:szCs w:val="21"/>
                <w:highlight w:val="none"/>
                <w:lang w:bidi="ar"/>
              </w:rPr>
            </w:pP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7C069527">
            <w:pPr>
              <w:widowControl/>
              <w:rPr>
                <w:rFonts w:hint="eastAsia" w:ascii="宋体" w:hAnsi="宋体" w:eastAsia="宋体" w:cs="宋体"/>
                <w:szCs w:val="21"/>
                <w:highlight w:val="none"/>
              </w:rPr>
            </w:pPr>
            <w:r>
              <w:rPr>
                <w:rFonts w:hint="eastAsia" w:ascii="宋体" w:hAnsi="宋体" w:eastAsia="宋体" w:cs="宋体"/>
                <w:szCs w:val="21"/>
                <w:highlight w:val="none"/>
              </w:rPr>
              <w:t>IPSec VPN接入</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56A6DD41">
            <w:pPr>
              <w:widowControl/>
              <w:jc w:val="center"/>
              <w:rPr>
                <w:rFonts w:hint="eastAsia" w:ascii="宋体" w:hAnsi="宋体" w:eastAsia="宋体" w:cs="宋体"/>
                <w:szCs w:val="21"/>
                <w:highlight w:val="none"/>
              </w:rPr>
            </w:pPr>
            <w:r>
              <w:rPr>
                <w:rFonts w:hint="eastAsia" w:ascii="宋体" w:hAnsi="宋体" w:eastAsia="宋体" w:cs="宋体"/>
                <w:szCs w:val="21"/>
                <w:highlight w:val="none"/>
              </w:rPr>
              <w:t>1套</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757F4D63">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元/月</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374C8FC9">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B200EB">
            <w:pPr>
              <w:widowControl/>
              <w:jc w:val="center"/>
              <w:textAlignment w:val="center"/>
              <w:rPr>
                <w:rFonts w:hint="default" w:ascii="宋体" w:hAnsi="宋体" w:eastAsia="宋体" w:cs="宋体"/>
                <w:color w:val="000000"/>
                <w:szCs w:val="21"/>
                <w:highlight w:val="none"/>
                <w:lang w:val="en-US" w:eastAsia="zh-CN"/>
              </w:rPr>
            </w:pPr>
            <w:r>
              <w:rPr>
                <w:rFonts w:hint="eastAsia" w:ascii="宋体" w:hAnsi="宋体" w:eastAsia="宋体" w:cs="宋体"/>
                <w:szCs w:val="21"/>
                <w:highlight w:val="none"/>
                <w:lang w:val="en-US" w:eastAsia="zh-CN"/>
              </w:rPr>
              <w:t>12</w:t>
            </w:r>
          </w:p>
        </w:tc>
      </w:tr>
      <w:tr w14:paraId="72AB8D6E">
        <w:tblPrEx>
          <w:tblCellMar>
            <w:top w:w="0" w:type="dxa"/>
            <w:left w:w="108" w:type="dxa"/>
            <w:bottom w:w="0" w:type="dxa"/>
            <w:right w:w="108" w:type="dxa"/>
          </w:tblCellMar>
        </w:tblPrEx>
        <w:trPr>
          <w:trHeight w:val="550" w:hRule="atLeast"/>
        </w:trPr>
        <w:tc>
          <w:tcPr>
            <w:tcW w:w="919" w:type="dxa"/>
            <w:vMerge w:val="continue"/>
            <w:tcBorders>
              <w:left w:val="single" w:color="000000" w:sz="4" w:space="0"/>
              <w:bottom w:val="single" w:color="000000" w:sz="4" w:space="0"/>
              <w:right w:val="single" w:color="000000" w:sz="4" w:space="0"/>
            </w:tcBorders>
            <w:noWrap w:val="0"/>
            <w:vAlign w:val="center"/>
          </w:tcPr>
          <w:p w14:paraId="420AE29A">
            <w:pPr>
              <w:widowControl/>
              <w:jc w:val="center"/>
              <w:textAlignment w:val="center"/>
              <w:rPr>
                <w:rFonts w:hint="eastAsia" w:ascii="宋体" w:hAnsi="宋体" w:eastAsia="宋体" w:cs="宋体"/>
                <w:color w:val="000000"/>
                <w:szCs w:val="21"/>
                <w:highlight w:val="none"/>
                <w:lang w:bidi="ar"/>
              </w:rPr>
            </w:pPr>
          </w:p>
        </w:tc>
        <w:tc>
          <w:tcPr>
            <w:tcW w:w="1309" w:type="dxa"/>
            <w:tcBorders>
              <w:left w:val="single" w:color="000000" w:sz="4" w:space="0"/>
              <w:bottom w:val="single" w:color="000000" w:sz="4" w:space="0"/>
              <w:right w:val="single" w:color="000000" w:sz="4" w:space="0"/>
            </w:tcBorders>
            <w:noWrap w:val="0"/>
            <w:vAlign w:val="center"/>
          </w:tcPr>
          <w:p w14:paraId="2F9AAB3A">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WAF防护</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1464BACB">
            <w:pPr>
              <w:widowControl/>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web应用防火墙服务</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4D5C257E">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1IP（互联网）</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3587F97E">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bidi="ar"/>
              </w:rPr>
              <w:t>元/月</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0E54CDCD">
            <w:pPr>
              <w:widowControl/>
              <w:jc w:val="center"/>
              <w:textAlignment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72B02E4">
            <w:pPr>
              <w:widowControl/>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12</w:t>
            </w:r>
          </w:p>
        </w:tc>
      </w:tr>
      <w:tr w14:paraId="568662E4">
        <w:tblPrEx>
          <w:tblCellMar>
            <w:top w:w="0" w:type="dxa"/>
            <w:left w:w="108" w:type="dxa"/>
            <w:bottom w:w="0" w:type="dxa"/>
            <w:right w:w="108" w:type="dxa"/>
          </w:tblCellMar>
        </w:tblPrEx>
        <w:trPr>
          <w:trHeight w:val="1369" w:hRule="atLeast"/>
        </w:trPr>
        <w:tc>
          <w:tcPr>
            <w:tcW w:w="919" w:type="dxa"/>
            <w:tcBorders>
              <w:top w:val="single" w:color="000000" w:sz="4" w:space="0"/>
              <w:left w:val="single" w:color="000000" w:sz="4" w:space="0"/>
              <w:bottom w:val="single" w:color="000000" w:sz="4" w:space="0"/>
              <w:right w:val="single" w:color="000000" w:sz="4" w:space="0"/>
            </w:tcBorders>
            <w:noWrap w:val="0"/>
            <w:vAlign w:val="center"/>
          </w:tcPr>
          <w:p w14:paraId="79C2FAAF">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云主机深度监控服务</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566EBFE3">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szCs w:val="21"/>
                <w:highlight w:val="none"/>
                <w:lang w:bidi="ar"/>
              </w:rPr>
              <w:t>云主机深度监控及运维保障服务（7*24小时值守）</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14:paraId="34EC46DB">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szCs w:val="21"/>
                <w:highlight w:val="none"/>
                <w:lang w:bidi="ar"/>
              </w:rPr>
              <w:t>7*24小时深度监测云主机资源、硬件设备监控、云平台层应急处置等内容</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6A59AFCE">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szCs w:val="21"/>
                <w:highlight w:val="none"/>
                <w:lang w:bidi="ar"/>
              </w:rPr>
              <w:t>1主机</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40B309CD">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szCs w:val="21"/>
                <w:highlight w:val="none"/>
                <w:lang w:bidi="ar"/>
              </w:rPr>
              <w:t>元/</w:t>
            </w:r>
            <w:r>
              <w:rPr>
                <w:rFonts w:hint="eastAsia" w:ascii="宋体" w:hAnsi="宋体" w:eastAsia="宋体" w:cs="宋体"/>
                <w:color w:val="000000"/>
                <w:szCs w:val="21"/>
                <w:highlight w:val="none"/>
                <w:lang w:bidi="ar"/>
              </w:rPr>
              <w:t>月</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115F5125">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219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7F71723">
            <w:pPr>
              <w:widowControl/>
              <w:jc w:val="center"/>
              <w:textAlignment w:val="center"/>
              <w:rPr>
                <w:rFonts w:hint="eastAsia" w:ascii="宋体" w:hAnsi="宋体" w:eastAsia="宋体" w:cs="宋体"/>
                <w:color w:val="000000"/>
                <w:szCs w:val="21"/>
                <w:highlight w:val="none"/>
                <w:lang w:bidi="ar"/>
              </w:rPr>
            </w:pPr>
            <w:r>
              <w:rPr>
                <w:rFonts w:hint="eastAsia" w:ascii="宋体" w:hAnsi="宋体" w:eastAsia="宋体" w:cs="宋体"/>
                <w:color w:val="000000"/>
                <w:szCs w:val="21"/>
                <w:highlight w:val="none"/>
                <w:lang w:bidi="ar"/>
              </w:rPr>
              <w:t>12</w:t>
            </w:r>
          </w:p>
        </w:tc>
      </w:tr>
    </w:tbl>
    <w:p w14:paraId="002B9AF5">
      <w:pPr>
        <w:widowControl/>
        <w:spacing w:line="360" w:lineRule="auto"/>
        <w:ind w:firstLine="480" w:firstLineChars="200"/>
        <w:contextualSpacing/>
        <w:rPr>
          <w:rFonts w:ascii="Times New Roman" w:hAnsi="Times New Roman" w:eastAsia="宋体" w:cs="Times New Roman"/>
          <w:sz w:val="24"/>
          <w:highlight w:val="none"/>
        </w:rPr>
      </w:pPr>
    </w:p>
    <w:p w14:paraId="6B24EA21">
      <w:pPr>
        <w:widowControl/>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2.2采购标的需满足的服务标准、期限、效率等要求</w:t>
      </w:r>
    </w:p>
    <w:p w14:paraId="319D3DD9">
      <w:pPr>
        <w:keepNext w:val="0"/>
        <w:keepLines w:val="0"/>
        <w:pageBreakBefore w:val="0"/>
        <w:widowControl/>
        <w:numPr>
          <w:ilvl w:val="0"/>
          <w:numId w:val="0"/>
        </w:numPr>
        <w:kinsoku/>
        <w:wordWrap/>
        <w:overflowPunct/>
        <w:topLinePunct w:val="0"/>
        <w:autoSpaceDE/>
        <w:autoSpaceDN/>
        <w:bidi w:val="0"/>
        <w:adjustRightInd/>
        <w:snapToGrid/>
        <w:spacing w:before="193" w:beforeLines="50" w:after="193" w:afterLines="50" w:line="460" w:lineRule="exact"/>
        <w:ind w:left="0" w:firstLine="480" w:firstLineChars="200"/>
        <w:jc w:val="both"/>
        <w:textAlignment w:val="auto"/>
        <w:outlineLvl w:val="3"/>
        <w:rPr>
          <w:rFonts w:hint="eastAsia" w:ascii="宋体" w:hAnsi="Times New Roman" w:eastAsia="宋体" w:cs="Times New Roman"/>
          <w:b w:val="0"/>
          <w:color w:val="auto"/>
          <w:sz w:val="24"/>
          <w:szCs w:val="24"/>
          <w:highlight w:val="none"/>
          <w:lang w:val="en-US" w:eastAsia="zh-CN" w:bidi="ar-SA"/>
        </w:rPr>
      </w:pPr>
      <w:r>
        <w:rPr>
          <w:rFonts w:hint="eastAsia" w:ascii="宋体" w:hAnsi="Times New Roman" w:eastAsia="宋体" w:cs="Times New Roman"/>
          <w:b w:val="0"/>
          <w:color w:val="auto"/>
          <w:sz w:val="24"/>
          <w:szCs w:val="24"/>
          <w:highlight w:val="none"/>
          <w:lang w:val="en-US" w:eastAsia="zh-CN" w:bidi="ar-SA"/>
        </w:rPr>
        <w:t>2.2.1云主机服务</w:t>
      </w:r>
    </w:p>
    <w:tbl>
      <w:tblPr>
        <w:tblStyle w:val="2"/>
        <w:tblW w:w="87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66"/>
        <w:gridCol w:w="6754"/>
      </w:tblGrid>
      <w:tr w14:paraId="3270F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top w:val="single" w:color="000000" w:sz="4" w:space="0"/>
              <w:left w:val="single" w:color="000000" w:sz="4" w:space="0"/>
              <w:bottom w:val="single" w:color="000000" w:sz="4" w:space="0"/>
              <w:right w:val="single" w:color="000000" w:sz="4" w:space="0"/>
            </w:tcBorders>
            <w:noWrap w:val="0"/>
            <w:vAlign w:val="center"/>
          </w:tcPr>
          <w:p w14:paraId="4098D3B1">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指标项</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1AB15F90">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规格要求</w:t>
            </w:r>
          </w:p>
        </w:tc>
      </w:tr>
      <w:tr w14:paraId="18D41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top w:val="single" w:color="000000" w:sz="4" w:space="0"/>
              <w:left w:val="single" w:color="000000" w:sz="4" w:space="0"/>
              <w:bottom w:val="single" w:color="000000" w:sz="4" w:space="0"/>
              <w:right w:val="single" w:color="000000" w:sz="4" w:space="0"/>
            </w:tcBorders>
            <w:noWrap w:val="0"/>
            <w:vAlign w:val="center"/>
          </w:tcPr>
          <w:p w14:paraId="392D6CF5">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性能限制</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32DE6B43">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按内存不复用方式分配资源，要求</w:t>
            </w:r>
            <w:r>
              <w:rPr>
                <w:rFonts w:ascii="宋体" w:hAnsi="宋体" w:eastAsia="宋体" w:cs="宋体"/>
                <w:color w:val="auto"/>
                <w:kern w:val="2"/>
                <w:sz w:val="21"/>
                <w:szCs w:val="21"/>
                <w:highlight w:val="none"/>
                <w:lang w:val="en-US" w:eastAsia="zh-CN" w:bidi="ar-SA"/>
              </w:rPr>
              <w:t>CPU</w:t>
            </w:r>
            <w:r>
              <w:rPr>
                <w:rFonts w:hint="eastAsia" w:ascii="宋体" w:hAnsi="宋体" w:eastAsia="宋体" w:cs="宋体"/>
                <w:color w:val="auto"/>
                <w:kern w:val="2"/>
                <w:sz w:val="21"/>
                <w:szCs w:val="21"/>
                <w:highlight w:val="none"/>
                <w:lang w:val="en-US" w:eastAsia="zh-CN" w:bidi="ar-SA"/>
              </w:rPr>
              <w:t>主频≥</w:t>
            </w:r>
            <w:r>
              <w:rPr>
                <w:rFonts w:ascii="宋体" w:hAnsi="宋体" w:eastAsia="宋体" w:cs="宋体"/>
                <w:color w:val="auto"/>
                <w:kern w:val="2"/>
                <w:sz w:val="21"/>
                <w:szCs w:val="21"/>
                <w:highlight w:val="none"/>
                <w:lang w:val="en-US" w:eastAsia="zh-CN" w:bidi="ar-SA"/>
              </w:rPr>
              <w:t>2.4GHz</w:t>
            </w:r>
          </w:p>
        </w:tc>
      </w:tr>
      <w:tr w14:paraId="7D18B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top w:val="single" w:color="000000" w:sz="4" w:space="0"/>
              <w:left w:val="single" w:color="000000" w:sz="4" w:space="0"/>
              <w:bottom w:val="single" w:color="000000" w:sz="4" w:space="0"/>
              <w:right w:val="single" w:color="000000" w:sz="4" w:space="0"/>
            </w:tcBorders>
            <w:noWrap w:val="0"/>
            <w:vAlign w:val="center"/>
          </w:tcPr>
          <w:p w14:paraId="065CAF13">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性能范围</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382BEE9E">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ascii="宋体" w:hAnsi="宋体" w:eastAsia="宋体" w:cs="宋体"/>
                <w:color w:val="auto"/>
                <w:kern w:val="2"/>
                <w:sz w:val="21"/>
                <w:szCs w:val="21"/>
                <w:highlight w:val="none"/>
                <w:lang w:val="en-US" w:eastAsia="zh-CN" w:bidi="ar-SA"/>
              </w:rPr>
              <w:t>CPU</w:t>
            </w:r>
            <w:r>
              <w:rPr>
                <w:rFonts w:hint="eastAsia" w:ascii="宋体" w:hAnsi="宋体" w:eastAsia="宋体" w:cs="宋体"/>
                <w:color w:val="auto"/>
                <w:kern w:val="2"/>
                <w:sz w:val="21"/>
                <w:szCs w:val="21"/>
                <w:highlight w:val="none"/>
                <w:lang w:val="en-US" w:eastAsia="zh-CN" w:bidi="ar-SA"/>
              </w:rPr>
              <w:t>核数可选范围</w:t>
            </w:r>
            <w:r>
              <w:rPr>
                <w:rFonts w:ascii="宋体" w:hAnsi="宋体" w:eastAsia="宋体" w:cs="宋体"/>
                <w:color w:val="auto"/>
                <w:kern w:val="2"/>
                <w:sz w:val="21"/>
                <w:szCs w:val="21"/>
                <w:highlight w:val="none"/>
                <w:lang w:val="en-US" w:eastAsia="zh-CN" w:bidi="ar-SA"/>
              </w:rPr>
              <w:t>1-16</w:t>
            </w:r>
            <w:r>
              <w:rPr>
                <w:rFonts w:hint="eastAsia" w:ascii="宋体" w:hAnsi="宋体" w:eastAsia="宋体" w:cs="宋体"/>
                <w:color w:val="auto"/>
                <w:kern w:val="2"/>
                <w:sz w:val="21"/>
                <w:szCs w:val="21"/>
                <w:highlight w:val="none"/>
                <w:lang w:val="en-US" w:eastAsia="zh-CN" w:bidi="ar-SA"/>
              </w:rPr>
              <w:t>核，内存可选范围</w:t>
            </w:r>
            <w:r>
              <w:rPr>
                <w:rFonts w:ascii="宋体" w:hAnsi="宋体" w:eastAsia="宋体" w:cs="宋体"/>
                <w:color w:val="auto"/>
                <w:kern w:val="2"/>
                <w:sz w:val="21"/>
                <w:szCs w:val="21"/>
                <w:highlight w:val="none"/>
                <w:lang w:val="en-US" w:eastAsia="zh-CN" w:bidi="ar-SA"/>
              </w:rPr>
              <w:t>1-64G</w:t>
            </w:r>
          </w:p>
        </w:tc>
      </w:tr>
      <w:tr w14:paraId="37421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top w:val="single" w:color="000000" w:sz="4" w:space="0"/>
              <w:left w:val="single" w:color="000000" w:sz="4" w:space="0"/>
              <w:bottom w:val="single" w:color="000000" w:sz="4" w:space="0"/>
              <w:right w:val="single" w:color="000000" w:sz="4" w:space="0"/>
            </w:tcBorders>
            <w:noWrap w:val="0"/>
            <w:vAlign w:val="center"/>
          </w:tcPr>
          <w:p w14:paraId="652C8952">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操作系统兼容性</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08F5D035">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支持主流操作系统，如</w:t>
            </w:r>
            <w:r>
              <w:rPr>
                <w:rFonts w:ascii="宋体" w:hAnsi="宋体" w:eastAsia="宋体" w:cs="宋体"/>
                <w:color w:val="auto"/>
                <w:kern w:val="2"/>
                <w:sz w:val="21"/>
                <w:szCs w:val="21"/>
                <w:highlight w:val="none"/>
                <w:lang w:val="en-US" w:eastAsia="zh-CN" w:bidi="ar-SA"/>
              </w:rPr>
              <w:t>windows server</w:t>
            </w:r>
            <w:r>
              <w:rPr>
                <w:rFonts w:hint="eastAsia" w:ascii="宋体" w:hAnsi="宋体" w:eastAsia="宋体" w:cs="宋体"/>
                <w:color w:val="auto"/>
                <w:kern w:val="2"/>
                <w:sz w:val="21"/>
                <w:szCs w:val="21"/>
                <w:highlight w:val="none"/>
                <w:lang w:val="en-US" w:eastAsia="zh-CN" w:bidi="ar-SA"/>
              </w:rPr>
              <w:t>系列、</w:t>
            </w:r>
            <w:r>
              <w:rPr>
                <w:rFonts w:ascii="宋体" w:hAnsi="宋体" w:eastAsia="宋体" w:cs="宋体"/>
                <w:color w:val="auto"/>
                <w:kern w:val="2"/>
                <w:sz w:val="21"/>
                <w:szCs w:val="21"/>
                <w:highlight w:val="none"/>
                <w:lang w:val="en-US" w:eastAsia="zh-CN" w:bidi="ar-SA"/>
              </w:rPr>
              <w:t>Linux</w:t>
            </w:r>
            <w:r>
              <w:rPr>
                <w:rFonts w:hint="eastAsia" w:ascii="宋体" w:hAnsi="宋体" w:eastAsia="宋体" w:cs="宋体"/>
                <w:color w:val="auto"/>
                <w:kern w:val="2"/>
                <w:sz w:val="21"/>
                <w:szCs w:val="21"/>
                <w:highlight w:val="none"/>
                <w:lang w:val="en-US" w:eastAsia="zh-CN" w:bidi="ar-SA"/>
              </w:rPr>
              <w:t>发行版、国产</w:t>
            </w:r>
            <w:r>
              <w:rPr>
                <w:rFonts w:ascii="宋体" w:hAnsi="宋体" w:eastAsia="宋体" w:cs="宋体"/>
                <w:color w:val="auto"/>
                <w:kern w:val="2"/>
                <w:sz w:val="21"/>
                <w:szCs w:val="21"/>
                <w:highlight w:val="none"/>
                <w:lang w:val="en-US" w:eastAsia="zh-CN" w:bidi="ar-SA"/>
              </w:rPr>
              <w:t>Linux</w:t>
            </w:r>
            <w:r>
              <w:rPr>
                <w:rFonts w:hint="eastAsia" w:ascii="宋体" w:hAnsi="宋体" w:eastAsia="宋体" w:cs="宋体"/>
                <w:color w:val="auto"/>
                <w:kern w:val="2"/>
                <w:sz w:val="21"/>
                <w:szCs w:val="21"/>
                <w:highlight w:val="none"/>
                <w:lang w:val="en-US" w:eastAsia="zh-CN" w:bidi="ar-SA"/>
              </w:rPr>
              <w:t>等，需正版授权</w:t>
            </w:r>
          </w:p>
        </w:tc>
      </w:tr>
      <w:tr w14:paraId="335EC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top w:val="single" w:color="000000" w:sz="4" w:space="0"/>
              <w:left w:val="single" w:color="000000" w:sz="4" w:space="0"/>
              <w:right w:val="single" w:color="000000" w:sz="4" w:space="0"/>
            </w:tcBorders>
            <w:noWrap w:val="0"/>
            <w:vAlign w:val="center"/>
          </w:tcPr>
          <w:p w14:paraId="578FC3F4">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扩展性</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14585B17">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用户可以灵活调整云主机</w:t>
            </w:r>
            <w:r>
              <w:rPr>
                <w:rFonts w:ascii="宋体" w:hAnsi="宋体" w:eastAsia="宋体" w:cs="宋体"/>
                <w:color w:val="auto"/>
                <w:kern w:val="2"/>
                <w:sz w:val="21"/>
                <w:szCs w:val="21"/>
                <w:highlight w:val="none"/>
                <w:lang w:val="en-US" w:eastAsia="zh-CN" w:bidi="ar-SA"/>
              </w:rPr>
              <w:t>CPU</w:t>
            </w:r>
            <w:r>
              <w:rPr>
                <w:rFonts w:hint="eastAsia" w:ascii="宋体" w:hAnsi="宋体" w:eastAsia="宋体" w:cs="宋体"/>
                <w:color w:val="auto"/>
                <w:kern w:val="2"/>
                <w:sz w:val="21"/>
                <w:szCs w:val="21"/>
                <w:highlight w:val="none"/>
                <w:lang w:val="en-US" w:eastAsia="zh-CN" w:bidi="ar-SA"/>
              </w:rPr>
              <w:t>、内存、硬盘规格</w:t>
            </w:r>
          </w:p>
        </w:tc>
      </w:tr>
      <w:tr w14:paraId="1E173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top w:val="single" w:color="000000" w:sz="4" w:space="0"/>
              <w:left w:val="single" w:color="000000" w:sz="4" w:space="0"/>
              <w:bottom w:val="single" w:color="000000" w:sz="4" w:space="0"/>
              <w:right w:val="single" w:color="000000" w:sz="4" w:space="0"/>
            </w:tcBorders>
            <w:noWrap w:val="0"/>
            <w:vAlign w:val="center"/>
          </w:tcPr>
          <w:p w14:paraId="079F4D81">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云主机隔离</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2EC5D49C">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不同用户的虚拟主机提供安全组和VLAN级别的隔离，确保不同用户之间数据互不可见；云主机之间可以做到隔离保护，其中每一个云主机发生故障都不会影响同一个物理机上的其它云主机运行，每个云主机上的用户权限只限于本云主机之内，以保障系统平台的安全性。</w:t>
            </w:r>
          </w:p>
        </w:tc>
      </w:tr>
      <w:tr w14:paraId="23F24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top w:val="single" w:color="000000" w:sz="4" w:space="0"/>
              <w:left w:val="single" w:color="000000" w:sz="4" w:space="0"/>
              <w:bottom w:val="single" w:color="000000" w:sz="4" w:space="0"/>
              <w:right w:val="single" w:color="000000" w:sz="4" w:space="0"/>
            </w:tcBorders>
            <w:noWrap w:val="0"/>
            <w:vAlign w:val="center"/>
          </w:tcPr>
          <w:p w14:paraId="274BE869">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管理权限</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2FC329FF">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用户对云主机有完全的控制权，具有管理员权限，使用方式与传统物理主机完全一致。</w:t>
            </w:r>
          </w:p>
        </w:tc>
      </w:tr>
      <w:tr w14:paraId="1339E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vMerge w:val="restart"/>
            <w:tcBorders>
              <w:top w:val="single" w:color="000000" w:sz="4" w:space="0"/>
              <w:left w:val="single" w:color="000000" w:sz="4" w:space="0"/>
              <w:right w:val="single" w:color="000000" w:sz="4" w:space="0"/>
            </w:tcBorders>
            <w:noWrap w:val="0"/>
            <w:vAlign w:val="center"/>
          </w:tcPr>
          <w:p w14:paraId="40AEAD1F">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HA功能</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1E8B1660">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虚拟化管理节点须支持双机热备</w:t>
            </w:r>
          </w:p>
        </w:tc>
      </w:tr>
      <w:tr w14:paraId="3766B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vMerge w:val="continue"/>
            <w:tcBorders>
              <w:left w:val="single" w:color="000000" w:sz="4" w:space="0"/>
              <w:right w:val="single" w:color="000000" w:sz="4" w:space="0"/>
            </w:tcBorders>
            <w:noWrap w:val="0"/>
            <w:vAlign w:val="center"/>
          </w:tcPr>
          <w:p w14:paraId="6D509082">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3B9C45EF">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虚拟化管理系统支持虚拟机的HA功能</w:t>
            </w:r>
          </w:p>
        </w:tc>
      </w:tr>
      <w:tr w14:paraId="0F0E3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vMerge w:val="continue"/>
            <w:tcBorders>
              <w:left w:val="single" w:color="000000" w:sz="4" w:space="0"/>
              <w:right w:val="single" w:color="000000" w:sz="4" w:space="0"/>
            </w:tcBorders>
            <w:noWrap w:val="0"/>
            <w:vAlign w:val="center"/>
          </w:tcPr>
          <w:p w14:paraId="2270AB89">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103B2C19">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硬件设备出现故障时，云主机会自动进行HA切换</w:t>
            </w:r>
          </w:p>
        </w:tc>
      </w:tr>
      <w:tr w14:paraId="22B30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left w:val="single" w:color="000000" w:sz="4" w:space="0"/>
              <w:bottom w:val="single" w:color="000000" w:sz="4" w:space="0"/>
              <w:right w:val="single" w:color="000000" w:sz="4" w:space="0"/>
            </w:tcBorders>
            <w:noWrap w:val="0"/>
            <w:vAlign w:val="center"/>
          </w:tcPr>
          <w:p w14:paraId="54EF4253">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备份功能</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00ADB8AF">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支持云主机备份功能，可以实现云主机的全量备份、增量备份，支持备份周期、备份策略的设定</w:t>
            </w:r>
          </w:p>
        </w:tc>
      </w:tr>
      <w:tr w14:paraId="137FE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left w:val="single" w:color="000000" w:sz="4" w:space="0"/>
              <w:right w:val="single" w:color="000000" w:sz="4" w:space="0"/>
            </w:tcBorders>
            <w:noWrap w:val="0"/>
            <w:vAlign w:val="center"/>
          </w:tcPr>
          <w:p w14:paraId="5565FA7F">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可操作性</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1BCB5B0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支持通过云管理平台，实现申请部署与使用</w:t>
            </w:r>
          </w:p>
        </w:tc>
      </w:tr>
      <w:tr w14:paraId="38D97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left w:val="single" w:color="000000" w:sz="4" w:space="0"/>
              <w:right w:val="single" w:color="000000" w:sz="4" w:space="0"/>
            </w:tcBorders>
            <w:noWrap w:val="0"/>
            <w:vAlign w:val="center"/>
          </w:tcPr>
          <w:p w14:paraId="651CA571">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安全防护</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0BAB0D29">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提供防ARP欺骗、自定义防火墙功能，支持防DDos攻击；</w:t>
            </w:r>
          </w:p>
        </w:tc>
      </w:tr>
      <w:tr w14:paraId="6FFAE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left w:val="single" w:color="000000" w:sz="4" w:space="0"/>
              <w:right w:val="single" w:color="000000" w:sz="4" w:space="0"/>
            </w:tcBorders>
            <w:noWrap w:val="0"/>
            <w:vAlign w:val="center"/>
          </w:tcPr>
          <w:p w14:paraId="33B2FFC7">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弹性网络</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664D8A76">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支持虚拟路由、虚拟交换机和弹性IP，用户可自定义虚拟主机的网络拓扑和IP地址；</w:t>
            </w:r>
          </w:p>
        </w:tc>
      </w:tr>
      <w:tr w14:paraId="49E53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left w:val="single" w:color="000000" w:sz="4" w:space="0"/>
              <w:right w:val="single" w:color="000000" w:sz="4" w:space="0"/>
            </w:tcBorders>
            <w:noWrap w:val="0"/>
            <w:vAlign w:val="center"/>
          </w:tcPr>
          <w:p w14:paraId="4D196D1A">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镜像快照</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1990DD49">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创建虚拟主机时，可指定用户预先配置好的镜像文件作为模板。虚拟主机支持增量快照备份功能，提高备份效率，减小备份占用空间，并支持公共镜像、私有镜像以及共享镜像等多种方式。</w:t>
            </w:r>
          </w:p>
        </w:tc>
      </w:tr>
      <w:tr w14:paraId="2EBB5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left w:val="single" w:color="000000" w:sz="4" w:space="0"/>
              <w:right w:val="single" w:color="000000" w:sz="4" w:space="0"/>
            </w:tcBorders>
            <w:noWrap w:val="0"/>
            <w:vAlign w:val="center"/>
          </w:tcPr>
          <w:p w14:paraId="2AD6FCD1">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数据存储</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229DD84B">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虚拟主机底层采用分布式块存储，每个虚拟主机的镜像存储达到多副本可靠性，数据可靠性不低于99.9999%；</w:t>
            </w:r>
          </w:p>
        </w:tc>
      </w:tr>
      <w:tr w14:paraId="71C4D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left w:val="single" w:color="000000" w:sz="4" w:space="0"/>
              <w:right w:val="single" w:color="000000" w:sz="4" w:space="0"/>
            </w:tcBorders>
            <w:noWrap w:val="0"/>
            <w:vAlign w:val="center"/>
          </w:tcPr>
          <w:p w14:paraId="58D86315">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高可用性</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44D41EB4">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虚拟主机服务采用全冗余架构，无单点故障，平均可用性不低于99.99%；</w:t>
            </w:r>
          </w:p>
        </w:tc>
      </w:tr>
      <w:tr w14:paraId="75DFA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66" w:type="dxa"/>
            <w:tcBorders>
              <w:left w:val="single" w:color="000000" w:sz="4" w:space="0"/>
              <w:right w:val="single" w:color="000000" w:sz="4" w:space="0"/>
            </w:tcBorders>
            <w:noWrap w:val="0"/>
            <w:vAlign w:val="center"/>
          </w:tcPr>
          <w:p w14:paraId="0D0789DB">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扩展性</w:t>
            </w:r>
          </w:p>
        </w:tc>
        <w:tc>
          <w:tcPr>
            <w:tcW w:w="6754" w:type="dxa"/>
            <w:tcBorders>
              <w:top w:val="single" w:color="000000" w:sz="4" w:space="0"/>
              <w:left w:val="single" w:color="000000" w:sz="4" w:space="0"/>
              <w:bottom w:val="single" w:color="000000" w:sz="4" w:space="0"/>
              <w:right w:val="single" w:color="000000" w:sz="4" w:space="0"/>
            </w:tcBorders>
            <w:noWrap w:val="0"/>
            <w:vAlign w:val="center"/>
          </w:tcPr>
          <w:p w14:paraId="3D2BABA2">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支持计算能力的垂直伸缩，支持对CPU和内存的升级与降级操作，支持增加、减少磁盘和带宽；</w:t>
            </w:r>
          </w:p>
          <w:p w14:paraId="019B6897">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支持计算能力的水平伸缩，通过与负载均衡配合实现水平伸缩；</w:t>
            </w:r>
          </w:p>
        </w:tc>
      </w:tr>
    </w:tbl>
    <w:p w14:paraId="2A5662EC">
      <w:pPr>
        <w:rPr>
          <w:rFonts w:ascii="Times New Roman" w:hAnsi="Times New Roman" w:eastAsia="宋体" w:cs="Times New Roman"/>
          <w:color w:val="auto"/>
          <w:highlight w:val="none"/>
        </w:rPr>
      </w:pPr>
    </w:p>
    <w:p w14:paraId="1958DB2D">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color w:val="auto"/>
          <w:sz w:val="24"/>
          <w:szCs w:val="24"/>
          <w:highlight w:val="none"/>
        </w:rPr>
        <w:t>2.2.2</w:t>
      </w:r>
      <w:r>
        <w:rPr>
          <w:rFonts w:hint="eastAsia" w:ascii="楷体" w:hAnsi="楷体" w:eastAsia="楷体" w:cs="楷体"/>
          <w:color w:val="auto"/>
          <w:sz w:val="24"/>
          <w:szCs w:val="24"/>
          <w:highlight w:val="none"/>
        </w:rPr>
        <w:t>存储服务</w:t>
      </w:r>
    </w:p>
    <w:p w14:paraId="2640E845">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1、普通性能存储服务</w:t>
      </w:r>
    </w:p>
    <w:tbl>
      <w:tblPr>
        <w:tblStyle w:val="2"/>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83"/>
        <w:gridCol w:w="6535"/>
      </w:tblGrid>
      <w:tr w14:paraId="698A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83" w:type="dxa"/>
            <w:noWrap w:val="0"/>
            <w:tcMar>
              <w:top w:w="0" w:type="dxa"/>
              <w:left w:w="108" w:type="dxa"/>
              <w:bottom w:w="0" w:type="dxa"/>
              <w:right w:w="108" w:type="dxa"/>
            </w:tcMar>
            <w:vAlign w:val="center"/>
          </w:tcPr>
          <w:p w14:paraId="146063B6">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指标项</w:t>
            </w:r>
          </w:p>
        </w:tc>
        <w:tc>
          <w:tcPr>
            <w:tcW w:w="6535" w:type="dxa"/>
            <w:noWrap w:val="0"/>
            <w:tcMar>
              <w:top w:w="0" w:type="dxa"/>
              <w:left w:w="108" w:type="dxa"/>
              <w:bottom w:w="0" w:type="dxa"/>
              <w:right w:w="108" w:type="dxa"/>
            </w:tcMar>
            <w:vAlign w:val="center"/>
          </w:tcPr>
          <w:p w14:paraId="576995A8">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服务要求</w:t>
            </w:r>
          </w:p>
        </w:tc>
      </w:tr>
      <w:tr w14:paraId="4EB7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83" w:type="dxa"/>
            <w:noWrap w:val="0"/>
            <w:tcMar>
              <w:top w:w="0" w:type="dxa"/>
              <w:left w:w="108" w:type="dxa"/>
              <w:bottom w:w="0" w:type="dxa"/>
              <w:right w:w="108" w:type="dxa"/>
            </w:tcMar>
            <w:vAlign w:val="center"/>
          </w:tcPr>
          <w:p w14:paraId="13427EF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可靠性要求</w:t>
            </w:r>
          </w:p>
        </w:tc>
        <w:tc>
          <w:tcPr>
            <w:tcW w:w="6535" w:type="dxa"/>
            <w:noWrap w:val="0"/>
            <w:tcMar>
              <w:top w:w="0" w:type="dxa"/>
              <w:left w:w="108" w:type="dxa"/>
              <w:bottom w:w="0" w:type="dxa"/>
              <w:right w:w="108" w:type="dxa"/>
            </w:tcMar>
            <w:vAlign w:val="center"/>
          </w:tcPr>
          <w:p w14:paraId="1A51D307">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提供普通存储服务，要求稳定可靠，确保数据可靠性99.9999%</w:t>
            </w:r>
          </w:p>
        </w:tc>
      </w:tr>
      <w:tr w14:paraId="3F45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83" w:type="dxa"/>
            <w:noWrap w:val="0"/>
            <w:tcMar>
              <w:top w:w="0" w:type="dxa"/>
              <w:left w:w="108" w:type="dxa"/>
              <w:bottom w:w="0" w:type="dxa"/>
              <w:right w:w="108" w:type="dxa"/>
            </w:tcMar>
            <w:vAlign w:val="center"/>
          </w:tcPr>
          <w:p w14:paraId="2A622D0F">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性能要求</w:t>
            </w:r>
          </w:p>
        </w:tc>
        <w:tc>
          <w:tcPr>
            <w:tcW w:w="6535" w:type="dxa"/>
            <w:noWrap w:val="0"/>
            <w:tcMar>
              <w:top w:w="0" w:type="dxa"/>
              <w:left w:w="108" w:type="dxa"/>
              <w:bottom w:w="0" w:type="dxa"/>
              <w:right w:w="108" w:type="dxa"/>
            </w:tcMar>
            <w:vAlign w:val="center"/>
          </w:tcPr>
          <w:p w14:paraId="7E97A2E8">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单盘技术指标满足IOPS 2000-5000</w:t>
            </w:r>
          </w:p>
        </w:tc>
      </w:tr>
      <w:tr w14:paraId="3833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83" w:type="dxa"/>
            <w:noWrap w:val="0"/>
            <w:tcMar>
              <w:top w:w="0" w:type="dxa"/>
              <w:left w:w="108" w:type="dxa"/>
              <w:bottom w:w="0" w:type="dxa"/>
              <w:right w:w="108" w:type="dxa"/>
            </w:tcMar>
            <w:vAlign w:val="center"/>
          </w:tcPr>
          <w:p w14:paraId="725F7519">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使用要求</w:t>
            </w:r>
          </w:p>
        </w:tc>
        <w:tc>
          <w:tcPr>
            <w:tcW w:w="6535" w:type="dxa"/>
            <w:noWrap w:val="0"/>
            <w:tcMar>
              <w:top w:w="0" w:type="dxa"/>
              <w:left w:w="108" w:type="dxa"/>
              <w:bottom w:w="0" w:type="dxa"/>
              <w:right w:w="108" w:type="dxa"/>
            </w:tcMar>
            <w:vAlign w:val="center"/>
          </w:tcPr>
          <w:p w14:paraId="052855E3">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用户可以以1G为最小单位进行容量申请，并可以申请直接挂载给云主机使用，同时用户可以将申请到的磁盘空间分配给一台或者多台虚拟机/物理机使用</w:t>
            </w:r>
          </w:p>
        </w:tc>
      </w:tr>
      <w:tr w14:paraId="7B34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83" w:type="dxa"/>
            <w:noWrap w:val="0"/>
            <w:tcMar>
              <w:top w:w="0" w:type="dxa"/>
              <w:left w:w="108" w:type="dxa"/>
              <w:bottom w:w="0" w:type="dxa"/>
              <w:right w:w="108" w:type="dxa"/>
            </w:tcMar>
            <w:vAlign w:val="center"/>
          </w:tcPr>
          <w:p w14:paraId="32B59BB1">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架构要求</w:t>
            </w:r>
          </w:p>
        </w:tc>
        <w:tc>
          <w:tcPr>
            <w:tcW w:w="6535" w:type="dxa"/>
            <w:noWrap w:val="0"/>
            <w:tcMar>
              <w:top w:w="0" w:type="dxa"/>
              <w:left w:w="108" w:type="dxa"/>
              <w:bottom w:w="0" w:type="dxa"/>
              <w:right w:w="108" w:type="dxa"/>
            </w:tcMar>
            <w:vAlign w:val="center"/>
          </w:tcPr>
          <w:p w14:paraId="28EA34A4">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系统整体架构无单点故障</w:t>
            </w:r>
          </w:p>
        </w:tc>
      </w:tr>
      <w:tr w14:paraId="07F3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83" w:type="dxa"/>
            <w:noWrap w:val="0"/>
            <w:tcMar>
              <w:top w:w="0" w:type="dxa"/>
              <w:left w:w="108" w:type="dxa"/>
              <w:bottom w:w="0" w:type="dxa"/>
              <w:right w:w="108" w:type="dxa"/>
            </w:tcMar>
            <w:vAlign w:val="center"/>
          </w:tcPr>
          <w:p w14:paraId="139D7866">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可操作性</w:t>
            </w:r>
          </w:p>
        </w:tc>
        <w:tc>
          <w:tcPr>
            <w:tcW w:w="6535" w:type="dxa"/>
            <w:noWrap w:val="0"/>
            <w:tcMar>
              <w:top w:w="0" w:type="dxa"/>
              <w:left w:w="108" w:type="dxa"/>
              <w:bottom w:w="0" w:type="dxa"/>
              <w:right w:w="108" w:type="dxa"/>
            </w:tcMar>
            <w:vAlign w:val="center"/>
          </w:tcPr>
          <w:p w14:paraId="0B812176">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支持通过云管理平台，实现申请部署与使用</w:t>
            </w:r>
          </w:p>
        </w:tc>
      </w:tr>
    </w:tbl>
    <w:p w14:paraId="04CBE018">
      <w:pPr>
        <w:widowControl w:val="0"/>
        <w:autoSpaceDE w:val="0"/>
        <w:autoSpaceDN w:val="0"/>
        <w:adjustRightInd w:val="0"/>
        <w:snapToGrid w:val="0"/>
        <w:ind w:firstLine="420"/>
        <w:jc w:val="left"/>
        <w:rPr>
          <w:rFonts w:hint="eastAsia" w:ascii="宋体" w:hAnsi="宋体" w:eastAsia="宋体" w:cs="宋体"/>
          <w:b/>
          <w:color w:val="auto"/>
          <w:kern w:val="2"/>
          <w:sz w:val="24"/>
          <w:szCs w:val="24"/>
          <w:highlight w:val="none"/>
          <w:lang w:val="en-US" w:eastAsia="zh-CN" w:bidi="ar-SA"/>
        </w:rPr>
      </w:pPr>
    </w:p>
    <w:p w14:paraId="6B1AE47D">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2、高性能存储服务</w:t>
      </w:r>
    </w:p>
    <w:tbl>
      <w:tblPr>
        <w:tblStyle w:val="2"/>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61"/>
        <w:gridCol w:w="6657"/>
      </w:tblGrid>
      <w:tr w14:paraId="56A5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061" w:type="dxa"/>
            <w:noWrap w:val="0"/>
            <w:tcMar>
              <w:top w:w="0" w:type="dxa"/>
              <w:left w:w="108" w:type="dxa"/>
              <w:bottom w:w="0" w:type="dxa"/>
              <w:right w:w="108" w:type="dxa"/>
            </w:tcMar>
            <w:vAlign w:val="center"/>
          </w:tcPr>
          <w:p w14:paraId="1471A9F0">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指标项</w:t>
            </w:r>
          </w:p>
        </w:tc>
        <w:tc>
          <w:tcPr>
            <w:tcW w:w="6657" w:type="dxa"/>
            <w:noWrap w:val="0"/>
            <w:tcMar>
              <w:top w:w="0" w:type="dxa"/>
              <w:left w:w="108" w:type="dxa"/>
              <w:bottom w:w="0" w:type="dxa"/>
              <w:right w:w="108" w:type="dxa"/>
            </w:tcMar>
            <w:vAlign w:val="center"/>
          </w:tcPr>
          <w:p w14:paraId="49D1306F">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服务要求</w:t>
            </w:r>
          </w:p>
        </w:tc>
      </w:tr>
      <w:tr w14:paraId="5C0A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061" w:type="dxa"/>
            <w:noWrap w:val="0"/>
            <w:tcMar>
              <w:top w:w="0" w:type="dxa"/>
              <w:left w:w="108" w:type="dxa"/>
              <w:bottom w:w="0" w:type="dxa"/>
              <w:right w:w="108" w:type="dxa"/>
            </w:tcMar>
            <w:vAlign w:val="center"/>
          </w:tcPr>
          <w:p w14:paraId="5560B87E">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可靠性要求</w:t>
            </w:r>
          </w:p>
        </w:tc>
        <w:tc>
          <w:tcPr>
            <w:tcW w:w="6657" w:type="dxa"/>
            <w:noWrap w:val="0"/>
            <w:tcMar>
              <w:top w:w="0" w:type="dxa"/>
              <w:left w:w="108" w:type="dxa"/>
              <w:bottom w:w="0" w:type="dxa"/>
              <w:right w:w="108" w:type="dxa"/>
            </w:tcMar>
            <w:vAlign w:val="center"/>
          </w:tcPr>
          <w:p w14:paraId="6E409D91">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要求稳定可靠，不会因单一部件故障、单一路径故障等原因导致业务停用、数据丢失，系统可靠性99.9999%</w:t>
            </w:r>
          </w:p>
        </w:tc>
      </w:tr>
      <w:tr w14:paraId="2287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061" w:type="dxa"/>
            <w:noWrap w:val="0"/>
            <w:tcMar>
              <w:top w:w="0" w:type="dxa"/>
              <w:left w:w="108" w:type="dxa"/>
              <w:bottom w:w="0" w:type="dxa"/>
              <w:right w:w="108" w:type="dxa"/>
            </w:tcMar>
            <w:vAlign w:val="center"/>
          </w:tcPr>
          <w:p w14:paraId="4D6C9A15">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性能要求</w:t>
            </w:r>
          </w:p>
        </w:tc>
        <w:tc>
          <w:tcPr>
            <w:tcW w:w="6657" w:type="dxa"/>
            <w:noWrap w:val="0"/>
            <w:tcMar>
              <w:top w:w="0" w:type="dxa"/>
              <w:left w:w="108" w:type="dxa"/>
              <w:bottom w:w="0" w:type="dxa"/>
              <w:right w:w="108" w:type="dxa"/>
            </w:tcMar>
            <w:vAlign w:val="center"/>
          </w:tcPr>
          <w:p w14:paraId="47AE9C67">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单盘技术指标满足IOPS 10000-25000</w:t>
            </w:r>
          </w:p>
        </w:tc>
      </w:tr>
      <w:tr w14:paraId="32E4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061" w:type="dxa"/>
            <w:noWrap w:val="0"/>
            <w:tcMar>
              <w:top w:w="0" w:type="dxa"/>
              <w:left w:w="108" w:type="dxa"/>
              <w:bottom w:w="0" w:type="dxa"/>
              <w:right w:w="108" w:type="dxa"/>
            </w:tcMar>
            <w:vAlign w:val="center"/>
          </w:tcPr>
          <w:p w14:paraId="0B9E2AF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使用要求</w:t>
            </w:r>
          </w:p>
        </w:tc>
        <w:tc>
          <w:tcPr>
            <w:tcW w:w="6657" w:type="dxa"/>
            <w:noWrap w:val="0"/>
            <w:tcMar>
              <w:top w:w="0" w:type="dxa"/>
              <w:left w:w="108" w:type="dxa"/>
              <w:bottom w:w="0" w:type="dxa"/>
              <w:right w:w="108" w:type="dxa"/>
            </w:tcMar>
            <w:vAlign w:val="center"/>
          </w:tcPr>
          <w:p w14:paraId="4EE50B4A">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用户可以以1G为最小单位进行容量申请，并可以申请直接挂载给云主机使用，同时用户可以将申请到的磁盘空间分配给一台或者多台虚拟机/物理机使用</w:t>
            </w:r>
          </w:p>
        </w:tc>
      </w:tr>
      <w:tr w14:paraId="0FBE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061" w:type="dxa"/>
            <w:noWrap w:val="0"/>
            <w:tcMar>
              <w:top w:w="0" w:type="dxa"/>
              <w:left w:w="108" w:type="dxa"/>
              <w:bottom w:w="0" w:type="dxa"/>
              <w:right w:w="108" w:type="dxa"/>
            </w:tcMar>
            <w:vAlign w:val="center"/>
          </w:tcPr>
          <w:p w14:paraId="773577C5">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架构要求</w:t>
            </w:r>
          </w:p>
        </w:tc>
        <w:tc>
          <w:tcPr>
            <w:tcW w:w="6657" w:type="dxa"/>
            <w:noWrap w:val="0"/>
            <w:tcMar>
              <w:top w:w="0" w:type="dxa"/>
              <w:left w:w="108" w:type="dxa"/>
              <w:bottom w:w="0" w:type="dxa"/>
              <w:right w:w="108" w:type="dxa"/>
            </w:tcMar>
            <w:vAlign w:val="center"/>
          </w:tcPr>
          <w:p w14:paraId="624D909C">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系统整体架构无单点故障</w:t>
            </w:r>
          </w:p>
        </w:tc>
      </w:tr>
      <w:tr w14:paraId="1BCE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061" w:type="dxa"/>
            <w:noWrap w:val="0"/>
            <w:tcMar>
              <w:top w:w="0" w:type="dxa"/>
              <w:left w:w="108" w:type="dxa"/>
              <w:bottom w:w="0" w:type="dxa"/>
              <w:right w:w="108" w:type="dxa"/>
            </w:tcMar>
            <w:vAlign w:val="center"/>
          </w:tcPr>
          <w:p w14:paraId="1CBE78A9">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可操作性</w:t>
            </w:r>
          </w:p>
        </w:tc>
        <w:tc>
          <w:tcPr>
            <w:tcW w:w="6657" w:type="dxa"/>
            <w:noWrap w:val="0"/>
            <w:tcMar>
              <w:top w:w="0" w:type="dxa"/>
              <w:left w:w="108" w:type="dxa"/>
              <w:bottom w:w="0" w:type="dxa"/>
              <w:right w:w="108" w:type="dxa"/>
            </w:tcMar>
            <w:vAlign w:val="center"/>
          </w:tcPr>
          <w:p w14:paraId="7E3666CA">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支持通过云管理平台，实现申请部署与使用</w:t>
            </w:r>
          </w:p>
        </w:tc>
      </w:tr>
    </w:tbl>
    <w:p w14:paraId="17B07BD9">
      <w:pPr>
        <w:widowControl w:val="0"/>
        <w:autoSpaceDE w:val="0"/>
        <w:autoSpaceDN w:val="0"/>
        <w:adjustRightInd w:val="0"/>
        <w:snapToGrid w:val="0"/>
        <w:ind w:firstLine="420"/>
        <w:jc w:val="left"/>
        <w:rPr>
          <w:rFonts w:ascii="Times New Roman" w:hAnsi="Times New Roman" w:eastAsia="宋体" w:cs="Times New Roman"/>
          <w:bCs/>
          <w:color w:val="auto"/>
          <w:kern w:val="2"/>
          <w:sz w:val="24"/>
          <w:szCs w:val="24"/>
          <w:highlight w:val="none"/>
          <w:lang w:val="en-US" w:eastAsia="zh-CN" w:bidi="ar-SA"/>
        </w:rPr>
      </w:pPr>
    </w:p>
    <w:p w14:paraId="27F4796A">
      <w:pPr>
        <w:keepNext w:val="0"/>
        <w:keepLines w:val="0"/>
        <w:pageBreakBefore w:val="0"/>
        <w:widowControl/>
        <w:numPr>
          <w:ilvl w:val="0"/>
          <w:numId w:val="0"/>
        </w:numPr>
        <w:kinsoku/>
        <w:wordWrap/>
        <w:overflowPunct/>
        <w:topLinePunct w:val="0"/>
        <w:autoSpaceDE/>
        <w:autoSpaceDN/>
        <w:bidi w:val="0"/>
        <w:adjustRightInd/>
        <w:snapToGrid/>
        <w:spacing w:before="193" w:beforeLines="50" w:after="193" w:afterLines="50" w:line="460" w:lineRule="exact"/>
        <w:ind w:left="0" w:firstLine="480" w:firstLineChars="200"/>
        <w:jc w:val="both"/>
        <w:textAlignment w:val="auto"/>
        <w:outlineLvl w:val="3"/>
        <w:rPr>
          <w:rFonts w:hint="eastAsia" w:ascii="楷体" w:hAnsi="楷体" w:eastAsia="楷体" w:cs="楷体"/>
          <w:b w:val="0"/>
          <w:color w:val="auto"/>
          <w:sz w:val="24"/>
          <w:szCs w:val="24"/>
          <w:highlight w:val="none"/>
          <w:lang w:val="en-US" w:eastAsia="zh-CN" w:bidi="ar-SA"/>
        </w:rPr>
      </w:pPr>
      <w:r>
        <w:rPr>
          <w:rFonts w:hint="eastAsia" w:ascii="宋体" w:hAnsi="宋体" w:eastAsia="宋体" w:cs="Times New Roman"/>
          <w:b w:val="0"/>
          <w:color w:val="auto"/>
          <w:sz w:val="24"/>
          <w:szCs w:val="24"/>
          <w:highlight w:val="none"/>
          <w:lang w:val="en-US" w:eastAsia="zh-CN" w:bidi="ar-SA"/>
        </w:rPr>
        <w:t>2.2.3</w:t>
      </w:r>
      <w:r>
        <w:rPr>
          <w:rFonts w:hint="eastAsia" w:ascii="楷体" w:hAnsi="楷体" w:eastAsia="楷体" w:cs="楷体"/>
          <w:b w:val="0"/>
          <w:color w:val="auto"/>
          <w:sz w:val="24"/>
          <w:szCs w:val="24"/>
          <w:highlight w:val="none"/>
          <w:lang w:val="en-US" w:eastAsia="zh-CN" w:bidi="ar-SA"/>
        </w:rPr>
        <w:t>网络服务</w:t>
      </w:r>
    </w:p>
    <w:p w14:paraId="7E08D949">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1、互联网链路服务</w:t>
      </w:r>
    </w:p>
    <w:tbl>
      <w:tblPr>
        <w:tblStyle w:val="2"/>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2"/>
        <w:gridCol w:w="6566"/>
      </w:tblGrid>
      <w:tr w14:paraId="56D1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52" w:type="dxa"/>
            <w:noWrap w:val="0"/>
            <w:vAlign w:val="center"/>
          </w:tcPr>
          <w:p w14:paraId="75C16C18">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指标项</w:t>
            </w:r>
          </w:p>
        </w:tc>
        <w:tc>
          <w:tcPr>
            <w:tcW w:w="6566" w:type="dxa"/>
            <w:noWrap w:val="0"/>
            <w:vAlign w:val="center"/>
          </w:tcPr>
          <w:p w14:paraId="0C5B7055">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服务要求</w:t>
            </w:r>
          </w:p>
        </w:tc>
      </w:tr>
      <w:tr w14:paraId="385B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52" w:type="dxa"/>
            <w:noWrap w:val="0"/>
            <w:vAlign w:val="center"/>
          </w:tcPr>
          <w:p w14:paraId="467C2E57">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带宽租用服务</w:t>
            </w:r>
          </w:p>
        </w:tc>
        <w:tc>
          <w:tcPr>
            <w:tcW w:w="6566" w:type="dxa"/>
            <w:noWrap w:val="0"/>
            <w:vAlign w:val="center"/>
          </w:tcPr>
          <w:p w14:paraId="5A277FF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提供互联网带宽租用服务，带宽提供方应为一级运营商</w:t>
            </w:r>
          </w:p>
        </w:tc>
      </w:tr>
      <w:tr w14:paraId="3D5A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52" w:type="dxa"/>
            <w:noWrap w:val="0"/>
            <w:vAlign w:val="center"/>
          </w:tcPr>
          <w:p w14:paraId="22BCD387">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可靠性要求</w:t>
            </w:r>
          </w:p>
        </w:tc>
        <w:tc>
          <w:tcPr>
            <w:tcW w:w="6566" w:type="dxa"/>
            <w:noWrap w:val="0"/>
            <w:vAlign w:val="center"/>
          </w:tcPr>
          <w:p w14:paraId="45A6CC60">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须提供多线运营商接入服务，保证服务稳定可靠。</w:t>
            </w:r>
          </w:p>
        </w:tc>
      </w:tr>
      <w:tr w14:paraId="3198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52" w:type="dxa"/>
            <w:noWrap w:val="0"/>
            <w:vAlign w:val="center"/>
          </w:tcPr>
          <w:p w14:paraId="40D57167">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可操作性</w:t>
            </w:r>
          </w:p>
        </w:tc>
        <w:tc>
          <w:tcPr>
            <w:tcW w:w="6566" w:type="dxa"/>
            <w:noWrap w:val="0"/>
            <w:vAlign w:val="center"/>
          </w:tcPr>
          <w:p w14:paraId="01D72B7A">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支持通过云管理平台，实现申请部署与使用</w:t>
            </w:r>
          </w:p>
        </w:tc>
      </w:tr>
      <w:tr w14:paraId="747F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52" w:type="dxa"/>
            <w:noWrap w:val="0"/>
            <w:vAlign w:val="center"/>
          </w:tcPr>
          <w:p w14:paraId="1133A47A">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互联网IP地址租用服务</w:t>
            </w:r>
          </w:p>
        </w:tc>
        <w:tc>
          <w:tcPr>
            <w:tcW w:w="6566" w:type="dxa"/>
            <w:noWrap w:val="0"/>
            <w:vAlign w:val="center"/>
          </w:tcPr>
          <w:p w14:paraId="0CD695CE">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可提供IPV4/IPV6互联网IP 地址租用服务</w:t>
            </w:r>
          </w:p>
        </w:tc>
      </w:tr>
      <w:tr w14:paraId="677A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52" w:type="dxa"/>
            <w:noWrap w:val="0"/>
            <w:vAlign w:val="center"/>
          </w:tcPr>
          <w:p w14:paraId="2E459B33">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网站域名备案服务</w:t>
            </w:r>
          </w:p>
        </w:tc>
        <w:tc>
          <w:tcPr>
            <w:tcW w:w="6566" w:type="dxa"/>
            <w:noWrap w:val="0"/>
            <w:vAlign w:val="center"/>
          </w:tcPr>
          <w:p w14:paraId="5E3B5C8E">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配合使用单位完成网站域名备案</w:t>
            </w:r>
          </w:p>
        </w:tc>
      </w:tr>
      <w:tr w14:paraId="7F6F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52" w:type="dxa"/>
            <w:noWrap w:val="0"/>
            <w:vAlign w:val="center"/>
          </w:tcPr>
          <w:p w14:paraId="6555683A">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可操作性</w:t>
            </w:r>
          </w:p>
        </w:tc>
        <w:tc>
          <w:tcPr>
            <w:tcW w:w="6566" w:type="dxa"/>
            <w:noWrap w:val="0"/>
            <w:vAlign w:val="center"/>
          </w:tcPr>
          <w:p w14:paraId="6E133971">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支持通过云管理平台，实现申请部署与使用</w:t>
            </w:r>
          </w:p>
        </w:tc>
      </w:tr>
    </w:tbl>
    <w:p w14:paraId="742096BA">
      <w:pPr>
        <w:rPr>
          <w:rFonts w:ascii="Times New Roman" w:hAnsi="Times New Roman" w:eastAsia="宋体" w:cs="Times New Roman"/>
          <w:color w:val="auto"/>
          <w:highlight w:val="none"/>
        </w:rPr>
      </w:pPr>
    </w:p>
    <w:p w14:paraId="44C43E87">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2、主机负载均衡服务</w:t>
      </w:r>
    </w:p>
    <w:tbl>
      <w:tblPr>
        <w:tblStyle w:val="2"/>
        <w:tblW w:w="87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72"/>
        <w:gridCol w:w="6446"/>
      </w:tblGrid>
      <w:tr w14:paraId="5CDC5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11C9BA8F">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指标项</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53437EBD">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服务要求</w:t>
            </w:r>
          </w:p>
        </w:tc>
      </w:tr>
      <w:tr w14:paraId="75C21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6EBDD644">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服务能力</w:t>
            </w:r>
          </w:p>
        </w:tc>
        <w:tc>
          <w:tcPr>
            <w:tcW w:w="6446" w:type="dxa"/>
            <w:tcBorders>
              <w:top w:val="single" w:color="000000" w:sz="4" w:space="0"/>
              <w:left w:val="single" w:color="000000" w:sz="4" w:space="0"/>
              <w:bottom w:val="single" w:color="000000" w:sz="4" w:space="0"/>
              <w:right w:val="single" w:color="000000" w:sz="4" w:space="0"/>
            </w:tcBorders>
            <w:noWrap w:val="0"/>
            <w:vAlign w:val="top"/>
          </w:tcPr>
          <w:p w14:paraId="6712336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通过云管理平台实现针每租户按需自动分配负载均衡服务的能力。总体峰值可支持每秒新建链接数不少于40万</w:t>
            </w:r>
          </w:p>
        </w:tc>
      </w:tr>
      <w:tr w14:paraId="129AD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593EB900">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均衡策略</w:t>
            </w:r>
          </w:p>
        </w:tc>
        <w:tc>
          <w:tcPr>
            <w:tcW w:w="6446" w:type="dxa"/>
            <w:tcBorders>
              <w:top w:val="single" w:color="000000" w:sz="4" w:space="0"/>
              <w:left w:val="single" w:color="000000" w:sz="4" w:space="0"/>
              <w:bottom w:val="single" w:color="000000" w:sz="4" w:space="0"/>
              <w:right w:val="single" w:color="000000" w:sz="4" w:space="0"/>
            </w:tcBorders>
            <w:noWrap w:val="0"/>
            <w:vAlign w:val="top"/>
          </w:tcPr>
          <w:p w14:paraId="7642AE5B">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支持加权轮询(Weighted Round Robin)、加权最小连接数调度(Weighted Least-Connection Scheduling)等流量分发策略</w:t>
            </w:r>
          </w:p>
        </w:tc>
      </w:tr>
      <w:tr w14:paraId="745D0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7DE71218">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健康检查</w:t>
            </w:r>
          </w:p>
        </w:tc>
        <w:tc>
          <w:tcPr>
            <w:tcW w:w="6446" w:type="dxa"/>
            <w:tcBorders>
              <w:top w:val="single" w:color="000000" w:sz="4" w:space="0"/>
              <w:left w:val="single" w:color="000000" w:sz="4" w:space="0"/>
              <w:bottom w:val="single" w:color="000000" w:sz="4" w:space="0"/>
              <w:right w:val="single" w:color="000000" w:sz="4" w:space="0"/>
            </w:tcBorders>
            <w:noWrap w:val="0"/>
            <w:vAlign w:val="top"/>
          </w:tcPr>
          <w:p w14:paraId="7B130550">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可以按照指定规则对配置的虚拟主机进行健康检查，自动隔离异常状态虚拟主机，确保可用性</w:t>
            </w:r>
          </w:p>
        </w:tc>
      </w:tr>
      <w:tr w14:paraId="4E71F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4442541A">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会话（Session）保持</w:t>
            </w:r>
          </w:p>
        </w:tc>
        <w:tc>
          <w:tcPr>
            <w:tcW w:w="6446" w:type="dxa"/>
            <w:tcBorders>
              <w:top w:val="single" w:color="000000" w:sz="4" w:space="0"/>
              <w:left w:val="single" w:color="000000" w:sz="4" w:space="0"/>
              <w:bottom w:val="single" w:color="000000" w:sz="4" w:space="0"/>
              <w:right w:val="single" w:color="000000" w:sz="4" w:space="0"/>
            </w:tcBorders>
            <w:noWrap w:val="0"/>
            <w:vAlign w:val="top"/>
          </w:tcPr>
          <w:p w14:paraId="2C0B70E4">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可对虚拟主机提供TCP/HTTP协议的负载均衡服务，并提供会话保持功能，在会话生命周期内，将同一会话请求转发到同一台后端虚拟主机</w:t>
            </w:r>
          </w:p>
        </w:tc>
      </w:tr>
      <w:tr w14:paraId="3AF69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07934EE4">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高可用性</w:t>
            </w:r>
          </w:p>
        </w:tc>
        <w:tc>
          <w:tcPr>
            <w:tcW w:w="6446" w:type="dxa"/>
            <w:tcBorders>
              <w:top w:val="single" w:color="000000" w:sz="4" w:space="0"/>
              <w:left w:val="single" w:color="000000" w:sz="4" w:space="0"/>
              <w:bottom w:val="single" w:color="000000" w:sz="4" w:space="0"/>
              <w:right w:val="single" w:color="000000" w:sz="4" w:space="0"/>
            </w:tcBorders>
            <w:noWrap w:val="0"/>
            <w:vAlign w:val="top"/>
          </w:tcPr>
          <w:p w14:paraId="01A40652">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采用全冗余或集群架构，无单点故障；平均可用性不低于99.99%</w:t>
            </w:r>
          </w:p>
        </w:tc>
      </w:tr>
      <w:tr w14:paraId="3D22B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2C862115">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转发规则</w:t>
            </w:r>
          </w:p>
        </w:tc>
        <w:tc>
          <w:tcPr>
            <w:tcW w:w="6446" w:type="dxa"/>
            <w:tcBorders>
              <w:top w:val="single" w:color="000000" w:sz="4" w:space="0"/>
              <w:left w:val="single" w:color="000000" w:sz="4" w:space="0"/>
              <w:bottom w:val="single" w:color="000000" w:sz="4" w:space="0"/>
              <w:right w:val="single" w:color="000000" w:sz="4" w:space="0"/>
            </w:tcBorders>
            <w:noWrap w:val="0"/>
            <w:vAlign w:val="top"/>
          </w:tcPr>
          <w:p w14:paraId="6C78DE70">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提供多种转发规则，满足不同业务场景的要求</w:t>
            </w:r>
          </w:p>
        </w:tc>
      </w:tr>
      <w:tr w14:paraId="3219E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4C7930A6">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扩展性</w:t>
            </w:r>
          </w:p>
        </w:tc>
        <w:tc>
          <w:tcPr>
            <w:tcW w:w="6446" w:type="dxa"/>
            <w:tcBorders>
              <w:top w:val="single" w:color="000000" w:sz="4" w:space="0"/>
              <w:left w:val="single" w:color="000000" w:sz="4" w:space="0"/>
              <w:bottom w:val="single" w:color="000000" w:sz="4" w:space="0"/>
              <w:right w:val="single" w:color="000000" w:sz="4" w:space="0"/>
            </w:tcBorders>
            <w:noWrap w:val="0"/>
            <w:vAlign w:val="top"/>
          </w:tcPr>
          <w:p w14:paraId="63D96AF0">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支持在线平滑升级，承载能力和网络总带宽同步线性扩容；可与虚拟主机配合提供三层架构系统的弹性扩展</w:t>
            </w:r>
          </w:p>
        </w:tc>
      </w:tr>
      <w:tr w14:paraId="1F8D6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4FD7F41C">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可操作性</w:t>
            </w:r>
          </w:p>
        </w:tc>
        <w:tc>
          <w:tcPr>
            <w:tcW w:w="6446" w:type="dxa"/>
            <w:tcBorders>
              <w:top w:val="single" w:color="000000" w:sz="4" w:space="0"/>
              <w:left w:val="single" w:color="000000" w:sz="4" w:space="0"/>
              <w:bottom w:val="single" w:color="000000" w:sz="4" w:space="0"/>
              <w:right w:val="single" w:color="000000" w:sz="4" w:space="0"/>
            </w:tcBorders>
            <w:noWrap w:val="0"/>
            <w:vAlign w:val="top"/>
          </w:tcPr>
          <w:p w14:paraId="37B158CC">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支持通过云管理平台，实现申请部署与使用</w:t>
            </w:r>
          </w:p>
        </w:tc>
      </w:tr>
      <w:tr w14:paraId="0E30C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right w:val="single" w:color="000000" w:sz="4" w:space="0"/>
            </w:tcBorders>
            <w:noWrap w:val="0"/>
            <w:vAlign w:val="center"/>
          </w:tcPr>
          <w:p w14:paraId="73965ED9">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协议支持</w:t>
            </w:r>
          </w:p>
        </w:tc>
        <w:tc>
          <w:tcPr>
            <w:tcW w:w="6446" w:type="dxa"/>
            <w:tcBorders>
              <w:top w:val="single" w:color="000000" w:sz="4" w:space="0"/>
              <w:left w:val="single" w:color="000000" w:sz="4" w:space="0"/>
              <w:bottom w:val="single" w:color="000000" w:sz="4" w:space="0"/>
              <w:right w:val="single" w:color="000000" w:sz="4" w:space="0"/>
            </w:tcBorders>
            <w:noWrap w:val="0"/>
            <w:vAlign w:val="top"/>
          </w:tcPr>
          <w:p w14:paraId="777DE87F">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 4 层（TCP 协议）和 7 层（HTTP 和 HTTPS 协议）的负载均衡服务</w:t>
            </w:r>
          </w:p>
        </w:tc>
      </w:tr>
    </w:tbl>
    <w:p w14:paraId="75EC3F81">
      <w:pPr>
        <w:rPr>
          <w:rFonts w:ascii="Times New Roman" w:hAnsi="Times New Roman" w:eastAsia="宋体" w:cs="Times New Roman"/>
          <w:color w:val="auto"/>
          <w:highlight w:val="none"/>
        </w:rPr>
      </w:pPr>
    </w:p>
    <w:p w14:paraId="629DAE0E">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3、远程接入服务</w:t>
      </w:r>
    </w:p>
    <w:tbl>
      <w:tblPr>
        <w:tblStyle w:val="2"/>
        <w:tblW w:w="87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61"/>
        <w:gridCol w:w="6557"/>
      </w:tblGrid>
      <w:tr w14:paraId="316B7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1" w:type="dxa"/>
            <w:tcBorders>
              <w:top w:val="single" w:color="000000" w:sz="4" w:space="0"/>
              <w:left w:val="single" w:color="000000" w:sz="4" w:space="0"/>
              <w:bottom w:val="single" w:color="000000" w:sz="4" w:space="0"/>
              <w:right w:val="single" w:color="000000" w:sz="4" w:space="0"/>
            </w:tcBorders>
            <w:noWrap w:val="0"/>
            <w:vAlign w:val="center"/>
          </w:tcPr>
          <w:p w14:paraId="7CF9CB76">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指标项</w:t>
            </w:r>
          </w:p>
        </w:tc>
        <w:tc>
          <w:tcPr>
            <w:tcW w:w="6557" w:type="dxa"/>
            <w:tcBorders>
              <w:top w:val="single" w:color="000000" w:sz="4" w:space="0"/>
              <w:left w:val="single" w:color="000000" w:sz="4" w:space="0"/>
              <w:bottom w:val="single" w:color="000000" w:sz="4" w:space="0"/>
              <w:right w:val="single" w:color="000000" w:sz="4" w:space="0"/>
            </w:tcBorders>
            <w:noWrap w:val="0"/>
            <w:vAlign w:val="center"/>
          </w:tcPr>
          <w:p w14:paraId="4FF13051">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服务要求</w:t>
            </w:r>
          </w:p>
        </w:tc>
      </w:tr>
      <w:tr w14:paraId="7B13F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1" w:type="dxa"/>
            <w:tcBorders>
              <w:top w:val="single" w:color="000000" w:sz="4" w:space="0"/>
              <w:left w:val="single" w:color="000000" w:sz="4" w:space="0"/>
              <w:bottom w:val="single" w:color="000000" w:sz="4" w:space="0"/>
              <w:right w:val="single" w:color="000000" w:sz="4" w:space="0"/>
            </w:tcBorders>
            <w:noWrap w:val="0"/>
            <w:vAlign w:val="center"/>
          </w:tcPr>
          <w:p w14:paraId="2035922A">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功能要求</w:t>
            </w:r>
          </w:p>
        </w:tc>
        <w:tc>
          <w:tcPr>
            <w:tcW w:w="6557" w:type="dxa"/>
            <w:tcBorders>
              <w:top w:val="single" w:color="000000" w:sz="4" w:space="0"/>
              <w:left w:val="single" w:color="000000" w:sz="4" w:space="0"/>
              <w:bottom w:val="single" w:color="000000" w:sz="4" w:space="0"/>
              <w:right w:val="single" w:color="000000" w:sz="4" w:space="0"/>
            </w:tcBorders>
            <w:noWrap w:val="0"/>
            <w:vAlign w:val="center"/>
          </w:tcPr>
          <w:p w14:paraId="13110EB2">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提供堡垒机远程接入服务</w:t>
            </w:r>
          </w:p>
        </w:tc>
      </w:tr>
      <w:tr w14:paraId="1D07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1" w:type="dxa"/>
            <w:tcBorders>
              <w:top w:val="single" w:color="000000" w:sz="4" w:space="0"/>
              <w:left w:val="single" w:color="000000" w:sz="4" w:space="0"/>
              <w:bottom w:val="single" w:color="000000" w:sz="4" w:space="0"/>
              <w:right w:val="single" w:color="000000" w:sz="4" w:space="0"/>
            </w:tcBorders>
            <w:noWrap w:val="0"/>
            <w:vAlign w:val="center"/>
          </w:tcPr>
          <w:p w14:paraId="5F0B55A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运维审计</w:t>
            </w:r>
          </w:p>
        </w:tc>
        <w:tc>
          <w:tcPr>
            <w:tcW w:w="6557" w:type="dxa"/>
            <w:tcBorders>
              <w:top w:val="single" w:color="000000" w:sz="4" w:space="0"/>
              <w:left w:val="single" w:color="000000" w:sz="4" w:space="0"/>
              <w:bottom w:val="single" w:color="000000" w:sz="4" w:space="0"/>
              <w:right w:val="single" w:color="000000" w:sz="4" w:space="0"/>
            </w:tcBorders>
            <w:noWrap w:val="0"/>
            <w:vAlign w:val="center"/>
          </w:tcPr>
          <w:p w14:paraId="19F28161">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字符操作审计、图形操作审计、文件操作审计</w:t>
            </w:r>
          </w:p>
        </w:tc>
      </w:tr>
      <w:tr w14:paraId="6CA80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1" w:type="dxa"/>
            <w:vMerge w:val="restart"/>
            <w:tcBorders>
              <w:top w:val="single" w:color="000000" w:sz="4" w:space="0"/>
              <w:left w:val="single" w:color="000000" w:sz="4" w:space="0"/>
              <w:right w:val="single" w:color="000000" w:sz="4" w:space="0"/>
            </w:tcBorders>
            <w:noWrap w:val="0"/>
            <w:vAlign w:val="center"/>
          </w:tcPr>
          <w:p w14:paraId="2095F0E0">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访问控制</w:t>
            </w:r>
          </w:p>
        </w:tc>
        <w:tc>
          <w:tcPr>
            <w:tcW w:w="6557" w:type="dxa"/>
            <w:tcBorders>
              <w:top w:val="single" w:color="000000" w:sz="4" w:space="0"/>
              <w:left w:val="single" w:color="000000" w:sz="4" w:space="0"/>
              <w:bottom w:val="single" w:color="000000" w:sz="4" w:space="0"/>
              <w:right w:val="single" w:color="000000" w:sz="4" w:space="0"/>
            </w:tcBorders>
            <w:noWrap w:val="0"/>
            <w:vAlign w:val="center"/>
          </w:tcPr>
          <w:p w14:paraId="7B1F6EF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支持基于IP/IP段、用户/用户组、资产/资产组、协议、危险级别等组合策略进行访问控制，对于不合法的行为予以阻断；</w:t>
            </w:r>
          </w:p>
        </w:tc>
      </w:tr>
      <w:tr w14:paraId="1D4C3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1" w:type="dxa"/>
            <w:vMerge w:val="continue"/>
            <w:tcBorders>
              <w:left w:val="single" w:color="000000" w:sz="4" w:space="0"/>
              <w:right w:val="single" w:color="000000" w:sz="4" w:space="0"/>
            </w:tcBorders>
            <w:noWrap w:val="0"/>
            <w:vAlign w:val="center"/>
          </w:tcPr>
          <w:p w14:paraId="16979DB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p>
        </w:tc>
        <w:tc>
          <w:tcPr>
            <w:tcW w:w="6557" w:type="dxa"/>
            <w:tcBorders>
              <w:top w:val="single" w:color="000000" w:sz="4" w:space="0"/>
              <w:left w:val="single" w:color="000000" w:sz="4" w:space="0"/>
              <w:bottom w:val="single" w:color="000000" w:sz="4" w:space="0"/>
              <w:right w:val="single" w:color="000000" w:sz="4" w:space="0"/>
            </w:tcBorders>
            <w:noWrap w:val="0"/>
            <w:vAlign w:val="center"/>
          </w:tcPr>
          <w:p w14:paraId="3D9003D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可基于运维账号的登陆时间和资产登陆时间进行访问控制；</w:t>
            </w:r>
          </w:p>
        </w:tc>
      </w:tr>
      <w:tr w14:paraId="3002E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1" w:type="dxa"/>
            <w:vMerge w:val="continue"/>
            <w:tcBorders>
              <w:left w:val="single" w:color="000000" w:sz="4" w:space="0"/>
              <w:right w:val="single" w:color="000000" w:sz="4" w:space="0"/>
            </w:tcBorders>
            <w:noWrap w:val="0"/>
            <w:vAlign w:val="center"/>
          </w:tcPr>
          <w:p w14:paraId="75C1D520">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p>
        </w:tc>
        <w:tc>
          <w:tcPr>
            <w:tcW w:w="6557" w:type="dxa"/>
            <w:tcBorders>
              <w:top w:val="single" w:color="000000" w:sz="4" w:space="0"/>
              <w:left w:val="single" w:color="000000" w:sz="4" w:space="0"/>
              <w:bottom w:val="single" w:color="000000" w:sz="4" w:space="0"/>
              <w:right w:val="single" w:color="000000" w:sz="4" w:space="0"/>
            </w:tcBorders>
            <w:noWrap w:val="0"/>
            <w:vAlign w:val="center"/>
          </w:tcPr>
          <w:p w14:paraId="08F7FCD5">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可基于运维操作命令进行访问控制；</w:t>
            </w:r>
          </w:p>
        </w:tc>
      </w:tr>
      <w:tr w14:paraId="28BE2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1" w:type="dxa"/>
            <w:vMerge w:val="continue"/>
            <w:tcBorders>
              <w:left w:val="single" w:color="000000" w:sz="4" w:space="0"/>
              <w:bottom w:val="single" w:color="000000" w:sz="4" w:space="0"/>
              <w:right w:val="single" w:color="000000" w:sz="4" w:space="0"/>
            </w:tcBorders>
            <w:noWrap w:val="0"/>
            <w:vAlign w:val="center"/>
          </w:tcPr>
          <w:p w14:paraId="02BC210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p>
        </w:tc>
        <w:tc>
          <w:tcPr>
            <w:tcW w:w="6557" w:type="dxa"/>
            <w:tcBorders>
              <w:top w:val="single" w:color="000000" w:sz="4" w:space="0"/>
              <w:left w:val="single" w:color="000000" w:sz="4" w:space="0"/>
              <w:bottom w:val="single" w:color="000000" w:sz="4" w:space="0"/>
              <w:right w:val="single" w:color="000000" w:sz="4" w:space="0"/>
            </w:tcBorders>
            <w:noWrap w:val="0"/>
            <w:vAlign w:val="center"/>
          </w:tcPr>
          <w:p w14:paraId="4DC01D9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可基于主机、用户、IP地址控制审计日志的访问权限；</w:t>
            </w:r>
          </w:p>
        </w:tc>
      </w:tr>
    </w:tbl>
    <w:p w14:paraId="2851CBF0">
      <w:pPr>
        <w:rPr>
          <w:rFonts w:ascii="Times New Roman" w:hAnsi="Times New Roman" w:eastAsia="宋体" w:cs="Times New Roman"/>
          <w:color w:val="auto"/>
          <w:highlight w:val="none"/>
        </w:rPr>
      </w:pPr>
    </w:p>
    <w:p w14:paraId="6CDD0120">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4、SSL VPN接入</w:t>
      </w:r>
    </w:p>
    <w:tbl>
      <w:tblPr>
        <w:tblStyle w:val="2"/>
        <w:tblW w:w="87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7"/>
        <w:gridCol w:w="7231"/>
      </w:tblGrid>
      <w:tr w14:paraId="07413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87" w:type="dxa"/>
            <w:tcBorders>
              <w:top w:val="single" w:color="000000" w:sz="4" w:space="0"/>
              <w:left w:val="single" w:color="000000" w:sz="4" w:space="0"/>
              <w:bottom w:val="single" w:color="000000" w:sz="4" w:space="0"/>
              <w:right w:val="single" w:color="000000" w:sz="4" w:space="0"/>
            </w:tcBorders>
            <w:noWrap w:val="0"/>
            <w:vAlign w:val="center"/>
          </w:tcPr>
          <w:p w14:paraId="46731620">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指标项</w:t>
            </w:r>
          </w:p>
        </w:tc>
        <w:tc>
          <w:tcPr>
            <w:tcW w:w="7231" w:type="dxa"/>
            <w:tcBorders>
              <w:top w:val="single" w:color="000000" w:sz="4" w:space="0"/>
              <w:left w:val="single" w:color="000000" w:sz="4" w:space="0"/>
              <w:bottom w:val="single" w:color="000000" w:sz="4" w:space="0"/>
              <w:right w:val="single" w:color="000000" w:sz="4" w:space="0"/>
            </w:tcBorders>
            <w:noWrap w:val="0"/>
            <w:vAlign w:val="center"/>
          </w:tcPr>
          <w:p w14:paraId="313B96F5">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服务要求</w:t>
            </w:r>
          </w:p>
        </w:tc>
      </w:tr>
      <w:tr w14:paraId="34CC6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87" w:type="dxa"/>
            <w:tcBorders>
              <w:top w:val="single" w:color="000000" w:sz="4" w:space="0"/>
              <w:left w:val="single" w:color="000000" w:sz="4" w:space="0"/>
              <w:bottom w:val="single" w:color="000000" w:sz="4" w:space="0"/>
              <w:right w:val="single" w:color="000000" w:sz="4" w:space="0"/>
            </w:tcBorders>
            <w:noWrap w:val="0"/>
            <w:vAlign w:val="center"/>
          </w:tcPr>
          <w:p w14:paraId="403A9F1C">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接入方式</w:t>
            </w:r>
          </w:p>
        </w:tc>
        <w:tc>
          <w:tcPr>
            <w:tcW w:w="7231" w:type="dxa"/>
            <w:tcBorders>
              <w:top w:val="single" w:color="000000" w:sz="4" w:space="0"/>
              <w:left w:val="single" w:color="000000" w:sz="4" w:space="0"/>
              <w:bottom w:val="single" w:color="000000" w:sz="4" w:space="0"/>
              <w:right w:val="single" w:color="000000" w:sz="4" w:space="0"/>
            </w:tcBorders>
            <w:noWrap w:val="0"/>
            <w:vAlign w:val="center"/>
          </w:tcPr>
          <w:p w14:paraId="44ABD12F">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实现Web接入，TCP接入，IP接入等多种方式，记录完整的用户访问日志</w:t>
            </w:r>
          </w:p>
        </w:tc>
      </w:tr>
      <w:tr w14:paraId="113F5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87" w:type="dxa"/>
            <w:tcBorders>
              <w:top w:val="single" w:color="000000" w:sz="4" w:space="0"/>
              <w:left w:val="single" w:color="000000" w:sz="4" w:space="0"/>
              <w:bottom w:val="single" w:color="000000" w:sz="4" w:space="0"/>
              <w:right w:val="single" w:color="000000" w:sz="4" w:space="0"/>
            </w:tcBorders>
            <w:noWrap w:val="0"/>
            <w:vAlign w:val="center"/>
          </w:tcPr>
          <w:p w14:paraId="1B9E714C">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身份管理</w:t>
            </w:r>
          </w:p>
        </w:tc>
        <w:tc>
          <w:tcPr>
            <w:tcW w:w="7231" w:type="dxa"/>
            <w:tcBorders>
              <w:top w:val="single" w:color="000000" w:sz="4" w:space="0"/>
              <w:left w:val="single" w:color="000000" w:sz="4" w:space="0"/>
              <w:bottom w:val="single" w:color="000000" w:sz="4" w:space="0"/>
              <w:right w:val="single" w:color="000000" w:sz="4" w:space="0"/>
            </w:tcBorders>
            <w:noWrap w:val="0"/>
            <w:vAlign w:val="center"/>
          </w:tcPr>
          <w:p w14:paraId="2FD6BBDB">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支持基于用户身份的管理，实现不同身份的用户拥有不同的命令执行权限，并且支持用户视图分级，对于不同级别的用户赋予不同的管理配置权限</w:t>
            </w:r>
          </w:p>
        </w:tc>
      </w:tr>
      <w:tr w14:paraId="70FCE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87" w:type="dxa"/>
            <w:tcBorders>
              <w:top w:val="single" w:color="000000" w:sz="4" w:space="0"/>
              <w:left w:val="single" w:color="000000" w:sz="4" w:space="0"/>
              <w:bottom w:val="single" w:color="000000" w:sz="4" w:space="0"/>
              <w:right w:val="single" w:color="000000" w:sz="4" w:space="0"/>
            </w:tcBorders>
            <w:noWrap w:val="0"/>
            <w:vAlign w:val="center"/>
          </w:tcPr>
          <w:p w14:paraId="651738DF">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访问控制策略</w:t>
            </w:r>
          </w:p>
        </w:tc>
        <w:tc>
          <w:tcPr>
            <w:tcW w:w="7231" w:type="dxa"/>
            <w:tcBorders>
              <w:top w:val="single" w:color="000000" w:sz="4" w:space="0"/>
              <w:left w:val="single" w:color="000000" w:sz="4" w:space="0"/>
              <w:bottom w:val="single" w:color="000000" w:sz="4" w:space="0"/>
              <w:right w:val="single" w:color="000000" w:sz="4" w:space="0"/>
            </w:tcBorders>
            <w:noWrap w:val="0"/>
            <w:vAlign w:val="center"/>
          </w:tcPr>
          <w:p w14:paraId="12568644">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可以根据请求报文的目的IP地址和目的端口号、源IP地址和源端口号进行过滤</w:t>
            </w:r>
          </w:p>
        </w:tc>
      </w:tr>
      <w:tr w14:paraId="49763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87" w:type="dxa"/>
            <w:tcBorders>
              <w:top w:val="single" w:color="000000" w:sz="4" w:space="0"/>
              <w:left w:val="single" w:color="000000" w:sz="4" w:space="0"/>
              <w:bottom w:val="single" w:color="000000" w:sz="4" w:space="0"/>
              <w:right w:val="single" w:color="000000" w:sz="4" w:space="0"/>
            </w:tcBorders>
            <w:noWrap w:val="0"/>
            <w:vAlign w:val="center"/>
          </w:tcPr>
          <w:p w14:paraId="4614C4D8">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密码要求</w:t>
            </w:r>
          </w:p>
        </w:tc>
        <w:tc>
          <w:tcPr>
            <w:tcW w:w="7231" w:type="dxa"/>
            <w:tcBorders>
              <w:top w:val="single" w:color="000000" w:sz="4" w:space="0"/>
              <w:left w:val="single" w:color="000000" w:sz="4" w:space="0"/>
              <w:bottom w:val="single" w:color="000000" w:sz="4" w:space="0"/>
              <w:right w:val="single" w:color="000000" w:sz="4" w:space="0"/>
            </w:tcBorders>
            <w:noWrap w:val="0"/>
            <w:vAlign w:val="center"/>
          </w:tcPr>
          <w:p w14:paraId="17868A83">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采用通过商用密码产品认证的SSL VPN产品</w:t>
            </w:r>
          </w:p>
        </w:tc>
      </w:tr>
    </w:tbl>
    <w:p w14:paraId="1E30D967">
      <w:pPr>
        <w:rPr>
          <w:rFonts w:ascii="Times New Roman" w:hAnsi="Times New Roman" w:eastAsia="宋体" w:cs="Times New Roman"/>
          <w:color w:val="auto"/>
          <w:highlight w:val="none"/>
        </w:rPr>
      </w:pPr>
    </w:p>
    <w:p w14:paraId="28D4947C">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5、IPSec VPN接入</w:t>
      </w:r>
    </w:p>
    <w:tbl>
      <w:tblPr>
        <w:tblStyle w:val="2"/>
        <w:tblW w:w="87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70"/>
        <w:gridCol w:w="6448"/>
      </w:tblGrid>
      <w:tr w14:paraId="20773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0" w:type="dxa"/>
            <w:tcBorders>
              <w:top w:val="single" w:color="000000" w:sz="4" w:space="0"/>
              <w:left w:val="single" w:color="000000" w:sz="4" w:space="0"/>
              <w:bottom w:val="single" w:color="000000" w:sz="4" w:space="0"/>
              <w:right w:val="single" w:color="000000" w:sz="4" w:space="0"/>
            </w:tcBorders>
            <w:noWrap w:val="0"/>
            <w:vAlign w:val="center"/>
          </w:tcPr>
          <w:p w14:paraId="64711F98">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指标项</w:t>
            </w:r>
          </w:p>
        </w:tc>
        <w:tc>
          <w:tcPr>
            <w:tcW w:w="6448" w:type="dxa"/>
            <w:tcBorders>
              <w:top w:val="single" w:color="000000" w:sz="4" w:space="0"/>
              <w:left w:val="single" w:color="000000" w:sz="4" w:space="0"/>
              <w:bottom w:val="single" w:color="000000" w:sz="4" w:space="0"/>
              <w:right w:val="single" w:color="000000" w:sz="4" w:space="0"/>
            </w:tcBorders>
            <w:noWrap w:val="0"/>
            <w:vAlign w:val="center"/>
          </w:tcPr>
          <w:p w14:paraId="1D4B70BE">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服务要求</w:t>
            </w:r>
          </w:p>
        </w:tc>
      </w:tr>
      <w:tr w14:paraId="2585F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0" w:type="dxa"/>
            <w:tcBorders>
              <w:top w:val="single" w:color="000000" w:sz="4" w:space="0"/>
              <w:left w:val="single" w:color="000000" w:sz="4" w:space="0"/>
              <w:bottom w:val="single" w:color="000000" w:sz="4" w:space="0"/>
              <w:right w:val="single" w:color="000000" w:sz="4" w:space="0"/>
            </w:tcBorders>
            <w:noWrap w:val="0"/>
            <w:vAlign w:val="center"/>
          </w:tcPr>
          <w:p w14:paraId="46520495">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配置方式</w:t>
            </w:r>
          </w:p>
        </w:tc>
        <w:tc>
          <w:tcPr>
            <w:tcW w:w="6448" w:type="dxa"/>
            <w:tcBorders>
              <w:top w:val="single" w:color="000000" w:sz="4" w:space="0"/>
              <w:left w:val="single" w:color="000000" w:sz="4" w:space="0"/>
              <w:bottom w:val="single" w:color="000000" w:sz="4" w:space="0"/>
              <w:right w:val="single" w:color="000000" w:sz="4" w:space="0"/>
            </w:tcBorders>
            <w:noWrap w:val="0"/>
            <w:vAlign w:val="center"/>
          </w:tcPr>
          <w:p w14:paraId="3240FFC6">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通过手工配置或自动配置的方式实现IPSecVPN隧道的建立，支持对IKE策略、IPSec策略配置及对VPN服务、IPSec站点连接的申请并提供状态监控，记录完整的用户访问日志</w:t>
            </w:r>
          </w:p>
        </w:tc>
      </w:tr>
      <w:tr w14:paraId="7F00F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0" w:type="dxa"/>
            <w:tcBorders>
              <w:top w:val="single" w:color="000000" w:sz="4" w:space="0"/>
              <w:left w:val="single" w:color="000000" w:sz="4" w:space="0"/>
              <w:bottom w:val="single" w:color="000000" w:sz="4" w:space="0"/>
              <w:right w:val="single" w:color="000000" w:sz="4" w:space="0"/>
            </w:tcBorders>
            <w:noWrap w:val="0"/>
            <w:vAlign w:val="center"/>
          </w:tcPr>
          <w:p w14:paraId="5249A8F7">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基本功能</w:t>
            </w:r>
          </w:p>
        </w:tc>
        <w:tc>
          <w:tcPr>
            <w:tcW w:w="6448" w:type="dxa"/>
            <w:tcBorders>
              <w:top w:val="single" w:color="000000" w:sz="4" w:space="0"/>
              <w:left w:val="single" w:color="000000" w:sz="4" w:space="0"/>
              <w:bottom w:val="single" w:color="000000" w:sz="4" w:space="0"/>
              <w:right w:val="single" w:color="000000" w:sz="4" w:space="0"/>
            </w:tcBorders>
            <w:noWrap w:val="0"/>
            <w:vAlign w:val="center"/>
          </w:tcPr>
          <w:p w14:paraId="6318A980">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实现IPsec抗重放检测功能、反向路由注入功能，支持IPv6协议</w:t>
            </w:r>
          </w:p>
        </w:tc>
      </w:tr>
      <w:tr w14:paraId="7A51B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0" w:type="dxa"/>
            <w:tcBorders>
              <w:top w:val="single" w:color="000000" w:sz="4" w:space="0"/>
              <w:left w:val="single" w:color="000000" w:sz="4" w:space="0"/>
              <w:bottom w:val="single" w:color="000000" w:sz="4" w:space="0"/>
              <w:right w:val="single" w:color="000000" w:sz="4" w:space="0"/>
            </w:tcBorders>
            <w:noWrap w:val="0"/>
            <w:vAlign w:val="center"/>
          </w:tcPr>
          <w:p w14:paraId="68F3AC66">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密码要求</w:t>
            </w:r>
          </w:p>
        </w:tc>
        <w:tc>
          <w:tcPr>
            <w:tcW w:w="6448" w:type="dxa"/>
            <w:tcBorders>
              <w:top w:val="single" w:color="000000" w:sz="4" w:space="0"/>
              <w:left w:val="single" w:color="000000" w:sz="4" w:space="0"/>
              <w:bottom w:val="single" w:color="000000" w:sz="4" w:space="0"/>
              <w:right w:val="single" w:color="000000" w:sz="4" w:space="0"/>
            </w:tcBorders>
            <w:noWrap w:val="0"/>
            <w:vAlign w:val="center"/>
          </w:tcPr>
          <w:p w14:paraId="10AE7EE5">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采用通过商用密码产品认证的IPSEC VPN产品</w:t>
            </w:r>
          </w:p>
        </w:tc>
      </w:tr>
    </w:tbl>
    <w:p w14:paraId="0B95ABC5">
      <w:pPr>
        <w:widowControl w:val="0"/>
        <w:spacing w:before="120" w:line="22" w:lineRule="atLeast"/>
        <w:jc w:val="both"/>
        <w:rPr>
          <w:rFonts w:hint="eastAsia" w:ascii="宋体" w:hAnsi="宋体" w:eastAsia="宋体" w:cs="Times New Roman"/>
          <w:color w:val="auto"/>
          <w:kern w:val="2"/>
          <w:sz w:val="24"/>
          <w:szCs w:val="24"/>
          <w:highlight w:val="none"/>
          <w:lang w:val="en-US" w:eastAsia="zh-CN" w:bidi="ar-SA"/>
        </w:rPr>
      </w:pPr>
    </w:p>
    <w:p w14:paraId="7613CC23">
      <w:pPr>
        <w:spacing w:line="360" w:lineRule="auto"/>
        <w:ind w:firstLine="482"/>
        <w:contextualSpacing/>
        <w:rPr>
          <w:rFonts w:hint="eastAsia" w:ascii="Times New Roman" w:hAnsi="Times New Roman" w:eastAsia="宋体" w:cs="Times New Roman"/>
          <w:b w:val="0"/>
          <w:bCs/>
          <w:sz w:val="24"/>
          <w:highlight w:val="none"/>
          <w:lang w:val="en-US" w:eastAsia="zh-CN"/>
        </w:rPr>
      </w:pPr>
      <w:r>
        <w:rPr>
          <w:rFonts w:hint="eastAsia" w:ascii="Times New Roman" w:hAnsi="Times New Roman" w:eastAsia="宋体" w:cs="Times New Roman"/>
          <w:b w:val="0"/>
          <w:bCs/>
          <w:sz w:val="24"/>
          <w:highlight w:val="none"/>
          <w:lang w:val="en-US" w:eastAsia="zh-CN"/>
        </w:rPr>
        <w:t>6、web应用防火墙防护</w:t>
      </w:r>
    </w:p>
    <w:tbl>
      <w:tblPr>
        <w:tblStyle w:val="2"/>
        <w:tblW w:w="87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72"/>
        <w:gridCol w:w="6446"/>
      </w:tblGrid>
      <w:tr w14:paraId="1312D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3B264AC2">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指标项</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67A7F6A1">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服务要求</w:t>
            </w:r>
          </w:p>
        </w:tc>
      </w:tr>
      <w:tr w14:paraId="53066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71DF03D3">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检测算法</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6BBDB2EE">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可精确识别包括注入、XSS等OWASP Top 10 WEB通用攻击，有效应对盗链、跨站请求伪造等WEB特殊攻击</w:t>
            </w:r>
          </w:p>
        </w:tc>
      </w:tr>
      <w:tr w14:paraId="31E0C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0E1AC1D6">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部署方式</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26DDF791">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可以通过透明串接或反向代理、路由模式等方式接入网络中，即可对应用层HTTP流量进行安全防护</w:t>
            </w:r>
          </w:p>
        </w:tc>
      </w:tr>
      <w:tr w14:paraId="3220A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0BB3F89A">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黑名单</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5171ACB3">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通过预定义策略及自定义规则，进行规则匹配，阻断异常流量</w:t>
            </w:r>
          </w:p>
        </w:tc>
      </w:tr>
      <w:tr w14:paraId="22B93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494CEE94">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可操作性</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1839D0ED">
            <w:pPr>
              <w:widowControl w:val="0"/>
              <w:ind w:left="0" w:leftChars="0"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支持通过云管理平台，实现申请部署与使用</w:t>
            </w:r>
          </w:p>
        </w:tc>
      </w:tr>
    </w:tbl>
    <w:p w14:paraId="433DEFF9">
      <w:pPr>
        <w:keepNext w:val="0"/>
        <w:keepLines w:val="0"/>
        <w:pageBreakBefore w:val="0"/>
        <w:widowControl/>
        <w:numPr>
          <w:ilvl w:val="0"/>
          <w:numId w:val="0"/>
        </w:numPr>
        <w:kinsoku/>
        <w:wordWrap/>
        <w:overflowPunct/>
        <w:topLinePunct w:val="0"/>
        <w:autoSpaceDE/>
        <w:autoSpaceDN/>
        <w:bidi w:val="0"/>
        <w:adjustRightInd/>
        <w:snapToGrid/>
        <w:spacing w:before="193" w:beforeLines="50" w:after="193" w:afterLines="50" w:line="460" w:lineRule="exact"/>
        <w:ind w:left="0" w:firstLine="480" w:firstLineChars="200"/>
        <w:jc w:val="both"/>
        <w:textAlignment w:val="auto"/>
        <w:outlineLvl w:val="3"/>
        <w:rPr>
          <w:rFonts w:hint="eastAsia" w:ascii="楷体" w:hAnsi="楷体" w:eastAsia="楷体" w:cs="楷体"/>
          <w:b w:val="0"/>
          <w:color w:val="auto"/>
          <w:sz w:val="24"/>
          <w:szCs w:val="24"/>
          <w:highlight w:val="none"/>
          <w:lang w:val="en-US" w:eastAsia="zh-CN" w:bidi="ar-SA"/>
        </w:rPr>
      </w:pPr>
      <w:r>
        <w:rPr>
          <w:rFonts w:ascii="宋体" w:hAnsi="宋体" w:eastAsia="宋体" w:cs="Times New Roman"/>
          <w:b w:val="0"/>
          <w:color w:val="auto"/>
          <w:sz w:val="24"/>
          <w:szCs w:val="24"/>
          <w:highlight w:val="none"/>
          <w:lang w:val="en-US" w:eastAsia="zh-CN" w:bidi="ar-SA"/>
        </w:rPr>
        <w:t>2.2.4</w:t>
      </w:r>
      <w:r>
        <w:rPr>
          <w:rFonts w:hint="eastAsia" w:ascii="楷体" w:hAnsi="楷体" w:eastAsia="楷体" w:cs="楷体"/>
          <w:b w:val="0"/>
          <w:color w:val="auto"/>
          <w:sz w:val="24"/>
          <w:szCs w:val="24"/>
          <w:highlight w:val="none"/>
          <w:lang w:val="en-US" w:eastAsia="zh-CN" w:bidi="ar-SA"/>
        </w:rPr>
        <w:t>云主机深度监控服务</w:t>
      </w:r>
    </w:p>
    <w:tbl>
      <w:tblPr>
        <w:tblStyle w:val="2"/>
        <w:tblW w:w="87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72"/>
        <w:gridCol w:w="6446"/>
      </w:tblGrid>
      <w:tr w14:paraId="63171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1B393D98">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指标项</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6C23EC67">
            <w:pPr>
              <w:widowControl w:val="0"/>
              <w:tabs>
                <w:tab w:val="left" w:pos="0"/>
              </w:tabs>
              <w:jc w:val="center"/>
              <w:rPr>
                <w:rFonts w:hint="default"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2"/>
                <w:sz w:val="21"/>
                <w:szCs w:val="24"/>
                <w:highlight w:val="none"/>
                <w:lang w:val="en-US" w:eastAsia="zh-CN" w:bidi="ar-SA"/>
              </w:rPr>
              <w:t>服务要求</w:t>
            </w:r>
          </w:p>
        </w:tc>
      </w:tr>
      <w:tr w14:paraId="46CF0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43A71F3A">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云主机深度监控</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274D73E1">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提供云主机7*24小时深度监控服务 </w:t>
            </w:r>
          </w:p>
        </w:tc>
      </w:tr>
      <w:tr w14:paraId="2915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1BE80EED">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集中告警监控</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4D5B351B">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支持多维度告警/事件展现</w:t>
            </w:r>
          </w:p>
        </w:tc>
      </w:tr>
      <w:tr w14:paraId="56957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2A10E65B">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Top性能监控</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469757F0">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提供常用指标的TopN性能视图，包括：</w:t>
            </w:r>
          </w:p>
          <w:p w14:paraId="64E86C73">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服务器、虚拟机的CPU、内存TopN视图；</w:t>
            </w:r>
          </w:p>
          <w:p w14:paraId="718AD9C4">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网络接口流量；</w:t>
            </w:r>
          </w:p>
          <w:p w14:paraId="37E7F13C">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存储读写带宽、读写IOPS、读写IO大小。</w:t>
            </w:r>
          </w:p>
        </w:tc>
      </w:tr>
      <w:tr w14:paraId="40F50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1DDD8F3D">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安全事件服务</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5786A226">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提供主机安全事件的验证、分析，并提供事件报告</w:t>
            </w:r>
          </w:p>
        </w:tc>
      </w:tr>
      <w:tr w14:paraId="67BDA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3E6806F5">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应急处置服务</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775701DE">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提供特定云主机的应急问题协助排查，协助处理应用故障等服务，并提供相应报告</w:t>
            </w:r>
          </w:p>
        </w:tc>
      </w:tr>
      <w:tr w14:paraId="46EC6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272" w:type="dxa"/>
            <w:tcBorders>
              <w:top w:val="single" w:color="000000" w:sz="4" w:space="0"/>
              <w:left w:val="single" w:color="000000" w:sz="4" w:space="0"/>
              <w:bottom w:val="single" w:color="000000" w:sz="4" w:space="0"/>
              <w:right w:val="single" w:color="000000" w:sz="4" w:space="0"/>
            </w:tcBorders>
            <w:noWrap w:val="0"/>
            <w:vAlign w:val="center"/>
          </w:tcPr>
          <w:p w14:paraId="5DC7001B">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值守保障服务</w:t>
            </w:r>
          </w:p>
        </w:tc>
        <w:tc>
          <w:tcPr>
            <w:tcW w:w="6446" w:type="dxa"/>
            <w:tcBorders>
              <w:top w:val="single" w:color="000000" w:sz="4" w:space="0"/>
              <w:left w:val="single" w:color="000000" w:sz="4" w:space="0"/>
              <w:bottom w:val="single" w:color="000000" w:sz="4" w:space="0"/>
              <w:right w:val="single" w:color="000000" w:sz="4" w:space="0"/>
            </w:tcBorders>
            <w:noWrap w:val="0"/>
            <w:vAlign w:val="center"/>
          </w:tcPr>
          <w:p w14:paraId="42850283">
            <w:pPr>
              <w:bidi w:val="0"/>
              <w:rPr>
                <w:rFonts w:hint="eastAsia" w:ascii="Times New Roman" w:hAnsi="Times New Roman" w:eastAsia="宋体" w:cs="Times New Roman"/>
                <w:highlight w:val="none"/>
              </w:rPr>
            </w:pPr>
            <w:r>
              <w:rPr>
                <w:rFonts w:hint="eastAsia" w:ascii="Times New Roman" w:hAnsi="Times New Roman" w:eastAsia="宋体" w:cs="Times New Roman"/>
                <w:highlight w:val="none"/>
              </w:rPr>
              <w:t>提供7x24小时的运维值守工作，不仅限于机房巡检、云平台和硬件监控，同时提供问题排查协助、协助处理应用故障等服务，并提供相应报告</w:t>
            </w:r>
          </w:p>
        </w:tc>
      </w:tr>
    </w:tbl>
    <w:p w14:paraId="51EC1E73">
      <w:pPr>
        <w:widowControl w:val="0"/>
        <w:spacing w:before="120" w:line="22" w:lineRule="atLeast"/>
        <w:jc w:val="both"/>
        <w:rPr>
          <w:rFonts w:ascii="宋体" w:hAnsi="宋体" w:eastAsia="宋体" w:cs="Times New Roman"/>
          <w:kern w:val="2"/>
          <w:sz w:val="24"/>
          <w:szCs w:val="24"/>
          <w:highlight w:val="none"/>
          <w:lang w:val="en-US" w:eastAsia="zh-CN" w:bidi="ar-SA"/>
        </w:rPr>
      </w:pPr>
    </w:p>
    <w:p w14:paraId="09433B47">
      <w:pPr>
        <w:widowControl/>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2.3为落实政府采购政策需满足的要求</w:t>
      </w:r>
    </w:p>
    <w:p w14:paraId="4A4BDC27">
      <w:pPr>
        <w:widowControl w:val="0"/>
        <w:adjustRightInd w:val="0"/>
        <w:spacing w:line="360" w:lineRule="auto"/>
        <w:ind w:firstLine="424" w:firstLineChars="177"/>
        <w:contextualSpacing/>
        <w:jc w:val="left"/>
        <w:rPr>
          <w:rFonts w:hint="eastAsia" w:ascii="Calibri" w:hAnsi="Calibri" w:eastAsia="宋体" w:cs="Times New Roman"/>
          <w:kern w:val="2"/>
          <w:sz w:val="21"/>
          <w:szCs w:val="22"/>
          <w:highlight w:val="none"/>
          <w:lang w:val="en-US" w:eastAsia="zh-CN" w:bidi="ar-SA"/>
        </w:rPr>
      </w:pPr>
      <w:r>
        <w:rPr>
          <w:rFonts w:hint="eastAsia" w:ascii="Calibri" w:hAnsi="Calibri" w:eastAsia="宋体" w:cs="Times New Roman"/>
          <w:kern w:val="2"/>
          <w:sz w:val="24"/>
          <w:szCs w:val="22"/>
          <w:highlight w:val="none"/>
          <w:lang w:val="en-US" w:eastAsia="zh-CN" w:bidi="ar-SA"/>
        </w:rPr>
        <w:t>无。</w:t>
      </w:r>
    </w:p>
    <w:p w14:paraId="6754EDEA">
      <w:pPr>
        <w:widowControl/>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2.4采购标的的其他技术、服务等要求</w:t>
      </w:r>
    </w:p>
    <w:p w14:paraId="77ECF767">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投标人所投云平台应具备完备的安全防护体系和安全防护设备，应保证各业务应用系统的支撑环境，包括但不限于服务器、网络、存储以及相关物理环境，应能满足不低于网络安全等级保护（GB/T 22239-2019）第三级要求，并积极配合采购人根据各业务系统具体等保需求，开展相应等保评估、检查、整改等工作；积极配合采购人开展各项安全服务保障工作。投标人管辖范围内的硬件、软件及支撑环境资源，至少达到业务系统的最高安全等级要求。</w:t>
      </w:r>
    </w:p>
    <w:p w14:paraId="5C33D042">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投标人所投云平台通过中央网信办云计算服务安全评估，提供相关证明并加盖投标人公章。</w:t>
      </w:r>
    </w:p>
    <w:p w14:paraId="7C358A8B">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投标人所投云平台需通过等保三级评估，提供相关证明并加盖投标人公章。</w:t>
      </w:r>
    </w:p>
    <w:p w14:paraId="00A96DDC">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投标人所投云平台应具备商用密码服务能力，并通过商用密码应用安全性评估，提供相关证明并加盖投标人公章。</w:t>
      </w:r>
    </w:p>
    <w:p w14:paraId="03CBB112">
      <w:pPr>
        <w:widowControl/>
        <w:spacing w:line="360" w:lineRule="auto"/>
        <w:ind w:firstLine="480" w:firstLineChars="200"/>
        <w:contextualSpacing/>
        <w:rPr>
          <w:rFonts w:hint="eastAsia" w:ascii="Times New Roman" w:hAnsi="Times New Roman" w:eastAsia="宋体" w:cs="Times New Roman"/>
          <w:sz w:val="24"/>
          <w:highlight w:val="none"/>
          <w:lang w:val="en-US" w:eastAsia="zh-CN"/>
        </w:rPr>
      </w:pPr>
      <w:r>
        <w:rPr>
          <w:rFonts w:ascii="Times New Roman" w:hAnsi="Times New Roman" w:eastAsia="宋体" w:cs="Times New Roman"/>
          <w:sz w:val="24"/>
          <w:highlight w:val="none"/>
        </w:rPr>
        <w:t>2.5</w:t>
      </w:r>
      <w:r>
        <w:rPr>
          <w:rFonts w:hint="eastAsia" w:ascii="Times New Roman" w:hAnsi="Times New Roman" w:eastAsia="宋体" w:cs="Times New Roman"/>
          <w:sz w:val="24"/>
          <w:highlight w:val="none"/>
          <w:lang w:val="en-US" w:eastAsia="zh-CN"/>
        </w:rPr>
        <w:t>服务要求</w:t>
      </w:r>
    </w:p>
    <w:p w14:paraId="214BA76E">
      <w:pPr>
        <w:widowControl/>
        <w:spacing w:line="360" w:lineRule="auto"/>
        <w:ind w:firstLine="480" w:firstLineChars="200"/>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由供应商提供设计方案、解决方案或者组织方案的采购项目，应当说明采购标的的功能、应用场景、目标等基本要求</w:t>
      </w:r>
    </w:p>
    <w:p w14:paraId="12CA3BDA">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2.5.1运维服务</w:t>
      </w:r>
    </w:p>
    <w:p w14:paraId="15CBFC8E">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1、服务要求</w:t>
      </w:r>
    </w:p>
    <w:p w14:paraId="63CF0CCF">
      <w:pPr>
        <w:widowControl w:val="0"/>
        <w:adjustRightInd w:val="0"/>
        <w:spacing w:line="360" w:lineRule="auto"/>
        <w:ind w:firstLine="424" w:firstLineChars="177"/>
        <w:contextualSpacing/>
        <w:jc w:val="left"/>
        <w:rPr>
          <w:rFonts w:hint="eastAsia" w:ascii="Times New Roman" w:hAnsi="Times New Roman" w:eastAsia="宋体" w:cs="Times New Roman"/>
          <w:sz w:val="24"/>
          <w:highlight w:val="none"/>
          <w:lang w:eastAsia="zh-CN"/>
        </w:rPr>
      </w:pPr>
      <w:r>
        <w:rPr>
          <w:rFonts w:hint="eastAsia" w:ascii="Times New Roman" w:hAnsi="Times New Roman" w:eastAsia="宋体" w:cs="Times New Roman"/>
          <w:sz w:val="24"/>
          <w:highlight w:val="none"/>
          <w:lang w:val="en-US" w:eastAsia="zh-CN"/>
        </w:rPr>
        <w:t>投标人需深入了解项目现状</w:t>
      </w:r>
      <w:r>
        <w:rPr>
          <w:rFonts w:hint="eastAsia" w:ascii="Times New Roman" w:hAnsi="Times New Roman" w:eastAsia="宋体" w:cs="Times New Roman"/>
          <w:sz w:val="24"/>
          <w:highlight w:val="none"/>
        </w:rPr>
        <w:t>及需求</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编制项目服务方案，方案中应对项目进行深入分析，理解并分析项目需求，并</w:t>
      </w:r>
      <w:r>
        <w:rPr>
          <w:rFonts w:hint="eastAsia" w:ascii="Times New Roman" w:hAnsi="Times New Roman" w:eastAsia="宋体" w:cs="Times New Roman"/>
          <w:sz w:val="24"/>
          <w:highlight w:val="none"/>
        </w:rPr>
        <w:t>对项目重点难点的</w:t>
      </w:r>
      <w:r>
        <w:rPr>
          <w:rFonts w:hint="eastAsia" w:ascii="Times New Roman" w:hAnsi="Times New Roman" w:eastAsia="宋体" w:cs="Times New Roman"/>
          <w:sz w:val="24"/>
          <w:highlight w:val="none"/>
          <w:lang w:val="en-US" w:eastAsia="zh-CN"/>
        </w:rPr>
        <w:t>进行分析并提供解决思路</w:t>
      </w:r>
      <w:r>
        <w:rPr>
          <w:rFonts w:hint="eastAsia" w:ascii="Times New Roman" w:hAnsi="Times New Roman" w:eastAsia="宋体" w:cs="Times New Roman"/>
          <w:sz w:val="24"/>
          <w:highlight w:val="none"/>
          <w:lang w:eastAsia="zh-CN"/>
        </w:rPr>
        <w:t>。</w:t>
      </w:r>
    </w:p>
    <w:p w14:paraId="6A77E6AF">
      <w:pPr>
        <w:widowControl w:val="0"/>
        <w:adjustRightInd w:val="0"/>
        <w:spacing w:line="360" w:lineRule="auto"/>
        <w:ind w:firstLine="424" w:firstLineChars="177"/>
        <w:contextualSpacing/>
        <w:jc w:val="left"/>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需编制服务制度、规范、流程，需利用监控系统或人工对机房环境、硬件设备及应用系统的运行情况进行7*24小时的监控，及时发现安全隐患，通知相关人员及时处理，并形成监控报告，并对日常运维工作提出合理化建议。</w:t>
      </w:r>
    </w:p>
    <w:p w14:paraId="459E01A2">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负责设立技术支持热线，并安排专人值守，为云服务工作提供7*24小时热线支持服务。投标人针对采购人要求的云平台服务相关内容，需指定专业技术能力较强的工程师，根据采购人要求配合开展相关维护服务。</w:t>
      </w:r>
    </w:p>
    <w:p w14:paraId="2CE52971">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2、管理能力要求</w:t>
      </w:r>
    </w:p>
    <w:p w14:paraId="7A89AFD5">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投标人应采用监控软件，提升管理能力，须具有的管理能力要求如下：</w:t>
      </w:r>
    </w:p>
    <w:p w14:paraId="13DA5CAF">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（1）后台任务性能分析能力：能够对后台任务慢追踪，包括时间、后台任务名称、平均响应时间；提供后台任务性能分析能力截图。</w:t>
      </w:r>
    </w:p>
    <w:p w14:paraId="3105607C">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（2）同时间轴数据分析能力；能够对用户体验层、应用程序层、IT架构层进行同时间轴分析，找到引起业务总分降低的关键指标；提供同时间轴数据分析能力截图。</w:t>
      </w:r>
    </w:p>
    <w:p w14:paraId="71643F6A">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（3）具有数据库知识库，实现智能诊断分析功能：当某个场景告警时，可以通过知识图谱推荐的诊断路径进行自动化分析，并输出诊断报告；提供智能诊断分析功能和诊断分析报告能力截图。</w:t>
      </w:r>
    </w:p>
    <w:p w14:paraId="2484816C">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（4）具有数据库健康模型和性能模型：通过模型，可以随时了解数据库的运行状态和系统的当前负载及性能情况；提供健康模型和性能模型能力截图。</w:t>
      </w:r>
    </w:p>
    <w:p w14:paraId="4B136720">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3、响应的及时性要求</w:t>
      </w:r>
    </w:p>
    <w:p w14:paraId="37F353AA">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应当提供高效的系统维护服务，有效防范系统风险，系统对应负责人7*24小时电话畅通，能够在系统发生除宕机外的其他故障问题时，投标人应在5分钟内响应，在30分钟之内开始处理故障，能够协调人力资源在1小时内到达现场提供服务。系统发生宕机问题时，投标人应在30分钟内响应，在4个小时之内使系统恢复正常，故障处理完毕后提供相关系统宕机报告。</w:t>
      </w:r>
    </w:p>
    <w:p w14:paraId="6ED2D62F">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4、重点保障要求</w:t>
      </w:r>
    </w:p>
    <w:p w14:paraId="3A7D2799">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为保障春节、五一、十一、两会等重要时期以及业务高峰期内系统平稳运行，缓解系统高峰期内因业务发生量增大而带来系统压力风险，要求投标人根据业务周期性特点，加大云服务保障力度，保证在业务高峰期内系统平稳运行。</w:t>
      </w:r>
    </w:p>
    <w:p w14:paraId="3800B4C7">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5、应急保障和风险防控措施</w:t>
      </w:r>
    </w:p>
    <w:p w14:paraId="3B2140F2">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云平台应具备相应的应急预案与风险防控措施,在云平台运行维护期间，出现应急情况和风险状况时，按照预案处置,快速解决问题。</w:t>
      </w:r>
    </w:p>
    <w:p w14:paraId="47DB44CC">
      <w:pPr>
        <w:widowControl w:val="0"/>
        <w:adjustRightInd w:val="0"/>
        <w:spacing w:line="360" w:lineRule="auto"/>
        <w:ind w:firstLine="424" w:firstLineChars="177"/>
        <w:contextualSpacing/>
        <w:jc w:val="left"/>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6、安全保障</w:t>
      </w:r>
    </w:p>
    <w:p w14:paraId="37F4BB0B">
      <w:pPr>
        <w:adjustRightInd w:val="0"/>
        <w:spacing w:line="360" w:lineRule="auto"/>
        <w:ind w:firstLine="424" w:firstLineChars="177"/>
        <w:contextualSpacing/>
        <w:jc w:val="left"/>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rPr>
        <w:t>安全是政务云的红线，</w:t>
      </w:r>
      <w:r>
        <w:rPr>
          <w:rFonts w:hint="eastAsia" w:ascii="Times New Roman" w:hAnsi="Times New Roman" w:eastAsia="宋体" w:cs="Times New Roman"/>
          <w:sz w:val="24"/>
          <w:highlight w:val="none"/>
          <w:lang w:val="en-US" w:eastAsia="zh-CN"/>
        </w:rPr>
        <w:t>投标人</w:t>
      </w:r>
      <w:r>
        <w:rPr>
          <w:rFonts w:hint="eastAsia" w:ascii="Times New Roman" w:hAnsi="Times New Roman" w:eastAsia="宋体" w:cs="Times New Roman"/>
          <w:sz w:val="24"/>
          <w:highlight w:val="none"/>
        </w:rPr>
        <w:t>应按照</w:t>
      </w:r>
      <w:r>
        <w:rPr>
          <w:rFonts w:hint="eastAsia" w:ascii="Times New Roman" w:hAnsi="Times New Roman" w:eastAsia="宋体" w:cs="Times New Roman"/>
          <w:sz w:val="24"/>
          <w:highlight w:val="none"/>
          <w:lang w:val="en-US" w:eastAsia="zh-CN"/>
        </w:rPr>
        <w:t>政务云</w:t>
      </w:r>
      <w:r>
        <w:rPr>
          <w:rFonts w:hint="eastAsia" w:ascii="Times New Roman" w:hAnsi="Times New Roman" w:eastAsia="宋体" w:cs="Times New Roman"/>
          <w:sz w:val="24"/>
          <w:highlight w:val="none"/>
        </w:rPr>
        <w:t>要求</w:t>
      </w:r>
      <w:r>
        <w:rPr>
          <w:rFonts w:hint="eastAsia" w:ascii="Times New Roman" w:hAnsi="Times New Roman" w:eastAsia="宋体" w:cs="Times New Roman"/>
          <w:sz w:val="24"/>
          <w:highlight w:val="none"/>
          <w:lang w:val="en-US" w:eastAsia="zh-CN"/>
        </w:rPr>
        <w:t>保障云上业务系统安全</w:t>
      </w:r>
      <w:r>
        <w:rPr>
          <w:rFonts w:hint="eastAsia"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为</w:t>
      </w:r>
      <w:r>
        <w:rPr>
          <w:rFonts w:hint="eastAsia" w:ascii="Times New Roman" w:hAnsi="Times New Roman" w:eastAsia="宋体" w:cs="Times New Roman"/>
          <w:sz w:val="24"/>
          <w:highlight w:val="none"/>
        </w:rPr>
        <w:t>业务系统</w:t>
      </w:r>
      <w:r>
        <w:rPr>
          <w:rFonts w:hint="eastAsia" w:ascii="Times New Roman" w:hAnsi="Times New Roman" w:eastAsia="宋体" w:cs="Times New Roman"/>
          <w:sz w:val="24"/>
          <w:highlight w:val="none"/>
          <w:lang w:val="en-US" w:eastAsia="zh-CN"/>
        </w:rPr>
        <w:t>提供</w:t>
      </w:r>
      <w:r>
        <w:rPr>
          <w:rFonts w:hint="eastAsia" w:ascii="Times New Roman" w:hAnsi="Times New Roman" w:eastAsia="宋体" w:cs="Times New Roman"/>
          <w:sz w:val="24"/>
          <w:highlight w:val="none"/>
        </w:rPr>
        <w:t>安全防护</w:t>
      </w:r>
      <w:r>
        <w:rPr>
          <w:rFonts w:hint="eastAsia" w:ascii="Times New Roman" w:hAnsi="Times New Roman" w:eastAsia="宋体" w:cs="Times New Roman"/>
          <w:sz w:val="24"/>
          <w:highlight w:val="none"/>
          <w:lang w:val="en-US" w:eastAsia="zh-CN"/>
        </w:rPr>
        <w:t>和安全技术保障，并对能够提供</w:t>
      </w:r>
      <w:r>
        <w:rPr>
          <w:rFonts w:hint="eastAsia" w:ascii="Times New Roman" w:hAnsi="Times New Roman" w:eastAsia="宋体" w:cs="Times New Roman"/>
          <w:sz w:val="24"/>
          <w:highlight w:val="none"/>
        </w:rPr>
        <w:t>有利于安全防护的合理化建议。</w:t>
      </w:r>
      <w:r>
        <w:rPr>
          <w:rFonts w:hint="eastAsia" w:ascii="Times New Roman" w:hAnsi="Times New Roman" w:eastAsia="宋体" w:cs="Times New Roman"/>
          <w:sz w:val="24"/>
          <w:highlight w:val="none"/>
          <w:lang w:val="en-US" w:eastAsia="zh-CN"/>
        </w:rPr>
        <w:t>有效</w:t>
      </w:r>
      <w:r>
        <w:rPr>
          <w:rFonts w:hint="eastAsia" w:ascii="Times New Roman" w:hAnsi="Times New Roman" w:eastAsia="宋体" w:cs="Times New Roman"/>
          <w:sz w:val="24"/>
          <w:highlight w:val="none"/>
        </w:rPr>
        <w:t>强化各领域平台安全管控，保障</w:t>
      </w:r>
      <w:r>
        <w:rPr>
          <w:rFonts w:hint="eastAsia" w:ascii="Times New Roman" w:hAnsi="Times New Roman" w:eastAsia="宋体" w:cs="Times New Roman"/>
          <w:sz w:val="24"/>
          <w:highlight w:val="none"/>
          <w:lang w:val="en-US" w:eastAsia="zh-CN"/>
        </w:rPr>
        <w:t>系统</w:t>
      </w:r>
      <w:r>
        <w:rPr>
          <w:rFonts w:hint="eastAsia" w:ascii="Times New Roman" w:hAnsi="Times New Roman" w:eastAsia="宋体" w:cs="Times New Roman"/>
          <w:sz w:val="24"/>
          <w:highlight w:val="none"/>
        </w:rPr>
        <w:t>安全。</w:t>
      </w:r>
    </w:p>
    <w:p w14:paraId="1D824E1B">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2.5.2业务连续性保障服务</w:t>
      </w:r>
    </w:p>
    <w:p w14:paraId="4FEFE30E">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由于采购人业务系统均属于生产系统，保障业务系统运行的连续性是关键。投标人需具备类似项目经验，可根据业务特点制定应用系统迁移部署方案，配合采购人完成系统迁移部署、运行和安全保障，最终保证现有业务系统可平滑迁移至成交人云平台。具体要求如下：</w:t>
      </w:r>
    </w:p>
    <w:p w14:paraId="1D38E24F">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1）根据采购人需求，完成应用系统的迁移部署。投标人需对迁移过程中是否造成业务中断以及业务中断时间进行承诺。</w:t>
      </w:r>
    </w:p>
    <w:p w14:paraId="1FBDBE71">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承诺迁移过程中业务不中断的；</w:t>
      </w:r>
    </w:p>
    <w:p w14:paraId="3C09EB8B">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承诺迁移业务中断时间少于10小时；</w:t>
      </w:r>
    </w:p>
    <w:p w14:paraId="36300D6F">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承诺迁移业务中断时间大于10小时（不包含10小时）但不多于72小时（包含72小时）；</w:t>
      </w:r>
    </w:p>
    <w:p w14:paraId="7511F344">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承诺迁移业务中断时间超过72小时（不包含72小时）。</w:t>
      </w:r>
    </w:p>
    <w:p w14:paraId="2770A51D">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根据采购人关键业务系统的异构部署（不同云服务商之间）需求，投标人须配合采购人开展方案设计、实施调试等工作。相关工作不得收取额外费用。投标人需承诺：本项要求下相关工作产生的费用应包含在投标报价中不额外收取费用。</w:t>
      </w:r>
    </w:p>
    <w:p w14:paraId="491DA334">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 xml:space="preserve">3）由于采购人业务系统主机已部署于北京市政务云平台中，本项目采购结束后可能会涉及部分云主机的跨云迁移工作。对此，投标人需承诺成交后配合采购人积极与原有云平台厂商对接，平滑稳定完成跨云迁移工作。跨云迁移不得额外收取采购人费用。本项目中涉及跨云迁移的工作，应该在本项目签订合同之日起1个月内完成。投标人需承诺：如因投标人一方政务云环境未能满足迁移要求，造成采购人无法在合同签订之日起1个月内完成跨云迁移工作的，自第2个月起，成交人应承担采购人在原有服务商云环境中相关主机的一切租用服务费用，直至相关系统完成迁移工作为止。    </w:t>
      </w:r>
    </w:p>
    <w:p w14:paraId="50F15B66">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投标人针对以上1-3项内容提供迁移承诺书并加盖投标人公章。</w:t>
      </w:r>
    </w:p>
    <w:p w14:paraId="4BA02356">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2.5.3运维团队要求</w:t>
      </w:r>
    </w:p>
    <w:p w14:paraId="675CB469">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投标人须根据项目要求安排具备相应资质和经验的专业人员从事本项目工作，提供不少于10人的服务团队，须确保项目实施队伍的稳定。投标人需提供项目团队组织架构、成员名单、成员职责，保证担任重要岗位的人员具备相应专业资质。</w:t>
      </w:r>
    </w:p>
    <w:p w14:paraId="15FE84DC">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（1）项目经理</w:t>
      </w:r>
    </w:p>
    <w:p w14:paraId="4E35C69D">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 xml:space="preserve">项目经理1名，需具有5年及以上项目管理工作经验（提供个人简历、项目经历），需具备有效期内的高级信息系统项目管理师证书（计算机技术与软件专业技术资格）、信息安全保障人员认证证书（应急服务专业级或以上）、信息安全保障人员认证证书（安全运维专业级或以上）等。 </w:t>
      </w:r>
    </w:p>
    <w:p w14:paraId="41254788">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 xml:space="preserve">（2）安全（技术）负责人 </w:t>
      </w:r>
    </w:p>
    <w:p w14:paraId="1BC0BFDC">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安全（技术）负责人员1名（不能与项目经理为同一人），需具有五年及以上工作经验，需具有在有效期内的信息安全保障人员认证证书（安全集成专业级或以上）、信息安全保障人员认证证书（应急服务专业级或以上）、注册信息安全工程师（CISP）认证证书等。</w:t>
      </w:r>
    </w:p>
    <w:p w14:paraId="277B53E1">
      <w:pPr>
        <w:widowControl w:val="0"/>
        <w:adjustRightInd w:val="0"/>
        <w:spacing w:line="360" w:lineRule="auto"/>
        <w:ind w:firstLine="424" w:firstLineChars="177"/>
        <w:contextualSpacing/>
        <w:jc w:val="left"/>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（3）团队人员</w:t>
      </w:r>
    </w:p>
    <w:p w14:paraId="5E15F489">
      <w:pPr>
        <w:widowControl w:val="0"/>
        <w:adjustRightInd w:val="0"/>
        <w:spacing w:line="360" w:lineRule="auto"/>
        <w:ind w:firstLine="424" w:firstLineChars="177"/>
        <w:contextualSpacing/>
        <w:jc w:val="left"/>
        <w:rPr>
          <w:rFonts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其他团队服务人员不少于8名（不包含项目经理和安全技术负责人），团队人员需具备以下技术资格认定证书：系统架构设计师证书、系统分析师证书、信息系统项目管理师证书、系统规划与管理师证书、网络规划设计师证书、数据库系统工程师证书、注册信息安全工程师（CISP）认证证书。</w:t>
      </w:r>
    </w:p>
    <w:p w14:paraId="0F1C5386">
      <w:pPr>
        <w:spacing w:line="360" w:lineRule="auto"/>
        <w:contextualSpacing/>
        <w:rPr>
          <w:rFonts w:ascii="Times New Roman" w:hAnsi="Times New Roman" w:eastAsia="宋体" w:cs="Times New Roman"/>
          <w:i/>
          <w:iCs/>
          <w:sz w:val="24"/>
          <w:highlight w:val="none"/>
        </w:rPr>
      </w:pPr>
      <w:r>
        <w:rPr>
          <w:rFonts w:ascii="Times New Roman" w:hAnsi="Times New Roman" w:eastAsia="宋体" w:cs="Times New Roman"/>
          <w:sz w:val="24"/>
          <w:highlight w:val="none"/>
        </w:rPr>
        <w:t>3. 验收标准</w:t>
      </w:r>
    </w:p>
    <w:p w14:paraId="28DF397E">
      <w:pPr>
        <w:snapToGrid w:val="0"/>
        <w:spacing w:line="360" w:lineRule="auto"/>
        <w:ind w:firstLine="480" w:firstLineChars="200"/>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3.1服务绩效指标</w:t>
      </w:r>
    </w:p>
    <w:p w14:paraId="6A8F9E7F">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（1）云服务全年整体可用性≥99.9%；</w:t>
      </w:r>
    </w:p>
    <w:p w14:paraId="059A672D">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（2）故障响应率100%；</w:t>
      </w:r>
    </w:p>
    <w:p w14:paraId="33D6060E">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（3）应急响应时间≤5分钟（重大事件1分钟内响应）。</w:t>
      </w:r>
    </w:p>
    <w:p w14:paraId="6EE4CF89">
      <w:pPr>
        <w:snapToGrid w:val="0"/>
        <w:spacing w:line="360" w:lineRule="auto"/>
        <w:ind w:firstLine="480" w:firstLineChars="200"/>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3.2项目验收要求</w:t>
      </w:r>
    </w:p>
    <w:p w14:paraId="6DD6B3F8">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（1）投标人所提供的北京市市级政务云基础资源服务应遵循客观、科学、合理的原则，符合《北京市市级政务云管理办法》的相关标准及要求。</w:t>
      </w:r>
    </w:p>
    <w:p w14:paraId="2999735F">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（2）投标人所提供资源应满足采购文件规定的要求。保证合同期内系统安全稳定运行，不因硬件故障导致服务中断4小时及以上。</w:t>
      </w:r>
    </w:p>
    <w:p w14:paraId="7853DF0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（3）服务期满后10个工作日开始对合同项目进行验收，投标人应当在采购人指定的验收日前向采购人提交验收报告。验收报告的内容包括但不限于，合同规定的各项服务清单，各系统设备运行情况。</w:t>
      </w:r>
    </w:p>
    <w:p w14:paraId="79FE0930">
      <w:pPr>
        <w:snapToGrid w:val="0"/>
        <w:spacing w:line="360" w:lineRule="auto"/>
        <w:ind w:firstLine="480" w:firstLineChars="200"/>
        <w:rPr>
          <w:rFonts w:ascii="Times New Roman" w:hAnsi="Times New Roman" w:eastAsia="宋体" w:cs="Times New Roman"/>
          <w:b/>
          <w:color w:val="auto"/>
          <w:sz w:val="24"/>
          <w:highlight w:val="none"/>
        </w:rPr>
      </w:pPr>
      <w:r>
        <w:rPr>
          <w:rFonts w:hint="eastAsia" w:ascii="宋体" w:hAnsi="宋体" w:eastAsia="宋体" w:cs="宋体"/>
          <w:color w:val="auto"/>
          <w:sz w:val="24"/>
          <w:highlight w:val="none"/>
        </w:rPr>
        <w:t>（4）服务期届满，投标人按照采购人要求完成所有项目，各项记录、报告等文档齐全，无任何系统遗留问题，并通过由采购人组织的专家验收评审，方可通过验收。</w:t>
      </w:r>
    </w:p>
    <w:p w14:paraId="1FCB21AE">
      <w:pPr>
        <w:spacing w:line="360" w:lineRule="auto"/>
        <w:contextualSpacing/>
        <w:rPr>
          <w:rFonts w:ascii="Times New Roman" w:hAnsi="Times New Roman" w:eastAsia="宋体" w:cs="Times New Roman"/>
          <w:sz w:val="24"/>
          <w:highlight w:val="none"/>
        </w:rPr>
      </w:pPr>
      <w:r>
        <w:rPr>
          <w:rFonts w:ascii="Times New Roman" w:hAnsi="Times New Roman" w:eastAsia="宋体" w:cs="Times New Roman"/>
          <w:sz w:val="24"/>
          <w:highlight w:val="none"/>
        </w:rPr>
        <w:t>4. 其他要求（如有）</w:t>
      </w:r>
    </w:p>
    <w:p w14:paraId="122BF09D">
      <w:pPr>
        <w:snapToGrid w:val="0"/>
        <w:spacing w:line="360" w:lineRule="auto"/>
        <w:ind w:firstLine="480" w:firstLineChars="200"/>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4.1保密要求</w:t>
      </w:r>
    </w:p>
    <w:p w14:paraId="77E2596D">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因承接本合同约定项目所知悉的该项目信息或采购人信息，以及在项目实施过程中所产生的与该项目有关的全部信息均为采购人的保密信息，投标人应按照采购人关于保密工作的相关要求，对上述保密信息承担保密义务。投标人须严格遵守信息安全规定，不得利用系统维护服务时的便利对采购人数据及其他信息擅自修改或透漏给第三方。</w:t>
      </w:r>
    </w:p>
    <w:p w14:paraId="27F94FFA">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应对上述保密信息予以妥善保存，并保证仅将其用于与完成本合同项下约定项目实施有关的用途或目的。在缺少相关保密条款约定时，对上述保密信息,投标人应至少采取适用于对自己商业秘密进行保护的同等保护措施和审慎程度进行保密。</w:t>
      </w:r>
    </w:p>
    <w:p w14:paraId="077E32D7">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（3）投标人保证将保密信息的披露范围严格控制在直接从事该项目工作且因工作需要有必要知悉保密信息的工作人员范围内,对投标人非从事该项目的人员一律严格保密。</w:t>
      </w:r>
    </w:p>
    <w:p w14:paraId="23401F76">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应保证在向其工作人员披露采购人的保密信息前，认真做好员工的保密教育工作，明确告知其将知悉的为采购人的保密信息，并明确告知其需承担的保密义务及泄密所应承担的法律责任，并要求全体参与该项目的人员签署书面《保密协议》。</w:t>
      </w:r>
    </w:p>
    <w:p w14:paraId="6F23EC34">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（5）任何时间内，一经采购人提出要求，投标人应按照采购人指示在收到采购人书面通知后 5 日内将含有保密信息的所有文件或其他资料归还采购人，且不得擅自复制留存。</w:t>
      </w:r>
    </w:p>
    <w:p w14:paraId="61C8F3E2">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（6）非经采购人特别授权，采购人向投标人提供的任何保密信息并不包括授予投标人该保密信息包含的任何专利权、商标权、著作权、商业秘密或其它类型的知识产权。</w:t>
      </w:r>
    </w:p>
    <w:p w14:paraId="46DD895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（7）投标人承担上述保密义务的期限为合同有效期间及合同终止后2年，承担上述保密义务的责任主体为投标人（含投标人服务人员）。</w:t>
      </w:r>
    </w:p>
    <w:p w14:paraId="369AEEB7">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在签订和履行合同过程中从采购人处获知的技术和商业秘密，无论在合同期限内亦或是合同终止后，均应遵守国家有关版权、专利、商标等知识产权方面的法律规定，尊重需求方的知识产权，对所知悉的采购人的技术秘密和商业秘密负有保密责任。</w:t>
      </w:r>
    </w:p>
    <w:p w14:paraId="13FB81FA">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（9）投标人应当对获悉的政务数据、个人信息等予以保密，不得用于其他用途，不得泄露、出售或者非法向他人提供。</w:t>
      </w:r>
    </w:p>
    <w:p w14:paraId="0C148EB0">
      <w:pPr>
        <w:snapToGrid w:val="0"/>
        <w:spacing w:line="360" w:lineRule="auto"/>
        <w:ind w:firstLine="480" w:firstLineChars="200"/>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4.2知识产权要求</w:t>
      </w:r>
    </w:p>
    <w:p w14:paraId="7169785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（1）投标人应确保本项目所提交成果无知识产权纠纷，项目成果的知识产权属于项目委托方。须在响应文件中对此项作出专项承诺，格式自拟。</w:t>
      </w:r>
    </w:p>
    <w:p w14:paraId="665B5D25">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保证向采购人提供的服务成果是其独立实施完成，不存在任何侵犯第三方专利权、商标权、著作权等合法权益。如因投标人提供的服务成果侵犯任何第三方的合法权益，导致该第三方追究采购人责任的，投标人应负责解决并赔偿因此给采购人造成的全部损失。</w:t>
      </w:r>
    </w:p>
    <w:p w14:paraId="25C0C8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E528ED"/>
    <w:rsid w:val="70E528ED"/>
    <w:rsid w:val="7B785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11106</Words>
  <Characters>12469</Characters>
  <Lines>0</Lines>
  <Paragraphs>0</Paragraphs>
  <TotalTime>0</TotalTime>
  <ScaleCrop>false</ScaleCrop>
  <LinksUpToDate>false</LinksUpToDate>
  <CharactersWithSpaces>12674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2026-05-26T02:48:00Z</dcterms:created>
  <dc:creator>栋</dc:creator>
  <cp:lastModifiedBy>栋</cp:lastModifiedBy>
  <dcterms:modified xsi:type="dcterms:W3CDTF">2026-08-04T07:12:29Z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77350CB7948F4CFCA9C66A393776EF6A_11</vt:lpwstr>
  </property>
  <property fmtid="{D5CDD505-2E9C-101B-9397-08002B2CF9AE}" pid="4" name="KSOTemplateDocerSaveRecord">
    <vt:lpwstr>eyJoZGlkIjoiOTU5MTdjOGU3ZmY4YzIwMmE0NTgwNDBkMTdmMjJiYTUiLCJ1c2VySWQiOiI0NTA3NDAzODYifQ==</vt:lpwstr>
  </property>
</Properties>
</file>