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41CEB">
      <w:pPr>
        <w:spacing w:line="360" w:lineRule="auto"/>
        <w:jc w:val="center"/>
        <w:outlineLvl w:val="0"/>
        <w:rPr>
          <w:rFonts w:hint="default" w:eastAsia="宋体"/>
          <w:b/>
          <w:sz w:val="36"/>
          <w:szCs w:val="36"/>
          <w:lang w:val="en-US" w:eastAsia="zh-CN"/>
        </w:rPr>
      </w:pPr>
      <w:r>
        <w:rPr>
          <w:rFonts w:hint="eastAsia"/>
          <w:b/>
          <w:sz w:val="36"/>
          <w:szCs w:val="36"/>
        </w:rPr>
        <w:t>药品检验检测设备更新项目（药品）</w:t>
      </w:r>
      <w:r>
        <w:rPr>
          <w:rFonts w:hint="eastAsia"/>
          <w:b/>
          <w:sz w:val="36"/>
          <w:szCs w:val="36"/>
          <w:lang w:val="en-US" w:eastAsia="zh-CN"/>
        </w:rPr>
        <w:t>招标公告</w:t>
      </w:r>
    </w:p>
    <w:p w14:paraId="4BDD3A27">
      <w:pPr>
        <w:widowControl/>
        <w:jc w:val="left"/>
        <w:rPr>
          <w:b/>
          <w:kern w:val="0"/>
          <w:sz w:val="24"/>
        </w:rPr>
      </w:pPr>
      <w:bookmarkStart w:id="0" w:name="_Toc28359002"/>
      <w:bookmarkStart w:id="1" w:name="_Toc35393790"/>
      <w:bookmarkStart w:id="2" w:name="_Toc35393621"/>
      <w:bookmarkStart w:id="3" w:name="_Toc28359079"/>
      <w:bookmarkStart w:id="4" w:name="_Hlk24379207"/>
    </w:p>
    <w:p w14:paraId="74EBAEBB">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r>
        <w:rPr>
          <w:rFonts w:ascii="Times New Roman" w:hAnsi="Times New Roman" w:eastAsia="宋体" w:cs="Times New Roman"/>
          <w:b/>
          <w:kern w:val="0"/>
          <w:sz w:val="24"/>
          <w:szCs w:val="24"/>
          <w:lang w:val="en-US" w:eastAsia="zh-CN" w:bidi="ar-SA"/>
        </w:rPr>
        <w:t>一、项目基本情况</w:t>
      </w:r>
      <w:bookmarkEnd w:id="0"/>
      <w:bookmarkEnd w:id="1"/>
      <w:bookmarkEnd w:id="2"/>
      <w:bookmarkEnd w:id="3"/>
    </w:p>
    <w:p w14:paraId="7D06FBA8">
      <w:pPr>
        <w:spacing w:line="360" w:lineRule="auto"/>
        <w:ind w:firstLine="480" w:firstLineChars="200"/>
        <w:rPr>
          <w:rFonts w:hint="eastAsia"/>
          <w:sz w:val="24"/>
          <w:highlight w:val="none"/>
          <w:u w:val="single"/>
        </w:rPr>
      </w:pPr>
      <w:r>
        <w:rPr>
          <w:sz w:val="24"/>
        </w:rPr>
        <w:t>1.项目编号</w:t>
      </w:r>
      <w:r>
        <w:rPr>
          <w:sz w:val="24"/>
          <w:highlight w:val="none"/>
        </w:rPr>
        <w:t>：</w:t>
      </w:r>
      <w:r>
        <w:rPr>
          <w:rFonts w:hint="eastAsia"/>
          <w:sz w:val="24"/>
          <w:highlight w:val="none"/>
        </w:rPr>
        <w:t>2641STC73535</w:t>
      </w:r>
    </w:p>
    <w:p w14:paraId="54CD1174">
      <w:pPr>
        <w:spacing w:line="360" w:lineRule="auto"/>
        <w:ind w:firstLine="480" w:firstLineChars="200"/>
        <w:rPr>
          <w:rFonts w:hint="eastAsia" w:eastAsia="宋体"/>
          <w:sz w:val="24"/>
          <w:lang w:eastAsia="zh-CN"/>
        </w:rPr>
      </w:pPr>
      <w:r>
        <w:rPr>
          <w:sz w:val="24"/>
        </w:rPr>
        <w:t>2.项目名称：</w:t>
      </w:r>
      <w:r>
        <w:rPr>
          <w:rFonts w:hint="eastAsia" w:eastAsia="宋体"/>
          <w:sz w:val="24"/>
          <w:lang w:eastAsia="zh-CN"/>
        </w:rPr>
        <w:t>药品检验检测设备更新项目（药品）</w:t>
      </w:r>
    </w:p>
    <w:bookmarkEnd w:id="4"/>
    <w:p w14:paraId="6EF6435E">
      <w:pPr>
        <w:spacing w:line="360" w:lineRule="auto"/>
        <w:ind w:firstLine="480" w:firstLineChars="200"/>
        <w:rPr>
          <w:sz w:val="24"/>
        </w:rPr>
      </w:pPr>
      <w:r>
        <w:rPr>
          <w:sz w:val="24"/>
        </w:rPr>
        <w:t>3.项目预算金额：</w:t>
      </w:r>
      <w:r>
        <w:rPr>
          <w:sz w:val="24"/>
          <w:u w:val="single"/>
        </w:rPr>
        <w:t>2529.86</w:t>
      </w:r>
      <w:r>
        <w:rPr>
          <w:sz w:val="24"/>
        </w:rPr>
        <w:t>万元、项目最高限价（如有）：</w:t>
      </w:r>
      <w:r>
        <w:rPr>
          <w:sz w:val="24"/>
          <w:u w:val="single"/>
        </w:rPr>
        <w:t>2529.86</w:t>
      </w:r>
      <w:r>
        <w:rPr>
          <w:sz w:val="24"/>
        </w:rPr>
        <w:t>万元</w:t>
      </w:r>
    </w:p>
    <w:p w14:paraId="2A4851FA">
      <w:pPr>
        <w:spacing w:line="360" w:lineRule="auto"/>
        <w:ind w:firstLine="480" w:firstLineChars="200"/>
        <w:rPr>
          <w:sz w:val="24"/>
        </w:rPr>
      </w:pPr>
      <w:r>
        <w:rPr>
          <w:sz w:val="24"/>
        </w:rPr>
        <w:t>4.采购需求：</w:t>
      </w:r>
    </w:p>
    <w:tbl>
      <w:tblPr>
        <w:tblStyle w:val="8"/>
        <w:tblW w:w="54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871"/>
        <w:gridCol w:w="1077"/>
        <w:gridCol w:w="1097"/>
        <w:gridCol w:w="936"/>
        <w:gridCol w:w="4618"/>
      </w:tblGrid>
      <w:tr w14:paraId="7DDB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Align w:val="center"/>
          </w:tcPr>
          <w:p w14:paraId="112D0B80">
            <w:pPr>
              <w:jc w:val="center"/>
              <w:rPr>
                <w:bCs/>
                <w:szCs w:val="21"/>
              </w:rPr>
            </w:pPr>
            <w:r>
              <w:rPr>
                <w:bCs/>
                <w:szCs w:val="21"/>
              </w:rPr>
              <w:t>包号</w:t>
            </w:r>
          </w:p>
        </w:tc>
        <w:tc>
          <w:tcPr>
            <w:tcW w:w="469" w:type="pct"/>
            <w:vAlign w:val="center"/>
          </w:tcPr>
          <w:p w14:paraId="70D24073">
            <w:pPr>
              <w:jc w:val="center"/>
              <w:rPr>
                <w:rFonts w:hint="eastAsia" w:eastAsia="宋体"/>
                <w:bCs/>
                <w:szCs w:val="21"/>
                <w:lang w:val="en-US" w:eastAsia="zh-CN"/>
              </w:rPr>
            </w:pPr>
            <w:r>
              <w:rPr>
                <w:rFonts w:hint="eastAsia" w:ascii="Times New Roman" w:eastAsia="宋体"/>
                <w:bCs/>
                <w:szCs w:val="21"/>
                <w:lang w:val="en-US" w:eastAsia="zh-CN"/>
              </w:rPr>
              <w:t>包名称</w:t>
            </w:r>
          </w:p>
        </w:tc>
        <w:tc>
          <w:tcPr>
            <w:tcW w:w="580" w:type="pct"/>
            <w:vAlign w:val="center"/>
          </w:tcPr>
          <w:p w14:paraId="5843B058">
            <w:pPr>
              <w:jc w:val="center"/>
              <w:rPr>
                <w:bCs/>
                <w:szCs w:val="21"/>
              </w:rPr>
            </w:pPr>
            <w:r>
              <w:rPr>
                <w:bCs/>
                <w:szCs w:val="21"/>
              </w:rPr>
              <w:t>标的名称</w:t>
            </w:r>
          </w:p>
        </w:tc>
        <w:tc>
          <w:tcPr>
            <w:tcW w:w="591" w:type="pct"/>
            <w:vAlign w:val="center"/>
          </w:tcPr>
          <w:p w14:paraId="08C2E697">
            <w:pPr>
              <w:jc w:val="center"/>
              <w:rPr>
                <w:bCs/>
                <w:szCs w:val="21"/>
              </w:rPr>
            </w:pPr>
            <w:r>
              <w:rPr>
                <w:bCs/>
                <w:szCs w:val="21"/>
              </w:rPr>
              <w:t>采购包预算金额</w:t>
            </w:r>
          </w:p>
          <w:p w14:paraId="02BDB5EF">
            <w:pPr>
              <w:jc w:val="center"/>
              <w:rPr>
                <w:bCs/>
                <w:szCs w:val="21"/>
              </w:rPr>
            </w:pPr>
            <w:r>
              <w:rPr>
                <w:bCs/>
                <w:szCs w:val="21"/>
              </w:rPr>
              <w:t>（万元）</w:t>
            </w:r>
          </w:p>
        </w:tc>
        <w:tc>
          <w:tcPr>
            <w:tcW w:w="504" w:type="pct"/>
            <w:vAlign w:val="center"/>
          </w:tcPr>
          <w:p w14:paraId="2A6DC035">
            <w:pPr>
              <w:jc w:val="center"/>
            </w:pPr>
            <w:r>
              <w:rPr>
                <w:sz w:val="21"/>
              </w:rPr>
              <w:t>数量（台/套）</w:t>
            </w:r>
          </w:p>
        </w:tc>
        <w:tc>
          <w:tcPr>
            <w:tcW w:w="2487" w:type="pct"/>
            <w:vAlign w:val="center"/>
          </w:tcPr>
          <w:p w14:paraId="012193D2">
            <w:pPr>
              <w:jc w:val="center"/>
              <w:rPr>
                <w:szCs w:val="21"/>
              </w:rPr>
            </w:pPr>
            <w:r>
              <w:rPr>
                <w:szCs w:val="21"/>
              </w:rPr>
              <w:t>简要技术需求或服务要求</w:t>
            </w:r>
          </w:p>
        </w:tc>
      </w:tr>
      <w:tr w14:paraId="618E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restart"/>
            <w:vAlign w:val="center"/>
          </w:tcPr>
          <w:p w14:paraId="6B7275A2">
            <w:pPr>
              <w:jc w:val="center"/>
            </w:pPr>
            <w:r>
              <w:t>01</w:t>
            </w:r>
          </w:p>
        </w:tc>
        <w:tc>
          <w:tcPr>
            <w:tcW w:w="469" w:type="pct"/>
            <w:vMerge w:val="restart"/>
            <w:vAlign w:val="center"/>
          </w:tcPr>
          <w:p w14:paraId="53D5B4C6">
            <w:pPr>
              <w:jc w:val="center"/>
              <w:rPr>
                <w:sz w:val="21"/>
                <w:szCs w:val="21"/>
              </w:rPr>
            </w:pPr>
            <w:r>
              <w:rPr>
                <w:rFonts w:hint="eastAsia"/>
                <w:sz w:val="21"/>
                <w:szCs w:val="21"/>
              </w:rPr>
              <w:t>质谱类</w:t>
            </w:r>
          </w:p>
        </w:tc>
        <w:tc>
          <w:tcPr>
            <w:tcW w:w="580" w:type="pct"/>
            <w:vAlign w:val="center"/>
          </w:tcPr>
          <w:p w14:paraId="0A2E2D6F">
            <w:pPr>
              <w:jc w:val="center"/>
              <w:rPr>
                <w:sz w:val="21"/>
                <w:szCs w:val="21"/>
              </w:rPr>
            </w:pPr>
            <w:r>
              <w:rPr>
                <w:sz w:val="21"/>
                <w:szCs w:val="21"/>
              </w:rPr>
              <w:t>三重四</w:t>
            </w:r>
            <w:r>
              <w:rPr>
                <w:rFonts w:hint="eastAsia" w:ascii="Times New Roman" w:eastAsia="宋体"/>
                <w:sz w:val="21"/>
                <w:szCs w:val="21"/>
                <w:lang w:val="en-US" w:eastAsia="zh-CN"/>
              </w:rPr>
              <w:t>极</w:t>
            </w:r>
            <w:r>
              <w:rPr>
                <w:sz w:val="21"/>
                <w:szCs w:val="21"/>
              </w:rPr>
              <w:t>杆气质联用仪</w:t>
            </w:r>
          </w:p>
        </w:tc>
        <w:tc>
          <w:tcPr>
            <w:tcW w:w="591" w:type="pct"/>
            <w:vMerge w:val="restart"/>
            <w:vAlign w:val="center"/>
          </w:tcPr>
          <w:p w14:paraId="39E000B0">
            <w:pPr>
              <w:jc w:val="center"/>
              <w:rPr>
                <w:sz w:val="21"/>
                <w:szCs w:val="21"/>
              </w:rPr>
            </w:pPr>
            <w:r>
              <w:rPr>
                <w:sz w:val="21"/>
                <w:szCs w:val="21"/>
              </w:rPr>
              <w:t>679.881</w:t>
            </w:r>
          </w:p>
        </w:tc>
        <w:tc>
          <w:tcPr>
            <w:tcW w:w="504" w:type="pct"/>
            <w:vAlign w:val="center"/>
          </w:tcPr>
          <w:p w14:paraId="3C3E21E2">
            <w:pPr>
              <w:jc w:val="center"/>
              <w:rPr>
                <w:sz w:val="21"/>
                <w:szCs w:val="21"/>
              </w:rPr>
            </w:pPr>
            <w:r>
              <w:rPr>
                <w:sz w:val="21"/>
                <w:szCs w:val="21"/>
              </w:rPr>
              <w:t>1</w:t>
            </w:r>
          </w:p>
        </w:tc>
        <w:tc>
          <w:tcPr>
            <w:tcW w:w="2487" w:type="pct"/>
            <w:vAlign w:val="center"/>
          </w:tcPr>
          <w:p w14:paraId="46CAC6A4">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ind w:left="0" w:leftChars="0" w:firstLine="0" w:firstLine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柱箱可设定最高升温速率：≥250℃/min</w:t>
            </w:r>
          </w:p>
          <w:p w14:paraId="01D0DB2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 冷却速度：从 450℃ 降到 50℃ ≤3.5min</w:t>
            </w:r>
          </w:p>
          <w:p w14:paraId="64EF8B0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 质量数范围: 2 -1050 u等。</w:t>
            </w:r>
          </w:p>
        </w:tc>
      </w:tr>
      <w:tr w14:paraId="0128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16E1012A">
            <w:pPr>
              <w:jc w:val="center"/>
            </w:pPr>
          </w:p>
        </w:tc>
        <w:tc>
          <w:tcPr>
            <w:tcW w:w="469" w:type="pct"/>
            <w:vMerge w:val="continue"/>
            <w:vAlign w:val="center"/>
          </w:tcPr>
          <w:p w14:paraId="1C0EF8EC">
            <w:pPr>
              <w:jc w:val="center"/>
              <w:rPr>
                <w:sz w:val="21"/>
                <w:szCs w:val="21"/>
              </w:rPr>
            </w:pPr>
          </w:p>
        </w:tc>
        <w:tc>
          <w:tcPr>
            <w:tcW w:w="580" w:type="pct"/>
            <w:vAlign w:val="center"/>
          </w:tcPr>
          <w:p w14:paraId="01D88EF9">
            <w:pPr>
              <w:jc w:val="center"/>
              <w:rPr>
                <w:sz w:val="21"/>
                <w:szCs w:val="21"/>
              </w:rPr>
            </w:pPr>
            <w:r>
              <w:rPr>
                <w:sz w:val="21"/>
                <w:szCs w:val="21"/>
              </w:rPr>
              <w:t>三重四</w:t>
            </w:r>
            <w:r>
              <w:rPr>
                <w:rFonts w:hint="eastAsia" w:ascii="Times New Roman" w:eastAsia="宋体"/>
                <w:sz w:val="21"/>
                <w:szCs w:val="21"/>
                <w:lang w:val="en-US" w:eastAsia="zh-CN"/>
              </w:rPr>
              <w:t>极</w:t>
            </w:r>
            <w:r>
              <w:rPr>
                <w:sz w:val="21"/>
                <w:szCs w:val="21"/>
              </w:rPr>
              <w:t>杆液质联用仪</w:t>
            </w:r>
          </w:p>
        </w:tc>
        <w:tc>
          <w:tcPr>
            <w:tcW w:w="591" w:type="pct"/>
            <w:vMerge w:val="continue"/>
            <w:vAlign w:val="center"/>
          </w:tcPr>
          <w:p w14:paraId="2EBFEF3C">
            <w:pPr>
              <w:jc w:val="center"/>
              <w:rPr>
                <w:sz w:val="21"/>
                <w:szCs w:val="21"/>
              </w:rPr>
            </w:pPr>
          </w:p>
        </w:tc>
        <w:tc>
          <w:tcPr>
            <w:tcW w:w="504" w:type="pct"/>
            <w:vAlign w:val="center"/>
          </w:tcPr>
          <w:p w14:paraId="0027D21F">
            <w:pPr>
              <w:jc w:val="center"/>
              <w:rPr>
                <w:sz w:val="21"/>
                <w:szCs w:val="21"/>
              </w:rPr>
            </w:pPr>
            <w:r>
              <w:rPr>
                <w:sz w:val="21"/>
                <w:szCs w:val="21"/>
              </w:rPr>
              <w:t>1</w:t>
            </w:r>
          </w:p>
        </w:tc>
        <w:tc>
          <w:tcPr>
            <w:tcW w:w="2487" w:type="pct"/>
            <w:vAlign w:val="center"/>
          </w:tcPr>
          <w:p w14:paraId="2EF29E19">
            <w:pPr>
              <w:jc w:val="both"/>
              <w:rPr>
                <w:rFonts w:hint="eastAsia"/>
                <w:sz w:val="21"/>
                <w:szCs w:val="21"/>
              </w:rPr>
            </w:pPr>
            <w:r>
              <w:rPr>
                <w:rFonts w:hint="eastAsia"/>
                <w:sz w:val="21"/>
                <w:szCs w:val="21"/>
              </w:rPr>
              <w:t>1. 配置独立电喷雾离子源（ESI）。</w:t>
            </w:r>
          </w:p>
          <w:p w14:paraId="55A97C11">
            <w:pPr>
              <w:jc w:val="both"/>
              <w:rPr>
                <w:rFonts w:hint="eastAsia"/>
                <w:sz w:val="21"/>
                <w:szCs w:val="21"/>
              </w:rPr>
            </w:pPr>
            <w:r>
              <w:rPr>
                <w:rFonts w:hint="eastAsia"/>
                <w:sz w:val="21"/>
                <w:szCs w:val="21"/>
              </w:rPr>
              <w:t>2. 离子源应具备高效雾化与去溶剂化设计，配置辅助加热气及离子聚焦功能，喷雾与加热设计应保证高离子化效率。</w:t>
            </w:r>
          </w:p>
          <w:p w14:paraId="6269B97A">
            <w:pPr>
              <w:jc w:val="both"/>
              <w:rPr>
                <w:sz w:val="21"/>
                <w:szCs w:val="21"/>
              </w:rPr>
            </w:pPr>
            <w:r>
              <w:rPr>
                <w:rFonts w:hint="eastAsia"/>
                <w:sz w:val="21"/>
                <w:szCs w:val="21"/>
              </w:rPr>
              <w:t>3. 离子源温度：离子源内两路加热雾化气，辅助加热气温度≥650℃，该最大温度可以在软件界面下设置并运行</w:t>
            </w:r>
            <w:r>
              <w:rPr>
                <w:rFonts w:hint="eastAsia" w:ascii="Times New Roman" w:eastAsia="宋体"/>
                <w:sz w:val="21"/>
                <w:szCs w:val="21"/>
                <w:lang w:val="en-US" w:eastAsia="zh-CN"/>
              </w:rPr>
              <w:t>等</w:t>
            </w:r>
            <w:r>
              <w:rPr>
                <w:rFonts w:hint="eastAsia"/>
                <w:sz w:val="21"/>
                <w:szCs w:val="21"/>
              </w:rPr>
              <w:t>。</w:t>
            </w:r>
          </w:p>
        </w:tc>
      </w:tr>
      <w:tr w14:paraId="7B5A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32518B47">
            <w:pPr>
              <w:jc w:val="center"/>
            </w:pPr>
          </w:p>
        </w:tc>
        <w:tc>
          <w:tcPr>
            <w:tcW w:w="469" w:type="pct"/>
            <w:vMerge w:val="continue"/>
            <w:vAlign w:val="center"/>
          </w:tcPr>
          <w:p w14:paraId="3E4AAA5B">
            <w:pPr>
              <w:jc w:val="center"/>
              <w:rPr>
                <w:sz w:val="21"/>
                <w:szCs w:val="21"/>
              </w:rPr>
            </w:pPr>
          </w:p>
        </w:tc>
        <w:tc>
          <w:tcPr>
            <w:tcW w:w="580" w:type="pct"/>
            <w:vAlign w:val="center"/>
          </w:tcPr>
          <w:p w14:paraId="096A0FA7">
            <w:pPr>
              <w:jc w:val="center"/>
              <w:rPr>
                <w:sz w:val="21"/>
                <w:szCs w:val="21"/>
              </w:rPr>
            </w:pPr>
            <w:r>
              <w:rPr>
                <w:sz w:val="21"/>
                <w:szCs w:val="21"/>
              </w:rPr>
              <w:t>电感耦合等离子体质谱仪</w:t>
            </w:r>
          </w:p>
        </w:tc>
        <w:tc>
          <w:tcPr>
            <w:tcW w:w="591" w:type="pct"/>
            <w:vMerge w:val="continue"/>
            <w:vAlign w:val="center"/>
          </w:tcPr>
          <w:p w14:paraId="430251FF">
            <w:pPr>
              <w:jc w:val="center"/>
              <w:rPr>
                <w:sz w:val="21"/>
                <w:szCs w:val="21"/>
              </w:rPr>
            </w:pPr>
          </w:p>
        </w:tc>
        <w:tc>
          <w:tcPr>
            <w:tcW w:w="504" w:type="pct"/>
            <w:vAlign w:val="center"/>
          </w:tcPr>
          <w:p w14:paraId="45FD395B">
            <w:pPr>
              <w:jc w:val="center"/>
              <w:rPr>
                <w:sz w:val="21"/>
                <w:szCs w:val="21"/>
              </w:rPr>
            </w:pPr>
            <w:r>
              <w:rPr>
                <w:sz w:val="21"/>
                <w:szCs w:val="21"/>
              </w:rPr>
              <w:t>1</w:t>
            </w:r>
          </w:p>
        </w:tc>
        <w:tc>
          <w:tcPr>
            <w:tcW w:w="2487" w:type="pct"/>
            <w:vAlign w:val="center"/>
          </w:tcPr>
          <w:p w14:paraId="4EE98CB6">
            <w:pPr>
              <w:jc w:val="both"/>
              <w:rPr>
                <w:rFonts w:hint="eastAsia" w:eastAsia="宋体"/>
                <w:sz w:val="21"/>
                <w:szCs w:val="21"/>
                <w:lang w:val="en-US" w:eastAsia="zh-CN"/>
              </w:rPr>
            </w:pPr>
            <w:r>
              <w:rPr>
                <w:rFonts w:hint="eastAsia"/>
                <w:sz w:val="21"/>
                <w:szCs w:val="21"/>
              </w:rPr>
              <w:t>电感耦合等离子体质谱仪产品应采用三重四极杆结构设计，即分析腔内具备三套可实现质量数筛选功能的四极杆：通过第一重四极杆去除基体离子和非目标离子；利用第二重四极杆为碰撞反应池内发生的碰撞或化学反应去除多原子干扰；第三重四极杆质量分析器测定目标离子或经反应的产物离子，以实现干扰物的充分消除</w:t>
            </w:r>
            <w:r>
              <w:rPr>
                <w:rFonts w:hint="eastAsia" w:ascii="Times New Roman" w:eastAsia="宋体"/>
                <w:sz w:val="21"/>
                <w:szCs w:val="21"/>
                <w:lang w:val="en-US" w:eastAsia="zh-CN"/>
              </w:rPr>
              <w:t>等。</w:t>
            </w:r>
          </w:p>
        </w:tc>
      </w:tr>
      <w:tr w14:paraId="265B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restart"/>
            <w:shd w:val="clear" w:color="auto" w:fill="auto"/>
            <w:vAlign w:val="center"/>
          </w:tcPr>
          <w:p w14:paraId="2AF135E0">
            <w:pPr>
              <w:jc w:val="center"/>
              <w:rPr>
                <w:rFonts w:ascii="Times New Roman" w:hAnsi="Times New Roman" w:eastAsia="宋体" w:cs="Times New Roman"/>
                <w:kern w:val="2"/>
                <w:sz w:val="21"/>
                <w:szCs w:val="24"/>
                <w:lang w:val="en-US" w:eastAsia="zh-CN" w:bidi="ar-SA"/>
              </w:rPr>
            </w:pPr>
            <w:r>
              <w:t>02</w:t>
            </w:r>
          </w:p>
        </w:tc>
        <w:tc>
          <w:tcPr>
            <w:tcW w:w="469" w:type="pct"/>
            <w:vMerge w:val="restart"/>
            <w:shd w:val="clear" w:color="auto" w:fill="auto"/>
            <w:vAlign w:val="center"/>
          </w:tcPr>
          <w:p w14:paraId="2AC51F73">
            <w:pPr>
              <w:jc w:val="center"/>
              <w:rPr>
                <w:rFonts w:ascii="Times New Roman" w:hAnsi="Times New Roman" w:eastAsia="宋体" w:cs="Times New Roman"/>
                <w:kern w:val="2"/>
                <w:sz w:val="21"/>
                <w:szCs w:val="24"/>
                <w:lang w:val="en-US" w:eastAsia="zh-CN" w:bidi="ar-SA"/>
              </w:rPr>
            </w:pPr>
            <w:r>
              <w:rPr>
                <w:rFonts w:hint="eastAsia"/>
              </w:rPr>
              <w:t>色谱类</w:t>
            </w:r>
          </w:p>
        </w:tc>
        <w:tc>
          <w:tcPr>
            <w:tcW w:w="580" w:type="pct"/>
            <w:shd w:val="clear" w:color="auto" w:fill="auto"/>
            <w:vAlign w:val="center"/>
          </w:tcPr>
          <w:p w14:paraId="184FAFC3">
            <w:pPr>
              <w:jc w:val="center"/>
              <w:rPr>
                <w:rFonts w:hint="eastAsia" w:ascii="Times New Roman" w:hAnsi="Times New Roman" w:eastAsia="宋体" w:cs="Times New Roman"/>
                <w:kern w:val="2"/>
                <w:sz w:val="21"/>
                <w:szCs w:val="24"/>
                <w:lang w:val="en-US" w:eastAsia="zh-CN" w:bidi="ar-SA"/>
              </w:rPr>
            </w:pPr>
            <w:r>
              <w:t>液相色谱仪</w:t>
            </w:r>
            <w:r>
              <w:rPr>
                <w:rFonts w:hint="eastAsia"/>
                <w:lang w:val="en-US" w:eastAsia="zh-CN"/>
              </w:rPr>
              <w:t>1</w:t>
            </w:r>
          </w:p>
        </w:tc>
        <w:tc>
          <w:tcPr>
            <w:tcW w:w="591" w:type="pct"/>
            <w:vMerge w:val="restart"/>
            <w:shd w:val="clear" w:color="auto" w:fill="auto"/>
            <w:vAlign w:val="center"/>
          </w:tcPr>
          <w:p w14:paraId="47724FA9">
            <w:pPr>
              <w:jc w:val="center"/>
              <w:rPr>
                <w:rFonts w:ascii="Times New Roman" w:hAnsi="Times New Roman" w:eastAsia="宋体" w:cs="Times New Roman"/>
                <w:kern w:val="2"/>
                <w:sz w:val="21"/>
                <w:szCs w:val="24"/>
                <w:lang w:val="en-US" w:eastAsia="zh-CN" w:bidi="ar-SA"/>
              </w:rPr>
            </w:pPr>
            <w:r>
              <w:t>1033.68</w:t>
            </w:r>
          </w:p>
        </w:tc>
        <w:tc>
          <w:tcPr>
            <w:tcW w:w="504" w:type="pct"/>
            <w:shd w:val="clear" w:color="auto" w:fill="auto"/>
            <w:vAlign w:val="center"/>
          </w:tcPr>
          <w:p w14:paraId="0CC29CB4">
            <w:pPr>
              <w:jc w:val="center"/>
              <w:rPr>
                <w:rFonts w:ascii="Times New Roman" w:hAnsi="Times New Roman" w:eastAsia="宋体" w:cs="Times New Roman"/>
                <w:kern w:val="2"/>
                <w:sz w:val="21"/>
                <w:szCs w:val="24"/>
                <w:lang w:val="en-US" w:eastAsia="zh-CN" w:bidi="ar-SA"/>
              </w:rPr>
            </w:pPr>
            <w:r>
              <w:t>14</w:t>
            </w:r>
          </w:p>
        </w:tc>
        <w:tc>
          <w:tcPr>
            <w:tcW w:w="2487" w:type="pct"/>
            <w:shd w:val="clear" w:color="auto" w:fill="auto"/>
            <w:vAlign w:val="center"/>
          </w:tcPr>
          <w:p w14:paraId="5C3C234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sz w:val="21"/>
                <w:szCs w:val="21"/>
              </w:rPr>
            </w:pPr>
            <w:r>
              <w:rPr>
                <w:rFonts w:hint="eastAsia"/>
                <w:sz w:val="21"/>
                <w:szCs w:val="21"/>
              </w:rPr>
              <w:t>1、工作原理：串联式双柱塞往复泵，自动连续可变冲程20-100μl，配置柱塞清洗附件</w:t>
            </w:r>
          </w:p>
          <w:p w14:paraId="4546EE50">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sz w:val="21"/>
                <w:szCs w:val="21"/>
                <w:lang w:eastAsia="zh-CN"/>
              </w:rPr>
            </w:pPr>
            <w:r>
              <w:rPr>
                <w:rFonts w:hint="eastAsia"/>
                <w:sz w:val="21"/>
                <w:szCs w:val="21"/>
              </w:rPr>
              <w:t>2、控温方式：强制空气循环加热方式，电子冷却方式</w:t>
            </w:r>
          </w:p>
          <w:p w14:paraId="68121B22">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rFonts w:hint="eastAsia"/>
                <w:sz w:val="21"/>
                <w:szCs w:val="21"/>
              </w:rPr>
              <w:t>3、光源：氘灯、钨灯等</w:t>
            </w:r>
            <w:r>
              <w:rPr>
                <w:rFonts w:hint="eastAsia"/>
                <w:sz w:val="21"/>
                <w:szCs w:val="21"/>
                <w:lang w:eastAsia="zh-CN"/>
              </w:rPr>
              <w:t>。</w:t>
            </w:r>
          </w:p>
        </w:tc>
      </w:tr>
      <w:tr w14:paraId="2058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649DDC8F">
            <w:pPr>
              <w:jc w:val="center"/>
            </w:pPr>
          </w:p>
        </w:tc>
        <w:tc>
          <w:tcPr>
            <w:tcW w:w="469" w:type="pct"/>
            <w:vMerge w:val="continue"/>
          </w:tcPr>
          <w:p w14:paraId="7463C80A">
            <w:pPr>
              <w:jc w:val="center"/>
              <w:rPr>
                <w:sz w:val="21"/>
                <w:szCs w:val="21"/>
              </w:rPr>
            </w:pPr>
          </w:p>
        </w:tc>
        <w:tc>
          <w:tcPr>
            <w:tcW w:w="580" w:type="pct"/>
            <w:shd w:val="clear" w:color="auto" w:fill="auto"/>
            <w:vAlign w:val="center"/>
          </w:tcPr>
          <w:p w14:paraId="5F7816B9">
            <w:pPr>
              <w:jc w:val="center"/>
              <w:rPr>
                <w:rFonts w:hint="eastAsia" w:ascii="Times New Roman" w:hAnsi="Times New Roman" w:eastAsia="宋体" w:cs="Times New Roman"/>
                <w:kern w:val="2"/>
                <w:sz w:val="21"/>
                <w:szCs w:val="24"/>
                <w:lang w:val="en-US" w:eastAsia="zh-CN" w:bidi="ar-SA"/>
              </w:rPr>
            </w:pPr>
            <w:r>
              <w:t>液相色谱仪</w:t>
            </w:r>
            <w:r>
              <w:rPr>
                <w:rFonts w:hint="eastAsia"/>
                <w:lang w:val="en-US" w:eastAsia="zh-CN"/>
              </w:rPr>
              <w:t>2</w:t>
            </w:r>
          </w:p>
        </w:tc>
        <w:tc>
          <w:tcPr>
            <w:tcW w:w="591" w:type="pct"/>
            <w:vMerge w:val="continue"/>
          </w:tcPr>
          <w:p w14:paraId="464942AB">
            <w:pPr>
              <w:jc w:val="center"/>
              <w:rPr>
                <w:sz w:val="21"/>
                <w:szCs w:val="21"/>
              </w:rPr>
            </w:pPr>
          </w:p>
        </w:tc>
        <w:tc>
          <w:tcPr>
            <w:tcW w:w="504" w:type="pct"/>
            <w:shd w:val="clear" w:color="auto" w:fill="auto"/>
            <w:vAlign w:val="center"/>
          </w:tcPr>
          <w:p w14:paraId="759A1C57">
            <w:pPr>
              <w:jc w:val="center"/>
              <w:rPr>
                <w:rFonts w:ascii="Times New Roman" w:hAnsi="Times New Roman" w:eastAsia="宋体" w:cs="Times New Roman"/>
                <w:kern w:val="2"/>
                <w:sz w:val="21"/>
                <w:szCs w:val="24"/>
                <w:lang w:val="en-US" w:eastAsia="zh-CN" w:bidi="ar-SA"/>
              </w:rPr>
            </w:pPr>
            <w:r>
              <w:t>2</w:t>
            </w:r>
          </w:p>
        </w:tc>
        <w:tc>
          <w:tcPr>
            <w:tcW w:w="2487" w:type="pct"/>
            <w:shd w:val="clear" w:color="auto" w:fill="auto"/>
            <w:vAlign w:val="center"/>
          </w:tcPr>
          <w:p w14:paraId="7839C8C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rFonts w:ascii="宋体" w:hAnsi="宋体" w:eastAsia="宋体" w:cs="宋体"/>
                <w:kern w:val="0"/>
                <w:sz w:val="21"/>
                <w:szCs w:val="21"/>
                <w:lang w:val="en-US" w:eastAsia="zh-CN" w:bidi="ar-SA"/>
              </w:rPr>
              <w:t>1</w:t>
            </w:r>
            <w:r>
              <w:rPr>
                <w:sz w:val="21"/>
                <w:szCs w:val="21"/>
                <w:lang w:val="en-US" w:eastAsia="zh-CN"/>
              </w:rPr>
              <w:t>、</w:t>
            </w:r>
            <w:r>
              <w:rPr>
                <w:sz w:val="21"/>
                <w:szCs w:val="21"/>
              </w:rPr>
              <w:t>泵头需为双柱塞往复式并联泵，非串联泵</w:t>
            </w:r>
          </w:p>
          <w:p w14:paraId="58CA7E8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lang w:val="en-US" w:eastAsia="zh-CN"/>
              </w:rPr>
              <w:t>2、</w:t>
            </w:r>
            <w:r>
              <w:rPr>
                <w:sz w:val="21"/>
                <w:szCs w:val="21"/>
              </w:rPr>
              <w:t>加热模式：双温区，并可降温</w:t>
            </w:r>
          </w:p>
          <w:p w14:paraId="621FD4BE">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sz w:val="21"/>
                <w:szCs w:val="21"/>
              </w:rPr>
              <w:t>3、二极管数：≥1024等</w:t>
            </w:r>
            <w:r>
              <w:rPr>
                <w:rFonts w:hint="eastAsia"/>
                <w:sz w:val="21"/>
                <w:szCs w:val="21"/>
                <w:lang w:eastAsia="zh-CN"/>
              </w:rPr>
              <w:t>。</w:t>
            </w:r>
          </w:p>
        </w:tc>
      </w:tr>
      <w:tr w14:paraId="1619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01ED2627">
            <w:pPr>
              <w:jc w:val="center"/>
            </w:pPr>
          </w:p>
        </w:tc>
        <w:tc>
          <w:tcPr>
            <w:tcW w:w="469" w:type="pct"/>
            <w:vMerge w:val="continue"/>
          </w:tcPr>
          <w:p w14:paraId="629596D8">
            <w:pPr>
              <w:jc w:val="center"/>
              <w:rPr>
                <w:sz w:val="21"/>
                <w:szCs w:val="21"/>
              </w:rPr>
            </w:pPr>
          </w:p>
        </w:tc>
        <w:tc>
          <w:tcPr>
            <w:tcW w:w="580" w:type="pct"/>
            <w:shd w:val="clear" w:color="auto" w:fill="auto"/>
            <w:vAlign w:val="center"/>
          </w:tcPr>
          <w:p w14:paraId="321668CD">
            <w:pPr>
              <w:jc w:val="center"/>
              <w:rPr>
                <w:rFonts w:hint="eastAsia" w:ascii="Times New Roman" w:hAnsi="Times New Roman" w:eastAsia="宋体" w:cs="Times New Roman"/>
                <w:kern w:val="2"/>
                <w:sz w:val="21"/>
                <w:szCs w:val="24"/>
                <w:lang w:val="en-US" w:eastAsia="zh-CN" w:bidi="ar-SA"/>
              </w:rPr>
            </w:pPr>
            <w:r>
              <w:t>液相色谱仪</w:t>
            </w:r>
            <w:r>
              <w:rPr>
                <w:rFonts w:hint="eastAsia"/>
                <w:lang w:val="en-US" w:eastAsia="zh-CN"/>
              </w:rPr>
              <w:t>3</w:t>
            </w:r>
          </w:p>
        </w:tc>
        <w:tc>
          <w:tcPr>
            <w:tcW w:w="591" w:type="pct"/>
            <w:vMerge w:val="continue"/>
          </w:tcPr>
          <w:p w14:paraId="6A42526F">
            <w:pPr>
              <w:jc w:val="center"/>
              <w:rPr>
                <w:sz w:val="21"/>
                <w:szCs w:val="21"/>
              </w:rPr>
            </w:pPr>
          </w:p>
        </w:tc>
        <w:tc>
          <w:tcPr>
            <w:tcW w:w="504" w:type="pct"/>
            <w:shd w:val="clear" w:color="auto" w:fill="auto"/>
            <w:vAlign w:val="center"/>
          </w:tcPr>
          <w:p w14:paraId="5404142F">
            <w:pPr>
              <w:jc w:val="center"/>
              <w:rPr>
                <w:rFonts w:ascii="Times New Roman" w:hAnsi="Times New Roman" w:eastAsia="宋体" w:cs="Times New Roman"/>
                <w:kern w:val="2"/>
                <w:sz w:val="21"/>
                <w:szCs w:val="24"/>
                <w:lang w:val="en-US" w:eastAsia="zh-CN" w:bidi="ar-SA"/>
              </w:rPr>
            </w:pPr>
            <w:r>
              <w:t>2</w:t>
            </w:r>
          </w:p>
        </w:tc>
        <w:tc>
          <w:tcPr>
            <w:tcW w:w="2487" w:type="pct"/>
            <w:shd w:val="clear" w:color="auto" w:fill="auto"/>
            <w:vAlign w:val="center"/>
          </w:tcPr>
          <w:p w14:paraId="31E31A0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1、梯度模式：低压混合，四元梯度，1-4路溶剂任意混合</w:t>
            </w:r>
          </w:p>
          <w:p w14:paraId="3FDBA443">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2、样品管理器高级功能：自动稀释、自动添加和预加载</w:t>
            </w:r>
          </w:p>
          <w:p w14:paraId="50F45D8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sz w:val="21"/>
                <w:szCs w:val="21"/>
              </w:rPr>
              <w:t>3、报告：内置多种报告格式，可自动生成系统适应性报告、峰纯度报告、光谱检索报告等；用户也可编辑个性化的报告模板等</w:t>
            </w:r>
            <w:r>
              <w:rPr>
                <w:rFonts w:hint="eastAsia"/>
                <w:sz w:val="21"/>
                <w:szCs w:val="21"/>
                <w:lang w:eastAsia="zh-CN"/>
              </w:rPr>
              <w:t>。</w:t>
            </w:r>
          </w:p>
        </w:tc>
      </w:tr>
      <w:tr w14:paraId="4A13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78394FB6">
            <w:pPr>
              <w:jc w:val="center"/>
            </w:pPr>
          </w:p>
        </w:tc>
        <w:tc>
          <w:tcPr>
            <w:tcW w:w="469" w:type="pct"/>
            <w:vMerge w:val="continue"/>
          </w:tcPr>
          <w:p w14:paraId="02284A52">
            <w:pPr>
              <w:jc w:val="center"/>
              <w:rPr>
                <w:sz w:val="21"/>
                <w:szCs w:val="21"/>
              </w:rPr>
            </w:pPr>
          </w:p>
        </w:tc>
        <w:tc>
          <w:tcPr>
            <w:tcW w:w="580" w:type="pct"/>
            <w:shd w:val="clear" w:color="auto" w:fill="auto"/>
            <w:vAlign w:val="center"/>
          </w:tcPr>
          <w:p w14:paraId="5D5CA9AE">
            <w:pPr>
              <w:jc w:val="center"/>
              <w:rPr>
                <w:rFonts w:hint="eastAsia" w:ascii="Times New Roman" w:hAnsi="Times New Roman" w:eastAsia="宋体" w:cs="Times New Roman"/>
                <w:kern w:val="2"/>
                <w:sz w:val="21"/>
                <w:szCs w:val="24"/>
                <w:lang w:val="en-US" w:eastAsia="zh-CN" w:bidi="ar-SA"/>
              </w:rPr>
            </w:pPr>
            <w:r>
              <w:t>液相色谱仪</w:t>
            </w:r>
            <w:r>
              <w:rPr>
                <w:rFonts w:hint="eastAsia"/>
                <w:lang w:val="en-US" w:eastAsia="zh-CN"/>
              </w:rPr>
              <w:t>4</w:t>
            </w:r>
          </w:p>
        </w:tc>
        <w:tc>
          <w:tcPr>
            <w:tcW w:w="591" w:type="pct"/>
            <w:vMerge w:val="continue"/>
          </w:tcPr>
          <w:p w14:paraId="01BC8774">
            <w:pPr>
              <w:jc w:val="center"/>
              <w:rPr>
                <w:sz w:val="21"/>
                <w:szCs w:val="21"/>
              </w:rPr>
            </w:pPr>
          </w:p>
        </w:tc>
        <w:tc>
          <w:tcPr>
            <w:tcW w:w="504" w:type="pct"/>
            <w:shd w:val="clear" w:color="auto" w:fill="auto"/>
            <w:vAlign w:val="center"/>
          </w:tcPr>
          <w:p w14:paraId="31DA480B">
            <w:pPr>
              <w:jc w:val="center"/>
              <w:rPr>
                <w:rFonts w:hint="eastAsia" w:ascii="Times New Roman" w:hAnsi="Times New Roman" w:eastAsia="宋体" w:cs="Times New Roman"/>
                <w:kern w:val="2"/>
                <w:sz w:val="21"/>
                <w:szCs w:val="24"/>
                <w:lang w:val="en-US" w:eastAsia="zh-CN" w:bidi="ar-SA"/>
              </w:rPr>
            </w:pPr>
            <w:r>
              <w:rPr>
                <w:rFonts w:hint="eastAsia"/>
                <w:lang w:val="en-US" w:eastAsia="zh-CN"/>
              </w:rPr>
              <w:t>1</w:t>
            </w:r>
          </w:p>
        </w:tc>
        <w:tc>
          <w:tcPr>
            <w:tcW w:w="2487" w:type="pct"/>
            <w:shd w:val="clear" w:color="auto" w:fill="auto"/>
            <w:vAlign w:val="center"/>
          </w:tcPr>
          <w:p w14:paraId="7CE67A8F">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1、样品管理器高级功能：自动稀释、自动添加和预加载</w:t>
            </w:r>
          </w:p>
          <w:p w14:paraId="25E2CFE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2、数据采集模式：最多4个2D通道或1个3D通道</w:t>
            </w:r>
          </w:p>
          <w:p w14:paraId="071EEB44">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sz w:val="21"/>
                <w:szCs w:val="21"/>
              </w:rPr>
              <w:t>3、具有操作面板，可以独立设定工作参数、显示运行状态等</w:t>
            </w:r>
            <w:r>
              <w:rPr>
                <w:rFonts w:hint="eastAsia"/>
                <w:sz w:val="21"/>
                <w:szCs w:val="21"/>
                <w:lang w:eastAsia="zh-CN"/>
              </w:rPr>
              <w:t>。</w:t>
            </w:r>
          </w:p>
        </w:tc>
      </w:tr>
      <w:tr w14:paraId="213E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5F95B0D5">
            <w:pPr>
              <w:jc w:val="center"/>
            </w:pPr>
          </w:p>
        </w:tc>
        <w:tc>
          <w:tcPr>
            <w:tcW w:w="469" w:type="pct"/>
            <w:vMerge w:val="continue"/>
          </w:tcPr>
          <w:p w14:paraId="2715B2F5">
            <w:pPr>
              <w:jc w:val="center"/>
              <w:rPr>
                <w:sz w:val="21"/>
                <w:szCs w:val="21"/>
              </w:rPr>
            </w:pPr>
          </w:p>
        </w:tc>
        <w:tc>
          <w:tcPr>
            <w:tcW w:w="580" w:type="pct"/>
            <w:shd w:val="clear" w:color="auto" w:fill="auto"/>
            <w:vAlign w:val="center"/>
          </w:tcPr>
          <w:p w14:paraId="7CF765ED">
            <w:pPr>
              <w:jc w:val="center"/>
              <w:rPr>
                <w:rFonts w:hint="eastAsia" w:ascii="Times New Roman" w:hAnsi="Times New Roman" w:eastAsia="宋体" w:cs="Times New Roman"/>
                <w:kern w:val="2"/>
                <w:sz w:val="21"/>
                <w:szCs w:val="24"/>
                <w:lang w:val="en-US" w:eastAsia="zh-CN" w:bidi="ar-SA"/>
              </w:rPr>
            </w:pPr>
            <w:r>
              <w:t>液相色谱仪</w:t>
            </w:r>
            <w:r>
              <w:rPr>
                <w:rFonts w:hint="eastAsia"/>
                <w:lang w:val="en-US" w:eastAsia="zh-CN"/>
              </w:rPr>
              <w:t>5</w:t>
            </w:r>
          </w:p>
        </w:tc>
        <w:tc>
          <w:tcPr>
            <w:tcW w:w="591" w:type="pct"/>
            <w:vMerge w:val="continue"/>
          </w:tcPr>
          <w:p w14:paraId="1D9250FB">
            <w:pPr>
              <w:jc w:val="center"/>
              <w:rPr>
                <w:sz w:val="21"/>
                <w:szCs w:val="21"/>
              </w:rPr>
            </w:pPr>
          </w:p>
        </w:tc>
        <w:tc>
          <w:tcPr>
            <w:tcW w:w="504" w:type="pct"/>
            <w:shd w:val="clear" w:color="auto" w:fill="auto"/>
            <w:vAlign w:val="center"/>
          </w:tcPr>
          <w:p w14:paraId="7F722673">
            <w:pPr>
              <w:jc w:val="center"/>
              <w:rPr>
                <w:rFonts w:hint="eastAsia" w:ascii="Times New Roman" w:hAnsi="Times New Roman" w:eastAsia="宋体" w:cs="Times New Roman"/>
                <w:kern w:val="2"/>
                <w:sz w:val="21"/>
                <w:szCs w:val="24"/>
                <w:lang w:val="en-US" w:eastAsia="zh-CN" w:bidi="ar-SA"/>
              </w:rPr>
            </w:pPr>
            <w:r>
              <w:rPr>
                <w:rFonts w:hint="eastAsia"/>
                <w:lang w:val="en-US" w:eastAsia="zh-CN"/>
              </w:rPr>
              <w:t>1</w:t>
            </w:r>
          </w:p>
        </w:tc>
        <w:tc>
          <w:tcPr>
            <w:tcW w:w="2487" w:type="pct"/>
            <w:shd w:val="clear" w:color="auto" w:fill="auto"/>
            <w:vAlign w:val="center"/>
          </w:tcPr>
          <w:p w14:paraId="5B783BA9">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1、具有高性能表面技术，使用完全惰性材料，可省去钝化操作，无需使用添加剂；</w:t>
            </w:r>
          </w:p>
          <w:p w14:paraId="0B8A9AE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sz w:val="21"/>
                <w:szCs w:val="21"/>
              </w:rPr>
              <w:t>2、梯度模式：低压混合，四元梯度，1-4路溶剂任意混合等</w:t>
            </w:r>
            <w:r>
              <w:rPr>
                <w:rFonts w:hint="eastAsia"/>
                <w:sz w:val="21"/>
                <w:szCs w:val="21"/>
                <w:lang w:eastAsia="zh-CN"/>
              </w:rPr>
              <w:t>。</w:t>
            </w:r>
          </w:p>
        </w:tc>
      </w:tr>
      <w:tr w14:paraId="56C3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614CC0B6">
            <w:pPr>
              <w:jc w:val="center"/>
            </w:pPr>
          </w:p>
        </w:tc>
        <w:tc>
          <w:tcPr>
            <w:tcW w:w="469" w:type="pct"/>
            <w:vMerge w:val="continue"/>
          </w:tcPr>
          <w:p w14:paraId="2665FE5B">
            <w:pPr>
              <w:jc w:val="center"/>
              <w:rPr>
                <w:sz w:val="21"/>
                <w:szCs w:val="21"/>
              </w:rPr>
            </w:pPr>
          </w:p>
        </w:tc>
        <w:tc>
          <w:tcPr>
            <w:tcW w:w="580" w:type="pct"/>
            <w:shd w:val="clear" w:color="auto" w:fill="auto"/>
            <w:vAlign w:val="center"/>
          </w:tcPr>
          <w:p w14:paraId="3F3A07A6">
            <w:pPr>
              <w:jc w:val="center"/>
              <w:rPr>
                <w:rFonts w:ascii="Times New Roman" w:hAnsi="Times New Roman" w:eastAsia="宋体" w:cs="Times New Roman"/>
                <w:kern w:val="2"/>
                <w:sz w:val="21"/>
                <w:szCs w:val="24"/>
                <w:lang w:val="en-US" w:eastAsia="zh-CN" w:bidi="ar-SA"/>
              </w:rPr>
            </w:pPr>
            <w:r>
              <w:t>超高效液相色谱仪</w:t>
            </w:r>
          </w:p>
        </w:tc>
        <w:tc>
          <w:tcPr>
            <w:tcW w:w="591" w:type="pct"/>
            <w:vMerge w:val="continue"/>
          </w:tcPr>
          <w:p w14:paraId="0773C396">
            <w:pPr>
              <w:jc w:val="center"/>
              <w:rPr>
                <w:sz w:val="21"/>
                <w:szCs w:val="21"/>
              </w:rPr>
            </w:pPr>
          </w:p>
        </w:tc>
        <w:tc>
          <w:tcPr>
            <w:tcW w:w="504" w:type="pct"/>
            <w:shd w:val="clear" w:color="auto" w:fill="auto"/>
            <w:vAlign w:val="center"/>
          </w:tcPr>
          <w:p w14:paraId="0ABEC2E3">
            <w:pPr>
              <w:jc w:val="center"/>
              <w:rPr>
                <w:rFonts w:ascii="Times New Roman" w:hAnsi="Times New Roman" w:eastAsia="宋体" w:cs="Times New Roman"/>
                <w:kern w:val="2"/>
                <w:sz w:val="21"/>
                <w:szCs w:val="24"/>
                <w:lang w:val="en-US" w:eastAsia="zh-CN" w:bidi="ar-SA"/>
              </w:rPr>
            </w:pPr>
            <w:r>
              <w:t>1</w:t>
            </w:r>
          </w:p>
        </w:tc>
        <w:tc>
          <w:tcPr>
            <w:tcW w:w="2487" w:type="pct"/>
            <w:shd w:val="clear" w:color="auto" w:fill="auto"/>
            <w:vAlign w:val="center"/>
          </w:tcPr>
          <w:p w14:paraId="3737C14C">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sz w:val="21"/>
                <w:szCs w:val="21"/>
              </w:rPr>
              <w:t>1、梯度模式：高压混合，二元梯度</w:t>
            </w:r>
          </w:p>
          <w:p w14:paraId="090681F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sz w:val="21"/>
                <w:szCs w:val="21"/>
              </w:rPr>
              <w:t>2、最大操作压力：≥1200bar</w:t>
            </w:r>
            <w:r>
              <w:rPr>
                <w:rFonts w:hint="eastAsia"/>
                <w:sz w:val="21"/>
                <w:szCs w:val="21"/>
                <w:lang w:val="en-US" w:eastAsia="zh-CN"/>
              </w:rPr>
              <w:t>等。</w:t>
            </w:r>
          </w:p>
        </w:tc>
      </w:tr>
      <w:tr w14:paraId="7D5A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tcPr>
          <w:p w14:paraId="74F15C16">
            <w:pPr>
              <w:jc w:val="center"/>
            </w:pPr>
          </w:p>
        </w:tc>
        <w:tc>
          <w:tcPr>
            <w:tcW w:w="469" w:type="pct"/>
            <w:vMerge w:val="continue"/>
          </w:tcPr>
          <w:p w14:paraId="297C57C9">
            <w:pPr>
              <w:jc w:val="center"/>
              <w:rPr>
                <w:sz w:val="21"/>
                <w:szCs w:val="21"/>
              </w:rPr>
            </w:pPr>
          </w:p>
        </w:tc>
        <w:tc>
          <w:tcPr>
            <w:tcW w:w="580" w:type="pct"/>
            <w:shd w:val="clear" w:color="auto" w:fill="auto"/>
            <w:vAlign w:val="center"/>
          </w:tcPr>
          <w:p w14:paraId="4E14EA1C">
            <w:pPr>
              <w:jc w:val="center"/>
              <w:rPr>
                <w:rFonts w:ascii="Times New Roman" w:hAnsi="Times New Roman" w:eastAsia="宋体" w:cs="Times New Roman"/>
                <w:kern w:val="2"/>
                <w:sz w:val="21"/>
                <w:szCs w:val="24"/>
                <w:lang w:val="en-US" w:eastAsia="zh-CN" w:bidi="ar-SA"/>
              </w:rPr>
            </w:pPr>
            <w:r>
              <w:t>气相色谱仪</w:t>
            </w:r>
          </w:p>
        </w:tc>
        <w:tc>
          <w:tcPr>
            <w:tcW w:w="591" w:type="pct"/>
            <w:vMerge w:val="continue"/>
          </w:tcPr>
          <w:p w14:paraId="22CC1B83">
            <w:pPr>
              <w:jc w:val="center"/>
              <w:rPr>
                <w:sz w:val="21"/>
                <w:szCs w:val="21"/>
              </w:rPr>
            </w:pPr>
          </w:p>
        </w:tc>
        <w:tc>
          <w:tcPr>
            <w:tcW w:w="504" w:type="pct"/>
            <w:shd w:val="clear" w:color="auto" w:fill="auto"/>
            <w:vAlign w:val="center"/>
          </w:tcPr>
          <w:p w14:paraId="05A42229">
            <w:pPr>
              <w:jc w:val="center"/>
              <w:rPr>
                <w:rFonts w:ascii="Times New Roman" w:hAnsi="Times New Roman" w:eastAsia="宋体" w:cs="Times New Roman"/>
                <w:kern w:val="2"/>
                <w:sz w:val="21"/>
                <w:szCs w:val="24"/>
                <w:lang w:val="en-US" w:eastAsia="zh-CN" w:bidi="ar-SA"/>
              </w:rPr>
            </w:pPr>
            <w:r>
              <w:t>1</w:t>
            </w:r>
          </w:p>
        </w:tc>
        <w:tc>
          <w:tcPr>
            <w:tcW w:w="2487" w:type="pct"/>
            <w:shd w:val="clear" w:color="auto" w:fill="auto"/>
            <w:vAlign w:val="center"/>
          </w:tcPr>
          <w:p w14:paraId="6846CF8A">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sz w:val="21"/>
                <w:szCs w:val="21"/>
              </w:rPr>
            </w:pPr>
            <w:r>
              <w:rPr>
                <w:rFonts w:hint="eastAsia"/>
                <w:sz w:val="21"/>
                <w:szCs w:val="21"/>
                <w:lang w:val="en-US" w:eastAsia="zh-CN"/>
              </w:rPr>
              <w:t>1</w:t>
            </w:r>
            <w:r>
              <w:rPr>
                <w:sz w:val="21"/>
                <w:szCs w:val="21"/>
              </w:rPr>
              <w:t>、具有灭火自动检测和自动重新点火功能</w:t>
            </w:r>
          </w:p>
          <w:p w14:paraId="2B2DA93D">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eastAsia" w:ascii="宋体" w:hAnsi="宋体" w:eastAsia="宋体" w:cs="宋体"/>
                <w:kern w:val="0"/>
                <w:sz w:val="21"/>
                <w:szCs w:val="21"/>
                <w:lang w:val="en-US" w:eastAsia="zh-CN" w:bidi="ar-SA"/>
              </w:rPr>
            </w:pPr>
            <w:r>
              <w:rPr>
                <w:rFonts w:hint="eastAsia"/>
                <w:sz w:val="21"/>
                <w:szCs w:val="21"/>
                <w:lang w:val="en-US" w:eastAsia="zh-CN"/>
              </w:rPr>
              <w:t>2</w:t>
            </w:r>
            <w:r>
              <w:rPr>
                <w:sz w:val="21"/>
                <w:szCs w:val="21"/>
              </w:rPr>
              <w:t>、标准 EPC 尾吹气类型：氩气/5%甲烷或氮气，0-150 mL/min等</w:t>
            </w:r>
            <w:r>
              <w:rPr>
                <w:rFonts w:hint="eastAsia"/>
                <w:sz w:val="21"/>
                <w:szCs w:val="21"/>
                <w:lang w:eastAsia="zh-CN"/>
              </w:rPr>
              <w:t>。</w:t>
            </w:r>
          </w:p>
        </w:tc>
      </w:tr>
      <w:tr w14:paraId="3C1E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restart"/>
            <w:vAlign w:val="center"/>
          </w:tcPr>
          <w:p w14:paraId="65FA1305">
            <w:pPr>
              <w:jc w:val="center"/>
            </w:pPr>
            <w:r>
              <w:t>03</w:t>
            </w:r>
          </w:p>
        </w:tc>
        <w:tc>
          <w:tcPr>
            <w:tcW w:w="469" w:type="pct"/>
            <w:vMerge w:val="restart"/>
            <w:vAlign w:val="center"/>
          </w:tcPr>
          <w:p w14:paraId="5697C452">
            <w:pPr>
              <w:jc w:val="center"/>
            </w:pPr>
            <w:r>
              <w:rPr>
                <w:rFonts w:hint="eastAsia"/>
              </w:rPr>
              <w:t>其它仪器</w:t>
            </w:r>
          </w:p>
        </w:tc>
        <w:tc>
          <w:tcPr>
            <w:tcW w:w="580" w:type="pct"/>
            <w:vAlign w:val="center"/>
          </w:tcPr>
          <w:p w14:paraId="68C8C84B">
            <w:pPr>
              <w:jc w:val="center"/>
            </w:pPr>
            <w:r>
              <w:t>无菌隔离器</w:t>
            </w:r>
          </w:p>
        </w:tc>
        <w:tc>
          <w:tcPr>
            <w:tcW w:w="591" w:type="pct"/>
            <w:vMerge w:val="restart"/>
            <w:vAlign w:val="center"/>
          </w:tcPr>
          <w:p w14:paraId="0526A62C">
            <w:pPr>
              <w:jc w:val="center"/>
            </w:pPr>
            <w:r>
              <w:t>816.299</w:t>
            </w:r>
          </w:p>
        </w:tc>
        <w:tc>
          <w:tcPr>
            <w:tcW w:w="504" w:type="pct"/>
            <w:vAlign w:val="center"/>
          </w:tcPr>
          <w:p w14:paraId="46EAE424">
            <w:pPr>
              <w:jc w:val="center"/>
            </w:pPr>
            <w:r>
              <w:t>1</w:t>
            </w:r>
          </w:p>
        </w:tc>
        <w:tc>
          <w:tcPr>
            <w:tcW w:w="2487" w:type="pct"/>
            <w:vAlign w:val="top"/>
          </w:tcPr>
          <w:p w14:paraId="38D5FB71">
            <w:pPr>
              <w:keepNext w:val="0"/>
              <w:keepLines w:val="0"/>
              <w:widowControl/>
              <w:suppressLineNumbers w:val="0"/>
              <w:jc w:val="left"/>
              <w:textAlignment w:val="top"/>
              <w:rPr>
                <w:rFonts w:hint="eastAsia" w:ascii="宋体" w:hAnsi="宋体" w:eastAsia="宋体" w:cs="宋体"/>
                <w:lang w:eastAsia="zh-CN"/>
              </w:rPr>
            </w:pPr>
            <w:r>
              <w:rPr>
                <w:rFonts w:hint="eastAsia" w:ascii="宋体" w:hAnsi="宋体" w:eastAsia="宋体" w:cs="宋体"/>
              </w:rPr>
              <w:t>无菌隔离系统应至少包含：单面紊流单舱体（操作舱-单面4+2手套）；控制系统：干法汽化过氧化氢灭菌技术；集成式手套检漏设备；集菌仪；温湿度探头；压差传感器；过滤器压差计；手套袖套；配套支架；配备过氧化氢浓度探头；操作舱配备在线浮游菌计数器</w:t>
            </w:r>
            <w:r>
              <w:rPr>
                <w:rFonts w:hint="eastAsia" w:ascii="宋体" w:hAnsi="宋体" w:eastAsia="宋体" w:cs="宋体"/>
                <w:lang w:val="en-US" w:eastAsia="zh-CN"/>
              </w:rPr>
              <w:t>等。</w:t>
            </w:r>
          </w:p>
        </w:tc>
      </w:tr>
      <w:tr w14:paraId="7849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64083110">
            <w:pPr>
              <w:jc w:val="center"/>
            </w:pPr>
          </w:p>
        </w:tc>
        <w:tc>
          <w:tcPr>
            <w:tcW w:w="469" w:type="pct"/>
            <w:vMerge w:val="continue"/>
            <w:vAlign w:val="center"/>
          </w:tcPr>
          <w:p w14:paraId="5F861802">
            <w:pPr>
              <w:jc w:val="center"/>
            </w:pPr>
          </w:p>
        </w:tc>
        <w:tc>
          <w:tcPr>
            <w:tcW w:w="580" w:type="pct"/>
            <w:vAlign w:val="center"/>
          </w:tcPr>
          <w:p w14:paraId="26E60F38">
            <w:pPr>
              <w:jc w:val="center"/>
            </w:pPr>
            <w:r>
              <w:t>全自动血球计数器</w:t>
            </w:r>
          </w:p>
        </w:tc>
        <w:tc>
          <w:tcPr>
            <w:tcW w:w="591" w:type="pct"/>
            <w:vMerge w:val="continue"/>
            <w:vAlign w:val="center"/>
          </w:tcPr>
          <w:p w14:paraId="68118997">
            <w:pPr>
              <w:jc w:val="center"/>
            </w:pPr>
          </w:p>
        </w:tc>
        <w:tc>
          <w:tcPr>
            <w:tcW w:w="504" w:type="pct"/>
            <w:vAlign w:val="center"/>
          </w:tcPr>
          <w:p w14:paraId="41C2ADBB">
            <w:pPr>
              <w:jc w:val="center"/>
            </w:pPr>
            <w:r>
              <w:t>1</w:t>
            </w:r>
          </w:p>
        </w:tc>
        <w:tc>
          <w:tcPr>
            <w:tcW w:w="2487" w:type="pct"/>
            <w:vAlign w:val="top"/>
          </w:tcPr>
          <w:p w14:paraId="07BE3288">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报告参数至少33项：WBC, LYMPH#, MONO#, NEUT#, EO#, BASO#, LYMPH%, MONO%, NEUT%, EO%, BASO%，RBC, HGB, HCT, MCV, MCH, MCHC, RDW-SD, RDW-CV，PLT, PCT, MPV, P-LCR, PDW,RET#, RET% , IRF, LFR, MFR, HFR, RET-He；NRBC#, NRBC%</w:t>
            </w:r>
            <w:r>
              <w:rPr>
                <w:rFonts w:hint="eastAsia" w:ascii="宋体" w:hAnsi="宋体" w:eastAsia="宋体" w:cs="宋体"/>
                <w:lang w:val="en-US" w:eastAsia="zh-CN"/>
              </w:rPr>
              <w:t>等。</w:t>
            </w:r>
          </w:p>
        </w:tc>
      </w:tr>
      <w:tr w14:paraId="4DF6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03D90EA8">
            <w:pPr>
              <w:jc w:val="center"/>
            </w:pPr>
          </w:p>
        </w:tc>
        <w:tc>
          <w:tcPr>
            <w:tcW w:w="469" w:type="pct"/>
            <w:vMerge w:val="continue"/>
            <w:vAlign w:val="center"/>
          </w:tcPr>
          <w:p w14:paraId="79F440B1">
            <w:pPr>
              <w:jc w:val="center"/>
            </w:pPr>
          </w:p>
        </w:tc>
        <w:tc>
          <w:tcPr>
            <w:tcW w:w="580" w:type="pct"/>
            <w:vAlign w:val="center"/>
          </w:tcPr>
          <w:p w14:paraId="3E677183">
            <w:pPr>
              <w:jc w:val="center"/>
            </w:pPr>
            <w:r>
              <w:t>二氧化碳培养箱</w:t>
            </w:r>
          </w:p>
        </w:tc>
        <w:tc>
          <w:tcPr>
            <w:tcW w:w="591" w:type="pct"/>
            <w:vMerge w:val="continue"/>
            <w:vAlign w:val="center"/>
          </w:tcPr>
          <w:p w14:paraId="7B9BE799">
            <w:pPr>
              <w:jc w:val="center"/>
            </w:pPr>
          </w:p>
        </w:tc>
        <w:tc>
          <w:tcPr>
            <w:tcW w:w="504" w:type="pct"/>
            <w:vAlign w:val="center"/>
          </w:tcPr>
          <w:p w14:paraId="3660E7A1">
            <w:pPr>
              <w:jc w:val="center"/>
            </w:pPr>
            <w:r>
              <w:t>1</w:t>
            </w:r>
          </w:p>
        </w:tc>
        <w:tc>
          <w:tcPr>
            <w:tcW w:w="2487" w:type="pct"/>
            <w:vAlign w:val="top"/>
          </w:tcPr>
          <w:p w14:paraId="1B16C24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工作体积：≥180L</w:t>
            </w:r>
          </w:p>
          <w:p w14:paraId="4A498615">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配备搁板数目≥4块</w:t>
            </w:r>
          </w:p>
          <w:p w14:paraId="3AFB7960">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温度控制范围：室温+5℃-50℃</w:t>
            </w:r>
            <w:r>
              <w:rPr>
                <w:rFonts w:hint="eastAsia" w:ascii="宋体" w:hAnsi="宋体" w:eastAsia="宋体" w:cs="宋体"/>
                <w:lang w:val="en-US" w:eastAsia="zh-CN"/>
              </w:rPr>
              <w:t>等。</w:t>
            </w:r>
          </w:p>
        </w:tc>
      </w:tr>
      <w:tr w14:paraId="7AFA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4E110870">
            <w:pPr>
              <w:jc w:val="center"/>
            </w:pPr>
          </w:p>
        </w:tc>
        <w:tc>
          <w:tcPr>
            <w:tcW w:w="469" w:type="pct"/>
            <w:vMerge w:val="continue"/>
            <w:vAlign w:val="center"/>
          </w:tcPr>
          <w:p w14:paraId="5D6BAB92">
            <w:pPr>
              <w:jc w:val="center"/>
            </w:pPr>
          </w:p>
        </w:tc>
        <w:tc>
          <w:tcPr>
            <w:tcW w:w="580" w:type="pct"/>
            <w:vAlign w:val="center"/>
          </w:tcPr>
          <w:p w14:paraId="4D36F941">
            <w:pPr>
              <w:jc w:val="center"/>
              <w:rPr>
                <w:rFonts w:hint="eastAsia" w:eastAsia="宋体"/>
                <w:lang w:val="en-US" w:eastAsia="zh-CN"/>
              </w:rPr>
            </w:pPr>
            <w:r>
              <w:t>药物溶出度仪</w:t>
            </w:r>
            <w:r>
              <w:rPr>
                <w:rFonts w:hint="eastAsia"/>
                <w:lang w:val="en-US" w:eastAsia="zh-CN"/>
              </w:rPr>
              <w:t>1</w:t>
            </w:r>
          </w:p>
        </w:tc>
        <w:tc>
          <w:tcPr>
            <w:tcW w:w="591" w:type="pct"/>
            <w:vMerge w:val="continue"/>
            <w:vAlign w:val="center"/>
          </w:tcPr>
          <w:p w14:paraId="61F79B8B">
            <w:pPr>
              <w:jc w:val="center"/>
            </w:pPr>
          </w:p>
        </w:tc>
        <w:tc>
          <w:tcPr>
            <w:tcW w:w="504" w:type="pct"/>
            <w:vAlign w:val="center"/>
          </w:tcPr>
          <w:p w14:paraId="54A193DE">
            <w:pPr>
              <w:jc w:val="center"/>
              <w:rPr>
                <w:rFonts w:hint="eastAsia" w:eastAsia="宋体"/>
                <w:lang w:eastAsia="zh-CN"/>
              </w:rPr>
            </w:pPr>
            <w:r>
              <w:rPr>
                <w:rFonts w:hint="eastAsia"/>
                <w:lang w:val="en-US" w:eastAsia="zh-CN"/>
              </w:rPr>
              <w:t>2</w:t>
            </w:r>
          </w:p>
        </w:tc>
        <w:tc>
          <w:tcPr>
            <w:tcW w:w="2487" w:type="pct"/>
            <w:vAlign w:val="top"/>
          </w:tcPr>
          <w:p w14:paraId="3C303D6D">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搅拌桨摆动幅度：≤0.3 mm</w:t>
            </w:r>
          </w:p>
          <w:p w14:paraId="1447A450">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转篮摆动幅度：≤0.3 mm</w:t>
            </w:r>
          </w:p>
          <w:p w14:paraId="32EC4615">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同轴度：≤±1.0 mm</w:t>
            </w:r>
            <w:r>
              <w:rPr>
                <w:rFonts w:hint="eastAsia" w:ascii="宋体" w:hAnsi="宋体" w:eastAsia="宋体" w:cs="宋体"/>
                <w:lang w:val="en-US" w:eastAsia="zh-CN"/>
              </w:rPr>
              <w:t>等。</w:t>
            </w:r>
          </w:p>
        </w:tc>
      </w:tr>
      <w:tr w14:paraId="5AF3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03506D3F">
            <w:pPr>
              <w:jc w:val="center"/>
            </w:pPr>
          </w:p>
        </w:tc>
        <w:tc>
          <w:tcPr>
            <w:tcW w:w="469" w:type="pct"/>
            <w:vMerge w:val="continue"/>
            <w:vAlign w:val="center"/>
          </w:tcPr>
          <w:p w14:paraId="3501B93B">
            <w:pPr>
              <w:jc w:val="center"/>
            </w:pPr>
          </w:p>
        </w:tc>
        <w:tc>
          <w:tcPr>
            <w:tcW w:w="580" w:type="pct"/>
            <w:vAlign w:val="center"/>
          </w:tcPr>
          <w:p w14:paraId="2A6FD3B9">
            <w:pPr>
              <w:jc w:val="center"/>
              <w:rPr>
                <w:rFonts w:hint="eastAsia" w:eastAsia="宋体"/>
                <w:lang w:val="en-US" w:eastAsia="zh-CN"/>
              </w:rPr>
            </w:pPr>
            <w:r>
              <w:t>药物溶出度仪</w:t>
            </w:r>
            <w:r>
              <w:rPr>
                <w:rFonts w:hint="eastAsia"/>
                <w:lang w:val="en-US" w:eastAsia="zh-CN"/>
              </w:rPr>
              <w:t>2</w:t>
            </w:r>
          </w:p>
        </w:tc>
        <w:tc>
          <w:tcPr>
            <w:tcW w:w="591" w:type="pct"/>
            <w:vMerge w:val="continue"/>
            <w:vAlign w:val="center"/>
          </w:tcPr>
          <w:p w14:paraId="5BFC6BEB">
            <w:pPr>
              <w:jc w:val="center"/>
            </w:pPr>
          </w:p>
        </w:tc>
        <w:tc>
          <w:tcPr>
            <w:tcW w:w="504" w:type="pct"/>
            <w:vAlign w:val="center"/>
          </w:tcPr>
          <w:p w14:paraId="765A6452">
            <w:pPr>
              <w:jc w:val="center"/>
              <w:rPr>
                <w:rFonts w:hint="eastAsia" w:eastAsia="宋体"/>
                <w:lang w:val="en-US" w:eastAsia="zh-CN"/>
              </w:rPr>
            </w:pPr>
            <w:r>
              <w:rPr>
                <w:rFonts w:hint="eastAsia"/>
                <w:lang w:val="en-US" w:eastAsia="zh-CN"/>
              </w:rPr>
              <w:t>2</w:t>
            </w:r>
          </w:p>
        </w:tc>
        <w:tc>
          <w:tcPr>
            <w:tcW w:w="2487" w:type="pct"/>
            <w:vAlign w:val="top"/>
          </w:tcPr>
          <w:p w14:paraId="48C3330A">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溶出杯位数：≥12位。</w:t>
            </w:r>
          </w:p>
          <w:p w14:paraId="0B4047AC">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搅拌桨摆动幅度：≤0.2mm。</w:t>
            </w:r>
          </w:p>
          <w:p w14:paraId="58D24C7A">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转篮摆动幅度：≤0.5 mm</w:t>
            </w:r>
            <w:r>
              <w:rPr>
                <w:rFonts w:hint="eastAsia" w:ascii="宋体" w:hAnsi="宋体" w:eastAsia="宋体" w:cs="宋体"/>
                <w:lang w:val="en-US" w:eastAsia="zh-CN"/>
              </w:rPr>
              <w:t>等。</w:t>
            </w:r>
          </w:p>
        </w:tc>
      </w:tr>
      <w:tr w14:paraId="7DE7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26362A14">
            <w:pPr>
              <w:jc w:val="center"/>
            </w:pPr>
          </w:p>
        </w:tc>
        <w:tc>
          <w:tcPr>
            <w:tcW w:w="469" w:type="pct"/>
            <w:vMerge w:val="continue"/>
            <w:vAlign w:val="center"/>
          </w:tcPr>
          <w:p w14:paraId="61EC6854">
            <w:pPr>
              <w:jc w:val="center"/>
            </w:pPr>
          </w:p>
        </w:tc>
        <w:tc>
          <w:tcPr>
            <w:tcW w:w="580" w:type="pct"/>
            <w:vAlign w:val="center"/>
          </w:tcPr>
          <w:p w14:paraId="5B6D2E3B">
            <w:pPr>
              <w:jc w:val="center"/>
              <w:rPr>
                <w:rFonts w:hint="eastAsia" w:eastAsia="宋体"/>
                <w:lang w:val="en-US" w:eastAsia="zh-CN"/>
              </w:rPr>
            </w:pPr>
            <w:r>
              <w:t>药物溶出度仪</w:t>
            </w:r>
            <w:r>
              <w:rPr>
                <w:rFonts w:hint="eastAsia"/>
                <w:lang w:val="en-US" w:eastAsia="zh-CN"/>
              </w:rPr>
              <w:t>3</w:t>
            </w:r>
          </w:p>
        </w:tc>
        <w:tc>
          <w:tcPr>
            <w:tcW w:w="591" w:type="pct"/>
            <w:vMerge w:val="continue"/>
            <w:vAlign w:val="center"/>
          </w:tcPr>
          <w:p w14:paraId="46654277">
            <w:pPr>
              <w:jc w:val="center"/>
            </w:pPr>
          </w:p>
        </w:tc>
        <w:tc>
          <w:tcPr>
            <w:tcW w:w="504" w:type="pct"/>
            <w:vAlign w:val="center"/>
          </w:tcPr>
          <w:p w14:paraId="12542734">
            <w:pPr>
              <w:jc w:val="center"/>
              <w:rPr>
                <w:rFonts w:hint="eastAsia" w:eastAsia="宋体"/>
                <w:lang w:val="en-US" w:eastAsia="zh-CN"/>
              </w:rPr>
            </w:pPr>
            <w:r>
              <w:rPr>
                <w:rFonts w:hint="eastAsia"/>
                <w:lang w:val="en-US" w:eastAsia="zh-CN"/>
              </w:rPr>
              <w:t>2</w:t>
            </w:r>
          </w:p>
        </w:tc>
        <w:tc>
          <w:tcPr>
            <w:tcW w:w="2487" w:type="pct"/>
            <w:vAlign w:val="top"/>
          </w:tcPr>
          <w:p w14:paraId="041487E3">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溶出工位：12位，溶出杯体积：0-1000mL；溶出杯定位：自动中心定位；</w:t>
            </w:r>
          </w:p>
          <w:p w14:paraId="543716F6">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具备12位在线溶出杯温控模块；温控范围：室温-50℃，分辨率：0.01℃，精度：±0.2℃</w:t>
            </w:r>
            <w:r>
              <w:rPr>
                <w:rFonts w:hint="eastAsia" w:ascii="宋体" w:hAnsi="宋体" w:eastAsia="宋体" w:cs="宋体"/>
                <w:lang w:val="en-US" w:eastAsia="zh-CN"/>
              </w:rPr>
              <w:t>等。</w:t>
            </w:r>
          </w:p>
        </w:tc>
      </w:tr>
      <w:tr w14:paraId="1374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0753756D">
            <w:pPr>
              <w:jc w:val="center"/>
            </w:pPr>
          </w:p>
        </w:tc>
        <w:tc>
          <w:tcPr>
            <w:tcW w:w="469" w:type="pct"/>
            <w:vMerge w:val="continue"/>
            <w:vAlign w:val="center"/>
          </w:tcPr>
          <w:p w14:paraId="39367009">
            <w:pPr>
              <w:jc w:val="center"/>
            </w:pPr>
          </w:p>
        </w:tc>
        <w:tc>
          <w:tcPr>
            <w:tcW w:w="580" w:type="pct"/>
            <w:vAlign w:val="center"/>
          </w:tcPr>
          <w:p w14:paraId="3E699485">
            <w:pPr>
              <w:jc w:val="center"/>
              <w:rPr>
                <w:rFonts w:hint="eastAsia" w:eastAsia="宋体"/>
                <w:lang w:val="en-US" w:eastAsia="zh-CN"/>
              </w:rPr>
            </w:pPr>
            <w:r>
              <w:t>药物溶出度仪</w:t>
            </w:r>
            <w:r>
              <w:rPr>
                <w:rFonts w:hint="eastAsia"/>
                <w:lang w:val="en-US" w:eastAsia="zh-CN"/>
              </w:rPr>
              <w:t>4</w:t>
            </w:r>
          </w:p>
        </w:tc>
        <w:tc>
          <w:tcPr>
            <w:tcW w:w="591" w:type="pct"/>
            <w:vMerge w:val="continue"/>
            <w:vAlign w:val="center"/>
          </w:tcPr>
          <w:p w14:paraId="7CAB4405">
            <w:pPr>
              <w:jc w:val="center"/>
            </w:pPr>
          </w:p>
        </w:tc>
        <w:tc>
          <w:tcPr>
            <w:tcW w:w="504" w:type="pct"/>
            <w:vAlign w:val="center"/>
          </w:tcPr>
          <w:p w14:paraId="0F37F858">
            <w:pPr>
              <w:jc w:val="center"/>
              <w:rPr>
                <w:rFonts w:hint="eastAsia" w:eastAsia="宋体"/>
                <w:lang w:val="en-US" w:eastAsia="zh-CN"/>
              </w:rPr>
            </w:pPr>
            <w:r>
              <w:rPr>
                <w:rFonts w:hint="eastAsia"/>
                <w:lang w:val="en-US" w:eastAsia="zh-CN"/>
              </w:rPr>
              <w:t>2</w:t>
            </w:r>
          </w:p>
        </w:tc>
        <w:tc>
          <w:tcPr>
            <w:tcW w:w="2487" w:type="pct"/>
            <w:vAlign w:val="top"/>
          </w:tcPr>
          <w:p w14:paraId="59811E1C">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设备安全性能符合现行版《中国药典》法规要求。具备至少三层采购人等级管理权限，配有审计追踪功能，支持数据备份、屏幕锁定、数据导出，满足GMP 数据完整性要求</w:t>
            </w:r>
            <w:r>
              <w:rPr>
                <w:rFonts w:hint="eastAsia" w:ascii="宋体" w:hAnsi="宋体" w:eastAsia="宋体" w:cs="宋体"/>
                <w:lang w:val="en-US" w:eastAsia="zh-CN"/>
              </w:rPr>
              <w:t>等。</w:t>
            </w:r>
          </w:p>
        </w:tc>
      </w:tr>
      <w:tr w14:paraId="6A77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3660DC30">
            <w:pPr>
              <w:jc w:val="center"/>
            </w:pPr>
          </w:p>
        </w:tc>
        <w:tc>
          <w:tcPr>
            <w:tcW w:w="469" w:type="pct"/>
            <w:vMerge w:val="continue"/>
            <w:vAlign w:val="center"/>
          </w:tcPr>
          <w:p w14:paraId="50DEEFA0">
            <w:pPr>
              <w:jc w:val="center"/>
            </w:pPr>
          </w:p>
        </w:tc>
        <w:tc>
          <w:tcPr>
            <w:tcW w:w="580" w:type="pct"/>
            <w:vAlign w:val="center"/>
          </w:tcPr>
          <w:p w14:paraId="64771F8D">
            <w:pPr>
              <w:jc w:val="center"/>
            </w:pPr>
            <w:r>
              <w:t>洁净工作台</w:t>
            </w:r>
          </w:p>
        </w:tc>
        <w:tc>
          <w:tcPr>
            <w:tcW w:w="591" w:type="pct"/>
            <w:vMerge w:val="continue"/>
            <w:vAlign w:val="center"/>
          </w:tcPr>
          <w:p w14:paraId="0B5C102C">
            <w:pPr>
              <w:jc w:val="center"/>
            </w:pPr>
          </w:p>
        </w:tc>
        <w:tc>
          <w:tcPr>
            <w:tcW w:w="504" w:type="pct"/>
            <w:vAlign w:val="center"/>
          </w:tcPr>
          <w:p w14:paraId="0C498DFC">
            <w:pPr>
              <w:jc w:val="center"/>
            </w:pPr>
            <w:r>
              <w:t>1</w:t>
            </w:r>
          </w:p>
        </w:tc>
        <w:tc>
          <w:tcPr>
            <w:tcW w:w="2487" w:type="pct"/>
            <w:vAlign w:val="top"/>
          </w:tcPr>
          <w:p w14:paraId="5F1AE730">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均照明度（Lx）：≥800；平均紫外强度（mW/m2)：≥1100</w:t>
            </w:r>
          </w:p>
          <w:p w14:paraId="6D2F46C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震动幅值≤2μm；噪音≤62dB（A）。输入功率不小于180W，适用人数1-2人；</w:t>
            </w:r>
          </w:p>
          <w:p w14:paraId="404739A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平均风速0.2-0.5（m/s）（高中低三档风速）</w:t>
            </w:r>
            <w:r>
              <w:rPr>
                <w:rFonts w:hint="eastAsia" w:ascii="宋体" w:hAnsi="宋体" w:eastAsia="宋体" w:cs="宋体"/>
                <w:lang w:val="en-US" w:eastAsia="zh-CN"/>
              </w:rPr>
              <w:t>等。</w:t>
            </w:r>
          </w:p>
        </w:tc>
      </w:tr>
      <w:tr w14:paraId="5137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5FAD137F">
            <w:pPr>
              <w:jc w:val="center"/>
            </w:pPr>
          </w:p>
        </w:tc>
        <w:tc>
          <w:tcPr>
            <w:tcW w:w="469" w:type="pct"/>
            <w:vMerge w:val="continue"/>
            <w:vAlign w:val="center"/>
          </w:tcPr>
          <w:p w14:paraId="6568B147">
            <w:pPr>
              <w:jc w:val="center"/>
            </w:pPr>
          </w:p>
        </w:tc>
        <w:tc>
          <w:tcPr>
            <w:tcW w:w="580" w:type="pct"/>
            <w:vAlign w:val="center"/>
          </w:tcPr>
          <w:p w14:paraId="6414BC17">
            <w:pPr>
              <w:jc w:val="center"/>
            </w:pPr>
            <w:r>
              <w:t>全自动脱水机</w:t>
            </w:r>
          </w:p>
        </w:tc>
        <w:tc>
          <w:tcPr>
            <w:tcW w:w="591" w:type="pct"/>
            <w:vMerge w:val="continue"/>
            <w:vAlign w:val="center"/>
          </w:tcPr>
          <w:p w14:paraId="7DA68283">
            <w:pPr>
              <w:jc w:val="center"/>
            </w:pPr>
          </w:p>
        </w:tc>
        <w:tc>
          <w:tcPr>
            <w:tcW w:w="504" w:type="pct"/>
            <w:vAlign w:val="center"/>
          </w:tcPr>
          <w:p w14:paraId="151AC1CB">
            <w:pPr>
              <w:jc w:val="center"/>
            </w:pPr>
            <w:r>
              <w:t>1</w:t>
            </w:r>
          </w:p>
        </w:tc>
        <w:tc>
          <w:tcPr>
            <w:tcW w:w="2487" w:type="pct"/>
            <w:vAlign w:val="top"/>
          </w:tcPr>
          <w:p w14:paraId="30B45694">
            <w:pPr>
              <w:keepNext w:val="0"/>
              <w:keepLines w:val="0"/>
              <w:widowControl/>
              <w:suppressLineNumbers w:val="0"/>
              <w:jc w:val="left"/>
              <w:textAlignment w:val="top"/>
              <w:rPr>
                <w:rFonts w:hint="eastAsia" w:ascii="宋体" w:hAnsi="宋体" w:eastAsia="宋体" w:cs="宋体"/>
                <w:lang w:val="en-US" w:eastAsia="zh-CN"/>
              </w:rPr>
            </w:pPr>
            <w:r>
              <w:rPr>
                <w:rFonts w:hint="eastAsia" w:ascii="宋体" w:hAnsi="宋体" w:eastAsia="宋体" w:cs="宋体"/>
              </w:rPr>
              <w:t>可同时处理包埋盒数量不少于400个，脱水缸数量不少于2个，且可独立运行，并具有独立的温度、压力和搅拌器开/关设置，具备试剂管理系统，可根据包埋盒数量、脱水周期、试剂使用天数、试剂浓度自动提示试剂更换</w:t>
            </w:r>
            <w:r>
              <w:rPr>
                <w:rFonts w:hint="eastAsia" w:ascii="宋体" w:hAnsi="宋体" w:eastAsia="宋体" w:cs="宋体"/>
                <w:lang w:val="en-US" w:eastAsia="zh-CN"/>
              </w:rPr>
              <w:t>等。</w:t>
            </w:r>
          </w:p>
        </w:tc>
      </w:tr>
      <w:tr w14:paraId="6AA9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7810309F">
            <w:pPr>
              <w:jc w:val="center"/>
            </w:pPr>
          </w:p>
        </w:tc>
        <w:tc>
          <w:tcPr>
            <w:tcW w:w="469" w:type="pct"/>
            <w:vMerge w:val="continue"/>
            <w:vAlign w:val="center"/>
          </w:tcPr>
          <w:p w14:paraId="4FD71668">
            <w:pPr>
              <w:jc w:val="center"/>
            </w:pPr>
          </w:p>
        </w:tc>
        <w:tc>
          <w:tcPr>
            <w:tcW w:w="580" w:type="pct"/>
            <w:vAlign w:val="center"/>
          </w:tcPr>
          <w:p w14:paraId="298077FA">
            <w:pPr>
              <w:jc w:val="center"/>
            </w:pPr>
            <w:r>
              <w:t>不溶性微粒仪</w:t>
            </w:r>
          </w:p>
        </w:tc>
        <w:tc>
          <w:tcPr>
            <w:tcW w:w="591" w:type="pct"/>
            <w:vMerge w:val="continue"/>
            <w:vAlign w:val="center"/>
          </w:tcPr>
          <w:p w14:paraId="6CF17A6C">
            <w:pPr>
              <w:jc w:val="center"/>
            </w:pPr>
          </w:p>
        </w:tc>
        <w:tc>
          <w:tcPr>
            <w:tcW w:w="504" w:type="pct"/>
            <w:vAlign w:val="center"/>
          </w:tcPr>
          <w:p w14:paraId="2EDF8074">
            <w:pPr>
              <w:jc w:val="center"/>
            </w:pPr>
            <w:r>
              <w:t>1</w:t>
            </w:r>
          </w:p>
        </w:tc>
        <w:tc>
          <w:tcPr>
            <w:tcW w:w="2487" w:type="pct"/>
            <w:vAlign w:val="top"/>
          </w:tcPr>
          <w:p w14:paraId="205854AF">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通道设置：≥64个（可自定义设置），需满足药典要求</w:t>
            </w:r>
          </w:p>
          <w:p w14:paraId="4F5B23BE">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粒径范围：1-500 μm（分段选择）</w:t>
            </w:r>
          </w:p>
          <w:p w14:paraId="4C03D367">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计数范围：0-9999999粒</w:t>
            </w:r>
            <w:r>
              <w:rPr>
                <w:rFonts w:hint="eastAsia" w:ascii="宋体" w:hAnsi="宋体" w:eastAsia="宋体" w:cs="宋体"/>
                <w:lang w:val="en-US" w:eastAsia="zh-CN"/>
              </w:rPr>
              <w:t>等。</w:t>
            </w:r>
          </w:p>
        </w:tc>
      </w:tr>
      <w:tr w14:paraId="5F14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2E8FB0EF">
            <w:pPr>
              <w:jc w:val="center"/>
            </w:pPr>
          </w:p>
        </w:tc>
        <w:tc>
          <w:tcPr>
            <w:tcW w:w="469" w:type="pct"/>
            <w:vMerge w:val="continue"/>
            <w:vAlign w:val="center"/>
          </w:tcPr>
          <w:p w14:paraId="775BB62D">
            <w:pPr>
              <w:jc w:val="center"/>
            </w:pPr>
          </w:p>
        </w:tc>
        <w:tc>
          <w:tcPr>
            <w:tcW w:w="580" w:type="pct"/>
            <w:vAlign w:val="center"/>
          </w:tcPr>
          <w:p w14:paraId="1A11FB6E">
            <w:pPr>
              <w:jc w:val="center"/>
            </w:pPr>
            <w:r>
              <w:t>冻干机</w:t>
            </w:r>
          </w:p>
        </w:tc>
        <w:tc>
          <w:tcPr>
            <w:tcW w:w="591" w:type="pct"/>
            <w:vMerge w:val="continue"/>
            <w:vAlign w:val="center"/>
          </w:tcPr>
          <w:p w14:paraId="64E5D644">
            <w:pPr>
              <w:jc w:val="center"/>
            </w:pPr>
          </w:p>
        </w:tc>
        <w:tc>
          <w:tcPr>
            <w:tcW w:w="504" w:type="pct"/>
            <w:vAlign w:val="center"/>
          </w:tcPr>
          <w:p w14:paraId="630B3434">
            <w:pPr>
              <w:jc w:val="center"/>
            </w:pPr>
            <w:r>
              <w:t>1</w:t>
            </w:r>
          </w:p>
        </w:tc>
        <w:tc>
          <w:tcPr>
            <w:tcW w:w="2487" w:type="pct"/>
            <w:vAlign w:val="top"/>
          </w:tcPr>
          <w:p w14:paraId="380D407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板层最低温度≤-50℃，层板可控温度-50℃～+70℃；</w:t>
            </w:r>
          </w:p>
          <w:p w14:paraId="4275BA18">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板层均一性≤1℃，隔板顶层具备温度补偿功能，确保产品温度均匀；</w:t>
            </w:r>
          </w:p>
          <w:p w14:paraId="4D3DFE3B">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板层降温速度（从 20℃降到-40℃）：≤45min</w:t>
            </w:r>
            <w:r>
              <w:rPr>
                <w:rFonts w:hint="eastAsia" w:ascii="宋体" w:hAnsi="宋体" w:eastAsia="宋体" w:cs="宋体"/>
                <w:lang w:val="en-US" w:eastAsia="zh-CN"/>
              </w:rPr>
              <w:t>等。</w:t>
            </w:r>
          </w:p>
        </w:tc>
      </w:tr>
      <w:tr w14:paraId="035B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001E129A">
            <w:pPr>
              <w:jc w:val="center"/>
            </w:pPr>
          </w:p>
        </w:tc>
        <w:tc>
          <w:tcPr>
            <w:tcW w:w="469" w:type="pct"/>
            <w:vMerge w:val="continue"/>
            <w:vAlign w:val="center"/>
          </w:tcPr>
          <w:p w14:paraId="47CC4DDE">
            <w:pPr>
              <w:jc w:val="center"/>
            </w:pPr>
          </w:p>
        </w:tc>
        <w:tc>
          <w:tcPr>
            <w:tcW w:w="580" w:type="pct"/>
            <w:vAlign w:val="center"/>
          </w:tcPr>
          <w:p w14:paraId="6000BA8E">
            <w:pPr>
              <w:jc w:val="center"/>
            </w:pPr>
            <w:r>
              <w:t>倒置荧光显微镜</w:t>
            </w:r>
          </w:p>
        </w:tc>
        <w:tc>
          <w:tcPr>
            <w:tcW w:w="591" w:type="pct"/>
            <w:vMerge w:val="continue"/>
            <w:vAlign w:val="center"/>
          </w:tcPr>
          <w:p w14:paraId="1383698C">
            <w:pPr>
              <w:jc w:val="center"/>
            </w:pPr>
          </w:p>
        </w:tc>
        <w:tc>
          <w:tcPr>
            <w:tcW w:w="504" w:type="pct"/>
            <w:vAlign w:val="center"/>
          </w:tcPr>
          <w:p w14:paraId="27118E45">
            <w:pPr>
              <w:jc w:val="center"/>
            </w:pPr>
            <w:r>
              <w:t>1</w:t>
            </w:r>
          </w:p>
        </w:tc>
        <w:tc>
          <w:tcPr>
            <w:tcW w:w="2487" w:type="pct"/>
            <w:vAlign w:val="top"/>
          </w:tcPr>
          <w:p w14:paraId="39AA7649">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倒置显微镜，复消色差光路，视野数≥25mm</w:t>
            </w:r>
          </w:p>
          <w:p w14:paraId="56AA7EB9">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光学系统：具有双重色差校正性能，物镜、目镜独立色差矫正设计</w:t>
            </w:r>
          </w:p>
          <w:p w14:paraId="2F41EF6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具有明场、霍夫曼相差、落射荧光功能</w:t>
            </w:r>
            <w:r>
              <w:rPr>
                <w:rFonts w:hint="eastAsia" w:ascii="宋体" w:hAnsi="宋体" w:eastAsia="宋体" w:cs="宋体"/>
                <w:lang w:val="en-US" w:eastAsia="zh-CN"/>
              </w:rPr>
              <w:t>等。</w:t>
            </w:r>
          </w:p>
        </w:tc>
      </w:tr>
      <w:tr w14:paraId="2801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25872AA2">
            <w:pPr>
              <w:jc w:val="center"/>
            </w:pPr>
          </w:p>
        </w:tc>
        <w:tc>
          <w:tcPr>
            <w:tcW w:w="469" w:type="pct"/>
            <w:vMerge w:val="continue"/>
            <w:vAlign w:val="center"/>
          </w:tcPr>
          <w:p w14:paraId="003AEC52">
            <w:pPr>
              <w:jc w:val="center"/>
            </w:pPr>
          </w:p>
        </w:tc>
        <w:tc>
          <w:tcPr>
            <w:tcW w:w="580" w:type="pct"/>
            <w:vAlign w:val="center"/>
          </w:tcPr>
          <w:p w14:paraId="56B98D6B">
            <w:pPr>
              <w:jc w:val="center"/>
            </w:pPr>
            <w:r>
              <w:t>全自动冰点渗透压仪</w:t>
            </w:r>
          </w:p>
        </w:tc>
        <w:tc>
          <w:tcPr>
            <w:tcW w:w="591" w:type="pct"/>
            <w:vMerge w:val="continue"/>
            <w:vAlign w:val="center"/>
          </w:tcPr>
          <w:p w14:paraId="7A0CA8A5">
            <w:pPr>
              <w:jc w:val="center"/>
            </w:pPr>
          </w:p>
        </w:tc>
        <w:tc>
          <w:tcPr>
            <w:tcW w:w="504" w:type="pct"/>
            <w:vAlign w:val="center"/>
          </w:tcPr>
          <w:p w14:paraId="3E140A61">
            <w:pPr>
              <w:jc w:val="center"/>
            </w:pPr>
            <w:r>
              <w:t>1</w:t>
            </w:r>
          </w:p>
        </w:tc>
        <w:tc>
          <w:tcPr>
            <w:tcW w:w="2487" w:type="pct"/>
            <w:vAlign w:val="top"/>
          </w:tcPr>
          <w:p w14:paraId="2F990CA5">
            <w:pPr>
              <w:keepNext w:val="0"/>
              <w:keepLines w:val="0"/>
              <w:widowControl/>
              <w:suppressLineNumbers w:val="0"/>
              <w:jc w:val="left"/>
              <w:textAlignment w:val="top"/>
              <w:rPr>
                <w:rFonts w:hint="eastAsia" w:ascii="宋体" w:hAnsi="宋体" w:eastAsia="宋体" w:cs="宋体"/>
                <w:szCs w:val="21"/>
              </w:rPr>
            </w:pPr>
            <w:r>
              <w:rPr>
                <w:rFonts w:hint="eastAsia" w:ascii="宋体" w:hAnsi="宋体" w:cs="宋体"/>
                <w:szCs w:val="21"/>
                <w:lang w:val="en-US" w:eastAsia="zh-CN"/>
              </w:rPr>
              <w:t>1</w:t>
            </w:r>
            <w:r>
              <w:rPr>
                <w:rFonts w:hint="eastAsia" w:ascii="宋体" w:hAnsi="宋体" w:eastAsia="宋体" w:cs="宋体"/>
                <w:szCs w:val="21"/>
                <w:lang w:eastAsia="zh-CN"/>
              </w:rPr>
              <w:t>、</w:t>
            </w:r>
            <w:r>
              <w:rPr>
                <w:rFonts w:hint="eastAsia" w:ascii="宋体" w:hAnsi="宋体" w:eastAsia="宋体" w:cs="宋体"/>
                <w:szCs w:val="21"/>
              </w:rPr>
              <w:t>样品用量：30</w:t>
            </w:r>
            <w:r>
              <w:rPr>
                <w:rFonts w:hint="eastAsia" w:ascii="宋体" w:hAnsi="宋体" w:eastAsia="宋体" w:cs="宋体"/>
                <w:szCs w:val="21"/>
              </w:rPr>
              <w:noBreakHyphen/>
            </w:r>
            <w:r>
              <w:rPr>
                <w:rFonts w:hint="eastAsia" w:ascii="宋体" w:hAnsi="宋体" w:eastAsia="宋体" w:cs="宋体"/>
                <w:szCs w:val="21"/>
              </w:rPr>
              <w:t>50 μL   检测时间：≤90 秒/个样品</w:t>
            </w:r>
          </w:p>
          <w:p w14:paraId="0964E57F">
            <w:pPr>
              <w:keepNext w:val="0"/>
              <w:keepLines w:val="0"/>
              <w:widowControl/>
              <w:suppressLineNumbers w:val="0"/>
              <w:jc w:val="left"/>
              <w:textAlignment w:val="top"/>
              <w:rPr>
                <w:rFonts w:hint="eastAsia" w:ascii="宋体" w:hAnsi="宋体" w:eastAsia="宋体" w:cs="宋体"/>
              </w:rPr>
            </w:pPr>
            <w:r>
              <w:rPr>
                <w:rFonts w:hint="eastAsia" w:ascii="宋体" w:hAnsi="宋体" w:cs="宋体"/>
                <w:szCs w:val="21"/>
                <w:lang w:val="en-US" w:eastAsia="zh-CN"/>
              </w:rPr>
              <w:t>2</w:t>
            </w:r>
            <w:r>
              <w:rPr>
                <w:rFonts w:hint="eastAsia" w:ascii="宋体" w:hAnsi="宋体" w:eastAsia="宋体" w:cs="宋体"/>
                <w:szCs w:val="21"/>
                <w:lang w:eastAsia="zh-CN"/>
              </w:rPr>
              <w:t>、</w:t>
            </w:r>
            <w:r>
              <w:rPr>
                <w:rStyle w:val="10"/>
                <w:rFonts w:hint="eastAsia" w:ascii="宋体" w:hAnsi="宋体" w:eastAsia="宋体" w:cs="宋体"/>
                <w:b w:val="0"/>
                <w:color w:val="000000"/>
                <w:sz w:val="21"/>
                <w:szCs w:val="21"/>
                <w:u w:val="none"/>
              </w:rPr>
              <w:t>校准模式</w:t>
            </w:r>
            <w:r>
              <w:rPr>
                <w:rFonts w:hint="eastAsia" w:ascii="宋体" w:hAnsi="宋体" w:eastAsia="宋体" w:cs="宋体"/>
                <w:color w:val="000000"/>
                <w:sz w:val="21"/>
                <w:szCs w:val="21"/>
                <w:u w:val="none"/>
              </w:rPr>
              <w:t>：支持 2 点 / 3 点药典校准，仪器可同时存储≥2 套校准曲线，可自由切换调用</w:t>
            </w:r>
          </w:p>
        </w:tc>
      </w:tr>
      <w:tr w14:paraId="04AE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21EB262D">
            <w:pPr>
              <w:jc w:val="center"/>
            </w:pPr>
          </w:p>
        </w:tc>
        <w:tc>
          <w:tcPr>
            <w:tcW w:w="469" w:type="pct"/>
            <w:vMerge w:val="continue"/>
            <w:vAlign w:val="center"/>
          </w:tcPr>
          <w:p w14:paraId="67907ECA">
            <w:pPr>
              <w:jc w:val="center"/>
            </w:pPr>
          </w:p>
        </w:tc>
        <w:tc>
          <w:tcPr>
            <w:tcW w:w="580" w:type="pct"/>
            <w:vAlign w:val="center"/>
          </w:tcPr>
          <w:p w14:paraId="7FB39321">
            <w:pPr>
              <w:jc w:val="center"/>
            </w:pPr>
            <w:r>
              <w:t>酶标仪</w:t>
            </w:r>
          </w:p>
        </w:tc>
        <w:tc>
          <w:tcPr>
            <w:tcW w:w="591" w:type="pct"/>
            <w:vMerge w:val="continue"/>
            <w:vAlign w:val="center"/>
          </w:tcPr>
          <w:p w14:paraId="49B55FD4">
            <w:pPr>
              <w:jc w:val="center"/>
            </w:pPr>
          </w:p>
        </w:tc>
        <w:tc>
          <w:tcPr>
            <w:tcW w:w="504" w:type="pct"/>
            <w:vAlign w:val="center"/>
          </w:tcPr>
          <w:p w14:paraId="08E08821">
            <w:pPr>
              <w:jc w:val="center"/>
            </w:pPr>
            <w:r>
              <w:t>1</w:t>
            </w:r>
          </w:p>
        </w:tc>
        <w:tc>
          <w:tcPr>
            <w:tcW w:w="2487" w:type="pct"/>
            <w:vAlign w:val="top"/>
          </w:tcPr>
          <w:p w14:paraId="7247C012">
            <w:pPr>
              <w:keepNext w:val="0"/>
              <w:keepLines w:val="0"/>
              <w:widowControl/>
              <w:suppressLineNumbers w:val="0"/>
              <w:jc w:val="left"/>
              <w:textAlignment w:val="top"/>
              <w:rPr>
                <w:rFonts w:hint="eastAsia" w:ascii="宋体" w:hAnsi="宋体" w:eastAsia="宋体" w:cs="宋体"/>
                <w:lang w:eastAsia="zh-CN"/>
              </w:rPr>
            </w:pPr>
            <w:r>
              <w:rPr>
                <w:rFonts w:hint="eastAsia" w:ascii="宋体" w:hAnsi="宋体" w:eastAsia="宋体" w:cs="宋体"/>
                <w:lang w:eastAsia="zh-CN"/>
              </w:rPr>
              <w:t>支持紫外-可见吸收光，顶部及底部荧光，荧光光谱扫描，化学发光，发光光谱扫描及时间分辨荧光等，后期本地升级滤光片系统均相时间分辨荧光，荧光偏振等分子互作荧光实验</w:t>
            </w:r>
            <w:r>
              <w:rPr>
                <w:rFonts w:hint="eastAsia" w:ascii="宋体" w:hAnsi="宋体" w:eastAsia="宋体" w:cs="宋体"/>
                <w:lang w:val="en-US" w:eastAsia="zh-CN"/>
              </w:rPr>
              <w:t>等。</w:t>
            </w:r>
          </w:p>
        </w:tc>
      </w:tr>
      <w:tr w14:paraId="2B6C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46221C0D">
            <w:pPr>
              <w:jc w:val="center"/>
            </w:pPr>
          </w:p>
        </w:tc>
        <w:tc>
          <w:tcPr>
            <w:tcW w:w="469" w:type="pct"/>
            <w:vMerge w:val="continue"/>
            <w:vAlign w:val="center"/>
          </w:tcPr>
          <w:p w14:paraId="6D36E3A4">
            <w:pPr>
              <w:jc w:val="center"/>
            </w:pPr>
          </w:p>
        </w:tc>
        <w:tc>
          <w:tcPr>
            <w:tcW w:w="580" w:type="pct"/>
            <w:vAlign w:val="center"/>
          </w:tcPr>
          <w:p w14:paraId="5B2F66C7">
            <w:pPr>
              <w:jc w:val="center"/>
            </w:pPr>
            <w:r>
              <w:t>旋光仪</w:t>
            </w:r>
          </w:p>
        </w:tc>
        <w:tc>
          <w:tcPr>
            <w:tcW w:w="591" w:type="pct"/>
            <w:vMerge w:val="continue"/>
            <w:vAlign w:val="center"/>
          </w:tcPr>
          <w:p w14:paraId="0008E575">
            <w:pPr>
              <w:jc w:val="center"/>
            </w:pPr>
          </w:p>
        </w:tc>
        <w:tc>
          <w:tcPr>
            <w:tcW w:w="504" w:type="pct"/>
            <w:vAlign w:val="center"/>
          </w:tcPr>
          <w:p w14:paraId="2B79AC3E">
            <w:pPr>
              <w:jc w:val="center"/>
            </w:pPr>
            <w:r>
              <w:t>1</w:t>
            </w:r>
          </w:p>
        </w:tc>
        <w:tc>
          <w:tcPr>
            <w:tcW w:w="2487" w:type="pct"/>
            <w:vAlign w:val="top"/>
          </w:tcPr>
          <w:p w14:paraId="046C0FC6">
            <w:pPr>
              <w:keepNext w:val="0"/>
              <w:keepLines w:val="0"/>
              <w:widowControl/>
              <w:suppressLineNumbers w:val="0"/>
              <w:jc w:val="left"/>
              <w:textAlignment w:val="top"/>
              <w:rPr>
                <w:rFonts w:hint="eastAsia" w:ascii="宋体" w:hAnsi="宋体" w:eastAsia="宋体" w:cs="宋体"/>
                <w:lang w:eastAsia="zh-CN"/>
              </w:rPr>
            </w:pPr>
            <w:r>
              <w:rPr>
                <w:rFonts w:hint="eastAsia" w:ascii="宋体" w:hAnsi="宋体" w:eastAsia="宋体" w:cs="宋体"/>
                <w:lang w:eastAsia="zh-CN"/>
              </w:rPr>
              <w:t>1、LED 光源，使用寿命≥100000h。</w:t>
            </w:r>
          </w:p>
          <w:p w14:paraId="5CE9D5A6">
            <w:pPr>
              <w:keepNext w:val="0"/>
              <w:keepLines w:val="0"/>
              <w:widowControl/>
              <w:suppressLineNumbers w:val="0"/>
              <w:jc w:val="left"/>
              <w:textAlignment w:val="top"/>
              <w:rPr>
                <w:rFonts w:hint="eastAsia" w:ascii="宋体" w:hAnsi="宋体" w:eastAsia="宋体" w:cs="宋体"/>
                <w:lang w:eastAsia="zh-CN"/>
              </w:rPr>
            </w:pPr>
            <w:r>
              <w:rPr>
                <w:rFonts w:hint="eastAsia" w:ascii="宋体" w:hAnsi="宋体" w:eastAsia="宋体" w:cs="宋体"/>
                <w:lang w:eastAsia="zh-CN"/>
              </w:rPr>
              <w:t>2、波长：589nm±5nm</w:t>
            </w:r>
            <w:r>
              <w:rPr>
                <w:rFonts w:hint="eastAsia" w:ascii="宋体" w:hAnsi="宋体" w:eastAsia="宋体" w:cs="宋体"/>
                <w:lang w:val="en-US" w:eastAsia="zh-CN"/>
              </w:rPr>
              <w:t>等。</w:t>
            </w:r>
          </w:p>
        </w:tc>
      </w:tr>
      <w:tr w14:paraId="31F4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731FDC66">
            <w:pPr>
              <w:jc w:val="center"/>
            </w:pPr>
          </w:p>
        </w:tc>
        <w:tc>
          <w:tcPr>
            <w:tcW w:w="469" w:type="pct"/>
            <w:vMerge w:val="continue"/>
            <w:vAlign w:val="center"/>
          </w:tcPr>
          <w:p w14:paraId="740A24EB">
            <w:pPr>
              <w:jc w:val="center"/>
            </w:pPr>
          </w:p>
        </w:tc>
        <w:tc>
          <w:tcPr>
            <w:tcW w:w="580" w:type="pct"/>
            <w:vAlign w:val="center"/>
          </w:tcPr>
          <w:p w14:paraId="12444A34">
            <w:pPr>
              <w:jc w:val="center"/>
            </w:pPr>
            <w:r>
              <w:t>生化分析仪</w:t>
            </w:r>
          </w:p>
        </w:tc>
        <w:tc>
          <w:tcPr>
            <w:tcW w:w="591" w:type="pct"/>
            <w:vMerge w:val="continue"/>
            <w:vAlign w:val="center"/>
          </w:tcPr>
          <w:p w14:paraId="3695CF98">
            <w:pPr>
              <w:jc w:val="center"/>
            </w:pPr>
          </w:p>
        </w:tc>
        <w:tc>
          <w:tcPr>
            <w:tcW w:w="504" w:type="pct"/>
            <w:vAlign w:val="center"/>
          </w:tcPr>
          <w:p w14:paraId="37691F7C">
            <w:pPr>
              <w:jc w:val="center"/>
            </w:pPr>
            <w:r>
              <w:t>1</w:t>
            </w:r>
          </w:p>
        </w:tc>
        <w:tc>
          <w:tcPr>
            <w:tcW w:w="2487" w:type="pct"/>
            <w:vAlign w:val="top"/>
          </w:tcPr>
          <w:p w14:paraId="4DF5D8F6">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比色法速度：≥800测试/小时，电解质速度：≥600测试/小时</w:t>
            </w:r>
          </w:p>
          <w:p w14:paraId="000E0BC0">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同时分析项目：≥63项（含ISE），含吸光度、电解质、全血糖化血红蛋白测定</w:t>
            </w:r>
            <w:r>
              <w:rPr>
                <w:rFonts w:hint="eastAsia" w:ascii="宋体" w:hAnsi="宋体" w:eastAsia="宋体" w:cs="宋体"/>
                <w:lang w:val="en-US" w:eastAsia="zh-CN"/>
              </w:rPr>
              <w:t>等。</w:t>
            </w:r>
          </w:p>
        </w:tc>
      </w:tr>
      <w:tr w14:paraId="7ACE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532C27BE">
            <w:pPr>
              <w:jc w:val="center"/>
            </w:pPr>
          </w:p>
        </w:tc>
        <w:tc>
          <w:tcPr>
            <w:tcW w:w="469" w:type="pct"/>
            <w:vMerge w:val="continue"/>
            <w:vAlign w:val="center"/>
          </w:tcPr>
          <w:p w14:paraId="1D1B6DB8">
            <w:pPr>
              <w:jc w:val="center"/>
            </w:pPr>
          </w:p>
        </w:tc>
        <w:tc>
          <w:tcPr>
            <w:tcW w:w="580" w:type="pct"/>
            <w:vAlign w:val="center"/>
          </w:tcPr>
          <w:p w14:paraId="386A6EA6">
            <w:pPr>
              <w:jc w:val="center"/>
            </w:pPr>
            <w:r>
              <w:t>水分测定仪</w:t>
            </w:r>
          </w:p>
        </w:tc>
        <w:tc>
          <w:tcPr>
            <w:tcW w:w="591" w:type="pct"/>
            <w:vMerge w:val="continue"/>
            <w:vAlign w:val="center"/>
          </w:tcPr>
          <w:p w14:paraId="79E744A3">
            <w:pPr>
              <w:jc w:val="center"/>
            </w:pPr>
          </w:p>
        </w:tc>
        <w:tc>
          <w:tcPr>
            <w:tcW w:w="504" w:type="pct"/>
            <w:vAlign w:val="center"/>
          </w:tcPr>
          <w:p w14:paraId="494656AC">
            <w:pPr>
              <w:jc w:val="center"/>
            </w:pPr>
            <w:r>
              <w:t>1</w:t>
            </w:r>
          </w:p>
        </w:tc>
        <w:tc>
          <w:tcPr>
            <w:tcW w:w="2487" w:type="pct"/>
            <w:vAlign w:val="top"/>
          </w:tcPr>
          <w:p w14:paraId="6B607328">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样品类型：液体和气体、可溶固体、难溶固体、不溶性固体</w:t>
            </w:r>
          </w:p>
          <w:p w14:paraId="6E39CD4A">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具备外部萃取和空白扣除模式</w:t>
            </w:r>
          </w:p>
          <w:p w14:paraId="35AEDA49">
            <w:pPr>
              <w:keepNext w:val="0"/>
              <w:keepLines w:val="0"/>
              <w:widowControl/>
              <w:suppressLineNumbers w:val="0"/>
              <w:jc w:val="left"/>
              <w:textAlignment w:val="top"/>
              <w:rPr>
                <w:rFonts w:hint="eastAsia" w:ascii="宋体" w:hAnsi="宋体" w:eastAsia="宋体" w:cs="宋体"/>
              </w:rPr>
            </w:pPr>
            <w:r>
              <w:rPr>
                <w:rFonts w:hint="eastAsia" w:ascii="宋体" w:hAnsi="宋体" w:cs="宋体"/>
                <w:sz w:val="21"/>
                <w:szCs w:val="24"/>
                <w:u w:val="none"/>
                <w:lang w:val="en-US" w:eastAsia="zh-CN"/>
              </w:rPr>
              <w:t>3、</w:t>
            </w:r>
            <w:r>
              <w:rPr>
                <w:rFonts w:hint="eastAsia" w:ascii="宋体" w:hAnsi="宋体" w:eastAsia="宋体" w:cs="宋体"/>
                <w:sz w:val="21"/>
                <w:szCs w:val="24"/>
                <w:u w:val="none"/>
                <w:lang w:val="de-DE"/>
              </w:rPr>
              <w:t>直拉式滴定管交换单元，具有滴定和加液功能</w:t>
            </w:r>
            <w:r>
              <w:rPr>
                <w:rFonts w:hint="eastAsia" w:ascii="宋体" w:hAnsi="宋体" w:eastAsia="宋体" w:cs="宋体"/>
                <w:lang w:val="en-US" w:eastAsia="zh-CN"/>
              </w:rPr>
              <w:t>等。</w:t>
            </w:r>
          </w:p>
        </w:tc>
      </w:tr>
      <w:tr w14:paraId="3128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099EB0FF">
            <w:pPr>
              <w:jc w:val="center"/>
            </w:pPr>
          </w:p>
        </w:tc>
        <w:tc>
          <w:tcPr>
            <w:tcW w:w="469" w:type="pct"/>
            <w:vMerge w:val="continue"/>
            <w:vAlign w:val="center"/>
          </w:tcPr>
          <w:p w14:paraId="6C466EC2">
            <w:pPr>
              <w:jc w:val="center"/>
            </w:pPr>
          </w:p>
        </w:tc>
        <w:tc>
          <w:tcPr>
            <w:tcW w:w="580" w:type="pct"/>
            <w:vAlign w:val="center"/>
          </w:tcPr>
          <w:p w14:paraId="245477A7">
            <w:pPr>
              <w:jc w:val="center"/>
            </w:pPr>
            <w:r>
              <w:t>显微镜</w:t>
            </w:r>
          </w:p>
        </w:tc>
        <w:tc>
          <w:tcPr>
            <w:tcW w:w="591" w:type="pct"/>
            <w:vMerge w:val="continue"/>
            <w:vAlign w:val="center"/>
          </w:tcPr>
          <w:p w14:paraId="6236D30D">
            <w:pPr>
              <w:jc w:val="center"/>
            </w:pPr>
          </w:p>
        </w:tc>
        <w:tc>
          <w:tcPr>
            <w:tcW w:w="504" w:type="pct"/>
            <w:vAlign w:val="center"/>
          </w:tcPr>
          <w:p w14:paraId="4C3560F9">
            <w:pPr>
              <w:jc w:val="center"/>
            </w:pPr>
            <w:r>
              <w:t>1</w:t>
            </w:r>
          </w:p>
        </w:tc>
        <w:tc>
          <w:tcPr>
            <w:tcW w:w="2487" w:type="pct"/>
            <w:vAlign w:val="top"/>
          </w:tcPr>
          <w:p w14:paraId="68C7D541">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放大倍数：40X-1000X。</w:t>
            </w:r>
          </w:p>
          <w:p w14:paraId="605505F2">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光学系统：无限远色差校正光学系统，齐焦距离≤45mm。</w:t>
            </w:r>
          </w:p>
        </w:tc>
      </w:tr>
      <w:tr w14:paraId="4341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35A767CC">
            <w:pPr>
              <w:jc w:val="center"/>
            </w:pPr>
          </w:p>
        </w:tc>
        <w:tc>
          <w:tcPr>
            <w:tcW w:w="469" w:type="pct"/>
            <w:vMerge w:val="continue"/>
            <w:vAlign w:val="center"/>
          </w:tcPr>
          <w:p w14:paraId="1B512710">
            <w:pPr>
              <w:jc w:val="center"/>
              <w:rPr>
                <w:highlight w:val="none"/>
              </w:rPr>
            </w:pPr>
          </w:p>
        </w:tc>
        <w:tc>
          <w:tcPr>
            <w:tcW w:w="580" w:type="pct"/>
            <w:vAlign w:val="center"/>
          </w:tcPr>
          <w:p w14:paraId="2BD58FB4">
            <w:pPr>
              <w:jc w:val="center"/>
              <w:rPr>
                <w:highlight w:val="none"/>
              </w:rPr>
            </w:pPr>
            <w:r>
              <w:rPr>
                <w:rFonts w:hint="eastAsia"/>
                <w:highlight w:val="none"/>
                <w:lang w:val="en-US" w:eastAsia="zh-CN"/>
              </w:rPr>
              <w:t>低温</w:t>
            </w:r>
            <w:r>
              <w:rPr>
                <w:highlight w:val="none"/>
              </w:rPr>
              <w:t>生化培养箱</w:t>
            </w:r>
          </w:p>
        </w:tc>
        <w:tc>
          <w:tcPr>
            <w:tcW w:w="591" w:type="pct"/>
            <w:vMerge w:val="continue"/>
            <w:vAlign w:val="center"/>
          </w:tcPr>
          <w:p w14:paraId="2BDA5A1D">
            <w:pPr>
              <w:jc w:val="center"/>
            </w:pPr>
          </w:p>
        </w:tc>
        <w:tc>
          <w:tcPr>
            <w:tcW w:w="504" w:type="pct"/>
            <w:vAlign w:val="center"/>
          </w:tcPr>
          <w:p w14:paraId="4052663E">
            <w:pPr>
              <w:jc w:val="center"/>
              <w:rPr>
                <w:rFonts w:hint="eastAsia" w:eastAsia="宋体"/>
                <w:lang w:eastAsia="zh-CN"/>
              </w:rPr>
            </w:pPr>
            <w:r>
              <w:rPr>
                <w:rFonts w:hint="eastAsia"/>
                <w:lang w:val="en-US" w:eastAsia="zh-CN"/>
              </w:rPr>
              <w:t>1</w:t>
            </w:r>
          </w:p>
        </w:tc>
        <w:tc>
          <w:tcPr>
            <w:tcW w:w="2487" w:type="pct"/>
            <w:vAlign w:val="top"/>
          </w:tcPr>
          <w:p w14:paraId="78FE773E">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温度范围：0-65℃，温度分辨率≤0.1℃，温度波动度：高温≤±0.5℃（≥20℃时）、低温≤±1℃（＜20℃时），温度分布精度≤±1℃</w:t>
            </w:r>
            <w:r>
              <w:rPr>
                <w:rFonts w:hint="eastAsia" w:ascii="宋体" w:hAnsi="宋体" w:eastAsia="宋体" w:cs="宋体"/>
                <w:lang w:val="en-US" w:eastAsia="zh-CN"/>
              </w:rPr>
              <w:t>等。</w:t>
            </w:r>
          </w:p>
        </w:tc>
      </w:tr>
      <w:tr w14:paraId="4BDF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736D2195">
            <w:pPr>
              <w:jc w:val="center"/>
            </w:pPr>
          </w:p>
        </w:tc>
        <w:tc>
          <w:tcPr>
            <w:tcW w:w="469" w:type="pct"/>
            <w:vMerge w:val="continue"/>
            <w:vAlign w:val="center"/>
          </w:tcPr>
          <w:p w14:paraId="2E9F0FE3">
            <w:pPr>
              <w:jc w:val="center"/>
              <w:rPr>
                <w:highlight w:val="none"/>
              </w:rPr>
            </w:pPr>
          </w:p>
        </w:tc>
        <w:tc>
          <w:tcPr>
            <w:tcW w:w="580" w:type="pct"/>
            <w:vAlign w:val="center"/>
          </w:tcPr>
          <w:p w14:paraId="691C5321">
            <w:pPr>
              <w:jc w:val="center"/>
              <w:rPr>
                <w:highlight w:val="none"/>
              </w:rPr>
            </w:pPr>
            <w:r>
              <w:rPr>
                <w:highlight w:val="none"/>
              </w:rPr>
              <w:t>生化培养箱</w:t>
            </w:r>
          </w:p>
        </w:tc>
        <w:tc>
          <w:tcPr>
            <w:tcW w:w="591" w:type="pct"/>
            <w:vMerge w:val="continue"/>
            <w:vAlign w:val="center"/>
          </w:tcPr>
          <w:p w14:paraId="08B20D48">
            <w:pPr>
              <w:jc w:val="center"/>
            </w:pPr>
          </w:p>
        </w:tc>
        <w:tc>
          <w:tcPr>
            <w:tcW w:w="504" w:type="pct"/>
            <w:vAlign w:val="center"/>
          </w:tcPr>
          <w:p w14:paraId="64381520">
            <w:pPr>
              <w:jc w:val="center"/>
              <w:rPr>
                <w:rFonts w:hint="default"/>
                <w:lang w:val="en-US" w:eastAsia="zh-CN"/>
              </w:rPr>
            </w:pPr>
            <w:r>
              <w:rPr>
                <w:rFonts w:hint="eastAsia"/>
                <w:lang w:val="en-US" w:eastAsia="zh-CN"/>
              </w:rPr>
              <w:t>3</w:t>
            </w:r>
          </w:p>
        </w:tc>
        <w:tc>
          <w:tcPr>
            <w:tcW w:w="2487" w:type="pct"/>
            <w:shd w:val="clear" w:color="auto" w:fill="auto"/>
            <w:vAlign w:val="top"/>
          </w:tcPr>
          <w:p w14:paraId="1FDC97B6">
            <w:pPr>
              <w:keepNext w:val="0"/>
              <w:keepLines w:val="0"/>
              <w:widowControl/>
              <w:suppressLineNumbers w:val="0"/>
              <w:jc w:val="left"/>
              <w:textAlignment w:val="top"/>
              <w:rPr>
                <w:rFonts w:hint="eastAsia" w:ascii="宋体" w:hAnsi="宋体" w:eastAsia="宋体" w:cs="宋体"/>
                <w:kern w:val="2"/>
                <w:sz w:val="21"/>
                <w:szCs w:val="24"/>
                <w:lang w:val="en-US" w:eastAsia="zh-CN" w:bidi="ar-SA"/>
              </w:rPr>
            </w:pPr>
            <w:r>
              <w:rPr>
                <w:rFonts w:hint="eastAsia" w:ascii="宋体" w:hAnsi="宋体" w:eastAsia="宋体" w:cs="宋体"/>
              </w:rPr>
              <w:t>温度范围：0-65℃，温度分辨率≤0.1℃，温度波动度：高温≤±0.5℃（≥20℃时）、低温≤±1℃（＜20℃时），温度分布精度≤±1℃</w:t>
            </w:r>
            <w:r>
              <w:rPr>
                <w:rFonts w:hint="eastAsia" w:ascii="宋体" w:hAnsi="宋体" w:eastAsia="宋体" w:cs="宋体"/>
                <w:lang w:val="en-US" w:eastAsia="zh-CN"/>
              </w:rPr>
              <w:t>等。</w:t>
            </w:r>
          </w:p>
        </w:tc>
      </w:tr>
      <w:tr w14:paraId="0B32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4FE0C6D4">
            <w:pPr>
              <w:jc w:val="center"/>
            </w:pPr>
          </w:p>
        </w:tc>
        <w:tc>
          <w:tcPr>
            <w:tcW w:w="469" w:type="pct"/>
            <w:vMerge w:val="continue"/>
            <w:vAlign w:val="center"/>
          </w:tcPr>
          <w:p w14:paraId="120C3B21">
            <w:pPr>
              <w:jc w:val="center"/>
            </w:pPr>
          </w:p>
        </w:tc>
        <w:tc>
          <w:tcPr>
            <w:tcW w:w="580" w:type="pct"/>
            <w:vAlign w:val="center"/>
          </w:tcPr>
          <w:p w14:paraId="598B9E7B">
            <w:pPr>
              <w:jc w:val="center"/>
            </w:pPr>
            <w:r>
              <w:t>纯水机</w:t>
            </w:r>
          </w:p>
        </w:tc>
        <w:tc>
          <w:tcPr>
            <w:tcW w:w="591" w:type="pct"/>
            <w:vMerge w:val="continue"/>
            <w:vAlign w:val="center"/>
          </w:tcPr>
          <w:p w14:paraId="0D10D17C">
            <w:pPr>
              <w:jc w:val="center"/>
            </w:pPr>
          </w:p>
        </w:tc>
        <w:tc>
          <w:tcPr>
            <w:tcW w:w="504" w:type="pct"/>
            <w:vAlign w:val="center"/>
          </w:tcPr>
          <w:p w14:paraId="1AD1D924">
            <w:pPr>
              <w:jc w:val="center"/>
            </w:pPr>
            <w:r>
              <w:t>3</w:t>
            </w:r>
          </w:p>
        </w:tc>
        <w:tc>
          <w:tcPr>
            <w:tcW w:w="2487" w:type="pct"/>
            <w:vAlign w:val="top"/>
          </w:tcPr>
          <w:p w14:paraId="7BD50E54">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 xml:space="preserve"> 二级纯水：清洗、实验室用溶液的配置、微生物实验，以及常规理化实验；</w:t>
            </w:r>
          </w:p>
          <w:p w14:paraId="60821862">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 xml:space="preserve"> 一级超纯水：各种精密理化分析、高效液相色谱、质谱等；生命科学领域实验（如PCR、细胞培养、分子生物学、基因测序、蛋白纯化等）</w:t>
            </w:r>
            <w:r>
              <w:rPr>
                <w:rFonts w:hint="eastAsia" w:ascii="宋体" w:hAnsi="宋体" w:eastAsia="宋体" w:cs="宋体"/>
                <w:lang w:val="en-US" w:eastAsia="zh-CN"/>
              </w:rPr>
              <w:t>等。</w:t>
            </w:r>
          </w:p>
        </w:tc>
      </w:tr>
      <w:tr w14:paraId="2347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5834E66D">
            <w:pPr>
              <w:jc w:val="center"/>
            </w:pPr>
          </w:p>
        </w:tc>
        <w:tc>
          <w:tcPr>
            <w:tcW w:w="469" w:type="pct"/>
            <w:vMerge w:val="continue"/>
            <w:vAlign w:val="center"/>
          </w:tcPr>
          <w:p w14:paraId="6F56A120">
            <w:pPr>
              <w:jc w:val="center"/>
            </w:pPr>
          </w:p>
        </w:tc>
        <w:tc>
          <w:tcPr>
            <w:tcW w:w="580" w:type="pct"/>
            <w:vAlign w:val="center"/>
          </w:tcPr>
          <w:p w14:paraId="6C16FB03">
            <w:pPr>
              <w:jc w:val="center"/>
            </w:pPr>
            <w:r>
              <w:t>离心机</w:t>
            </w:r>
          </w:p>
        </w:tc>
        <w:tc>
          <w:tcPr>
            <w:tcW w:w="591" w:type="pct"/>
            <w:vMerge w:val="continue"/>
            <w:vAlign w:val="center"/>
          </w:tcPr>
          <w:p w14:paraId="704BD99D">
            <w:pPr>
              <w:jc w:val="center"/>
            </w:pPr>
          </w:p>
        </w:tc>
        <w:tc>
          <w:tcPr>
            <w:tcW w:w="504" w:type="pct"/>
            <w:vAlign w:val="center"/>
          </w:tcPr>
          <w:p w14:paraId="019247D4">
            <w:pPr>
              <w:jc w:val="center"/>
            </w:pPr>
            <w:r>
              <w:t>2</w:t>
            </w:r>
          </w:p>
        </w:tc>
        <w:tc>
          <w:tcPr>
            <w:tcW w:w="2487" w:type="pct"/>
            <w:vAlign w:val="top"/>
          </w:tcPr>
          <w:p w14:paraId="528232DA">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最高转速≥17,000rpm（30×1.5/2.0ml角转子）；最大相对离心力≥30,000×g（30×1.5/2.0ml角转子）；</w:t>
            </w:r>
          </w:p>
          <w:p w14:paraId="3E1C177C">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定角转子最大容量≥4×500mL，水平转子最大容量≥4×1250mL</w:t>
            </w:r>
            <w:r>
              <w:rPr>
                <w:rFonts w:hint="eastAsia" w:ascii="宋体" w:hAnsi="宋体" w:eastAsia="宋体" w:cs="宋体"/>
                <w:lang w:val="en-US" w:eastAsia="zh-CN"/>
              </w:rPr>
              <w:t>等。</w:t>
            </w:r>
          </w:p>
        </w:tc>
      </w:tr>
      <w:tr w14:paraId="02FB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4D2B8318">
            <w:pPr>
              <w:jc w:val="center"/>
            </w:pPr>
          </w:p>
        </w:tc>
        <w:tc>
          <w:tcPr>
            <w:tcW w:w="469" w:type="pct"/>
            <w:vMerge w:val="continue"/>
            <w:vAlign w:val="center"/>
          </w:tcPr>
          <w:p w14:paraId="24855148">
            <w:pPr>
              <w:jc w:val="center"/>
              <w:rPr>
                <w:highlight w:val="none"/>
              </w:rPr>
            </w:pPr>
          </w:p>
        </w:tc>
        <w:tc>
          <w:tcPr>
            <w:tcW w:w="580" w:type="pct"/>
            <w:vAlign w:val="center"/>
          </w:tcPr>
          <w:p w14:paraId="07D93F58">
            <w:pPr>
              <w:jc w:val="center"/>
              <w:rPr>
                <w:highlight w:val="none"/>
              </w:rPr>
            </w:pPr>
            <w:r>
              <w:rPr>
                <w:highlight w:val="none"/>
              </w:rPr>
              <w:t>药品保存箱</w:t>
            </w:r>
          </w:p>
        </w:tc>
        <w:tc>
          <w:tcPr>
            <w:tcW w:w="591" w:type="pct"/>
            <w:vMerge w:val="continue"/>
            <w:vAlign w:val="center"/>
          </w:tcPr>
          <w:p w14:paraId="2E5A2341">
            <w:pPr>
              <w:jc w:val="center"/>
            </w:pPr>
          </w:p>
        </w:tc>
        <w:tc>
          <w:tcPr>
            <w:tcW w:w="504" w:type="pct"/>
            <w:vAlign w:val="center"/>
          </w:tcPr>
          <w:p w14:paraId="72B8B56F">
            <w:pPr>
              <w:jc w:val="center"/>
              <w:rPr>
                <w:rFonts w:hint="default" w:eastAsia="宋体"/>
                <w:lang w:val="en-US" w:eastAsia="zh-CN"/>
              </w:rPr>
            </w:pPr>
            <w:r>
              <w:rPr>
                <w:rFonts w:hint="eastAsia"/>
                <w:lang w:val="en-US" w:eastAsia="zh-CN"/>
              </w:rPr>
              <w:t>7</w:t>
            </w:r>
          </w:p>
        </w:tc>
        <w:tc>
          <w:tcPr>
            <w:tcW w:w="2487" w:type="pct"/>
            <w:vAlign w:val="top"/>
          </w:tcPr>
          <w:p w14:paraId="395F2021">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冷藏箱温度要在2℃-8℃范围可调、冷冻箱温度要在-10℃～-40℃范围可调，微电脑温控，设置精度≤0.1℃，设置方式可通过控制面板直接设置</w:t>
            </w:r>
            <w:r>
              <w:rPr>
                <w:rFonts w:hint="eastAsia" w:ascii="宋体" w:hAnsi="宋体" w:eastAsia="宋体" w:cs="宋体"/>
                <w:lang w:val="en-US" w:eastAsia="zh-CN"/>
              </w:rPr>
              <w:t>等。</w:t>
            </w:r>
          </w:p>
        </w:tc>
      </w:tr>
      <w:tr w14:paraId="0C61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366" w:type="pct"/>
            <w:vMerge w:val="continue"/>
            <w:vAlign w:val="center"/>
          </w:tcPr>
          <w:p w14:paraId="14C1BD35">
            <w:pPr>
              <w:jc w:val="center"/>
            </w:pPr>
          </w:p>
        </w:tc>
        <w:tc>
          <w:tcPr>
            <w:tcW w:w="469" w:type="pct"/>
            <w:vMerge w:val="continue"/>
            <w:vAlign w:val="center"/>
          </w:tcPr>
          <w:p w14:paraId="04FD17EE">
            <w:pPr>
              <w:jc w:val="center"/>
              <w:rPr>
                <w:highlight w:val="none"/>
              </w:rPr>
            </w:pPr>
          </w:p>
        </w:tc>
        <w:tc>
          <w:tcPr>
            <w:tcW w:w="580" w:type="pct"/>
            <w:vAlign w:val="center"/>
          </w:tcPr>
          <w:p w14:paraId="2C46499C">
            <w:pPr>
              <w:jc w:val="center"/>
              <w:rPr>
                <w:rFonts w:hint="default" w:eastAsia="宋体"/>
                <w:highlight w:val="none"/>
                <w:lang w:val="en-US" w:eastAsia="zh-CN"/>
              </w:rPr>
            </w:pPr>
            <w:r>
              <w:rPr>
                <w:rFonts w:hint="eastAsia"/>
                <w:highlight w:val="none"/>
                <w:lang w:val="en-US" w:eastAsia="zh-CN"/>
              </w:rPr>
              <w:t>低温保存箱</w:t>
            </w:r>
          </w:p>
        </w:tc>
        <w:tc>
          <w:tcPr>
            <w:tcW w:w="591" w:type="pct"/>
            <w:vMerge w:val="continue"/>
            <w:vAlign w:val="center"/>
          </w:tcPr>
          <w:p w14:paraId="2D6463B5">
            <w:pPr>
              <w:jc w:val="center"/>
            </w:pPr>
          </w:p>
        </w:tc>
        <w:tc>
          <w:tcPr>
            <w:tcW w:w="504" w:type="pct"/>
            <w:vAlign w:val="center"/>
          </w:tcPr>
          <w:p w14:paraId="6ED65D1F">
            <w:pPr>
              <w:jc w:val="center"/>
              <w:rPr>
                <w:rFonts w:hint="default"/>
                <w:lang w:val="en-US" w:eastAsia="zh-CN"/>
              </w:rPr>
            </w:pPr>
            <w:r>
              <w:rPr>
                <w:rFonts w:hint="eastAsia"/>
                <w:lang w:val="en-US" w:eastAsia="zh-CN"/>
              </w:rPr>
              <w:t>2</w:t>
            </w:r>
          </w:p>
        </w:tc>
        <w:tc>
          <w:tcPr>
            <w:tcW w:w="2487" w:type="pct"/>
            <w:vAlign w:val="top"/>
          </w:tcPr>
          <w:p w14:paraId="2114D646">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冷藏箱温度要在2℃-8℃范围可调、冷冻箱温度要在-10℃～-40℃范围可调，微电脑温控，设置精度≤0.1℃，设置方式可通过控制面板直接设置</w:t>
            </w:r>
            <w:r>
              <w:rPr>
                <w:rFonts w:hint="eastAsia" w:ascii="宋体" w:hAnsi="宋体" w:eastAsia="宋体" w:cs="宋体"/>
                <w:lang w:val="en-US" w:eastAsia="zh-CN"/>
              </w:rPr>
              <w:t>等。</w:t>
            </w:r>
          </w:p>
        </w:tc>
      </w:tr>
      <w:tr w14:paraId="7893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366" w:type="pct"/>
            <w:vMerge w:val="continue"/>
            <w:vAlign w:val="center"/>
          </w:tcPr>
          <w:p w14:paraId="316E6F09">
            <w:pPr>
              <w:jc w:val="center"/>
            </w:pPr>
          </w:p>
        </w:tc>
        <w:tc>
          <w:tcPr>
            <w:tcW w:w="469" w:type="pct"/>
            <w:vMerge w:val="continue"/>
            <w:vAlign w:val="center"/>
          </w:tcPr>
          <w:p w14:paraId="1866A0C2">
            <w:pPr>
              <w:jc w:val="center"/>
              <w:rPr>
                <w:highlight w:val="none"/>
              </w:rPr>
            </w:pPr>
          </w:p>
        </w:tc>
        <w:tc>
          <w:tcPr>
            <w:tcW w:w="580" w:type="pct"/>
            <w:vAlign w:val="center"/>
          </w:tcPr>
          <w:p w14:paraId="5A876685">
            <w:pPr>
              <w:jc w:val="center"/>
              <w:rPr>
                <w:rFonts w:hint="default"/>
                <w:highlight w:val="none"/>
                <w:lang w:val="en-US" w:eastAsia="zh-CN"/>
              </w:rPr>
            </w:pPr>
            <w:r>
              <w:rPr>
                <w:rFonts w:hint="eastAsia"/>
                <w:highlight w:val="none"/>
                <w:lang w:val="en-US" w:eastAsia="zh-CN"/>
              </w:rPr>
              <w:t>低温冰柜</w:t>
            </w:r>
          </w:p>
        </w:tc>
        <w:tc>
          <w:tcPr>
            <w:tcW w:w="591" w:type="pct"/>
            <w:vMerge w:val="continue"/>
            <w:vAlign w:val="center"/>
          </w:tcPr>
          <w:p w14:paraId="0BA4BFF9">
            <w:pPr>
              <w:jc w:val="center"/>
            </w:pPr>
          </w:p>
        </w:tc>
        <w:tc>
          <w:tcPr>
            <w:tcW w:w="504" w:type="pct"/>
            <w:vAlign w:val="center"/>
          </w:tcPr>
          <w:p w14:paraId="0F07275B">
            <w:pPr>
              <w:jc w:val="center"/>
              <w:rPr>
                <w:rFonts w:hint="default"/>
                <w:lang w:val="en-US" w:eastAsia="zh-CN"/>
              </w:rPr>
            </w:pPr>
            <w:r>
              <w:rPr>
                <w:rFonts w:hint="eastAsia"/>
                <w:lang w:val="en-US" w:eastAsia="zh-CN"/>
              </w:rPr>
              <w:t>1</w:t>
            </w:r>
          </w:p>
        </w:tc>
        <w:tc>
          <w:tcPr>
            <w:tcW w:w="2487" w:type="pct"/>
            <w:vAlign w:val="top"/>
          </w:tcPr>
          <w:p w14:paraId="13E91B91">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冷藏箱温度要在2℃-8℃范围可调、冷冻箱温度要在-10℃～-40℃范围可调，微电脑温控，设置精度≤0.1℃，设置方式可通过控制面板直接设置</w:t>
            </w:r>
            <w:r>
              <w:rPr>
                <w:rFonts w:hint="eastAsia" w:ascii="宋体" w:hAnsi="宋体" w:eastAsia="宋体" w:cs="宋体"/>
                <w:lang w:val="en-US" w:eastAsia="zh-CN"/>
              </w:rPr>
              <w:t>等。</w:t>
            </w:r>
          </w:p>
        </w:tc>
      </w:tr>
      <w:tr w14:paraId="09A5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6" w:type="pct"/>
            <w:vMerge w:val="continue"/>
            <w:vAlign w:val="center"/>
          </w:tcPr>
          <w:p w14:paraId="4FAAE05C">
            <w:pPr>
              <w:jc w:val="center"/>
            </w:pPr>
          </w:p>
        </w:tc>
        <w:tc>
          <w:tcPr>
            <w:tcW w:w="469" w:type="pct"/>
            <w:vMerge w:val="continue"/>
            <w:vAlign w:val="center"/>
          </w:tcPr>
          <w:p w14:paraId="7BB719EF">
            <w:pPr>
              <w:jc w:val="center"/>
            </w:pPr>
          </w:p>
        </w:tc>
        <w:tc>
          <w:tcPr>
            <w:tcW w:w="580" w:type="pct"/>
            <w:vAlign w:val="center"/>
          </w:tcPr>
          <w:p w14:paraId="2E129D20">
            <w:pPr>
              <w:jc w:val="center"/>
            </w:pPr>
            <w:r>
              <w:t>生物安全柜</w:t>
            </w:r>
          </w:p>
        </w:tc>
        <w:tc>
          <w:tcPr>
            <w:tcW w:w="591" w:type="pct"/>
            <w:vMerge w:val="continue"/>
            <w:vAlign w:val="center"/>
          </w:tcPr>
          <w:p w14:paraId="76AE49CD">
            <w:pPr>
              <w:jc w:val="center"/>
            </w:pPr>
          </w:p>
        </w:tc>
        <w:tc>
          <w:tcPr>
            <w:tcW w:w="504" w:type="pct"/>
            <w:vAlign w:val="center"/>
          </w:tcPr>
          <w:p w14:paraId="49E0CB11">
            <w:pPr>
              <w:jc w:val="center"/>
            </w:pPr>
            <w:r>
              <w:t>4</w:t>
            </w:r>
          </w:p>
        </w:tc>
        <w:tc>
          <w:tcPr>
            <w:tcW w:w="2487" w:type="pct"/>
            <w:vAlign w:val="top"/>
          </w:tcPr>
          <w:p w14:paraId="3E6A43FE">
            <w:pPr>
              <w:keepNext w:val="0"/>
              <w:keepLines w:val="0"/>
              <w:widowControl/>
              <w:suppressLineNumbers w:val="0"/>
              <w:jc w:val="left"/>
              <w:textAlignment w:val="top"/>
              <w:rPr>
                <w:rFonts w:hint="eastAsia" w:ascii="宋体" w:hAnsi="宋体" w:eastAsia="宋体" w:cs="宋体"/>
              </w:rPr>
            </w:pPr>
            <w:r>
              <w:rPr>
                <w:rFonts w:hint="eastAsia" w:ascii="宋体" w:hAnsi="宋体" w:eastAsia="宋体" w:cs="宋体"/>
              </w:rPr>
              <w:t>要求Ⅱ级A2型生物安全柜，30%气体外排，70%气体循环；所有污染部位需处于负压状态或被负压通道和负压通风系统包围</w:t>
            </w:r>
            <w:r>
              <w:rPr>
                <w:rFonts w:hint="eastAsia" w:ascii="宋体" w:hAnsi="宋体" w:eastAsia="宋体" w:cs="宋体"/>
                <w:lang w:val="en-US" w:eastAsia="zh-CN"/>
              </w:rPr>
              <w:t>等。</w:t>
            </w:r>
          </w:p>
        </w:tc>
      </w:tr>
    </w:tbl>
    <w:p w14:paraId="5EE0EBCB">
      <w:pPr>
        <w:spacing w:line="360" w:lineRule="auto"/>
        <w:ind w:firstLine="420" w:firstLineChars="200"/>
        <w:rPr>
          <w:i w:val="0"/>
          <w:iCs/>
          <w:color w:val="auto"/>
          <w:szCs w:val="21"/>
        </w:rPr>
      </w:pPr>
    </w:p>
    <w:p w14:paraId="58023D13">
      <w:pPr>
        <w:spacing w:line="360" w:lineRule="auto"/>
        <w:ind w:firstLine="420" w:firstLineChars="200"/>
        <w:rPr>
          <w:i w:val="0"/>
          <w:iCs/>
          <w:color w:val="auto"/>
          <w:szCs w:val="21"/>
        </w:rPr>
      </w:pPr>
      <w:r>
        <w:rPr>
          <w:i w:val="0"/>
          <w:iCs/>
          <w:color w:val="auto"/>
          <w:szCs w:val="21"/>
        </w:rPr>
        <w:t>注：投标人可以对本项目中的一个采购包进行投标，也可同时对多个采购包进行投标，但必须针对每一采购包中的所有内容进行投标，不允许拆分投标。</w:t>
      </w:r>
    </w:p>
    <w:p w14:paraId="2A129207">
      <w:pPr>
        <w:spacing w:line="360" w:lineRule="auto"/>
        <w:ind w:firstLine="480" w:firstLineChars="200"/>
        <w:rPr>
          <w:i w:val="0"/>
          <w:iCs/>
          <w:sz w:val="24"/>
          <w:highlight w:val="none"/>
          <w:u w:val="single"/>
        </w:rPr>
      </w:pPr>
      <w:r>
        <w:rPr>
          <w:sz w:val="24"/>
          <w:highlight w:val="none"/>
        </w:rPr>
        <w:t>5.合同履行期限：</w:t>
      </w:r>
      <w:r>
        <w:rPr>
          <w:rFonts w:hint="eastAsia" w:ascii="宋体" w:hAnsi="宋体" w:eastAsia="宋体" w:cs="宋体"/>
          <w:b w:val="0"/>
          <w:color w:val="auto"/>
          <w:sz w:val="24"/>
          <w:highlight w:val="none"/>
          <w:lang w:val="en-US" w:eastAsia="zh-CN"/>
        </w:rPr>
        <w:t>合同签订后</w:t>
      </w:r>
      <w:r>
        <w:rPr>
          <w:rFonts w:hint="eastAsia" w:ascii="宋体" w:hAnsi="宋体" w:cs="宋体"/>
          <w:b w:val="0"/>
          <w:color w:val="auto"/>
          <w:sz w:val="24"/>
          <w:highlight w:val="none"/>
          <w:lang w:val="en-US" w:eastAsia="zh-CN"/>
        </w:rPr>
        <w:t>90</w:t>
      </w:r>
      <w:r>
        <w:rPr>
          <w:rFonts w:hint="eastAsia" w:ascii="宋体" w:hAnsi="宋体" w:eastAsia="宋体" w:cs="宋体"/>
          <w:b w:val="0"/>
          <w:color w:val="auto"/>
          <w:sz w:val="24"/>
          <w:highlight w:val="none"/>
          <w:lang w:val="en-US" w:eastAsia="zh-CN"/>
        </w:rPr>
        <w:t>天内完成供货并完成安装调试具备验收条件。</w:t>
      </w:r>
    </w:p>
    <w:p w14:paraId="3DBF2B18">
      <w:pPr>
        <w:spacing w:line="360" w:lineRule="auto"/>
        <w:ind w:firstLine="480" w:firstLineChars="200"/>
        <w:rPr>
          <w:sz w:val="24"/>
          <w:highlight w:val="none"/>
        </w:rPr>
      </w:pPr>
      <w:r>
        <w:rPr>
          <w:sz w:val="24"/>
          <w:highlight w:val="none"/>
        </w:rPr>
        <w:t>6.本项目是否接受联合体投标：否。</w:t>
      </w:r>
    </w:p>
    <w:p w14:paraId="3D73B9FC">
      <w:pPr>
        <w:spacing w:line="360" w:lineRule="auto"/>
        <w:ind w:firstLine="480" w:firstLineChars="200"/>
        <w:rPr>
          <w:sz w:val="24"/>
          <w:highlight w:val="none"/>
        </w:rPr>
      </w:pPr>
    </w:p>
    <w:p w14:paraId="22BC6632">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bookmarkStart w:id="5" w:name="_Toc35393791"/>
      <w:bookmarkStart w:id="6" w:name="_Toc35393622"/>
      <w:bookmarkStart w:id="7" w:name="_Toc28359080"/>
      <w:bookmarkStart w:id="8" w:name="_Toc28359003"/>
      <w:r>
        <w:rPr>
          <w:rFonts w:ascii="Times New Roman" w:hAnsi="Times New Roman" w:eastAsia="宋体" w:cs="Times New Roman"/>
          <w:b/>
          <w:kern w:val="0"/>
          <w:sz w:val="24"/>
          <w:szCs w:val="24"/>
          <w:highlight w:val="none"/>
          <w:lang w:val="en-US" w:eastAsia="zh-CN" w:bidi="ar-SA"/>
        </w:rPr>
        <w:t>二、申请人的资格要求（须同时满足）</w:t>
      </w:r>
      <w:bookmarkEnd w:id="5"/>
      <w:bookmarkEnd w:id="6"/>
      <w:bookmarkEnd w:id="7"/>
      <w:bookmarkEnd w:id="8"/>
    </w:p>
    <w:p w14:paraId="63310119">
      <w:pPr>
        <w:spacing w:line="360" w:lineRule="auto"/>
        <w:ind w:firstLine="480" w:firstLineChars="200"/>
        <w:rPr>
          <w:sz w:val="24"/>
          <w:highlight w:val="none"/>
        </w:rPr>
      </w:pPr>
      <w:r>
        <w:rPr>
          <w:sz w:val="24"/>
          <w:highlight w:val="none"/>
        </w:rPr>
        <w:t>1.满足《中华人民共和国政府采购法》第二十二条规定；</w:t>
      </w:r>
    </w:p>
    <w:p w14:paraId="3EB998C2">
      <w:pPr>
        <w:spacing w:line="360" w:lineRule="auto"/>
        <w:ind w:firstLine="480" w:firstLineChars="200"/>
        <w:rPr>
          <w:sz w:val="24"/>
          <w:highlight w:val="none"/>
        </w:rPr>
      </w:pPr>
      <w:bookmarkStart w:id="9" w:name="_Toc28359004"/>
      <w:bookmarkStart w:id="10" w:name="_Toc28359081"/>
      <w:r>
        <w:rPr>
          <w:sz w:val="24"/>
          <w:highlight w:val="none"/>
        </w:rPr>
        <w:t>2.落实政府采购政策需满足的资格要求：</w:t>
      </w:r>
    </w:p>
    <w:p w14:paraId="19550A57">
      <w:pPr>
        <w:spacing w:line="360" w:lineRule="auto"/>
        <w:ind w:left="0" w:leftChars="0" w:firstLine="638" w:firstLineChars="266"/>
        <w:rPr>
          <w:sz w:val="24"/>
          <w:highlight w:val="none"/>
        </w:rPr>
      </w:pPr>
      <w:r>
        <w:rPr>
          <w:sz w:val="24"/>
          <w:highlight w:val="none"/>
        </w:rPr>
        <w:t>2.1 中小企业政策</w:t>
      </w:r>
    </w:p>
    <w:p w14:paraId="4E1B4D72">
      <w:pPr>
        <w:spacing w:line="360" w:lineRule="auto"/>
        <w:ind w:left="0" w:leftChars="0" w:firstLine="638" w:firstLineChars="266"/>
        <w:rPr>
          <w:sz w:val="24"/>
          <w:highlight w:val="none"/>
        </w:rPr>
      </w:pPr>
      <w:r>
        <w:rPr>
          <w:sz w:val="24"/>
          <w:highlight w:val="none"/>
        </w:rPr>
        <w:t>本项目不专门面向中小企业预留采购份额。</w:t>
      </w:r>
    </w:p>
    <w:p w14:paraId="106010D8">
      <w:pPr>
        <w:spacing w:line="360" w:lineRule="auto"/>
        <w:ind w:left="0" w:leftChars="0" w:firstLine="638" w:firstLineChars="266"/>
        <w:rPr>
          <w:sz w:val="24"/>
        </w:rPr>
      </w:pPr>
      <w:r>
        <w:rPr>
          <w:sz w:val="24"/>
          <w:highlight w:val="none"/>
        </w:rPr>
        <w:t>2.2 其它落实政府采购政策的资格要求（如有）：</w:t>
      </w:r>
      <w:r>
        <w:rPr>
          <w:rFonts w:hint="eastAsia" w:ascii="Times New Roman" w:eastAsia="宋体"/>
          <w:sz w:val="24"/>
          <w:highlight w:val="none"/>
          <w:lang w:val="en-US" w:eastAsia="zh-CN"/>
        </w:rPr>
        <w:t>无</w:t>
      </w:r>
      <w:r>
        <w:rPr>
          <w:sz w:val="24"/>
          <w:highlight w:val="none"/>
        </w:rPr>
        <w:t>。</w:t>
      </w:r>
    </w:p>
    <w:p w14:paraId="18D856AF">
      <w:pPr>
        <w:spacing w:line="360" w:lineRule="auto"/>
        <w:ind w:firstLine="480" w:firstLineChars="200"/>
        <w:rPr>
          <w:i/>
          <w:iCs/>
          <w:sz w:val="24"/>
          <w:u w:val="single"/>
        </w:rPr>
      </w:pPr>
      <w:r>
        <w:rPr>
          <w:sz w:val="24"/>
        </w:rPr>
        <w:t>3.本项目的特定资格要求：</w:t>
      </w:r>
    </w:p>
    <w:p w14:paraId="38D2B34B">
      <w:pPr>
        <w:tabs>
          <w:tab w:val="left" w:pos="900"/>
          <w:tab w:val="left" w:pos="1134"/>
          <w:tab w:val="left" w:pos="1589"/>
          <w:tab w:val="left" w:pos="5521"/>
        </w:tabs>
        <w:snapToGrid w:val="0"/>
        <w:spacing w:beforeAutospacing="0" w:afterAutospacing="0" w:line="360" w:lineRule="auto"/>
        <w:ind w:left="0" w:leftChars="0" w:right="0" w:rightChars="0" w:firstLine="640" w:firstLineChars="0"/>
        <w:jc w:val="left"/>
        <w:outlineLvl w:val="9"/>
        <w:rPr>
          <w:rFonts w:hint="eastAsia" w:ascii="宋体" w:hAnsi="宋体" w:eastAsia="宋体" w:cs="宋体"/>
          <w:b w:val="0"/>
          <w:sz w:val="24"/>
        </w:rPr>
      </w:pPr>
      <w:r>
        <w:rPr>
          <w:rFonts w:hint="default" w:ascii="Times New Roman" w:hAnsi="Times New Roman" w:cs="Times New Roman"/>
          <w:b w:val="0"/>
          <w:sz w:val="24"/>
        </w:rPr>
        <w:t>3</w:t>
      </w:r>
      <w:r>
        <w:rPr>
          <w:rFonts w:hint="eastAsia" w:ascii="宋体" w:hAnsi="宋体" w:eastAsia="宋体" w:cs="宋体"/>
          <w:b w:val="0"/>
          <w:sz w:val="24"/>
        </w:rPr>
        <w:t>.</w:t>
      </w:r>
      <w:r>
        <w:rPr>
          <w:rFonts w:hint="default" w:ascii="Times New Roman" w:hAnsi="Times New Roman" w:cs="Times New Roman"/>
          <w:b w:val="0"/>
          <w:sz w:val="24"/>
        </w:rPr>
        <w:t>1</w:t>
      </w:r>
      <w:r>
        <w:rPr>
          <w:rFonts w:hint="eastAsia" w:ascii="宋体" w:hAnsi="宋体" w:eastAsia="宋体" w:cs="宋体"/>
          <w:b w:val="0"/>
          <w:sz w:val="24"/>
        </w:rPr>
        <w:t>本项目是否属于政府购买服务：否；</w:t>
      </w:r>
    </w:p>
    <w:p w14:paraId="0B9CA757">
      <w:pPr>
        <w:tabs>
          <w:tab w:val="left" w:pos="900"/>
          <w:tab w:val="left" w:pos="1134"/>
          <w:tab w:val="left" w:pos="1589"/>
          <w:tab w:val="left" w:pos="5521"/>
        </w:tabs>
        <w:snapToGrid w:val="0"/>
        <w:spacing w:beforeAutospacing="0" w:afterAutospacing="0" w:line="360" w:lineRule="auto"/>
        <w:ind w:left="0" w:leftChars="0" w:right="0" w:rightChars="0" w:firstLine="640" w:firstLineChars="0"/>
        <w:jc w:val="left"/>
        <w:outlineLvl w:val="9"/>
        <w:rPr>
          <w:rFonts w:hint="eastAsia" w:ascii="宋体" w:hAnsi="宋体" w:eastAsia="宋体" w:cs="宋体"/>
          <w:b w:val="0"/>
          <w:sz w:val="24"/>
          <w:highlight w:val="none"/>
          <w:lang w:val="en-US" w:eastAsia="zh-CN"/>
        </w:rPr>
      </w:pPr>
      <w:r>
        <w:rPr>
          <w:rFonts w:hint="default" w:ascii="Times New Roman" w:hAnsi="Times New Roman" w:cs="Times New Roman"/>
          <w:b w:val="0"/>
          <w:sz w:val="24"/>
        </w:rPr>
        <w:t>3</w:t>
      </w:r>
      <w:r>
        <w:rPr>
          <w:rFonts w:hint="eastAsia" w:ascii="宋体" w:hAnsi="宋体" w:eastAsia="宋体" w:cs="宋体"/>
          <w:b w:val="0"/>
          <w:sz w:val="24"/>
        </w:rPr>
        <w:t>.</w:t>
      </w:r>
      <w:r>
        <w:rPr>
          <w:rFonts w:hint="default" w:ascii="Times New Roman" w:hAnsi="Times New Roman" w:cs="Times New Roman"/>
          <w:b w:val="0"/>
          <w:sz w:val="24"/>
        </w:rPr>
        <w:t>2</w:t>
      </w:r>
      <w:r>
        <w:rPr>
          <w:rFonts w:hint="eastAsia" w:ascii="宋体" w:hAnsi="宋体" w:eastAsia="宋体" w:cs="宋体"/>
          <w:b w:val="0"/>
          <w:sz w:val="24"/>
        </w:rPr>
        <w:t>其他特定资格要求</w:t>
      </w:r>
      <w:r>
        <w:rPr>
          <w:rFonts w:hint="eastAsia" w:ascii="宋体" w:hAnsi="宋体" w:eastAsia="宋体" w:cs="宋体"/>
          <w:b w:val="0"/>
          <w:sz w:val="24"/>
          <w:highlight w:val="none"/>
        </w:rPr>
        <w:t xml:space="preserve">： </w:t>
      </w:r>
      <w:r>
        <w:rPr>
          <w:rFonts w:hint="eastAsia" w:ascii="宋体" w:hAnsi="宋体" w:eastAsia="宋体" w:cs="宋体"/>
          <w:b w:val="0"/>
          <w:sz w:val="24"/>
          <w:highlight w:val="none"/>
          <w:lang w:val="en-US" w:eastAsia="zh-CN"/>
        </w:rPr>
        <w:t>无。</w:t>
      </w:r>
    </w:p>
    <w:p w14:paraId="2BA0988D">
      <w:pPr>
        <w:tabs>
          <w:tab w:val="left" w:pos="900"/>
          <w:tab w:val="left" w:pos="1980"/>
        </w:tabs>
        <w:snapToGrid w:val="0"/>
        <w:spacing w:line="360" w:lineRule="auto"/>
        <w:ind w:left="840"/>
        <w:rPr>
          <w:color w:val="000000"/>
          <w:sz w:val="24"/>
        </w:rPr>
      </w:pPr>
    </w:p>
    <w:bookmarkEnd w:id="9"/>
    <w:bookmarkEnd w:id="10"/>
    <w:p w14:paraId="0110F8A7">
      <w:pPr>
        <w:keepNext/>
        <w:keepLines/>
        <w:widowControl/>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11" w:name="_Toc35393792"/>
      <w:bookmarkStart w:id="12" w:name="_Toc35393623"/>
      <w:r>
        <w:rPr>
          <w:rFonts w:ascii="Times New Roman" w:hAnsi="Times New Roman" w:eastAsia="宋体" w:cs="Times New Roman"/>
          <w:b/>
          <w:kern w:val="0"/>
          <w:sz w:val="24"/>
          <w:szCs w:val="24"/>
          <w:lang w:val="en-US" w:eastAsia="zh-CN" w:bidi="ar-SA"/>
        </w:rPr>
        <w:t>三、获取招标文件</w:t>
      </w:r>
      <w:bookmarkEnd w:id="11"/>
      <w:bookmarkEnd w:id="12"/>
    </w:p>
    <w:p w14:paraId="0F4CAD7B">
      <w:pPr>
        <w:adjustRightInd w:val="0"/>
        <w:snapToGrid w:val="0"/>
        <w:spacing w:line="360" w:lineRule="auto"/>
        <w:ind w:firstLine="480" w:firstLineChars="200"/>
        <w:rPr>
          <w:sz w:val="24"/>
          <w:lang w:bidi="ar"/>
        </w:rPr>
      </w:pPr>
      <w:r>
        <w:rPr>
          <w:sz w:val="24"/>
          <w:lang w:bidi="ar"/>
        </w:rPr>
        <w:t>1.时间：</w:t>
      </w:r>
      <w:r>
        <w:rPr>
          <w:rFonts w:hint="eastAsia" w:ascii="Times New Roman" w:eastAsia="宋体"/>
          <w:color w:val="FF0000"/>
          <w:sz w:val="24"/>
          <w:u w:val="single"/>
          <w:lang w:val="en-US" w:eastAsia="zh-CN" w:bidi="ar"/>
        </w:rPr>
        <w:t>2026</w:t>
      </w:r>
      <w:r>
        <w:rPr>
          <w:color w:val="FF0000"/>
          <w:sz w:val="24"/>
          <w:u w:val="single"/>
          <w:lang w:bidi="ar"/>
        </w:rPr>
        <w:t>年</w:t>
      </w:r>
      <w:r>
        <w:rPr>
          <w:rFonts w:hint="eastAsia"/>
          <w:color w:val="FF0000"/>
          <w:sz w:val="24"/>
          <w:u w:val="single"/>
          <w:lang w:val="en-US" w:eastAsia="zh-CN" w:bidi="ar"/>
        </w:rPr>
        <w:t>8</w:t>
      </w:r>
      <w:r>
        <w:rPr>
          <w:color w:val="FF0000"/>
          <w:sz w:val="24"/>
          <w:u w:val="single"/>
          <w:lang w:bidi="ar"/>
        </w:rPr>
        <w:t>月</w:t>
      </w:r>
      <w:r>
        <w:rPr>
          <w:rFonts w:hint="eastAsia"/>
          <w:color w:val="FF0000"/>
          <w:sz w:val="24"/>
          <w:u w:val="single"/>
          <w:lang w:val="en-US" w:eastAsia="zh-CN" w:bidi="ar"/>
        </w:rPr>
        <w:t>26</w:t>
      </w:r>
      <w:r>
        <w:rPr>
          <w:color w:val="FF0000"/>
          <w:sz w:val="24"/>
          <w:u w:val="single"/>
          <w:lang w:bidi="ar"/>
        </w:rPr>
        <w:t>日至</w:t>
      </w:r>
      <w:r>
        <w:rPr>
          <w:rFonts w:hint="eastAsia" w:ascii="Times New Roman" w:eastAsia="宋体"/>
          <w:color w:val="FF0000"/>
          <w:sz w:val="24"/>
          <w:u w:val="single"/>
          <w:lang w:val="en-US" w:eastAsia="zh-CN" w:bidi="ar"/>
        </w:rPr>
        <w:t>2026</w:t>
      </w:r>
      <w:r>
        <w:rPr>
          <w:color w:val="FF0000"/>
          <w:sz w:val="24"/>
          <w:u w:val="single"/>
          <w:lang w:bidi="ar"/>
        </w:rPr>
        <w:t>年</w:t>
      </w:r>
      <w:r>
        <w:rPr>
          <w:rFonts w:hint="eastAsia"/>
          <w:color w:val="FF0000"/>
          <w:sz w:val="24"/>
          <w:u w:val="single"/>
          <w:lang w:val="en-US" w:eastAsia="zh-CN" w:bidi="ar"/>
        </w:rPr>
        <w:t>9</w:t>
      </w:r>
      <w:r>
        <w:rPr>
          <w:color w:val="FF0000"/>
          <w:sz w:val="24"/>
          <w:u w:val="single"/>
          <w:lang w:bidi="ar"/>
        </w:rPr>
        <w:t>月</w:t>
      </w:r>
      <w:r>
        <w:rPr>
          <w:rFonts w:hint="eastAsia"/>
          <w:color w:val="FF0000"/>
          <w:sz w:val="24"/>
          <w:u w:val="single"/>
          <w:lang w:val="en-US" w:eastAsia="zh-CN" w:bidi="ar"/>
        </w:rPr>
        <w:t>2</w:t>
      </w:r>
      <w:r>
        <w:rPr>
          <w:color w:val="FF0000"/>
          <w:sz w:val="24"/>
          <w:u w:val="single"/>
          <w:lang w:bidi="ar"/>
        </w:rPr>
        <w:t>日</w:t>
      </w:r>
      <w:r>
        <w:rPr>
          <w:sz w:val="24"/>
          <w:lang w:bidi="ar"/>
        </w:rPr>
        <w:t>，</w:t>
      </w:r>
      <w:r>
        <w:rPr>
          <w:sz w:val="24"/>
        </w:rPr>
        <w:t>每天上午</w:t>
      </w:r>
      <w:r>
        <w:rPr>
          <w:sz w:val="24"/>
          <w:lang w:val="zh-TW"/>
        </w:rPr>
        <w:t>9:00</w:t>
      </w:r>
      <w:r>
        <w:rPr>
          <w:sz w:val="24"/>
        </w:rPr>
        <w:t>至</w:t>
      </w:r>
      <w:r>
        <w:rPr>
          <w:sz w:val="24"/>
          <w:lang w:val="zh-TW"/>
        </w:rPr>
        <w:t>12:00</w:t>
      </w:r>
      <w:r>
        <w:rPr>
          <w:sz w:val="24"/>
        </w:rPr>
        <w:t>，下午</w:t>
      </w:r>
      <w:r>
        <w:rPr>
          <w:sz w:val="24"/>
          <w:lang w:val="zh-TW"/>
        </w:rPr>
        <w:t>1</w:t>
      </w:r>
      <w:r>
        <w:rPr>
          <w:rFonts w:eastAsia="Microsoft JhengHei UI"/>
          <w:sz w:val="24"/>
          <w:lang w:val="zh-TW"/>
        </w:rPr>
        <w:t>2</w:t>
      </w:r>
      <w:r>
        <w:rPr>
          <w:sz w:val="24"/>
          <w:lang w:val="zh-TW"/>
        </w:rPr>
        <w:t>:00</w:t>
      </w:r>
      <w:r>
        <w:rPr>
          <w:sz w:val="24"/>
        </w:rPr>
        <w:t>至</w:t>
      </w:r>
      <w:r>
        <w:rPr>
          <w:sz w:val="24"/>
          <w:lang w:val="zh-TW"/>
        </w:rPr>
        <w:t>17:00</w:t>
      </w:r>
      <w:r>
        <w:rPr>
          <w:sz w:val="24"/>
          <w:lang w:bidi="ar"/>
        </w:rPr>
        <w:t>（北京时间，法定节假日除外）。</w:t>
      </w:r>
    </w:p>
    <w:p w14:paraId="69B9486F">
      <w:pPr>
        <w:adjustRightInd w:val="0"/>
        <w:snapToGrid w:val="0"/>
        <w:spacing w:line="360" w:lineRule="auto"/>
        <w:ind w:firstLine="480" w:firstLineChars="200"/>
        <w:rPr>
          <w:sz w:val="24"/>
        </w:rPr>
      </w:pPr>
      <w:r>
        <w:rPr>
          <w:sz w:val="24"/>
          <w:lang w:bidi="ar"/>
        </w:rPr>
        <w:t>2.地点：北京市政府采购电子交易平台</w:t>
      </w:r>
    </w:p>
    <w:p w14:paraId="246C7C16">
      <w:pPr>
        <w:widowControl/>
        <w:adjustRightInd w:val="0"/>
        <w:snapToGrid w:val="0"/>
        <w:spacing w:line="360" w:lineRule="auto"/>
        <w:ind w:firstLine="480" w:firstLineChars="200"/>
        <w:jc w:val="left"/>
        <w:rPr>
          <w:sz w:val="24"/>
          <w:lang w:bidi="ar"/>
        </w:rPr>
      </w:pPr>
      <w:r>
        <w:rPr>
          <w:sz w:val="24"/>
          <w:lang w:bidi="ar"/>
        </w:rPr>
        <w:t>3.方式：供应商</w:t>
      </w:r>
      <w:r>
        <w:rPr>
          <w:rFonts w:hint="eastAsia"/>
          <w:sz w:val="24"/>
          <w:lang w:bidi="ar"/>
        </w:rPr>
        <w:t>使用CA数字证书或电子营业执照</w:t>
      </w:r>
      <w:r>
        <w:rPr>
          <w:sz w:val="24"/>
          <w:lang w:bidi="ar"/>
        </w:rPr>
        <w:t>登录北京市政府采购电子交易平台（http://zbcg-bjzc.zhongcy.com/bjczj-portal-site/index.html#/home）获取电子版招标文件。</w:t>
      </w:r>
    </w:p>
    <w:p w14:paraId="1B5FD7EF">
      <w:pPr>
        <w:widowControl/>
        <w:adjustRightInd w:val="0"/>
        <w:snapToGrid w:val="0"/>
        <w:spacing w:line="360" w:lineRule="auto"/>
        <w:ind w:firstLine="480" w:firstLineChars="200"/>
        <w:jc w:val="left"/>
        <w:rPr>
          <w:sz w:val="24"/>
        </w:rPr>
      </w:pPr>
      <w:r>
        <w:rPr>
          <w:sz w:val="24"/>
          <w:lang w:bidi="ar"/>
        </w:rPr>
        <w:t>4.售价：0元。</w:t>
      </w:r>
    </w:p>
    <w:p w14:paraId="7818447E">
      <w:pPr>
        <w:tabs>
          <w:tab w:val="left" w:pos="900"/>
          <w:tab w:val="left" w:pos="1980"/>
        </w:tabs>
        <w:snapToGrid w:val="0"/>
        <w:spacing w:line="360" w:lineRule="auto"/>
        <w:ind w:left="840"/>
        <w:rPr>
          <w:sz w:val="24"/>
        </w:rPr>
      </w:pPr>
    </w:p>
    <w:p w14:paraId="4111B98E">
      <w:pPr>
        <w:keepNext/>
        <w:keepLines/>
        <w:widowControl/>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13" w:name="_Toc28359005"/>
      <w:bookmarkStart w:id="14" w:name="_Toc28359082"/>
      <w:bookmarkStart w:id="15" w:name="_Toc35393624"/>
      <w:bookmarkStart w:id="16" w:name="_Toc35393793"/>
      <w:r>
        <w:rPr>
          <w:rFonts w:ascii="Times New Roman" w:hAnsi="Times New Roman" w:eastAsia="宋体" w:cs="Times New Roman"/>
          <w:b/>
          <w:kern w:val="0"/>
          <w:sz w:val="24"/>
          <w:szCs w:val="24"/>
          <w:lang w:val="en-US" w:eastAsia="zh-CN" w:bidi="ar-SA"/>
        </w:rPr>
        <w:t>四、提交投标文件</w:t>
      </w:r>
      <w:bookmarkEnd w:id="13"/>
      <w:bookmarkEnd w:id="14"/>
      <w:r>
        <w:rPr>
          <w:rFonts w:ascii="Times New Roman" w:hAnsi="Times New Roman" w:eastAsia="宋体" w:cs="Times New Roman"/>
          <w:b/>
          <w:kern w:val="0"/>
          <w:sz w:val="24"/>
          <w:szCs w:val="24"/>
          <w:lang w:val="en-US" w:eastAsia="zh-CN" w:bidi="ar-SA"/>
        </w:rPr>
        <w:t>截止时间、开标时间和地点</w:t>
      </w:r>
      <w:bookmarkEnd w:id="15"/>
      <w:bookmarkEnd w:id="16"/>
    </w:p>
    <w:p w14:paraId="0104FDEF">
      <w:pPr>
        <w:spacing w:line="360" w:lineRule="auto"/>
        <w:ind w:firstLine="480" w:firstLineChars="200"/>
        <w:rPr>
          <w:bCs/>
          <w:sz w:val="24"/>
          <w:u w:val="single"/>
        </w:rPr>
      </w:pPr>
      <w:r>
        <w:rPr>
          <w:sz w:val="24"/>
          <w:lang w:bidi="ar"/>
        </w:rPr>
        <w:t>投标截止时间、开标时间：</w:t>
      </w:r>
      <w:r>
        <w:rPr>
          <w:color w:val="FF0000"/>
          <w:sz w:val="24"/>
          <w:u w:val="single"/>
          <w:lang w:bidi="ar"/>
        </w:rPr>
        <w:t>2026年</w:t>
      </w:r>
      <w:r>
        <w:rPr>
          <w:rFonts w:hint="eastAsia"/>
          <w:color w:val="FF0000"/>
          <w:sz w:val="24"/>
          <w:u w:val="single"/>
          <w:lang w:val="en-US" w:eastAsia="zh-CN" w:bidi="ar"/>
        </w:rPr>
        <w:t>9</w:t>
      </w:r>
      <w:r>
        <w:rPr>
          <w:color w:val="FF0000"/>
          <w:sz w:val="24"/>
          <w:u w:val="single"/>
          <w:lang w:bidi="ar"/>
        </w:rPr>
        <w:t>月</w:t>
      </w:r>
      <w:r>
        <w:rPr>
          <w:rFonts w:hint="eastAsia"/>
          <w:color w:val="FF0000"/>
          <w:sz w:val="24"/>
          <w:u w:val="single"/>
          <w:lang w:val="en-US" w:eastAsia="zh-CN" w:bidi="ar"/>
        </w:rPr>
        <w:t>16</w:t>
      </w:r>
      <w:r>
        <w:rPr>
          <w:color w:val="FF0000"/>
          <w:sz w:val="24"/>
          <w:u w:val="single"/>
          <w:lang w:bidi="ar"/>
        </w:rPr>
        <w:t>日09点30分</w:t>
      </w:r>
      <w:r>
        <w:rPr>
          <w:sz w:val="24"/>
          <w:lang w:bidi="ar"/>
        </w:rPr>
        <w:t>（北京时间）。</w:t>
      </w:r>
    </w:p>
    <w:p w14:paraId="7F10662F">
      <w:pPr>
        <w:spacing w:line="360" w:lineRule="auto"/>
        <w:ind w:firstLine="480" w:firstLineChars="200"/>
        <w:rPr>
          <w:sz w:val="24"/>
          <w:lang w:val="zh-TW" w:bidi="ar"/>
        </w:rPr>
      </w:pPr>
      <w:r>
        <w:rPr>
          <w:sz w:val="24"/>
          <w:lang w:bidi="ar"/>
        </w:rPr>
        <w:t>地点：</w:t>
      </w:r>
      <w:r>
        <w:rPr>
          <w:rFonts w:hint="eastAsia" w:ascii="Times New Roman"/>
          <w:color w:val="FF0000"/>
          <w:sz w:val="24"/>
          <w:u w:val="single"/>
          <w:lang w:val="zh-TW"/>
        </w:rPr>
        <w:t>北京市政府采购电子交易平台</w:t>
      </w:r>
      <w:r>
        <w:rPr>
          <w:color w:val="FF0000"/>
          <w:sz w:val="24"/>
          <w:lang w:val="zh-TW" w:bidi="ar"/>
        </w:rPr>
        <w:t>。</w:t>
      </w:r>
    </w:p>
    <w:p w14:paraId="267FFB55">
      <w:pPr>
        <w:spacing w:line="360" w:lineRule="auto"/>
        <w:ind w:firstLine="480" w:firstLineChars="200"/>
        <w:rPr>
          <w:bCs/>
          <w:sz w:val="24"/>
          <w:u w:val="single"/>
        </w:rPr>
      </w:pPr>
    </w:p>
    <w:p w14:paraId="4D5D2170">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17" w:name="_Toc28359084"/>
      <w:bookmarkStart w:id="18" w:name="_Toc28359007"/>
      <w:bookmarkStart w:id="19" w:name="_Toc35393625"/>
      <w:bookmarkStart w:id="20" w:name="_Toc35393794"/>
      <w:r>
        <w:rPr>
          <w:rFonts w:ascii="Times New Roman" w:hAnsi="Times New Roman" w:eastAsia="宋体" w:cs="Times New Roman"/>
          <w:b/>
          <w:kern w:val="0"/>
          <w:sz w:val="24"/>
          <w:szCs w:val="24"/>
          <w:lang w:val="en-US" w:eastAsia="zh-CN" w:bidi="ar-SA"/>
        </w:rPr>
        <w:t>五、公告期限</w:t>
      </w:r>
      <w:bookmarkEnd w:id="17"/>
      <w:bookmarkEnd w:id="18"/>
      <w:bookmarkEnd w:id="19"/>
      <w:bookmarkEnd w:id="20"/>
    </w:p>
    <w:p w14:paraId="6A1A06CF">
      <w:pPr>
        <w:spacing w:line="360" w:lineRule="auto"/>
        <w:ind w:firstLine="480" w:firstLineChars="200"/>
        <w:rPr>
          <w:kern w:val="0"/>
          <w:sz w:val="24"/>
        </w:rPr>
      </w:pPr>
      <w:r>
        <w:rPr>
          <w:kern w:val="0"/>
          <w:sz w:val="24"/>
        </w:rPr>
        <w:t>自本公告发布之日起5个工作日。</w:t>
      </w:r>
    </w:p>
    <w:p w14:paraId="06264FF5">
      <w:pPr>
        <w:spacing w:line="360" w:lineRule="auto"/>
        <w:ind w:firstLine="480" w:firstLineChars="200"/>
        <w:rPr>
          <w:kern w:val="0"/>
          <w:sz w:val="24"/>
        </w:rPr>
      </w:pPr>
    </w:p>
    <w:p w14:paraId="2AA37AFB">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21" w:name="_Toc35393626"/>
      <w:bookmarkStart w:id="22" w:name="_Toc35393795"/>
      <w:r>
        <w:rPr>
          <w:rFonts w:ascii="Times New Roman" w:hAnsi="Times New Roman" w:eastAsia="宋体" w:cs="Times New Roman"/>
          <w:b/>
          <w:kern w:val="0"/>
          <w:sz w:val="24"/>
          <w:szCs w:val="24"/>
          <w:lang w:val="en-US" w:eastAsia="zh-CN" w:bidi="ar-SA"/>
        </w:rPr>
        <w:t>六、其他补充事宜</w:t>
      </w:r>
      <w:bookmarkEnd w:id="21"/>
      <w:bookmarkEnd w:id="22"/>
    </w:p>
    <w:p w14:paraId="7EE5F6C4">
      <w:pPr>
        <w:spacing w:line="360" w:lineRule="auto"/>
        <w:ind w:firstLine="480" w:firstLineChars="200"/>
        <w:rPr>
          <w:sz w:val="24"/>
        </w:rPr>
      </w:pPr>
      <w:r>
        <w:rPr>
          <w:sz w:val="24"/>
        </w:rPr>
        <w:t>1.本项目需要落实的政府采购政策：</w:t>
      </w:r>
      <w:bookmarkStart w:id="23" w:name="_Hlk217659273"/>
      <w:r>
        <w:rPr>
          <w:rFonts w:hint="eastAsia"/>
          <w:sz w:val="24"/>
        </w:rPr>
        <w:t>本国产品、</w:t>
      </w:r>
      <w:bookmarkEnd w:id="23"/>
      <w:r>
        <w:rPr>
          <w:sz w:val="24"/>
        </w:rPr>
        <w:t>节约能源、保护环境、促进中小企业及监狱企业发展、促进残疾人就业、</w:t>
      </w:r>
      <w:r>
        <w:rPr>
          <w:bCs/>
          <w:sz w:val="24"/>
        </w:rPr>
        <w:t>支持乡村产业振兴</w:t>
      </w:r>
      <w:r>
        <w:rPr>
          <w:sz w:val="24"/>
        </w:rPr>
        <w:t xml:space="preserve">，政府采购政策具体落实情况详见招标文件。 </w:t>
      </w:r>
    </w:p>
    <w:p w14:paraId="67DB3272">
      <w:pPr>
        <w:widowControl/>
        <w:adjustRightInd w:val="0"/>
        <w:snapToGrid w:val="0"/>
        <w:spacing w:line="360" w:lineRule="auto"/>
        <w:ind w:firstLine="480" w:firstLineChars="200"/>
        <w:jc w:val="left"/>
        <w:rPr>
          <w:bCs/>
          <w:sz w:val="24"/>
          <w:lang w:bidi="ar"/>
        </w:rPr>
      </w:pPr>
      <w:r>
        <w:rPr>
          <w:rFonts w:hint="eastAsia" w:ascii="Times New Roman" w:eastAsia="宋体"/>
          <w:sz w:val="24"/>
          <w:lang w:val="en-US" w:eastAsia="zh-CN" w:bidi="ar"/>
        </w:rPr>
        <w:t>2</w:t>
      </w:r>
      <w:r>
        <w:rPr>
          <w:sz w:val="24"/>
          <w:lang w:bidi="ar"/>
        </w:rPr>
        <w:t>.本项目采用全流程电子化采购方式，请供应商认真学习北京市政府采购电子交易平台发布的相关操作手册</w:t>
      </w:r>
      <w:r>
        <w:rPr>
          <w:rFonts w:hint="eastAsia"/>
          <w:sz w:val="24"/>
          <w:lang w:bidi="ar"/>
        </w:rPr>
        <w:t>（供应商可在交易平台下载相关手册）</w:t>
      </w:r>
      <w:r>
        <w:rPr>
          <w:sz w:val="24"/>
          <w:lang w:bidi="ar"/>
        </w:rPr>
        <w:t>，办理</w:t>
      </w:r>
      <w:r>
        <w:rPr>
          <w:rFonts w:hint="eastAsia"/>
          <w:sz w:val="24"/>
          <w:lang w:bidi="ar"/>
        </w:rPr>
        <w:t>CA数字证书或电子营业执照</w:t>
      </w:r>
      <w:r>
        <w:rPr>
          <w:sz w:val="24"/>
          <w:lang w:bidi="ar"/>
        </w:rPr>
        <w:t>、进行北京市政府采购电子交易平台注册绑定，并认真核实</w:t>
      </w:r>
      <w:r>
        <w:rPr>
          <w:rFonts w:hint="eastAsia"/>
          <w:bCs/>
          <w:sz w:val="24"/>
          <w:lang w:bidi="ar"/>
        </w:rPr>
        <w:t>CA数字证书或电子营业执照</w:t>
      </w:r>
      <w:r>
        <w:rPr>
          <w:bCs/>
          <w:sz w:val="24"/>
          <w:lang w:bidi="ar"/>
        </w:rPr>
        <w:t>情况确认是否符合本项目电子化采购流程要求。</w:t>
      </w:r>
    </w:p>
    <w:p w14:paraId="41BC306D">
      <w:pPr>
        <w:adjustRightInd w:val="0"/>
        <w:snapToGrid w:val="0"/>
        <w:spacing w:line="360" w:lineRule="auto"/>
        <w:ind w:firstLine="480" w:firstLineChars="200"/>
        <w:rPr>
          <w:sz w:val="24"/>
          <w:lang w:bidi="ar"/>
        </w:rPr>
      </w:pPr>
      <w:r>
        <w:rPr>
          <w:rFonts w:hint="eastAsia"/>
          <w:sz w:val="24"/>
          <w:lang w:bidi="ar"/>
        </w:rPr>
        <w:t>CA数字证书</w:t>
      </w:r>
      <w:r>
        <w:rPr>
          <w:sz w:val="24"/>
          <w:lang w:bidi="ar"/>
        </w:rPr>
        <w:t>服务热线 010-58511086</w:t>
      </w:r>
    </w:p>
    <w:p w14:paraId="6B844CD9">
      <w:pPr>
        <w:adjustRightInd w:val="0"/>
        <w:snapToGrid w:val="0"/>
        <w:spacing w:line="360" w:lineRule="auto"/>
        <w:ind w:firstLine="480" w:firstLineChars="200"/>
        <w:rPr>
          <w:sz w:val="24"/>
        </w:rPr>
      </w:pPr>
      <w:r>
        <w:rPr>
          <w:rFonts w:hint="eastAsia"/>
          <w:sz w:val="24"/>
        </w:rPr>
        <w:t>电子营业执照服务热线 400-699-7000</w:t>
      </w:r>
    </w:p>
    <w:p w14:paraId="6927DE91">
      <w:pPr>
        <w:adjustRightInd w:val="0"/>
        <w:snapToGrid w:val="0"/>
        <w:spacing w:line="360" w:lineRule="auto"/>
        <w:ind w:firstLine="480" w:firstLineChars="200"/>
        <w:rPr>
          <w:sz w:val="24"/>
        </w:rPr>
      </w:pPr>
      <w:r>
        <w:rPr>
          <w:sz w:val="24"/>
          <w:lang w:bidi="ar"/>
        </w:rPr>
        <w:t>技术支持服务热线    010-86483801</w:t>
      </w:r>
    </w:p>
    <w:p w14:paraId="09444AC5">
      <w:pPr>
        <w:widowControl/>
        <w:adjustRightInd w:val="0"/>
        <w:snapToGrid w:val="0"/>
        <w:spacing w:line="360" w:lineRule="auto"/>
        <w:ind w:firstLine="480" w:firstLineChars="200"/>
        <w:jc w:val="left"/>
        <w:rPr>
          <w:sz w:val="24"/>
          <w:lang w:bidi="ar"/>
        </w:rPr>
      </w:pPr>
      <w:r>
        <w:rPr>
          <w:rFonts w:hint="eastAsia" w:ascii="Times New Roman" w:eastAsia="宋体"/>
          <w:sz w:val="24"/>
          <w:lang w:val="en-US" w:eastAsia="zh-CN" w:bidi="ar"/>
        </w:rPr>
        <w:t>2</w:t>
      </w:r>
      <w:r>
        <w:rPr>
          <w:sz w:val="24"/>
          <w:lang w:bidi="ar"/>
        </w:rPr>
        <w:t>.1办理</w:t>
      </w:r>
      <w:r>
        <w:rPr>
          <w:rFonts w:hint="eastAsia"/>
          <w:sz w:val="24"/>
          <w:lang w:bidi="ar"/>
        </w:rPr>
        <w:t>CA数字证书或电子营业执照</w:t>
      </w:r>
    </w:p>
    <w:p w14:paraId="1FFBDFA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w:t>
      </w:r>
      <w:r>
        <w:rPr>
          <w:rFonts w:hint="eastAsia"/>
          <w:sz w:val="24"/>
          <w:lang w:bidi="ar"/>
        </w:rPr>
        <w:t>“电子营业执照使用指南”</w:t>
      </w:r>
      <w:r>
        <w:rPr>
          <w:sz w:val="24"/>
          <w:lang w:bidi="ar"/>
        </w:rPr>
        <w:t>，按照程序要求办理。</w:t>
      </w:r>
    </w:p>
    <w:p w14:paraId="50D00657">
      <w:pPr>
        <w:adjustRightInd w:val="0"/>
        <w:snapToGrid w:val="0"/>
        <w:spacing w:line="360" w:lineRule="auto"/>
        <w:ind w:firstLine="480" w:firstLineChars="200"/>
        <w:rPr>
          <w:sz w:val="24"/>
          <w:lang w:bidi="ar"/>
        </w:rPr>
      </w:pPr>
      <w:r>
        <w:rPr>
          <w:rFonts w:hint="eastAsia" w:ascii="Times New Roman" w:eastAsia="宋体"/>
          <w:sz w:val="24"/>
          <w:lang w:val="en-US" w:eastAsia="zh-CN" w:bidi="ar"/>
        </w:rPr>
        <w:t>2</w:t>
      </w:r>
      <w:r>
        <w:rPr>
          <w:sz w:val="24"/>
          <w:lang w:bidi="ar"/>
        </w:rPr>
        <w:t>.2注册</w:t>
      </w:r>
    </w:p>
    <w:p w14:paraId="5FB0F53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D863FE9">
      <w:pPr>
        <w:widowControl/>
        <w:adjustRightInd w:val="0"/>
        <w:snapToGrid w:val="0"/>
        <w:spacing w:line="360" w:lineRule="auto"/>
        <w:ind w:firstLine="480" w:firstLineChars="200"/>
        <w:jc w:val="left"/>
        <w:rPr>
          <w:sz w:val="24"/>
          <w:lang w:bidi="ar"/>
        </w:rPr>
      </w:pPr>
      <w:r>
        <w:rPr>
          <w:rFonts w:hint="eastAsia" w:ascii="Times New Roman" w:eastAsia="宋体"/>
          <w:sz w:val="24"/>
          <w:lang w:val="en-US" w:eastAsia="zh-CN" w:bidi="ar"/>
        </w:rPr>
        <w:t>2</w:t>
      </w:r>
      <w:r>
        <w:rPr>
          <w:sz w:val="24"/>
          <w:lang w:bidi="ar"/>
        </w:rPr>
        <w:t>.3驱动、客户端下载</w:t>
      </w:r>
    </w:p>
    <w:p w14:paraId="446C6344">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2212E291">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7097C74">
      <w:pPr>
        <w:adjustRightInd w:val="0"/>
        <w:snapToGrid w:val="0"/>
        <w:spacing w:line="360" w:lineRule="auto"/>
        <w:ind w:firstLine="480" w:firstLineChars="200"/>
        <w:rPr>
          <w:sz w:val="24"/>
          <w:lang w:bidi="ar"/>
        </w:rPr>
      </w:pPr>
      <w:r>
        <w:rPr>
          <w:rFonts w:hint="eastAsia" w:ascii="Times New Roman" w:eastAsia="宋体"/>
          <w:sz w:val="24"/>
          <w:lang w:val="en-US" w:eastAsia="zh-CN" w:bidi="ar"/>
        </w:rPr>
        <w:t>2</w:t>
      </w:r>
      <w:r>
        <w:rPr>
          <w:sz w:val="24"/>
          <w:lang w:bidi="ar"/>
        </w:rPr>
        <w:t>.4 获取电子招标文件</w:t>
      </w:r>
    </w:p>
    <w:p w14:paraId="0374585D">
      <w:pPr>
        <w:adjustRightInd w:val="0"/>
        <w:snapToGrid w:val="0"/>
        <w:spacing w:line="360" w:lineRule="auto"/>
        <w:ind w:firstLine="480" w:firstLineChars="200"/>
        <w:rPr>
          <w:sz w:val="24"/>
          <w:lang w:bidi="ar"/>
        </w:rPr>
      </w:pPr>
      <w:r>
        <w:rPr>
          <w:sz w:val="24"/>
          <w:lang w:bidi="ar"/>
        </w:rPr>
        <w:t>供应商</w:t>
      </w:r>
      <w:r>
        <w:rPr>
          <w:rFonts w:hint="eastAsia"/>
          <w:sz w:val="24"/>
          <w:lang w:bidi="ar"/>
        </w:rPr>
        <w:t>使用CA数字证书或电子营业执照</w:t>
      </w:r>
      <w:r>
        <w:rPr>
          <w:sz w:val="24"/>
          <w:lang w:bidi="ar"/>
        </w:rPr>
        <w:t>登录北京市政府采购电子交易平台获取电子招标文件。</w:t>
      </w:r>
    </w:p>
    <w:p w14:paraId="43CCF206">
      <w:pPr>
        <w:adjustRightInd w:val="0"/>
        <w:snapToGrid w:val="0"/>
        <w:spacing w:line="360" w:lineRule="auto"/>
        <w:ind w:firstLine="480" w:firstLineChars="200"/>
        <w:rPr>
          <w:sz w:val="24"/>
          <w:lang w:bidi="ar"/>
        </w:rPr>
      </w:pPr>
      <w:r>
        <w:rPr>
          <w:rFonts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F966A7B">
      <w:pPr>
        <w:adjustRightInd w:val="0"/>
        <w:snapToGrid w:val="0"/>
        <w:spacing w:line="360" w:lineRule="auto"/>
        <w:ind w:firstLine="480" w:firstLineChars="200"/>
        <w:rPr>
          <w:sz w:val="24"/>
          <w:lang w:bidi="ar"/>
        </w:rPr>
      </w:pPr>
      <w:r>
        <w:rPr>
          <w:rFonts w:hint="eastAsia" w:ascii="Times New Roman" w:eastAsia="宋体"/>
          <w:sz w:val="24"/>
          <w:lang w:val="en-US" w:eastAsia="zh-CN" w:bidi="ar"/>
        </w:rPr>
        <w:t>2</w:t>
      </w:r>
      <w:r>
        <w:rPr>
          <w:sz w:val="24"/>
          <w:lang w:bidi="ar"/>
        </w:rPr>
        <w:t>.5编制电子投标文件</w:t>
      </w:r>
    </w:p>
    <w:p w14:paraId="25BCA3A1">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63A614B0">
      <w:pPr>
        <w:widowControl/>
        <w:spacing w:line="360" w:lineRule="auto"/>
        <w:ind w:firstLine="480" w:firstLineChars="200"/>
        <w:jc w:val="left"/>
        <w:rPr>
          <w:sz w:val="24"/>
          <w:lang w:val="zh-TW" w:bidi="ar"/>
        </w:rPr>
      </w:pPr>
      <w:r>
        <w:rPr>
          <w:rFonts w:hint="eastAsia" w:ascii="Times New Roman" w:eastAsia="宋体"/>
          <w:sz w:val="24"/>
          <w:lang w:val="en-US" w:eastAsia="zh-CN" w:bidi="ar"/>
        </w:rPr>
        <w:t>2</w:t>
      </w:r>
      <w:r>
        <w:rPr>
          <w:sz w:val="24"/>
          <w:lang w:val="zh-TW" w:bidi="ar"/>
        </w:rPr>
        <w:t>.6提交电子投标文件</w:t>
      </w:r>
    </w:p>
    <w:p w14:paraId="6B6FA515">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77CA028">
      <w:pPr>
        <w:widowControl/>
        <w:spacing w:line="360" w:lineRule="auto"/>
        <w:ind w:firstLine="480" w:firstLineChars="200"/>
        <w:jc w:val="left"/>
        <w:rPr>
          <w:sz w:val="24"/>
          <w:lang w:bidi="ar"/>
        </w:rPr>
      </w:pPr>
      <w:r>
        <w:rPr>
          <w:rFonts w:hint="eastAsia" w:ascii="Times New Roman" w:eastAsia="宋体"/>
          <w:sz w:val="24"/>
          <w:lang w:val="en-US" w:eastAsia="zh-CN" w:bidi="ar"/>
        </w:rPr>
        <w:t>2</w:t>
      </w:r>
      <w:r>
        <w:rPr>
          <w:sz w:val="24"/>
          <w:lang w:val="zh-TW" w:bidi="ar"/>
        </w:rPr>
        <w:t>.7电子开标</w:t>
      </w:r>
    </w:p>
    <w:p w14:paraId="68FA2300">
      <w:pPr>
        <w:spacing w:line="360" w:lineRule="auto"/>
        <w:ind w:firstLine="480" w:firstLineChars="200"/>
        <w:rPr>
          <w:sz w:val="24"/>
        </w:rPr>
      </w:pPr>
      <w:r>
        <w:rPr>
          <w:sz w:val="24"/>
          <w:lang w:val="zh-TW" w:bidi="ar"/>
        </w:rPr>
        <w:t>供应商在开标地点使用</w:t>
      </w:r>
      <w:r>
        <w:rPr>
          <w:rFonts w:hint="eastAsia"/>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05C28362">
      <w:pPr>
        <w:spacing w:line="360" w:lineRule="auto"/>
        <w:ind w:firstLine="480" w:firstLineChars="200"/>
        <w:rPr>
          <w:sz w:val="24"/>
        </w:rPr>
      </w:pPr>
    </w:p>
    <w:p w14:paraId="4FEA8B9E">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24" w:name="_Toc28359008"/>
      <w:bookmarkStart w:id="25" w:name="_Toc35393627"/>
      <w:bookmarkStart w:id="26" w:name="_Toc28359085"/>
      <w:bookmarkStart w:id="27" w:name="_Toc35393796"/>
      <w:r>
        <w:rPr>
          <w:rFonts w:ascii="Times New Roman" w:hAnsi="Times New Roman" w:eastAsia="宋体" w:cs="Times New Roman"/>
          <w:b/>
          <w:kern w:val="0"/>
          <w:sz w:val="24"/>
          <w:szCs w:val="24"/>
          <w:lang w:val="en-US" w:eastAsia="zh-CN" w:bidi="ar-SA"/>
        </w:rPr>
        <w:t>七、对本次招标提出询问，请按以下方式联系。</w:t>
      </w:r>
      <w:bookmarkEnd w:id="24"/>
      <w:bookmarkEnd w:id="25"/>
      <w:bookmarkEnd w:id="26"/>
      <w:bookmarkEnd w:id="27"/>
    </w:p>
    <w:p w14:paraId="4C2A1AE5">
      <w:pPr>
        <w:widowControl/>
        <w:spacing w:line="360" w:lineRule="auto"/>
        <w:jc w:val="left"/>
        <w:rPr>
          <w:b/>
          <w:sz w:val="24"/>
        </w:rPr>
      </w:pPr>
      <w:r>
        <w:rPr>
          <w:sz w:val="24"/>
        </w:rPr>
        <w:t>　　　</w:t>
      </w:r>
      <w:r>
        <w:rPr>
          <w:b/>
          <w:sz w:val="24"/>
        </w:rPr>
        <w:t>1.采购人信息</w:t>
      </w:r>
    </w:p>
    <w:p w14:paraId="248A290B">
      <w:pPr>
        <w:spacing w:line="360" w:lineRule="auto"/>
        <w:ind w:left="1079" w:leftChars="371" w:hanging="300" w:hangingChars="125"/>
        <w:jc w:val="left"/>
        <w:rPr>
          <w:sz w:val="24"/>
        </w:rPr>
      </w:pPr>
      <w:bookmarkStart w:id="28" w:name="_Toc28359009"/>
      <w:bookmarkStart w:id="29" w:name="_Toc28359086"/>
      <w:r>
        <w:rPr>
          <w:sz w:val="24"/>
        </w:rPr>
        <w:t>名    称：北京市药品检验研究院（北京市疫苗检验中心）</w:t>
      </w:r>
    </w:p>
    <w:p w14:paraId="4B616F3D">
      <w:pPr>
        <w:spacing w:line="360" w:lineRule="auto"/>
        <w:ind w:left="1079" w:leftChars="371" w:hanging="300" w:hangingChars="125"/>
        <w:jc w:val="left"/>
        <w:rPr>
          <w:sz w:val="24"/>
        </w:rPr>
      </w:pPr>
      <w:r>
        <w:rPr>
          <w:sz w:val="24"/>
        </w:rPr>
        <w:t>地    址：北京市昌平区科学园路25号</w:t>
      </w:r>
    </w:p>
    <w:p w14:paraId="05207ADD">
      <w:pPr>
        <w:spacing w:line="360" w:lineRule="auto"/>
        <w:ind w:left="1079" w:leftChars="371" w:hanging="300" w:hangingChars="125"/>
        <w:jc w:val="left"/>
        <w:rPr>
          <w:sz w:val="24"/>
          <w:u w:val="single"/>
        </w:rPr>
      </w:pPr>
      <w:r>
        <w:rPr>
          <w:sz w:val="24"/>
        </w:rPr>
        <w:t>联系方式：曾老师，010-52779797</w:t>
      </w:r>
    </w:p>
    <w:p w14:paraId="66315729">
      <w:pPr>
        <w:spacing w:line="360" w:lineRule="auto"/>
        <w:ind w:firstLine="723" w:firstLineChars="300"/>
        <w:rPr>
          <w:b/>
          <w:sz w:val="24"/>
        </w:rPr>
      </w:pPr>
      <w:r>
        <w:rPr>
          <w:b/>
          <w:sz w:val="24"/>
        </w:rPr>
        <w:t>2.采购代理机构信息</w:t>
      </w:r>
    </w:p>
    <w:p w14:paraId="59B8CCCF">
      <w:pPr>
        <w:spacing w:line="360" w:lineRule="auto"/>
        <w:ind w:firstLine="720" w:firstLineChars="300"/>
        <w:rPr>
          <w:sz w:val="24"/>
        </w:rPr>
      </w:pPr>
      <w:r>
        <w:rPr>
          <w:sz w:val="24"/>
        </w:rPr>
        <w:t>名 称：中钢招标有限责任公司</w:t>
      </w:r>
    </w:p>
    <w:p w14:paraId="7C6B158E">
      <w:pPr>
        <w:spacing w:line="360" w:lineRule="auto"/>
        <w:ind w:firstLine="720" w:firstLineChars="300"/>
        <w:rPr>
          <w:sz w:val="24"/>
        </w:rPr>
      </w:pPr>
      <w:r>
        <w:rPr>
          <w:sz w:val="24"/>
        </w:rPr>
        <w:t>地 址：北京市海淀区海淀大街8号中钢国际广场16层</w:t>
      </w:r>
    </w:p>
    <w:p w14:paraId="0042EC6C">
      <w:pPr>
        <w:spacing w:line="360" w:lineRule="auto"/>
        <w:ind w:firstLine="720" w:firstLineChars="300"/>
        <w:rPr>
          <w:sz w:val="24"/>
        </w:rPr>
      </w:pPr>
      <w:r>
        <w:rPr>
          <w:sz w:val="24"/>
        </w:rPr>
        <w:t>联系方式：</w:t>
      </w:r>
      <w:r>
        <w:rPr>
          <w:rFonts w:hint="eastAsia"/>
          <w:sz w:val="24"/>
          <w:lang w:val="en-US" w:eastAsia="zh-CN"/>
        </w:rPr>
        <w:t>同</w:t>
      </w:r>
      <w:r>
        <w:rPr>
          <w:rFonts w:hint="eastAsia"/>
          <w:sz w:val="24"/>
        </w:rPr>
        <w:t>项目联系方式</w:t>
      </w:r>
    </w:p>
    <w:p w14:paraId="53558E7D">
      <w:pPr>
        <w:spacing w:line="360" w:lineRule="auto"/>
        <w:ind w:firstLine="723" w:firstLineChars="300"/>
        <w:rPr>
          <w:b/>
          <w:sz w:val="24"/>
          <w:u w:val="single"/>
        </w:rPr>
      </w:pPr>
      <w:r>
        <w:rPr>
          <w:b/>
          <w:sz w:val="24"/>
        </w:rPr>
        <w:t>3.项目联系方式</w:t>
      </w:r>
      <w:bookmarkStart w:id="30" w:name="_GoBack"/>
      <w:bookmarkEnd w:id="30"/>
    </w:p>
    <w:p w14:paraId="31363652">
      <w:pPr>
        <w:spacing w:line="360" w:lineRule="auto"/>
        <w:ind w:firstLine="720" w:firstLineChars="300"/>
        <w:rPr>
          <w:sz w:val="24"/>
        </w:rPr>
      </w:pPr>
      <w:r>
        <w:rPr>
          <w:sz w:val="24"/>
        </w:rPr>
        <w:t>项目联系人：</w:t>
      </w:r>
      <w:r>
        <w:rPr>
          <w:rFonts w:hint="default" w:ascii="Times New Roman" w:hAnsi="Times New Roman"/>
          <w:sz w:val="24"/>
          <w:szCs w:val="24"/>
        </w:rPr>
        <w:t>马娟娟、刘健、</w:t>
      </w:r>
      <w:r>
        <w:rPr>
          <w:rFonts w:hint="eastAsia" w:ascii="Times New Roman" w:hAnsi="Times New Roman"/>
          <w:sz w:val="24"/>
          <w:szCs w:val="24"/>
          <w:lang w:val="en-US" w:eastAsia="zh-CN"/>
        </w:rPr>
        <w:t>陈丽、王建莉、</w:t>
      </w:r>
      <w:r>
        <w:rPr>
          <w:rFonts w:hint="default" w:ascii="Times New Roman" w:hAnsi="Times New Roman"/>
          <w:sz w:val="24"/>
          <w:szCs w:val="24"/>
        </w:rPr>
        <w:t>聂娅琼</w:t>
      </w:r>
    </w:p>
    <w:p w14:paraId="47EA8A46">
      <w:pPr>
        <w:spacing w:line="360" w:lineRule="auto"/>
        <w:ind w:firstLine="720" w:firstLineChars="300"/>
        <w:rPr>
          <w:sz w:val="24"/>
        </w:rPr>
      </w:pPr>
      <w:r>
        <w:rPr>
          <w:sz w:val="24"/>
        </w:rPr>
        <w:t>电 话：010-</w:t>
      </w:r>
      <w:r>
        <w:rPr>
          <w:rFonts w:hint="eastAsia"/>
          <w:sz w:val="24"/>
        </w:rPr>
        <w:t>62688223（购买</w:t>
      </w:r>
      <w:r>
        <w:rPr>
          <w:sz w:val="24"/>
        </w:rPr>
        <w:t>文件、发票咨询）</w:t>
      </w:r>
      <w:r>
        <w:rPr>
          <w:rFonts w:hint="eastAsia"/>
          <w:sz w:val="24"/>
        </w:rPr>
        <w:t>、</w:t>
      </w:r>
      <w:r>
        <w:rPr>
          <w:sz w:val="24"/>
        </w:rPr>
        <w:t>010-</w:t>
      </w:r>
      <w:r>
        <w:rPr>
          <w:rFonts w:hint="eastAsia"/>
          <w:sz w:val="24"/>
        </w:rPr>
        <w:t>62686386</w:t>
      </w:r>
      <w:r>
        <w:rPr>
          <w:sz w:val="24"/>
        </w:rPr>
        <w:t>（项目问询）</w:t>
      </w:r>
      <w:r>
        <w:rPr>
          <w:rFonts w:hint="eastAsia"/>
          <w:sz w:val="24"/>
        </w:rPr>
        <w:t>、liujian5</w:t>
      </w:r>
      <w:r>
        <w:t>@sstc20.com</w:t>
      </w:r>
      <w:r>
        <w:rPr>
          <w:sz w:val="24"/>
        </w:rPr>
        <w:t>（项目问询）</w:t>
      </w:r>
    </w:p>
    <w:bookmarkEnd w:id="28"/>
    <w:bookmarkEnd w:id="29"/>
    <w:p w14:paraId="08219CD5">
      <w:pPr>
        <w:widowControl w:val="0"/>
        <w:spacing w:line="360" w:lineRule="auto"/>
        <w:jc w:val="both"/>
        <w:rPr>
          <w:rFonts w:hint="default" w:ascii="Times New Roman" w:hAnsi="Times New Roman" w:eastAsia="宋体" w:cs="Times New Roman"/>
          <w:kern w:val="2"/>
          <w:sz w:val="24"/>
          <w:szCs w:val="24"/>
          <w:lang w:val="en-US" w:eastAsia="zh-CN" w:bidi="ar-SA"/>
        </w:rPr>
      </w:pPr>
    </w:p>
    <w:p w14:paraId="6F55DA4C">
      <w:pPr>
        <w:widowControl w:val="0"/>
        <w:spacing w:line="360" w:lineRule="auto"/>
        <w:jc w:val="right"/>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中钢招标有限责任公司</w:t>
      </w:r>
    </w:p>
    <w:p w14:paraId="3733B408">
      <w:pPr>
        <w:widowControl w:val="0"/>
        <w:spacing w:line="360" w:lineRule="auto"/>
        <w:jc w:val="right"/>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color w:val="FF0000"/>
          <w:kern w:val="2"/>
          <w:sz w:val="24"/>
          <w:szCs w:val="24"/>
          <w:lang w:val="en-US" w:eastAsia="zh-CN" w:bidi="ar-SA"/>
        </w:rPr>
        <w:t>202</w:t>
      </w:r>
      <w:r>
        <w:rPr>
          <w:rFonts w:hint="eastAsia" w:ascii="Times New Roman" w:hAnsi="Times New Roman" w:eastAsia="宋体" w:cs="Times New Roman"/>
          <w:color w:val="FF0000"/>
          <w:kern w:val="2"/>
          <w:sz w:val="24"/>
          <w:szCs w:val="24"/>
          <w:lang w:val="en-US" w:eastAsia="zh-CN" w:bidi="ar-SA"/>
        </w:rPr>
        <w:t>6</w:t>
      </w:r>
      <w:r>
        <w:rPr>
          <w:rFonts w:hint="default" w:ascii="Times New Roman" w:hAnsi="Times New Roman" w:eastAsia="宋体" w:cs="Times New Roman"/>
          <w:color w:val="FF0000"/>
          <w:kern w:val="2"/>
          <w:sz w:val="24"/>
          <w:szCs w:val="24"/>
          <w:lang w:val="en-US" w:eastAsia="zh-CN" w:bidi="ar-SA"/>
        </w:rPr>
        <w:t>年</w:t>
      </w:r>
      <w:r>
        <w:rPr>
          <w:rFonts w:hint="eastAsia" w:ascii="Times New Roman" w:hAnsi="Times New Roman" w:eastAsia="宋体" w:cs="Times New Roman"/>
          <w:color w:val="FF0000"/>
          <w:kern w:val="2"/>
          <w:sz w:val="24"/>
          <w:szCs w:val="24"/>
          <w:lang w:val="en-US" w:eastAsia="zh-CN" w:bidi="ar-SA"/>
        </w:rPr>
        <w:t>8</w:t>
      </w:r>
      <w:r>
        <w:rPr>
          <w:rFonts w:hint="default" w:ascii="Times New Roman" w:hAnsi="Times New Roman" w:eastAsia="宋体" w:cs="Times New Roman"/>
          <w:color w:val="FF0000"/>
          <w:kern w:val="2"/>
          <w:sz w:val="24"/>
          <w:szCs w:val="24"/>
          <w:lang w:val="en-US" w:eastAsia="zh-CN" w:bidi="ar-SA"/>
        </w:rPr>
        <w:t>月</w:t>
      </w:r>
      <w:r>
        <w:rPr>
          <w:rFonts w:hint="eastAsia" w:ascii="宋体" w:hAnsi="Courier New" w:eastAsia="宋体" w:cs="Times New Roman"/>
          <w:color w:val="FF0000"/>
          <w:kern w:val="2"/>
          <w:sz w:val="24"/>
          <w:szCs w:val="24"/>
          <w:lang w:val="en-US" w:eastAsia="zh-CN" w:bidi="ar-SA"/>
        </w:rPr>
        <w:t>26</w:t>
      </w:r>
      <w:r>
        <w:rPr>
          <w:rFonts w:hint="default" w:ascii="Times New Roman" w:hAnsi="Times New Roman" w:eastAsia="宋体" w:cs="Times New Roman"/>
          <w:color w:val="FF0000"/>
          <w:kern w:val="2"/>
          <w:sz w:val="24"/>
          <w:szCs w:val="24"/>
          <w:lang w:val="en-US" w:eastAsia="zh-CN" w:bidi="ar-SA"/>
        </w:rPr>
        <w:t>日</w:t>
      </w:r>
    </w:p>
    <w:p w14:paraId="0A52DF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0DEBDA"/>
    <w:multiLevelType w:val="singleLevel"/>
    <w:tmpl w:val="0E0DEBD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115095"/>
    <w:rsid w:val="003D6B47"/>
    <w:rsid w:val="00DE1EB9"/>
    <w:rsid w:val="00FE526F"/>
    <w:rsid w:val="01321433"/>
    <w:rsid w:val="019167D2"/>
    <w:rsid w:val="02166262"/>
    <w:rsid w:val="021B21E2"/>
    <w:rsid w:val="039F7E7A"/>
    <w:rsid w:val="040C413D"/>
    <w:rsid w:val="044F0FE4"/>
    <w:rsid w:val="045A54E4"/>
    <w:rsid w:val="048E7236"/>
    <w:rsid w:val="04EC3DA3"/>
    <w:rsid w:val="05410124"/>
    <w:rsid w:val="06277039"/>
    <w:rsid w:val="068A6E52"/>
    <w:rsid w:val="07511CB7"/>
    <w:rsid w:val="08B63BF3"/>
    <w:rsid w:val="09337F42"/>
    <w:rsid w:val="09341751"/>
    <w:rsid w:val="09AE7EED"/>
    <w:rsid w:val="0A354451"/>
    <w:rsid w:val="0A4D70E9"/>
    <w:rsid w:val="0A7F5874"/>
    <w:rsid w:val="0ACB43B6"/>
    <w:rsid w:val="0AD70C41"/>
    <w:rsid w:val="0BA56D6F"/>
    <w:rsid w:val="0BEF1297"/>
    <w:rsid w:val="0CD761B7"/>
    <w:rsid w:val="0D1163F1"/>
    <w:rsid w:val="0D834791"/>
    <w:rsid w:val="0DD8721C"/>
    <w:rsid w:val="0DF148E9"/>
    <w:rsid w:val="0E843890"/>
    <w:rsid w:val="0ED20819"/>
    <w:rsid w:val="0ED65219"/>
    <w:rsid w:val="0F3F6EBA"/>
    <w:rsid w:val="0F586549"/>
    <w:rsid w:val="0FEE7D1E"/>
    <w:rsid w:val="100F2473"/>
    <w:rsid w:val="107D752E"/>
    <w:rsid w:val="11600A0D"/>
    <w:rsid w:val="12262F9E"/>
    <w:rsid w:val="12A816C8"/>
    <w:rsid w:val="13496AB6"/>
    <w:rsid w:val="13B81B3E"/>
    <w:rsid w:val="13B92A7E"/>
    <w:rsid w:val="13E30E04"/>
    <w:rsid w:val="14436190"/>
    <w:rsid w:val="14503CE0"/>
    <w:rsid w:val="14BA3FA1"/>
    <w:rsid w:val="16487343"/>
    <w:rsid w:val="168A0F85"/>
    <w:rsid w:val="169C4764"/>
    <w:rsid w:val="16F738E4"/>
    <w:rsid w:val="16FB46CF"/>
    <w:rsid w:val="170735B1"/>
    <w:rsid w:val="1749720D"/>
    <w:rsid w:val="174F2AE4"/>
    <w:rsid w:val="17B05368"/>
    <w:rsid w:val="17CD3A31"/>
    <w:rsid w:val="18B9488C"/>
    <w:rsid w:val="196F3F1E"/>
    <w:rsid w:val="197F2401"/>
    <w:rsid w:val="19F426A2"/>
    <w:rsid w:val="1A1B27BD"/>
    <w:rsid w:val="1AC108E2"/>
    <w:rsid w:val="1AC24011"/>
    <w:rsid w:val="1AE54EE5"/>
    <w:rsid w:val="1B906A15"/>
    <w:rsid w:val="1C596A59"/>
    <w:rsid w:val="1C9D4E93"/>
    <w:rsid w:val="1CAE7849"/>
    <w:rsid w:val="1CC24B1F"/>
    <w:rsid w:val="1CCC794B"/>
    <w:rsid w:val="1CDE5BDD"/>
    <w:rsid w:val="1CEB7237"/>
    <w:rsid w:val="1D1D2792"/>
    <w:rsid w:val="1D553712"/>
    <w:rsid w:val="1D6B46A4"/>
    <w:rsid w:val="1D7204CF"/>
    <w:rsid w:val="1DBC1AC7"/>
    <w:rsid w:val="1E6D0DEA"/>
    <w:rsid w:val="1EC97DB1"/>
    <w:rsid w:val="1F007456"/>
    <w:rsid w:val="1FF94CB4"/>
    <w:rsid w:val="200B2419"/>
    <w:rsid w:val="20366917"/>
    <w:rsid w:val="20390603"/>
    <w:rsid w:val="203E2CF8"/>
    <w:rsid w:val="207B6813"/>
    <w:rsid w:val="20F212D2"/>
    <w:rsid w:val="21732477"/>
    <w:rsid w:val="21DB7607"/>
    <w:rsid w:val="21F521AF"/>
    <w:rsid w:val="233C266C"/>
    <w:rsid w:val="2346363C"/>
    <w:rsid w:val="2387748B"/>
    <w:rsid w:val="23F549CE"/>
    <w:rsid w:val="24583F3B"/>
    <w:rsid w:val="24FE1E0F"/>
    <w:rsid w:val="25B36597"/>
    <w:rsid w:val="26114E24"/>
    <w:rsid w:val="261438FC"/>
    <w:rsid w:val="261D2A88"/>
    <w:rsid w:val="266A7A72"/>
    <w:rsid w:val="26770A8C"/>
    <w:rsid w:val="27180F00"/>
    <w:rsid w:val="27431E2C"/>
    <w:rsid w:val="275A5DE0"/>
    <w:rsid w:val="27843FC5"/>
    <w:rsid w:val="27D91788"/>
    <w:rsid w:val="27E4732E"/>
    <w:rsid w:val="27FA1A55"/>
    <w:rsid w:val="28063AE0"/>
    <w:rsid w:val="29847993"/>
    <w:rsid w:val="299E08F7"/>
    <w:rsid w:val="29A524CC"/>
    <w:rsid w:val="29B15D31"/>
    <w:rsid w:val="2A827022"/>
    <w:rsid w:val="2B0A1282"/>
    <w:rsid w:val="2B6E692B"/>
    <w:rsid w:val="2B8D1DDD"/>
    <w:rsid w:val="2BD716F9"/>
    <w:rsid w:val="2C3766FD"/>
    <w:rsid w:val="2C382429"/>
    <w:rsid w:val="2D0675D3"/>
    <w:rsid w:val="2D211CAC"/>
    <w:rsid w:val="2DC67156"/>
    <w:rsid w:val="2E1F1118"/>
    <w:rsid w:val="2E393D70"/>
    <w:rsid w:val="2E48763E"/>
    <w:rsid w:val="2E692E89"/>
    <w:rsid w:val="2E746275"/>
    <w:rsid w:val="2EA1727D"/>
    <w:rsid w:val="2F0B0792"/>
    <w:rsid w:val="2FA129C7"/>
    <w:rsid w:val="2FBB1D77"/>
    <w:rsid w:val="30254398"/>
    <w:rsid w:val="30992FAA"/>
    <w:rsid w:val="314B15AB"/>
    <w:rsid w:val="31700A33"/>
    <w:rsid w:val="32020711"/>
    <w:rsid w:val="323D3FED"/>
    <w:rsid w:val="32E00B17"/>
    <w:rsid w:val="330F750E"/>
    <w:rsid w:val="33730B04"/>
    <w:rsid w:val="33CA199F"/>
    <w:rsid w:val="33FF278B"/>
    <w:rsid w:val="34100426"/>
    <w:rsid w:val="342F5B17"/>
    <w:rsid w:val="34614496"/>
    <w:rsid w:val="35110F72"/>
    <w:rsid w:val="36070CAE"/>
    <w:rsid w:val="36160046"/>
    <w:rsid w:val="365777C6"/>
    <w:rsid w:val="36700B60"/>
    <w:rsid w:val="3670413F"/>
    <w:rsid w:val="367D23ED"/>
    <w:rsid w:val="3695040E"/>
    <w:rsid w:val="36BD3F78"/>
    <w:rsid w:val="372F7D91"/>
    <w:rsid w:val="373C54E5"/>
    <w:rsid w:val="379813DD"/>
    <w:rsid w:val="37FB3710"/>
    <w:rsid w:val="38B9218A"/>
    <w:rsid w:val="38E03D66"/>
    <w:rsid w:val="38F21A94"/>
    <w:rsid w:val="392A66EC"/>
    <w:rsid w:val="3930609C"/>
    <w:rsid w:val="398457CC"/>
    <w:rsid w:val="399A43E5"/>
    <w:rsid w:val="3A455448"/>
    <w:rsid w:val="3A801C8C"/>
    <w:rsid w:val="3A8D2FF8"/>
    <w:rsid w:val="3B6E564F"/>
    <w:rsid w:val="3B9A7D27"/>
    <w:rsid w:val="3BD90B76"/>
    <w:rsid w:val="3BFA31B8"/>
    <w:rsid w:val="3C1411E1"/>
    <w:rsid w:val="3C27771B"/>
    <w:rsid w:val="3D2371E1"/>
    <w:rsid w:val="3D551B39"/>
    <w:rsid w:val="3D9327E6"/>
    <w:rsid w:val="3DF81F1B"/>
    <w:rsid w:val="3DFD52CD"/>
    <w:rsid w:val="3E2B5AF1"/>
    <w:rsid w:val="3E3725BD"/>
    <w:rsid w:val="3E662B53"/>
    <w:rsid w:val="3E7618DF"/>
    <w:rsid w:val="3F19084E"/>
    <w:rsid w:val="3FB0073D"/>
    <w:rsid w:val="3FD774FD"/>
    <w:rsid w:val="3FE86511"/>
    <w:rsid w:val="40B77802"/>
    <w:rsid w:val="40D5254C"/>
    <w:rsid w:val="42811335"/>
    <w:rsid w:val="44263218"/>
    <w:rsid w:val="447F6C36"/>
    <w:rsid w:val="44970368"/>
    <w:rsid w:val="44C030F7"/>
    <w:rsid w:val="44D5245B"/>
    <w:rsid w:val="44F112A5"/>
    <w:rsid w:val="44F47795"/>
    <w:rsid w:val="450C0E27"/>
    <w:rsid w:val="456C4AAB"/>
    <w:rsid w:val="45DD6593"/>
    <w:rsid w:val="45FD2010"/>
    <w:rsid w:val="462344F7"/>
    <w:rsid w:val="467B2D75"/>
    <w:rsid w:val="46F11959"/>
    <w:rsid w:val="47DE12E1"/>
    <w:rsid w:val="48606B92"/>
    <w:rsid w:val="487D2973"/>
    <w:rsid w:val="48BA7FD8"/>
    <w:rsid w:val="48D91A83"/>
    <w:rsid w:val="48EA737C"/>
    <w:rsid w:val="49AA67DD"/>
    <w:rsid w:val="49BC5396"/>
    <w:rsid w:val="4A0E55CC"/>
    <w:rsid w:val="4AD73993"/>
    <w:rsid w:val="4B4F51DB"/>
    <w:rsid w:val="4BA5747B"/>
    <w:rsid w:val="4BBD4A61"/>
    <w:rsid w:val="4C2212FC"/>
    <w:rsid w:val="4C325E1D"/>
    <w:rsid w:val="4D2E38C6"/>
    <w:rsid w:val="4DB16BEE"/>
    <w:rsid w:val="4DE21915"/>
    <w:rsid w:val="4E7820D8"/>
    <w:rsid w:val="4E8E1D4E"/>
    <w:rsid w:val="4E9C3496"/>
    <w:rsid w:val="4EA236F8"/>
    <w:rsid w:val="4F406588"/>
    <w:rsid w:val="4F4078C9"/>
    <w:rsid w:val="4F6136DB"/>
    <w:rsid w:val="501D6466"/>
    <w:rsid w:val="50530F08"/>
    <w:rsid w:val="50571410"/>
    <w:rsid w:val="50A045A7"/>
    <w:rsid w:val="50D14ED7"/>
    <w:rsid w:val="50DB40F9"/>
    <w:rsid w:val="511D48DF"/>
    <w:rsid w:val="51D21A17"/>
    <w:rsid w:val="52146904"/>
    <w:rsid w:val="52737738"/>
    <w:rsid w:val="52BB6EB0"/>
    <w:rsid w:val="53200444"/>
    <w:rsid w:val="53406FCF"/>
    <w:rsid w:val="53F65570"/>
    <w:rsid w:val="54C42BAB"/>
    <w:rsid w:val="55A77745"/>
    <w:rsid w:val="56130765"/>
    <w:rsid w:val="56206028"/>
    <w:rsid w:val="56642498"/>
    <w:rsid w:val="56B803EE"/>
    <w:rsid w:val="577B5A95"/>
    <w:rsid w:val="578A051A"/>
    <w:rsid w:val="57E976B9"/>
    <w:rsid w:val="58930CD3"/>
    <w:rsid w:val="58CE04B1"/>
    <w:rsid w:val="58E90C51"/>
    <w:rsid w:val="59B94781"/>
    <w:rsid w:val="59BA191D"/>
    <w:rsid w:val="59D914D7"/>
    <w:rsid w:val="5ACD2AC5"/>
    <w:rsid w:val="5B2F6BD1"/>
    <w:rsid w:val="5B6763A4"/>
    <w:rsid w:val="5B71031E"/>
    <w:rsid w:val="5B7B1064"/>
    <w:rsid w:val="5B995916"/>
    <w:rsid w:val="5C1A1214"/>
    <w:rsid w:val="5CCE0D45"/>
    <w:rsid w:val="5D70457B"/>
    <w:rsid w:val="5DD65490"/>
    <w:rsid w:val="5E1242FE"/>
    <w:rsid w:val="5F213F9C"/>
    <w:rsid w:val="5F3A69D4"/>
    <w:rsid w:val="5F60121B"/>
    <w:rsid w:val="5FDA1F87"/>
    <w:rsid w:val="5FEC4266"/>
    <w:rsid w:val="60137F85"/>
    <w:rsid w:val="605F2D64"/>
    <w:rsid w:val="607D121D"/>
    <w:rsid w:val="608B3657"/>
    <w:rsid w:val="60A92763"/>
    <w:rsid w:val="60AE6622"/>
    <w:rsid w:val="61433D7E"/>
    <w:rsid w:val="61776AEF"/>
    <w:rsid w:val="61E10B24"/>
    <w:rsid w:val="62280414"/>
    <w:rsid w:val="623C1009"/>
    <w:rsid w:val="62961FF8"/>
    <w:rsid w:val="63321D80"/>
    <w:rsid w:val="635E0796"/>
    <w:rsid w:val="635F7E95"/>
    <w:rsid w:val="63A50ADF"/>
    <w:rsid w:val="63AA26B7"/>
    <w:rsid w:val="63C94900"/>
    <w:rsid w:val="63F6261F"/>
    <w:rsid w:val="63FF3D22"/>
    <w:rsid w:val="6472267C"/>
    <w:rsid w:val="64E23C97"/>
    <w:rsid w:val="65165745"/>
    <w:rsid w:val="656A4135"/>
    <w:rsid w:val="67454785"/>
    <w:rsid w:val="675D558A"/>
    <w:rsid w:val="67A148C1"/>
    <w:rsid w:val="682E2186"/>
    <w:rsid w:val="689A7EC7"/>
    <w:rsid w:val="690E398C"/>
    <w:rsid w:val="69115095"/>
    <w:rsid w:val="693E042D"/>
    <w:rsid w:val="699A57FB"/>
    <w:rsid w:val="6A067779"/>
    <w:rsid w:val="6A231889"/>
    <w:rsid w:val="6B1429E1"/>
    <w:rsid w:val="6B371181"/>
    <w:rsid w:val="6B4C576C"/>
    <w:rsid w:val="6B99050F"/>
    <w:rsid w:val="6BA90CBC"/>
    <w:rsid w:val="6C4A133F"/>
    <w:rsid w:val="6CC45786"/>
    <w:rsid w:val="6CE324DD"/>
    <w:rsid w:val="6E5665F6"/>
    <w:rsid w:val="6E70314F"/>
    <w:rsid w:val="6E7255F7"/>
    <w:rsid w:val="6ECA295B"/>
    <w:rsid w:val="6ECD589A"/>
    <w:rsid w:val="6F4A7302"/>
    <w:rsid w:val="6F773618"/>
    <w:rsid w:val="6F7C74C4"/>
    <w:rsid w:val="6F8B26CF"/>
    <w:rsid w:val="6FA82868"/>
    <w:rsid w:val="70183F72"/>
    <w:rsid w:val="702473D9"/>
    <w:rsid w:val="711224D5"/>
    <w:rsid w:val="720C27DF"/>
    <w:rsid w:val="72206AD8"/>
    <w:rsid w:val="724474E9"/>
    <w:rsid w:val="734D39F3"/>
    <w:rsid w:val="73910C89"/>
    <w:rsid w:val="73F54986"/>
    <w:rsid w:val="740D217E"/>
    <w:rsid w:val="74255571"/>
    <w:rsid w:val="743F4C1F"/>
    <w:rsid w:val="74DE1D35"/>
    <w:rsid w:val="75AA743B"/>
    <w:rsid w:val="75C103FA"/>
    <w:rsid w:val="75D94F4B"/>
    <w:rsid w:val="76433336"/>
    <w:rsid w:val="764E0CD2"/>
    <w:rsid w:val="768B7F09"/>
    <w:rsid w:val="76A148F1"/>
    <w:rsid w:val="76A27B18"/>
    <w:rsid w:val="76A76750"/>
    <w:rsid w:val="770E3302"/>
    <w:rsid w:val="77F55453"/>
    <w:rsid w:val="78286A14"/>
    <w:rsid w:val="785D26CA"/>
    <w:rsid w:val="78C466DA"/>
    <w:rsid w:val="791F0D44"/>
    <w:rsid w:val="79686948"/>
    <w:rsid w:val="7A5E23E5"/>
    <w:rsid w:val="7AB4583A"/>
    <w:rsid w:val="7B207CAF"/>
    <w:rsid w:val="7B856FBF"/>
    <w:rsid w:val="7B8A2E7A"/>
    <w:rsid w:val="7BC77BB3"/>
    <w:rsid w:val="7BFB7CCB"/>
    <w:rsid w:val="7C0762A9"/>
    <w:rsid w:val="7C2854AB"/>
    <w:rsid w:val="7C75190A"/>
    <w:rsid w:val="7CA35035"/>
    <w:rsid w:val="7CC107F9"/>
    <w:rsid w:val="7CE81353"/>
    <w:rsid w:val="7D29695D"/>
    <w:rsid w:val="7D400C35"/>
    <w:rsid w:val="7D767A3D"/>
    <w:rsid w:val="7DB16215"/>
    <w:rsid w:val="7DDC6226"/>
    <w:rsid w:val="7E541B47"/>
    <w:rsid w:val="7E7A4583"/>
    <w:rsid w:val="7EBC2520"/>
    <w:rsid w:val="7EC74575"/>
    <w:rsid w:val="7EF06E45"/>
    <w:rsid w:val="7F1432C3"/>
    <w:rsid w:val="7F2E5DE8"/>
    <w:rsid w:val="7F9E4666"/>
    <w:rsid w:val="7FCA1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next w:val="1"/>
    <w:qFormat/>
    <w:uiPriority w:val="0"/>
    <w:pPr>
      <w:spacing w:line="360" w:lineRule="auto"/>
      <w:ind w:firstLine="570"/>
    </w:pPr>
    <w:rPr>
      <w:sz w:val="24"/>
    </w:r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Plain Text"/>
    <w:basedOn w:val="1"/>
    <w:qFormat/>
    <w:uiPriority w:val="0"/>
    <w:rPr>
      <w:rFonts w:hint="eastAsia" w:ascii="宋体" w:hAnsi="Courier New"/>
      <w:szCs w:val="20"/>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Strong"/>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4386</Words>
  <Characters>5112</Characters>
  <Lines>0</Lines>
  <Paragraphs>0</Paragraphs>
  <TotalTime>6</TotalTime>
  <ScaleCrop>false</ScaleCrop>
  <LinksUpToDate>false</LinksUpToDate>
  <CharactersWithSpaces>5201</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2026-08-26T07:50:00Z</dcterms:created>
  <dc:creator>Ben</dc:creator>
  <cp:lastModifiedBy>Ben</cp:lastModifiedBy>
  <dcterms:modified xsi:type="dcterms:W3CDTF">2026-08-26T08:24:09Z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B5D1FAEE0FC84325BAC4C2ED96B8900C_11</vt:lpwstr>
  </property>
  <property fmtid="{D5CDD505-2E9C-101B-9397-08002B2CF9AE}" pid="4" name="KSOTemplateDocerSaveRecord">
    <vt:lpwstr>eyJoZGlkIjoiYzUwZTU5ZjIyZGJmMjM4ZjA5ZTBjMzUwNDU3NmU2ZDciLCJ1c2VySWQiOiIxMTU0Njc0NDg4In0=</vt:lpwstr>
  </property>
</Properties>
</file>